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9DD15">
      <w:pPr>
        <w:spacing w:line="285" w:lineRule="auto"/>
        <w:rPr>
          <w:rFonts w:ascii="宋体" w:hAnsi="宋体" w:cs="宋体"/>
        </w:rPr>
      </w:pPr>
    </w:p>
    <w:p w14:paraId="2A72B351">
      <w:pPr>
        <w:jc w:val="center"/>
        <w:rPr>
          <w:rFonts w:ascii="宋体" w:hAnsi="宋体" w:cs="宋体"/>
          <w:spacing w:val="8"/>
          <w:sz w:val="71"/>
          <w:szCs w:val="71"/>
        </w:rPr>
      </w:pPr>
    </w:p>
    <w:p w14:paraId="118EF2D9">
      <w:pPr>
        <w:spacing w:line="268" w:lineRule="auto"/>
        <w:rPr>
          <w:rFonts w:ascii="宋体" w:hAnsi="宋体" w:cs="宋体"/>
        </w:rPr>
      </w:pPr>
    </w:p>
    <w:p w14:paraId="393D4598">
      <w:pPr>
        <w:spacing w:line="269" w:lineRule="auto"/>
        <w:rPr>
          <w:rFonts w:ascii="宋体" w:hAnsi="宋体" w:cs="宋体"/>
        </w:rPr>
      </w:pPr>
    </w:p>
    <w:p w14:paraId="7172CF73">
      <w:pPr>
        <w:spacing w:line="269" w:lineRule="auto"/>
        <w:rPr>
          <w:rFonts w:ascii="宋体" w:hAnsi="宋体" w:cs="宋体"/>
        </w:rPr>
      </w:pPr>
    </w:p>
    <w:p w14:paraId="1AC8571B">
      <w:pPr>
        <w:spacing w:line="269" w:lineRule="auto"/>
        <w:rPr>
          <w:rFonts w:ascii="宋体" w:hAnsi="宋体" w:cs="宋体"/>
        </w:rPr>
      </w:pPr>
    </w:p>
    <w:p w14:paraId="4682F269">
      <w:pPr>
        <w:pStyle w:val="2"/>
        <w:rPr>
          <w:rFonts w:ascii="宋体" w:hAnsi="宋体" w:cs="宋体"/>
          <w:sz w:val="21"/>
        </w:rPr>
      </w:pPr>
    </w:p>
    <w:p w14:paraId="4D473B9F">
      <w:pPr>
        <w:jc w:val="center"/>
        <w:rPr>
          <w:rFonts w:ascii="宋体" w:hAnsi="宋体" w:cs="宋体"/>
          <w:sz w:val="71"/>
          <w:szCs w:val="71"/>
        </w:rPr>
      </w:pPr>
      <w:bookmarkStart w:id="0" w:name="_Toc22033"/>
      <w:r>
        <w:rPr>
          <w:rFonts w:hint="eastAsia" w:ascii="宋体" w:hAnsi="宋体" w:cs="宋体"/>
          <w:spacing w:val="10"/>
          <w:sz w:val="71"/>
          <w:szCs w:val="71"/>
        </w:rPr>
        <w:t>竞</w:t>
      </w:r>
      <w:r>
        <w:rPr>
          <w:rFonts w:hint="eastAsia" w:ascii="宋体" w:hAnsi="宋体" w:cs="宋体"/>
          <w:spacing w:val="8"/>
          <w:sz w:val="71"/>
          <w:szCs w:val="71"/>
        </w:rPr>
        <w:t>争性磋商采购文件</w:t>
      </w:r>
      <w:bookmarkEnd w:id="0"/>
    </w:p>
    <w:p w14:paraId="0F265E89">
      <w:pPr>
        <w:spacing w:line="446" w:lineRule="auto"/>
        <w:rPr>
          <w:rFonts w:ascii="宋体" w:hAnsi="宋体" w:cs="宋体"/>
        </w:rPr>
      </w:pPr>
    </w:p>
    <w:p w14:paraId="63EFFD3C">
      <w:pPr>
        <w:spacing w:line="261" w:lineRule="auto"/>
        <w:rPr>
          <w:rFonts w:ascii="宋体" w:hAnsi="宋体" w:cs="宋体"/>
        </w:rPr>
      </w:pPr>
    </w:p>
    <w:p w14:paraId="760017D1">
      <w:pPr>
        <w:spacing w:line="262" w:lineRule="auto"/>
        <w:rPr>
          <w:rFonts w:ascii="宋体" w:hAnsi="宋体" w:cs="宋体"/>
        </w:rPr>
      </w:pPr>
    </w:p>
    <w:p w14:paraId="06B913E6">
      <w:pPr>
        <w:spacing w:line="262" w:lineRule="auto"/>
        <w:rPr>
          <w:rFonts w:ascii="宋体" w:hAnsi="宋体" w:cs="宋体"/>
        </w:rPr>
      </w:pPr>
    </w:p>
    <w:p w14:paraId="796B00CC">
      <w:pPr>
        <w:spacing w:line="262" w:lineRule="auto"/>
        <w:rPr>
          <w:rFonts w:ascii="宋体" w:hAnsi="宋体" w:cs="宋体"/>
        </w:rPr>
      </w:pPr>
    </w:p>
    <w:p w14:paraId="6CAB62F9">
      <w:pPr>
        <w:spacing w:line="360" w:lineRule="auto"/>
        <w:ind w:left="1550" w:hanging="1550" w:hangingChars="500"/>
        <w:rPr>
          <w:rFonts w:ascii="宋体" w:hAnsi="宋体" w:cs="宋体"/>
          <w:color w:val="auto"/>
        </w:rPr>
      </w:pPr>
      <w:r>
        <w:rPr>
          <w:rFonts w:hint="eastAsia" w:ascii="宋体" w:hAnsi="宋体" w:cs="宋体"/>
          <w:spacing w:val="10"/>
          <w:sz w:val="29"/>
          <w:szCs w:val="29"/>
        </w:rPr>
        <w:t>项目名称：2024年普通国道危旧桥梁改造工程G241线K2814+890</w:t>
      </w:r>
      <w:r>
        <w:rPr>
          <w:rFonts w:hint="eastAsia" w:ascii="宋体" w:hAnsi="宋体" w:cs="宋体"/>
          <w:color w:val="auto"/>
          <w:spacing w:val="10"/>
          <w:sz w:val="29"/>
          <w:szCs w:val="29"/>
        </w:rPr>
        <w:t>石山寨桥</w:t>
      </w:r>
    </w:p>
    <w:p w14:paraId="4CED337D">
      <w:pPr>
        <w:spacing w:before="95" w:line="360" w:lineRule="auto"/>
        <w:jc w:val="left"/>
        <w:rPr>
          <w:rFonts w:ascii="宋体" w:hAnsi="宋体" w:cs="宋体"/>
          <w:color w:val="auto"/>
          <w:sz w:val="29"/>
          <w:szCs w:val="29"/>
        </w:rPr>
      </w:pPr>
      <w:r>
        <w:rPr>
          <w:rFonts w:hint="eastAsia" w:ascii="宋体" w:hAnsi="宋体" w:cs="宋体"/>
          <w:color w:val="auto"/>
          <w:spacing w:val="9"/>
          <w:sz w:val="29"/>
          <w:szCs w:val="29"/>
        </w:rPr>
        <w:t>项</w:t>
      </w:r>
      <w:r>
        <w:rPr>
          <w:rFonts w:hint="eastAsia" w:ascii="宋体" w:hAnsi="宋体" w:cs="宋体"/>
          <w:color w:val="auto"/>
          <w:spacing w:val="8"/>
          <w:sz w:val="29"/>
          <w:szCs w:val="29"/>
        </w:rPr>
        <w:t>目编号：</w:t>
      </w:r>
      <w:r>
        <w:rPr>
          <w:rFonts w:hint="eastAsia" w:ascii="宋体" w:hAnsi="宋体" w:cs="宋体"/>
          <w:color w:val="auto"/>
          <w:spacing w:val="10"/>
          <w:sz w:val="29"/>
          <w:szCs w:val="29"/>
        </w:rPr>
        <w:t>GXZC2024-C2-004648-GXCH</w:t>
      </w:r>
    </w:p>
    <w:p w14:paraId="7399BBAA">
      <w:pPr>
        <w:spacing w:line="251" w:lineRule="auto"/>
        <w:rPr>
          <w:rFonts w:ascii="宋体" w:hAnsi="宋体" w:cs="宋体"/>
        </w:rPr>
      </w:pPr>
    </w:p>
    <w:p w14:paraId="43F533C0">
      <w:pPr>
        <w:spacing w:line="251" w:lineRule="auto"/>
        <w:rPr>
          <w:rFonts w:ascii="宋体" w:hAnsi="宋体" w:cs="宋体"/>
        </w:rPr>
      </w:pPr>
    </w:p>
    <w:p w14:paraId="1AB091F2">
      <w:pPr>
        <w:spacing w:line="251" w:lineRule="auto"/>
        <w:rPr>
          <w:rFonts w:ascii="宋体" w:hAnsi="宋体" w:cs="宋体"/>
        </w:rPr>
      </w:pPr>
    </w:p>
    <w:p w14:paraId="5AEB74DF">
      <w:pPr>
        <w:spacing w:line="251" w:lineRule="auto"/>
        <w:rPr>
          <w:rFonts w:ascii="宋体" w:hAnsi="宋体" w:cs="宋体"/>
        </w:rPr>
      </w:pPr>
    </w:p>
    <w:p w14:paraId="7F84B4E6">
      <w:pPr>
        <w:spacing w:line="251" w:lineRule="auto"/>
        <w:rPr>
          <w:rFonts w:ascii="宋体" w:hAnsi="宋体" w:cs="宋体"/>
        </w:rPr>
      </w:pPr>
    </w:p>
    <w:p w14:paraId="48365CAF">
      <w:pPr>
        <w:spacing w:line="251" w:lineRule="auto"/>
        <w:jc w:val="center"/>
        <w:rPr>
          <w:rFonts w:ascii="宋体" w:hAnsi="宋体" w:cs="宋体"/>
        </w:rPr>
      </w:pPr>
    </w:p>
    <w:p w14:paraId="41D06974"/>
    <w:p w14:paraId="2C3F44D2">
      <w:pPr>
        <w:spacing w:before="101" w:line="360" w:lineRule="auto"/>
        <w:jc w:val="center"/>
        <w:rPr>
          <w:rFonts w:ascii="宋体" w:hAnsi="宋体" w:cs="宋体"/>
          <w:spacing w:val="9"/>
          <w:sz w:val="28"/>
          <w:szCs w:val="28"/>
        </w:rPr>
      </w:pPr>
      <w:r>
        <w:rPr>
          <w:rFonts w:hint="eastAsia" w:ascii="宋体" w:hAnsi="宋体" w:cs="宋体"/>
          <w:spacing w:val="10"/>
          <w:sz w:val="28"/>
          <w:szCs w:val="28"/>
        </w:rPr>
        <w:t>采</w:t>
      </w:r>
      <w:r>
        <w:rPr>
          <w:rFonts w:hint="eastAsia" w:ascii="宋体" w:hAnsi="宋体" w:cs="宋体"/>
          <w:spacing w:val="9"/>
          <w:sz w:val="28"/>
          <w:szCs w:val="28"/>
        </w:rPr>
        <w:t>购人：广西壮族自治区灌阳公路养护中心</w:t>
      </w:r>
    </w:p>
    <w:p w14:paraId="26B6D574">
      <w:pPr>
        <w:spacing w:before="101" w:line="360" w:lineRule="auto"/>
        <w:jc w:val="center"/>
        <w:rPr>
          <w:rFonts w:ascii="宋体" w:hAnsi="宋体" w:cs="宋体"/>
          <w:spacing w:val="9"/>
          <w:sz w:val="28"/>
          <w:szCs w:val="28"/>
        </w:rPr>
      </w:pPr>
    </w:p>
    <w:p w14:paraId="07498DA5">
      <w:pPr>
        <w:spacing w:before="101" w:line="360" w:lineRule="auto"/>
        <w:jc w:val="center"/>
        <w:rPr>
          <w:rFonts w:ascii="宋体" w:hAnsi="宋体" w:cs="宋体"/>
          <w:sz w:val="28"/>
          <w:szCs w:val="28"/>
        </w:rPr>
      </w:pPr>
      <w:r>
        <w:rPr>
          <w:rFonts w:hint="eastAsia" w:ascii="宋体" w:hAnsi="宋体" w:cs="宋体"/>
          <w:spacing w:val="18"/>
          <w:sz w:val="28"/>
          <w:szCs w:val="28"/>
        </w:rPr>
        <w:t>采</w:t>
      </w:r>
      <w:r>
        <w:rPr>
          <w:rFonts w:hint="eastAsia" w:ascii="宋体" w:hAnsi="宋体" w:cs="宋体"/>
          <w:spacing w:val="10"/>
          <w:sz w:val="28"/>
          <w:szCs w:val="28"/>
        </w:rPr>
        <w:t>购</w:t>
      </w:r>
      <w:r>
        <w:rPr>
          <w:rFonts w:hint="eastAsia" w:ascii="宋体" w:hAnsi="宋体" w:cs="宋体"/>
          <w:spacing w:val="9"/>
          <w:sz w:val="28"/>
          <w:szCs w:val="28"/>
        </w:rPr>
        <w:t>代理机构：广西朝华工程项目管理有限公司</w:t>
      </w:r>
    </w:p>
    <w:p w14:paraId="201CF636">
      <w:pPr>
        <w:spacing w:line="276" w:lineRule="auto"/>
        <w:rPr>
          <w:rFonts w:ascii="宋体" w:hAnsi="宋体" w:cs="宋体"/>
          <w:sz w:val="20"/>
          <w:szCs w:val="22"/>
        </w:rPr>
      </w:pPr>
    </w:p>
    <w:p w14:paraId="1D45A6C1">
      <w:pPr>
        <w:spacing w:before="101" w:line="228" w:lineRule="auto"/>
        <w:ind w:left="3977"/>
        <w:rPr>
          <w:sz w:val="20"/>
          <w:szCs w:val="22"/>
        </w:rPr>
      </w:pPr>
      <w:r>
        <w:rPr>
          <w:rFonts w:hint="eastAsia" w:ascii="宋体" w:hAnsi="宋体" w:cs="宋体"/>
          <w:spacing w:val="-18"/>
          <w:sz w:val="28"/>
          <w:szCs w:val="28"/>
        </w:rPr>
        <w:t>2024年</w:t>
      </w:r>
      <w:r>
        <w:rPr>
          <w:rFonts w:hint="eastAsia" w:ascii="宋体" w:hAnsi="宋体" w:cs="宋体"/>
          <w:spacing w:val="-18"/>
          <w:sz w:val="28"/>
          <w:szCs w:val="28"/>
          <w:lang w:val="en-US" w:eastAsia="zh-CN"/>
        </w:rPr>
        <w:t>7</w:t>
      </w:r>
      <w:r>
        <w:rPr>
          <w:rFonts w:hint="eastAsia" w:ascii="宋体" w:hAnsi="宋体" w:cs="宋体"/>
          <w:spacing w:val="-17"/>
          <w:sz w:val="28"/>
          <w:szCs w:val="28"/>
        </w:rPr>
        <w:t>月</w:t>
      </w:r>
    </w:p>
    <w:p w14:paraId="32E37257">
      <w:pPr>
        <w:widowControl/>
        <w:jc w:val="center"/>
        <w:rPr>
          <w:rFonts w:ascii="宋体" w:hAnsi="宋体"/>
          <w:b/>
          <w:kern w:val="0"/>
          <w:sz w:val="30"/>
          <w:szCs w:val="30"/>
        </w:rPr>
      </w:pPr>
    </w:p>
    <w:p w14:paraId="04F7E9AB">
      <w:pPr>
        <w:spacing w:line="400" w:lineRule="exact"/>
        <w:rPr>
          <w:rFonts w:ascii="宋体" w:hAnsi="宋体"/>
        </w:rPr>
      </w:pPr>
    </w:p>
    <w:p w14:paraId="2AAF8316">
      <w:pPr>
        <w:rPr>
          <w:rFonts w:ascii="宋体" w:hAnsi="宋体"/>
          <w:kern w:val="0"/>
        </w:rPr>
      </w:pPr>
    </w:p>
    <w:p w14:paraId="343710B3">
      <w:pPr>
        <w:rPr>
          <w:rFonts w:ascii="宋体" w:hAnsi="宋体"/>
          <w:kern w:val="0"/>
        </w:rPr>
      </w:pPr>
    </w:p>
    <w:p w14:paraId="67C7E1AE">
      <w:pPr>
        <w:rPr>
          <w:rFonts w:ascii="宋体" w:hAnsi="宋体"/>
          <w:kern w:val="0"/>
        </w:rPr>
      </w:pPr>
    </w:p>
    <w:p w14:paraId="36F390A3">
      <w:pPr>
        <w:rPr>
          <w:rFonts w:ascii="宋体" w:hAnsi="宋体"/>
          <w:b/>
          <w:spacing w:val="-6"/>
          <w:kern w:val="0"/>
          <w:sz w:val="32"/>
          <w:szCs w:val="32"/>
        </w:rPr>
      </w:pPr>
    </w:p>
    <w:p w14:paraId="52F9226D">
      <w:pPr>
        <w:pStyle w:val="4"/>
      </w:pPr>
    </w:p>
    <w:p w14:paraId="1A907A0A">
      <w:pPr>
        <w:jc w:val="center"/>
        <w:rPr>
          <w:rFonts w:ascii="宋体" w:hAnsi="宋体"/>
          <w:b/>
          <w:spacing w:val="-6"/>
          <w:kern w:val="0"/>
          <w:sz w:val="32"/>
          <w:szCs w:val="32"/>
        </w:rPr>
      </w:pPr>
    </w:p>
    <w:p w14:paraId="10A0730D">
      <w:pPr>
        <w:jc w:val="center"/>
        <w:rPr>
          <w:sz w:val="36"/>
          <w:szCs w:val="36"/>
        </w:rPr>
      </w:pPr>
      <w:r>
        <w:rPr>
          <w:rFonts w:ascii="宋体" w:hAnsi="宋体"/>
          <w:sz w:val="36"/>
          <w:szCs w:val="36"/>
        </w:rPr>
        <w:t>目录</w:t>
      </w:r>
    </w:p>
    <w:p w14:paraId="2105CB9A">
      <w:pPr>
        <w:pStyle w:val="34"/>
        <w:tabs>
          <w:tab w:val="right" w:leader="dot" w:pos="9072"/>
        </w:tabs>
        <w:spacing w:line="480" w:lineRule="auto"/>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"_Toc2961" </w:instrText>
      </w:r>
      <w:r>
        <w:fldChar w:fldCharType="separate"/>
      </w:r>
      <w:r>
        <w:rPr>
          <w:rFonts w:hint="eastAsia"/>
        </w:rPr>
        <w:t>第一章  竞争性磋商公告</w:t>
      </w:r>
      <w:r>
        <w:tab/>
      </w:r>
      <w:r>
        <w:fldChar w:fldCharType="begin"/>
      </w:r>
      <w:r>
        <w:instrText xml:space="preserve"> PAGEREF _Toc2961 </w:instrText>
      </w:r>
      <w:r>
        <w:fldChar w:fldCharType="separate"/>
      </w:r>
      <w:r>
        <w:t>1</w:t>
      </w:r>
      <w:r>
        <w:fldChar w:fldCharType="end"/>
      </w:r>
      <w:r>
        <w:fldChar w:fldCharType="end"/>
      </w:r>
    </w:p>
    <w:p w14:paraId="6C9E1576">
      <w:pPr>
        <w:pStyle w:val="34"/>
        <w:tabs>
          <w:tab w:val="right" w:leader="dot" w:pos="9072"/>
        </w:tabs>
        <w:spacing w:line="480" w:lineRule="auto"/>
        <w:rPr>
          <w:rFonts w:hint="eastAsia" w:eastAsia="宋体"/>
          <w:lang w:eastAsia="zh-CN"/>
        </w:rPr>
      </w:pPr>
      <w:r>
        <w:fldChar w:fldCharType="begin"/>
      </w:r>
      <w:r>
        <w:instrText xml:space="preserve"> HYPERLINK \l "_Toc31626" </w:instrText>
      </w:r>
      <w:r>
        <w:fldChar w:fldCharType="separate"/>
      </w:r>
      <w:r>
        <w:rPr>
          <w:rFonts w:hint="eastAsia"/>
        </w:rPr>
        <w:t>第二章  供应商须知</w:t>
      </w:r>
      <w:r>
        <w:tab/>
      </w:r>
      <w:r>
        <w:fldChar w:fldCharType="end"/>
      </w:r>
      <w:r>
        <w:rPr>
          <w:rFonts w:hint="eastAsia"/>
          <w:lang w:val="en-US" w:eastAsia="zh-CN"/>
        </w:rPr>
        <w:t>4</w:t>
      </w:r>
    </w:p>
    <w:p w14:paraId="755A964F">
      <w:pPr>
        <w:pStyle w:val="34"/>
        <w:tabs>
          <w:tab w:val="right" w:leader="dot" w:pos="9072"/>
        </w:tabs>
        <w:spacing w:line="480" w:lineRule="auto"/>
      </w:pPr>
      <w:r>
        <w:fldChar w:fldCharType="begin"/>
      </w:r>
      <w:r>
        <w:instrText xml:space="preserve"> HYPERLINK \l "_Toc3702" </w:instrText>
      </w:r>
      <w:r>
        <w:fldChar w:fldCharType="separate"/>
      </w:r>
      <w:r>
        <w:rPr>
          <w:rFonts w:hint="eastAsia"/>
        </w:rPr>
        <w:t>第三章  工程量清单及其他要求</w:t>
      </w:r>
      <w:r>
        <w:tab/>
      </w:r>
      <w:r>
        <w:rPr>
          <w:rFonts w:hint="eastAsia"/>
        </w:rPr>
        <w:t>25</w:t>
      </w:r>
      <w:r>
        <w:rPr>
          <w:rFonts w:hint="eastAsia"/>
        </w:rPr>
        <w:fldChar w:fldCharType="end"/>
      </w:r>
    </w:p>
    <w:p w14:paraId="60743F99">
      <w:pPr>
        <w:pStyle w:val="34"/>
        <w:tabs>
          <w:tab w:val="right" w:leader="dot" w:pos="9072"/>
        </w:tabs>
        <w:spacing w:line="480" w:lineRule="auto"/>
        <w:rPr>
          <w:rFonts w:hint="default" w:eastAsia="宋体"/>
          <w:lang w:val="en-US" w:eastAsia="zh-CN"/>
        </w:rPr>
      </w:pPr>
      <w:r>
        <w:fldChar w:fldCharType="begin"/>
      </w:r>
      <w:r>
        <w:instrText xml:space="preserve"> HYPERLINK \l "_Toc24516" </w:instrText>
      </w:r>
      <w:r>
        <w:fldChar w:fldCharType="separate"/>
      </w:r>
      <w:r>
        <w:rPr>
          <w:rFonts w:hint="eastAsia"/>
        </w:rPr>
        <w:t>第四章  评审办法</w:t>
      </w:r>
      <w:r>
        <w:tab/>
      </w:r>
      <w:r>
        <w:rPr>
          <w:rFonts w:hint="eastAsia"/>
        </w:rPr>
        <w:fldChar w:fldCharType="end"/>
      </w:r>
      <w:r>
        <w:rPr>
          <w:rFonts w:hint="eastAsia"/>
          <w:lang w:val="en-US" w:eastAsia="zh-CN"/>
        </w:rPr>
        <w:t>29</w:t>
      </w:r>
    </w:p>
    <w:p w14:paraId="10ED63B7">
      <w:pPr>
        <w:pStyle w:val="34"/>
        <w:tabs>
          <w:tab w:val="right" w:leader="dot" w:pos="9072"/>
        </w:tabs>
        <w:spacing w:line="480" w:lineRule="auto"/>
        <w:rPr>
          <w:rFonts w:hint="default" w:eastAsia="宋体"/>
          <w:lang w:val="en-US" w:eastAsia="zh-CN"/>
        </w:rPr>
      </w:pPr>
      <w:r>
        <w:fldChar w:fldCharType="begin"/>
      </w:r>
      <w:r>
        <w:instrText xml:space="preserve"> HYPERLINK \l "_Toc7527" </w:instrText>
      </w:r>
      <w:r>
        <w:fldChar w:fldCharType="separate"/>
      </w:r>
      <w:r>
        <w:rPr>
          <w:rFonts w:hint="eastAsia"/>
        </w:rPr>
        <w:t>第五章  合同条款及格式</w:t>
      </w:r>
      <w:r>
        <w:tab/>
      </w:r>
      <w:r>
        <w:rPr>
          <w:rFonts w:hint="eastAsia"/>
        </w:rPr>
        <w:fldChar w:fldCharType="end"/>
      </w:r>
      <w:r>
        <w:rPr>
          <w:rFonts w:hint="eastAsia"/>
          <w:lang w:val="en-US" w:eastAsia="zh-CN"/>
        </w:rPr>
        <w:t>32</w:t>
      </w:r>
    </w:p>
    <w:p w14:paraId="1406F452">
      <w:pPr>
        <w:pStyle w:val="34"/>
        <w:tabs>
          <w:tab w:val="right" w:leader="dot" w:pos="9072"/>
        </w:tabs>
        <w:spacing w:line="480" w:lineRule="auto"/>
        <w:rPr>
          <w:rFonts w:hint="default" w:eastAsia="宋体"/>
          <w:lang w:val="en-US" w:eastAsia="zh-CN"/>
        </w:rPr>
      </w:pPr>
      <w:r>
        <w:fldChar w:fldCharType="begin"/>
      </w:r>
      <w:r>
        <w:instrText xml:space="preserve"> HYPERLINK \l "_Toc21107" </w:instrText>
      </w:r>
      <w:r>
        <w:fldChar w:fldCharType="separate"/>
      </w:r>
      <w:r>
        <w:rPr>
          <w:rFonts w:hint="eastAsia"/>
        </w:rPr>
        <w:t>第六章  响应文件格式</w:t>
      </w:r>
      <w:r>
        <w:tab/>
      </w:r>
      <w:r>
        <w:rPr>
          <w:rFonts w:hint="eastAsia"/>
        </w:rPr>
        <w:fldChar w:fldCharType="end"/>
      </w:r>
      <w:r>
        <w:rPr>
          <w:rFonts w:hint="eastAsia"/>
          <w:lang w:val="en-US" w:eastAsia="zh-CN"/>
        </w:rPr>
        <w:t>61</w:t>
      </w:r>
    </w:p>
    <w:p w14:paraId="27185215">
      <w:pPr>
        <w:pStyle w:val="34"/>
        <w:tabs>
          <w:tab w:val="right" w:leader="dot" w:pos="9072"/>
        </w:tabs>
        <w:spacing w:line="480" w:lineRule="auto"/>
        <w:rPr>
          <w:rFonts w:hint="default" w:eastAsia="宋体"/>
          <w:lang w:val="en-US" w:eastAsia="zh-CN"/>
        </w:rPr>
      </w:pPr>
      <w:r>
        <w:fldChar w:fldCharType="begin"/>
      </w:r>
      <w:r>
        <w:instrText xml:space="preserve"> HYPERLINK \l "_Toc22545" </w:instrText>
      </w:r>
      <w:r>
        <w:fldChar w:fldCharType="separate"/>
      </w:r>
      <w:r>
        <w:rPr>
          <w:rFonts w:hint="eastAsia"/>
        </w:rPr>
        <w:t>第七章  图纸</w:t>
      </w:r>
      <w:r>
        <w:tab/>
      </w:r>
      <w:r>
        <w:rPr>
          <w:rFonts w:hint="eastAsia"/>
        </w:rPr>
        <w:fldChar w:fldCharType="end"/>
      </w:r>
      <w:r>
        <w:rPr>
          <w:rFonts w:hint="eastAsia"/>
          <w:lang w:val="en-US" w:eastAsia="zh-CN"/>
        </w:rPr>
        <w:t>81</w:t>
      </w:r>
    </w:p>
    <w:p w14:paraId="4B24413F">
      <w:pPr>
        <w:pStyle w:val="34"/>
        <w:tabs>
          <w:tab w:val="right" w:leader="dot" w:pos="8777"/>
        </w:tabs>
        <w:spacing w:line="480" w:lineRule="auto"/>
        <w:ind w:firstLine="422"/>
      </w:pPr>
      <w:r>
        <w:rPr>
          <w:rFonts w:ascii="宋体" w:hAnsi="宋体"/>
          <w:bCs/>
          <w:lang w:val="zh-CN"/>
        </w:rPr>
        <w:fldChar w:fldCharType="end"/>
      </w:r>
    </w:p>
    <w:p w14:paraId="78B5257C">
      <w:pPr>
        <w:pStyle w:val="3"/>
        <w:spacing w:line="240" w:lineRule="auto"/>
        <w:jc w:val="center"/>
        <w:rPr>
          <w:rFonts w:ascii="宋体" w:hAnsi="宋体"/>
          <w:b w:val="0"/>
          <w:bCs w:val="0"/>
          <w:sz w:val="44"/>
        </w:rPr>
        <w:sectPr>
          <w:footerReference r:id="rId3" w:type="default"/>
          <w:pgSz w:w="11911" w:h="16849"/>
          <w:pgMar w:top="1417" w:right="1417" w:bottom="1417" w:left="1417" w:header="720" w:footer="720" w:gutter="0"/>
          <w:pgNumType w:start="1"/>
          <w:cols w:space="720" w:num="1"/>
          <w:docGrid w:linePitch="312" w:charSpace="0"/>
        </w:sectPr>
      </w:pPr>
      <w:bookmarkStart w:id="1" w:name="_Toc2961"/>
      <w:bookmarkStart w:id="2" w:name="_Toc26092"/>
      <w:bookmarkStart w:id="3" w:name="_Toc10776"/>
      <w:bookmarkStart w:id="4" w:name="_Toc1776"/>
      <w:bookmarkStart w:id="5" w:name="_Toc29517"/>
    </w:p>
    <w:p w14:paraId="17465ED9">
      <w:pPr>
        <w:pStyle w:val="3"/>
        <w:spacing w:after="210" w:line="240" w:lineRule="auto"/>
        <w:jc w:val="center"/>
        <w:rPr>
          <w:sz w:val="30"/>
          <w:szCs w:val="30"/>
        </w:rPr>
      </w:pPr>
      <w:r>
        <w:rPr>
          <w:rFonts w:hint="eastAsia"/>
        </w:rPr>
        <w:t>第一章  竞争性磋商公告</w:t>
      </w:r>
      <w:bookmarkEnd w:id="1"/>
      <w:bookmarkEnd w:id="2"/>
      <w:bookmarkEnd w:id="3"/>
      <w:bookmarkEnd w:id="4"/>
      <w:bookmarkEnd w:id="5"/>
    </w:p>
    <w:p w14:paraId="333F85D8">
      <w:pPr>
        <w:pBdr>
          <w:top w:val="single" w:color="auto" w:sz="4" w:space="1"/>
          <w:left w:val="single" w:color="auto" w:sz="4" w:space="4"/>
          <w:bottom w:val="single" w:color="auto" w:sz="4" w:space="1"/>
          <w:right w:val="single" w:color="auto" w:sz="4" w:space="4"/>
        </w:pBdr>
        <w:spacing w:line="480" w:lineRule="exact"/>
        <w:rPr>
          <w:rFonts w:ascii="宋体" w:hAnsi="宋体" w:cs="宋体"/>
          <w:szCs w:val="21"/>
        </w:rPr>
      </w:pPr>
      <w:r>
        <w:rPr>
          <w:rFonts w:hint="eastAsia" w:ascii="宋体" w:hAnsi="宋体" w:cs="宋体"/>
          <w:szCs w:val="21"/>
        </w:rPr>
        <w:t>项目概况</w:t>
      </w:r>
    </w:p>
    <w:p w14:paraId="2425F2F9">
      <w:pPr>
        <w:pBdr>
          <w:top w:val="single" w:color="auto" w:sz="4" w:space="1"/>
          <w:left w:val="single" w:color="auto" w:sz="4" w:space="4"/>
          <w:bottom w:val="single" w:color="auto" w:sz="4" w:space="1"/>
          <w:right w:val="single" w:color="auto" w:sz="4" w:space="4"/>
        </w:pBdr>
        <w:spacing w:line="480" w:lineRule="exact"/>
        <w:ind w:firstLine="420" w:firstLineChars="200"/>
        <w:jc w:val="left"/>
        <w:rPr>
          <w:rFonts w:ascii="宋体" w:hAnsi="宋体" w:cs="宋体"/>
          <w:color w:val="auto"/>
          <w:szCs w:val="21"/>
        </w:rPr>
      </w:pPr>
      <w:r>
        <w:rPr>
          <w:rFonts w:hint="eastAsia" w:ascii="宋体" w:hAnsi="宋体" w:cs="宋体"/>
          <w:szCs w:val="21"/>
          <w:u w:val="single"/>
        </w:rPr>
        <w:t>2024年普通国道危旧桥梁改造工程G241线</w:t>
      </w:r>
      <w:r>
        <w:rPr>
          <w:rFonts w:hint="eastAsia" w:ascii="宋体" w:hAnsi="宋体" w:cs="宋体"/>
          <w:color w:val="auto"/>
          <w:szCs w:val="21"/>
          <w:u w:val="single"/>
        </w:rPr>
        <w:t>K2814+890石山寨桥</w:t>
      </w:r>
      <w:r>
        <w:rPr>
          <w:rFonts w:hint="eastAsia" w:ascii="宋体" w:hAnsi="宋体" w:cs="宋体"/>
          <w:color w:val="auto"/>
          <w:szCs w:val="21"/>
        </w:rPr>
        <w:t>采购项目的潜在供应商应登录广西政府采购云平台（网址：https://www.gcy.zfcg.gxzf.gov.cn/）获取采购文件，并于2024年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 09:30（北京时间）前提交响应文件。</w:t>
      </w:r>
    </w:p>
    <w:p w14:paraId="11C70ECF">
      <w:pPr>
        <w:rPr>
          <w:rFonts w:ascii="宋体" w:hAnsi="宋体" w:cs="宋体"/>
          <w:szCs w:val="21"/>
        </w:rPr>
      </w:pPr>
    </w:p>
    <w:p w14:paraId="5C4B7736">
      <w:pPr>
        <w:spacing w:line="340" w:lineRule="exact"/>
        <w:rPr>
          <w:rFonts w:ascii="宋体" w:hAnsi="宋体" w:cs="宋体"/>
          <w:b/>
          <w:bCs/>
          <w:szCs w:val="21"/>
        </w:rPr>
      </w:pPr>
      <w:bookmarkStart w:id="6" w:name="_Toc28359079"/>
      <w:bookmarkStart w:id="7" w:name="_Toc35393790"/>
      <w:bookmarkStart w:id="8" w:name="_Toc35393621"/>
      <w:bookmarkStart w:id="9" w:name="_Toc28359002"/>
      <w:r>
        <w:rPr>
          <w:rFonts w:hint="eastAsia" w:ascii="宋体" w:hAnsi="宋体" w:cs="宋体"/>
          <w:b/>
          <w:bCs/>
          <w:szCs w:val="21"/>
        </w:rPr>
        <w:t>一、项目基本情况</w:t>
      </w:r>
      <w:bookmarkEnd w:id="6"/>
      <w:bookmarkEnd w:id="7"/>
      <w:bookmarkEnd w:id="8"/>
      <w:bookmarkEnd w:id="9"/>
      <w:r>
        <w:rPr>
          <w:rFonts w:hint="eastAsia" w:ascii="宋体" w:hAnsi="宋体" w:cs="宋体"/>
          <w:b/>
          <w:bCs/>
          <w:szCs w:val="21"/>
        </w:rPr>
        <w:t>：</w:t>
      </w:r>
    </w:p>
    <w:p w14:paraId="3BF91830">
      <w:pPr>
        <w:spacing w:line="340" w:lineRule="exact"/>
        <w:ind w:firstLine="420" w:firstLineChars="200"/>
        <w:rPr>
          <w:rFonts w:ascii="宋体" w:hAnsi="宋体" w:cs="宋体"/>
          <w:color w:val="auto"/>
          <w:szCs w:val="21"/>
        </w:rPr>
      </w:pPr>
      <w:r>
        <w:rPr>
          <w:rFonts w:hint="eastAsia" w:ascii="宋体" w:hAnsi="宋体" w:cs="宋体"/>
          <w:szCs w:val="21"/>
        </w:rPr>
        <w:t>1.项目编号：</w:t>
      </w:r>
      <w:r>
        <w:rPr>
          <w:rFonts w:hint="eastAsia" w:ascii="宋体" w:hAnsi="宋体" w:cs="宋体"/>
          <w:color w:val="auto"/>
          <w:szCs w:val="21"/>
        </w:rPr>
        <w:t>GXZC2024-C2-004648-GXCH</w:t>
      </w:r>
    </w:p>
    <w:p w14:paraId="5D5511BF">
      <w:pPr>
        <w:spacing w:line="340" w:lineRule="exact"/>
        <w:ind w:firstLine="420" w:firstLineChars="200"/>
        <w:rPr>
          <w:rFonts w:ascii="宋体" w:hAnsi="宋体" w:cs="宋体"/>
          <w:color w:val="auto"/>
          <w:szCs w:val="21"/>
        </w:rPr>
      </w:pPr>
      <w:r>
        <w:rPr>
          <w:rFonts w:hint="eastAsia" w:ascii="宋体" w:hAnsi="宋体" w:cs="宋体"/>
          <w:color w:val="auto"/>
          <w:szCs w:val="21"/>
        </w:rPr>
        <w:t>2.项目名称：2024年普通国道危旧桥梁改造工程G241线K2814+890石山寨桥</w:t>
      </w:r>
    </w:p>
    <w:p w14:paraId="7870F9E8">
      <w:pPr>
        <w:spacing w:line="340" w:lineRule="exact"/>
        <w:ind w:firstLine="420" w:firstLineChars="200"/>
        <w:rPr>
          <w:rFonts w:ascii="宋体" w:hAnsi="宋体" w:cs="宋体"/>
          <w:color w:val="auto"/>
          <w:szCs w:val="21"/>
        </w:rPr>
      </w:pPr>
      <w:r>
        <w:rPr>
          <w:rFonts w:hint="eastAsia" w:ascii="宋体" w:hAnsi="宋体" w:cs="宋体"/>
          <w:color w:val="auto"/>
          <w:szCs w:val="21"/>
        </w:rPr>
        <w:t xml:space="preserve">3.采购方式：竞争性磋商 </w:t>
      </w:r>
    </w:p>
    <w:p w14:paraId="4375087D">
      <w:pPr>
        <w:spacing w:line="340" w:lineRule="exact"/>
        <w:ind w:left="438"/>
        <w:rPr>
          <w:rFonts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eastAsia="zh-CN"/>
        </w:rPr>
        <w:t>采购</w:t>
      </w:r>
      <w:r>
        <w:rPr>
          <w:rFonts w:hint="eastAsia" w:ascii="宋体" w:hAnsi="宋体" w:cs="宋体"/>
          <w:color w:val="auto"/>
          <w:szCs w:val="21"/>
        </w:rPr>
        <w:t>预算金额（元）：</w:t>
      </w:r>
      <w:r>
        <w:rPr>
          <w:rFonts w:hint="eastAsia" w:ascii="宋体" w:hAnsi="宋体" w:cs="宋体"/>
          <w:color w:val="auto"/>
          <w:szCs w:val="21"/>
          <w:lang w:val="en-US" w:eastAsia="zh-CN"/>
        </w:rPr>
        <w:t>1193000</w:t>
      </w:r>
      <w:r>
        <w:rPr>
          <w:rFonts w:hint="eastAsia" w:ascii="宋体" w:hAnsi="宋体" w:cs="宋体"/>
          <w:color w:val="auto"/>
          <w:szCs w:val="21"/>
        </w:rPr>
        <w:t>.00元</w:t>
      </w:r>
    </w:p>
    <w:p w14:paraId="6F7186AE">
      <w:pPr>
        <w:spacing w:line="340" w:lineRule="exact"/>
        <w:ind w:firstLine="420" w:firstLineChars="200"/>
        <w:rPr>
          <w:rFonts w:ascii="宋体" w:hAnsi="宋体" w:cs="宋体"/>
          <w:color w:val="auto"/>
          <w:szCs w:val="21"/>
        </w:rPr>
      </w:pPr>
      <w:r>
        <w:rPr>
          <w:rFonts w:hint="eastAsia" w:ascii="宋体" w:hAnsi="宋体" w:cs="宋体"/>
          <w:color w:val="auto"/>
          <w:szCs w:val="21"/>
        </w:rPr>
        <w:t>5.采购需求：</w:t>
      </w:r>
    </w:p>
    <w:p w14:paraId="2E08B876">
      <w:pPr>
        <w:spacing w:line="340" w:lineRule="exact"/>
        <w:ind w:left="438"/>
        <w:rPr>
          <w:rFonts w:ascii="宋体" w:hAnsi="宋体" w:cs="宋体"/>
          <w:color w:val="auto"/>
          <w:szCs w:val="21"/>
        </w:rPr>
      </w:pPr>
      <w:r>
        <w:rPr>
          <w:rFonts w:hint="eastAsia" w:ascii="宋体" w:hAnsi="宋体" w:cs="宋体"/>
          <w:color w:val="auto"/>
          <w:szCs w:val="21"/>
        </w:rPr>
        <w:t>标项名称：2024年普通国道危旧桥梁改造工程G241线K2814+890石山寨桥</w:t>
      </w:r>
    </w:p>
    <w:p w14:paraId="406ACB65">
      <w:pPr>
        <w:spacing w:line="340" w:lineRule="exact"/>
        <w:ind w:left="438"/>
        <w:rPr>
          <w:rFonts w:ascii="宋体" w:hAnsi="宋体" w:cs="宋体"/>
          <w:color w:val="auto"/>
          <w:szCs w:val="21"/>
        </w:rPr>
      </w:pPr>
      <w:r>
        <w:rPr>
          <w:rFonts w:hint="eastAsia" w:ascii="宋体" w:hAnsi="宋体" w:cs="宋体"/>
          <w:color w:val="auto"/>
          <w:szCs w:val="21"/>
        </w:rPr>
        <w:t>数量：1项</w:t>
      </w:r>
    </w:p>
    <w:p w14:paraId="073001C4">
      <w:pPr>
        <w:spacing w:line="340" w:lineRule="exact"/>
        <w:ind w:left="438"/>
        <w:rPr>
          <w:rFonts w:ascii="宋体" w:hAnsi="宋体" w:cs="宋体"/>
          <w:color w:val="auto"/>
          <w:szCs w:val="21"/>
        </w:rPr>
      </w:pPr>
      <w:r>
        <w:rPr>
          <w:rFonts w:hint="eastAsia" w:ascii="宋体" w:hAnsi="宋体" w:cs="宋体"/>
          <w:color w:val="auto"/>
          <w:szCs w:val="21"/>
        </w:rPr>
        <w:t>预算金额（元）：</w:t>
      </w:r>
      <w:r>
        <w:rPr>
          <w:rFonts w:hint="eastAsia" w:ascii="宋体" w:hAnsi="宋体" w:cs="宋体"/>
          <w:color w:val="auto"/>
          <w:szCs w:val="21"/>
          <w:lang w:val="en-US" w:eastAsia="zh-CN"/>
        </w:rPr>
        <w:t>1193000</w:t>
      </w:r>
      <w:r>
        <w:rPr>
          <w:rFonts w:hint="eastAsia" w:ascii="宋体" w:hAnsi="宋体" w:cs="宋体"/>
          <w:color w:val="auto"/>
          <w:szCs w:val="21"/>
        </w:rPr>
        <w:t>.00元</w:t>
      </w:r>
      <w:r>
        <w:rPr>
          <w:rFonts w:hint="eastAsia"/>
          <w:color w:val="auto"/>
          <w:highlight w:val="none"/>
          <w:lang w:eastAsia="zh-CN"/>
        </w:rPr>
        <w:t>，</w:t>
      </w:r>
      <w:r>
        <w:rPr>
          <w:rFonts w:hint="eastAsia"/>
          <w:color w:val="auto"/>
          <w:highlight w:val="none"/>
        </w:rPr>
        <w:t>本项目资金分期拨付，今年拨付资金51.5925万元。</w:t>
      </w:r>
    </w:p>
    <w:p w14:paraId="4B9E099B">
      <w:pPr>
        <w:spacing w:line="340" w:lineRule="exact"/>
        <w:ind w:firstLine="420" w:firstLineChars="200"/>
        <w:rPr>
          <w:rFonts w:ascii="宋体" w:hAnsi="宋体" w:cs="宋体"/>
          <w:color w:val="auto"/>
          <w:szCs w:val="21"/>
        </w:rPr>
      </w:pPr>
      <w:r>
        <w:rPr>
          <w:rFonts w:hint="eastAsia" w:ascii="宋体" w:hAnsi="宋体" w:cs="宋体"/>
          <w:color w:val="auto"/>
          <w:szCs w:val="21"/>
        </w:rPr>
        <w:t>简要规格描述或项目基本概况介绍、用途：（1）项目地点：桂林市灌阳县；（2）工程内容为：具体内容详见工程量清单及施工</w:t>
      </w:r>
      <w:r>
        <w:rPr>
          <w:rFonts w:hint="eastAsia" w:ascii="宋体" w:hAnsi="宋体" w:cs="宋体"/>
          <w:color w:val="auto"/>
          <w:szCs w:val="21"/>
          <w:highlight w:val="none"/>
        </w:rPr>
        <w:t>图纸；（3）要求工期：</w:t>
      </w:r>
      <w:r>
        <w:rPr>
          <w:rFonts w:hint="eastAsia" w:ascii="宋体" w:hAnsi="宋体" w:cs="宋体"/>
          <w:color w:val="auto"/>
          <w:szCs w:val="21"/>
          <w:highlight w:val="none"/>
          <w:lang w:val="en-US" w:eastAsia="zh-CN"/>
        </w:rPr>
        <w:t>150</w:t>
      </w:r>
      <w:r>
        <w:rPr>
          <w:rFonts w:hint="eastAsia" w:ascii="宋体" w:hAnsi="宋体" w:cs="宋体"/>
          <w:color w:val="auto"/>
          <w:szCs w:val="21"/>
          <w:highlight w:val="none"/>
        </w:rPr>
        <w:t>日历天（</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个月）；（4）</w:t>
      </w:r>
      <w:r>
        <w:rPr>
          <w:rFonts w:hint="eastAsia" w:ascii="宋体" w:hAnsi="宋体" w:cs="宋体"/>
          <w:color w:val="auto"/>
          <w:szCs w:val="21"/>
        </w:rPr>
        <w:t xml:space="preserve">质量要求：交工验收质量合格，竣工验收质量优良。；如需进一步了解详细内容，详见竞争性磋商文件。  </w:t>
      </w:r>
    </w:p>
    <w:p w14:paraId="6B84F393">
      <w:pPr>
        <w:spacing w:line="340" w:lineRule="exact"/>
        <w:ind w:left="438"/>
        <w:rPr>
          <w:rFonts w:ascii="宋体" w:hAnsi="宋体" w:cs="宋体"/>
          <w:color w:val="auto"/>
          <w:szCs w:val="21"/>
        </w:rPr>
      </w:pPr>
      <w:r>
        <w:rPr>
          <w:rFonts w:hint="eastAsia" w:ascii="宋体" w:hAnsi="宋体" w:cs="宋体"/>
          <w:color w:val="auto"/>
          <w:szCs w:val="21"/>
        </w:rPr>
        <w:t>最高限价（如有）：1193000.00元</w:t>
      </w:r>
    </w:p>
    <w:p w14:paraId="59F9ECAA">
      <w:pPr>
        <w:spacing w:line="340" w:lineRule="exact"/>
        <w:ind w:left="438"/>
        <w:rPr>
          <w:rFonts w:ascii="宋体" w:hAnsi="宋体" w:cs="宋体"/>
          <w:color w:val="auto"/>
          <w:szCs w:val="21"/>
        </w:rPr>
      </w:pPr>
      <w:r>
        <w:rPr>
          <w:rFonts w:hint="eastAsia" w:ascii="宋体" w:hAnsi="宋体" w:cs="宋体"/>
          <w:color w:val="auto"/>
          <w:szCs w:val="21"/>
        </w:rPr>
        <w:t>合同履约期限：</w:t>
      </w:r>
      <w:r>
        <w:rPr>
          <w:rFonts w:hint="eastAsia" w:ascii="宋体" w:hAnsi="宋体" w:cs="宋体"/>
          <w:color w:val="auto"/>
          <w:szCs w:val="21"/>
          <w:highlight w:val="none"/>
          <w:lang w:val="en-US" w:eastAsia="zh-CN"/>
        </w:rPr>
        <w:t>150</w:t>
      </w:r>
      <w:r>
        <w:rPr>
          <w:rFonts w:hint="eastAsia" w:ascii="宋体" w:hAnsi="宋体" w:cs="宋体"/>
          <w:color w:val="auto"/>
          <w:szCs w:val="21"/>
          <w:highlight w:val="none"/>
        </w:rPr>
        <w:t>日历天（</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个月）</w:t>
      </w:r>
      <w:r>
        <w:rPr>
          <w:rFonts w:hint="eastAsia" w:ascii="宋体" w:hAnsi="宋体" w:cs="宋体"/>
          <w:color w:val="auto"/>
          <w:szCs w:val="21"/>
        </w:rPr>
        <w:t xml:space="preserve">  </w:t>
      </w:r>
    </w:p>
    <w:p w14:paraId="4CC3511C">
      <w:pPr>
        <w:spacing w:line="340" w:lineRule="exact"/>
        <w:ind w:left="438"/>
        <w:rPr>
          <w:rFonts w:ascii="宋体" w:hAnsi="宋体" w:cs="宋体"/>
          <w:color w:val="auto"/>
          <w:szCs w:val="21"/>
        </w:rPr>
      </w:pPr>
      <w:r>
        <w:rPr>
          <w:rFonts w:hint="eastAsia" w:ascii="宋体" w:hAnsi="宋体" w:cs="宋体"/>
          <w:color w:val="auto"/>
          <w:szCs w:val="21"/>
        </w:rPr>
        <w:t>本标项（</w:t>
      </w:r>
      <w:r>
        <w:rPr>
          <w:rFonts w:hint="eastAsia" w:ascii="宋体" w:hAnsi="宋体" w:cs="宋体"/>
          <w:color w:val="auto"/>
          <w:szCs w:val="21"/>
          <w:lang w:eastAsia="zh-CN"/>
        </w:rPr>
        <w:t>不</w:t>
      </w:r>
      <w:r>
        <w:rPr>
          <w:rFonts w:hint="eastAsia" w:ascii="宋体" w:hAnsi="宋体" w:cs="宋体"/>
          <w:color w:val="auto"/>
          <w:szCs w:val="21"/>
        </w:rPr>
        <w:t>）接受联合体投标</w:t>
      </w:r>
    </w:p>
    <w:p w14:paraId="78E598B0">
      <w:pPr>
        <w:spacing w:line="340" w:lineRule="exact"/>
        <w:ind w:firstLine="420" w:firstLineChars="200"/>
        <w:rPr>
          <w:rFonts w:ascii="宋体" w:hAnsi="宋体" w:cs="宋体"/>
          <w:szCs w:val="21"/>
        </w:rPr>
      </w:pPr>
      <w:r>
        <w:rPr>
          <w:rFonts w:hint="eastAsia" w:ascii="宋体" w:hAnsi="宋体" w:cs="宋体"/>
          <w:szCs w:val="21"/>
        </w:rPr>
        <w:t>备注：/。</w:t>
      </w:r>
    </w:p>
    <w:p w14:paraId="6A5830A7">
      <w:pPr>
        <w:spacing w:line="340" w:lineRule="exact"/>
        <w:rPr>
          <w:rFonts w:ascii="宋体" w:hAnsi="宋体" w:cs="宋体"/>
          <w:b/>
          <w:bCs/>
          <w:szCs w:val="21"/>
        </w:rPr>
      </w:pPr>
      <w:bookmarkStart w:id="10" w:name="_Toc35393799"/>
      <w:bookmarkStart w:id="11" w:name="_Toc28359013"/>
      <w:bookmarkStart w:id="12" w:name="_Toc35393630"/>
      <w:bookmarkStart w:id="13" w:name="_Toc28359090"/>
      <w:r>
        <w:rPr>
          <w:rFonts w:hint="eastAsia" w:ascii="宋体" w:hAnsi="宋体" w:cs="宋体"/>
          <w:b/>
          <w:bCs/>
          <w:szCs w:val="21"/>
        </w:rPr>
        <w:t>二、申请人的资格要求：</w:t>
      </w:r>
      <w:bookmarkEnd w:id="10"/>
      <w:bookmarkEnd w:id="11"/>
      <w:bookmarkEnd w:id="12"/>
      <w:bookmarkEnd w:id="13"/>
    </w:p>
    <w:p w14:paraId="6F650645">
      <w:pPr>
        <w:spacing w:line="340" w:lineRule="exact"/>
        <w:ind w:firstLine="420" w:firstLineChars="200"/>
        <w:rPr>
          <w:rFonts w:ascii="宋体" w:hAnsi="宋体" w:cs="宋体"/>
          <w:szCs w:val="21"/>
        </w:rPr>
      </w:pPr>
      <w:r>
        <w:rPr>
          <w:rFonts w:hint="eastAsia" w:ascii="宋体" w:hAnsi="宋体" w:cs="宋体"/>
          <w:szCs w:val="21"/>
        </w:rPr>
        <w:t>1.满足《中华人民共和国政府采购法》第二十二条规定。</w:t>
      </w:r>
    </w:p>
    <w:p w14:paraId="69D62761">
      <w:pPr>
        <w:spacing w:line="340" w:lineRule="exact"/>
        <w:ind w:firstLine="420"/>
        <w:rPr>
          <w:rFonts w:ascii="宋体" w:hAnsi="宋体" w:cs="宋体"/>
          <w:szCs w:val="21"/>
        </w:rPr>
      </w:pPr>
      <w:r>
        <w:rPr>
          <w:rFonts w:hint="eastAsia" w:ascii="宋体" w:hAnsi="宋体" w:cs="宋体"/>
          <w:szCs w:val="21"/>
        </w:rPr>
        <w:t>2.落实政府采购政策需满足的资格要求：按照《广西壮族自治区财政厅关于进一步发挥政府采购政策功能促进企业发展的通知》（桂财采〔2022〕30 号）和财政部、工业和信息</w:t>
      </w:r>
      <w:r>
        <w:rPr>
          <w:rFonts w:hint="eastAsia" w:ascii="宋体" w:hAnsi="宋体" w:cs="宋体"/>
          <w:color w:val="auto"/>
          <w:szCs w:val="21"/>
        </w:rPr>
        <w:t>化部印发《政府采购促进中小企业发展管理办法》（财库〔2020〕46 号）的有关规定，</w:t>
      </w:r>
      <w:r>
        <w:rPr>
          <w:rFonts w:hint="eastAsia" w:ascii="宋体" w:hAnsi="宋体" w:cs="宋体"/>
          <w:b/>
          <w:bCs/>
          <w:color w:val="auto"/>
          <w:szCs w:val="21"/>
        </w:rPr>
        <w:t>本项目专门面向</w:t>
      </w:r>
      <w:r>
        <w:rPr>
          <w:rFonts w:hint="eastAsia" w:ascii="宋体" w:hAnsi="宋体" w:cs="宋体"/>
          <w:b/>
          <w:bCs/>
          <w:color w:val="auto"/>
          <w:szCs w:val="21"/>
          <w:lang w:val="en-US" w:eastAsia="zh-CN"/>
        </w:rPr>
        <w:t>小微</w:t>
      </w:r>
      <w:r>
        <w:rPr>
          <w:rFonts w:hint="eastAsia" w:ascii="宋体" w:hAnsi="宋体" w:cs="宋体"/>
          <w:b/>
          <w:bCs/>
          <w:color w:val="auto"/>
          <w:szCs w:val="21"/>
        </w:rPr>
        <w:t>企业采购</w:t>
      </w:r>
      <w:r>
        <w:rPr>
          <w:rFonts w:hint="eastAsia" w:ascii="宋体" w:hAnsi="宋体" w:cs="宋体"/>
          <w:color w:val="auto"/>
          <w:szCs w:val="21"/>
        </w:rPr>
        <w:t>,供应商须满足《政府采购促进中小企业发展管理办法》(财库〔2020〕46号)第二条规定。中小微企业以国家统计局关于印发《统计上大中小微型企业划分办法（2017)》的通知附表为划</w:t>
      </w:r>
      <w:r>
        <w:rPr>
          <w:rFonts w:hint="eastAsia" w:ascii="宋体" w:hAnsi="宋体" w:cs="宋体"/>
          <w:szCs w:val="21"/>
        </w:rPr>
        <w:t>分标准。</w:t>
      </w:r>
    </w:p>
    <w:p w14:paraId="5F865D6C">
      <w:pPr>
        <w:spacing w:line="340" w:lineRule="exact"/>
        <w:ind w:firstLine="420" w:firstLineChars="0"/>
        <w:jc w:val="left"/>
        <w:rPr>
          <w:rFonts w:hint="eastAsia" w:ascii="宋体" w:hAnsi="宋体" w:cs="宋体"/>
          <w:szCs w:val="21"/>
        </w:rPr>
      </w:pPr>
      <w:r>
        <w:rPr>
          <w:rFonts w:hint="eastAsia" w:ascii="宋体" w:hAnsi="宋体" w:cs="宋体"/>
          <w:szCs w:val="21"/>
        </w:rPr>
        <w:t>3.本项目的特定资格要求：</w:t>
      </w:r>
    </w:p>
    <w:p w14:paraId="62EB7B49">
      <w:pPr>
        <w:adjustRightInd/>
        <w:snapToGrid/>
        <w:spacing w:line="3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本次招标要求</w:t>
      </w:r>
      <w:r>
        <w:rPr>
          <w:rFonts w:hint="eastAsia" w:ascii="宋体" w:hAnsi="宋体" w:cs="宋体"/>
          <w:sz w:val="21"/>
          <w:szCs w:val="21"/>
          <w:lang w:eastAsia="zh-CN"/>
        </w:rPr>
        <w:t>供应商</w:t>
      </w:r>
      <w:r>
        <w:rPr>
          <w:rFonts w:hint="eastAsia" w:ascii="宋体" w:hAnsi="宋体" w:eastAsia="宋体" w:cs="宋体"/>
          <w:sz w:val="21"/>
          <w:szCs w:val="21"/>
        </w:rPr>
        <w:t>必须是在国家工商行政部门注册，具有有效的营业执照、有效的安全生产许可证及有效的公路养护作业单位资质桥梁养护乙级（含）以上资质，并在人员、设备、资金等方面具有相应的施工能力。</w:t>
      </w:r>
    </w:p>
    <w:p w14:paraId="6DDFEFB5">
      <w:pPr>
        <w:spacing w:line="340" w:lineRule="exact"/>
        <w:ind w:firstLine="42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注：（1）</w:t>
      </w:r>
      <w:r>
        <w:rPr>
          <w:rFonts w:hint="eastAsia" w:ascii="宋体" w:hAnsi="宋体" w:eastAsia="宋体" w:cs="宋体"/>
          <w:kern w:val="2"/>
          <w:sz w:val="21"/>
          <w:szCs w:val="21"/>
        </w:rPr>
        <w:t>公路养护作业单位资质</w:t>
      </w:r>
      <w:r>
        <w:rPr>
          <w:rFonts w:hint="eastAsia" w:ascii="宋体" w:hAnsi="宋体" w:eastAsia="宋体" w:cs="宋体"/>
          <w:b w:val="0"/>
          <w:bCs w:val="0"/>
          <w:kern w:val="2"/>
          <w:sz w:val="21"/>
          <w:szCs w:val="21"/>
        </w:rPr>
        <w:t>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5E2B77D6">
      <w:pPr>
        <w:numPr>
          <w:ilvl w:val="0"/>
          <w:numId w:val="1"/>
        </w:numPr>
        <w:spacing w:line="340" w:lineRule="exact"/>
        <w:ind w:left="525" w:firstLine="0"/>
        <w:rPr>
          <w:rFonts w:hint="eastAsia" w:ascii="宋体" w:hAnsi="宋体" w:eastAsia="宋体" w:cs="宋体"/>
          <w:b w:val="0"/>
          <w:bCs w:val="0"/>
          <w:kern w:val="2"/>
          <w:sz w:val="21"/>
          <w:szCs w:val="21"/>
          <w:shd w:val="clear"/>
        </w:rPr>
      </w:pPr>
      <w:r>
        <w:rPr>
          <w:rFonts w:hint="eastAsia" w:ascii="宋体" w:hAnsi="宋体" w:eastAsia="宋体" w:cs="宋体"/>
          <w:b w:val="0"/>
          <w:bCs w:val="0"/>
          <w:kern w:val="2"/>
          <w:sz w:val="21"/>
          <w:szCs w:val="21"/>
          <w:shd w:val="clear"/>
        </w:rPr>
        <w:t>投标人应进入交通运输部“全国公路建设市场信用信息管理系（http://glxy.mot.gov.cn）”中的公路工程施工资质企业名录，且</w:t>
      </w:r>
      <w:r>
        <w:rPr>
          <w:rFonts w:hint="eastAsia" w:ascii="宋体" w:hAnsi="宋体" w:cs="宋体"/>
          <w:b w:val="0"/>
          <w:bCs w:val="0"/>
          <w:kern w:val="2"/>
          <w:sz w:val="21"/>
          <w:szCs w:val="21"/>
          <w:shd w:val="clear"/>
          <w:lang w:eastAsia="zh-CN"/>
        </w:rPr>
        <w:t>供应商</w:t>
      </w:r>
      <w:r>
        <w:rPr>
          <w:rFonts w:hint="eastAsia" w:ascii="宋体" w:hAnsi="宋体" w:eastAsia="宋体" w:cs="宋体"/>
          <w:b w:val="0"/>
          <w:bCs w:val="0"/>
          <w:kern w:val="2"/>
          <w:sz w:val="21"/>
          <w:szCs w:val="21"/>
          <w:shd w:val="clear"/>
        </w:rPr>
        <w:t>名称和资质与该名录中的相应企业名称和资质完全一致。</w:t>
      </w:r>
    </w:p>
    <w:p w14:paraId="375CC85D">
      <w:pPr>
        <w:numPr>
          <w:ilvl w:val="-1"/>
          <w:numId w:val="0"/>
        </w:numPr>
        <w:spacing w:line="340" w:lineRule="exact"/>
        <w:ind w:left="525" w:firstLine="0"/>
        <w:rPr>
          <w:rFonts w:hint="default" w:ascii="宋体" w:hAnsi="宋体" w:eastAsia="宋体" w:cs="宋体"/>
          <w:b w:val="0"/>
          <w:bCs w:val="0"/>
          <w:kern w:val="2"/>
          <w:sz w:val="21"/>
          <w:szCs w:val="21"/>
          <w:shd w:val="clear"/>
          <w:lang w:val="en-US" w:eastAsia="zh-CN"/>
        </w:rPr>
      </w:pPr>
      <w:r>
        <w:rPr>
          <w:rFonts w:hint="eastAsia" w:ascii="宋体" w:hAnsi="宋体" w:cs="宋体"/>
          <w:b w:val="0"/>
          <w:bCs w:val="0"/>
          <w:kern w:val="2"/>
          <w:sz w:val="21"/>
          <w:szCs w:val="21"/>
          <w:shd w:val="clear"/>
          <w:lang w:val="en-US" w:eastAsia="zh-CN"/>
        </w:rPr>
        <w:t>4.</w:t>
      </w:r>
      <w:r>
        <w:rPr>
          <w:rFonts w:hint="eastAsia" w:ascii="宋体" w:hAnsi="宋体" w:cs="宋体"/>
          <w:szCs w:val="21"/>
        </w:rPr>
        <w:t>对在“信用中国”网站(www.creditchina.gov.cn)、中国政府采购网(www.ccgp.gov.cn)等渠道列入失信被执行人、重大税收违法案件当事人名单、严重违法失信行为记录名单及其他不符合《中华人民共和国政府采购法》第二十二条规定条件的供应商，不得参与采购活动。</w:t>
      </w:r>
    </w:p>
    <w:p w14:paraId="24545ED0">
      <w:pPr>
        <w:spacing w:line="340" w:lineRule="exact"/>
        <w:rPr>
          <w:rFonts w:ascii="宋体" w:hAnsi="宋体" w:cs="宋体"/>
          <w:color w:val="auto"/>
          <w:szCs w:val="21"/>
          <w:shd w:val="clear" w:color="auto" w:fill="FFFFFF"/>
        </w:rPr>
      </w:pPr>
      <w:r>
        <w:rPr>
          <w:rFonts w:hint="eastAsia" w:ascii="宋体" w:hAnsi="宋体" w:cs="宋体"/>
          <w:b/>
          <w:bCs/>
          <w:szCs w:val="21"/>
        </w:rPr>
        <w:t>三、获取采购文</w:t>
      </w:r>
      <w:r>
        <w:rPr>
          <w:rFonts w:hint="eastAsia" w:ascii="宋体" w:hAnsi="宋体" w:cs="宋体"/>
          <w:b/>
          <w:bCs/>
          <w:color w:val="auto"/>
          <w:szCs w:val="21"/>
        </w:rPr>
        <w:t>件</w:t>
      </w:r>
    </w:p>
    <w:p w14:paraId="23F20905">
      <w:pPr>
        <w:spacing w:line="340" w:lineRule="exact"/>
        <w:ind w:firstLine="420" w:firstLineChars="200"/>
        <w:rPr>
          <w:rFonts w:ascii="宋体" w:hAnsi="宋体" w:cs="宋体"/>
          <w:color w:val="auto"/>
          <w:szCs w:val="21"/>
        </w:rPr>
      </w:pPr>
      <w:bookmarkStart w:id="14" w:name="_Toc28359082"/>
      <w:bookmarkStart w:id="15" w:name="_Toc28359005"/>
      <w:bookmarkStart w:id="16" w:name="_Toc35393624"/>
      <w:bookmarkStart w:id="17" w:name="_Toc35393793"/>
      <w:r>
        <w:rPr>
          <w:rFonts w:hint="eastAsia" w:ascii="宋体" w:hAnsi="宋体" w:cs="宋体"/>
          <w:color w:val="auto"/>
          <w:szCs w:val="21"/>
        </w:rPr>
        <w:t>时间：2024年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日至2024年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日；每天上午00:00至11:59，下午12:00至23:59（北京时间，法定节假日除外）</w:t>
      </w:r>
    </w:p>
    <w:p w14:paraId="4E4C95A4">
      <w:pPr>
        <w:spacing w:line="340" w:lineRule="exact"/>
        <w:ind w:firstLine="420" w:firstLineChars="200"/>
        <w:rPr>
          <w:rFonts w:ascii="宋体" w:hAnsi="宋体" w:cs="宋体"/>
          <w:color w:val="auto"/>
          <w:szCs w:val="21"/>
        </w:rPr>
      </w:pPr>
      <w:r>
        <w:rPr>
          <w:rFonts w:hint="eastAsia" w:ascii="宋体" w:hAnsi="宋体" w:cs="宋体"/>
          <w:color w:val="auto"/>
          <w:szCs w:val="21"/>
        </w:rPr>
        <w:t xml:space="preserve">地点：广西政府采购云平台（网址：https://www.gcy.zfcg.gxzf.gov.cn）。 </w:t>
      </w:r>
    </w:p>
    <w:p w14:paraId="4DDD751D">
      <w:pPr>
        <w:spacing w:line="340" w:lineRule="exact"/>
        <w:ind w:firstLine="420" w:firstLineChars="200"/>
        <w:rPr>
          <w:rFonts w:ascii="宋体" w:hAnsi="宋体" w:cs="宋体"/>
          <w:color w:val="auto"/>
          <w:szCs w:val="21"/>
        </w:rPr>
      </w:pPr>
      <w:r>
        <w:rPr>
          <w:rFonts w:hint="eastAsia" w:ascii="宋体" w:hAnsi="宋体" w:cs="宋体"/>
          <w:color w:val="auto"/>
          <w:szCs w:val="21"/>
        </w:rPr>
        <w:t>方式：潜在供应商登录广西政府采购云平台（https://www.gcy.zfcg.gxzf.gov.cn/）在线申请获取采购文件（进入“项目采购”应用，在获取采购文件菜单中选择项目，申请获取采购文件）。</w:t>
      </w:r>
    </w:p>
    <w:p w14:paraId="248C6C9F">
      <w:pPr>
        <w:spacing w:line="340" w:lineRule="exact"/>
        <w:ind w:firstLine="420" w:firstLineChars="200"/>
        <w:rPr>
          <w:rFonts w:ascii="宋体" w:hAnsi="宋体" w:cs="宋体"/>
          <w:color w:val="auto"/>
          <w:szCs w:val="21"/>
        </w:rPr>
      </w:pPr>
      <w:r>
        <w:rPr>
          <w:rFonts w:hint="eastAsia" w:ascii="宋体" w:hAnsi="宋体" w:cs="宋体"/>
          <w:color w:val="auto"/>
          <w:szCs w:val="21"/>
        </w:rPr>
        <w:t>售价（元）：0</w:t>
      </w:r>
    </w:p>
    <w:p w14:paraId="2821EB6E">
      <w:pPr>
        <w:spacing w:line="340" w:lineRule="exact"/>
        <w:rPr>
          <w:rFonts w:ascii="宋体" w:hAnsi="宋体" w:cs="宋体"/>
          <w:b/>
          <w:bCs/>
          <w:color w:val="auto"/>
          <w:szCs w:val="21"/>
        </w:rPr>
      </w:pPr>
      <w:r>
        <w:rPr>
          <w:rFonts w:hint="eastAsia" w:ascii="宋体" w:hAnsi="宋体" w:cs="宋体"/>
          <w:b/>
          <w:bCs/>
          <w:color w:val="auto"/>
          <w:szCs w:val="21"/>
        </w:rPr>
        <w:t>四、响应文件</w:t>
      </w:r>
      <w:bookmarkEnd w:id="14"/>
      <w:bookmarkEnd w:id="15"/>
      <w:r>
        <w:rPr>
          <w:rFonts w:hint="eastAsia" w:ascii="宋体" w:hAnsi="宋体" w:cs="宋体"/>
          <w:b/>
          <w:bCs/>
          <w:color w:val="auto"/>
          <w:szCs w:val="21"/>
        </w:rPr>
        <w:t>提交时间和地点</w:t>
      </w:r>
      <w:bookmarkEnd w:id="16"/>
      <w:bookmarkEnd w:id="17"/>
    </w:p>
    <w:p w14:paraId="7C172414">
      <w:pPr>
        <w:spacing w:line="340" w:lineRule="exact"/>
        <w:ind w:firstLine="420" w:firstLineChars="200"/>
        <w:rPr>
          <w:rFonts w:ascii="宋体" w:hAnsi="宋体" w:cs="宋体"/>
          <w:bCs/>
          <w:color w:val="auto"/>
          <w:szCs w:val="21"/>
        </w:rPr>
      </w:pPr>
      <w:r>
        <w:rPr>
          <w:rFonts w:hint="eastAsia" w:ascii="宋体" w:hAnsi="宋体" w:cs="宋体"/>
          <w:bCs/>
          <w:color w:val="auto"/>
          <w:szCs w:val="21"/>
        </w:rPr>
        <w:t>截止时间：</w:t>
      </w:r>
      <w:r>
        <w:rPr>
          <w:rFonts w:hint="eastAsia" w:ascii="宋体" w:hAnsi="宋体" w:cs="宋体"/>
          <w:color w:val="auto"/>
          <w:szCs w:val="21"/>
        </w:rPr>
        <w:t>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日9时30分</w:t>
      </w:r>
      <w:r>
        <w:rPr>
          <w:rFonts w:hint="eastAsia" w:ascii="宋体" w:hAnsi="宋体" w:cs="宋体"/>
          <w:bCs/>
          <w:color w:val="auto"/>
          <w:szCs w:val="21"/>
        </w:rPr>
        <w:t>（北京时间）。</w:t>
      </w:r>
    </w:p>
    <w:p w14:paraId="564F0902">
      <w:pPr>
        <w:spacing w:line="340" w:lineRule="exact"/>
        <w:ind w:firstLine="420" w:firstLineChars="200"/>
        <w:rPr>
          <w:rFonts w:ascii="宋体" w:hAnsi="宋体" w:cs="宋体"/>
          <w:color w:val="auto"/>
          <w:szCs w:val="21"/>
        </w:rPr>
      </w:pPr>
      <w:r>
        <w:rPr>
          <w:rFonts w:hint="eastAsia" w:ascii="宋体" w:hAnsi="宋体" w:cs="宋体"/>
          <w:color w:val="auto"/>
          <w:szCs w:val="21"/>
        </w:rPr>
        <w:t>地    点：通过广西政府采购云平台（网址：https://www.gcy.zfcg.gxzf.gov.cn/）实行在线响应。</w:t>
      </w:r>
    </w:p>
    <w:p w14:paraId="6F9D7962">
      <w:pPr>
        <w:spacing w:line="340" w:lineRule="exact"/>
        <w:rPr>
          <w:rFonts w:ascii="宋体" w:hAnsi="宋体" w:cs="宋体"/>
          <w:b/>
          <w:bCs/>
          <w:color w:val="auto"/>
          <w:szCs w:val="21"/>
        </w:rPr>
      </w:pPr>
      <w:r>
        <w:rPr>
          <w:rFonts w:hint="eastAsia" w:ascii="宋体" w:hAnsi="宋体" w:cs="宋体"/>
          <w:b/>
          <w:bCs/>
          <w:color w:val="auto"/>
          <w:szCs w:val="21"/>
        </w:rPr>
        <w:t>五、开启</w:t>
      </w:r>
    </w:p>
    <w:p w14:paraId="5BE03B27">
      <w:pPr>
        <w:spacing w:line="340" w:lineRule="exact"/>
        <w:ind w:firstLine="420" w:firstLineChars="200"/>
        <w:rPr>
          <w:rFonts w:ascii="宋体" w:hAnsi="宋体" w:cs="宋体"/>
          <w:color w:val="auto"/>
          <w:szCs w:val="21"/>
        </w:rPr>
      </w:pPr>
      <w:r>
        <w:rPr>
          <w:rFonts w:hint="eastAsia" w:ascii="宋体" w:hAnsi="宋体" w:cs="宋体"/>
          <w:color w:val="auto"/>
          <w:szCs w:val="21"/>
        </w:rPr>
        <w:t>时间：2024年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29</w:t>
      </w:r>
      <w:r>
        <w:rPr>
          <w:rFonts w:hint="eastAsia" w:ascii="宋体" w:hAnsi="宋体" w:cs="宋体"/>
          <w:color w:val="auto"/>
          <w:szCs w:val="21"/>
        </w:rPr>
        <w:t>日9时30分（北京时间）。</w:t>
      </w:r>
    </w:p>
    <w:p w14:paraId="3D5E0CFD">
      <w:pPr>
        <w:spacing w:line="340" w:lineRule="exact"/>
        <w:ind w:firstLine="420" w:firstLineChars="200"/>
        <w:rPr>
          <w:rFonts w:ascii="宋体" w:hAnsi="宋体" w:cs="宋体"/>
          <w:color w:val="auto"/>
          <w:szCs w:val="21"/>
        </w:rPr>
      </w:pPr>
      <w:r>
        <w:rPr>
          <w:rFonts w:hint="eastAsia" w:ascii="宋体" w:hAnsi="宋体" w:cs="宋体"/>
          <w:color w:val="auto"/>
          <w:szCs w:val="21"/>
        </w:rPr>
        <w:t>地点：通过广西政府采购云平台（网址：https://www.gcy.zfcg.gxzf.gov.cn/）实行在线解密开启。</w:t>
      </w:r>
    </w:p>
    <w:p w14:paraId="29758CCB">
      <w:pPr>
        <w:spacing w:line="340" w:lineRule="exact"/>
        <w:rPr>
          <w:rFonts w:ascii="宋体" w:hAnsi="宋体" w:cs="宋体"/>
          <w:b/>
          <w:bCs/>
          <w:color w:val="auto"/>
          <w:szCs w:val="21"/>
        </w:rPr>
      </w:pPr>
      <w:bookmarkStart w:id="18" w:name="_Toc28359084"/>
      <w:bookmarkStart w:id="19" w:name="_Toc28359007"/>
      <w:bookmarkStart w:id="20" w:name="_Toc35393794"/>
      <w:bookmarkStart w:id="21" w:name="_Toc35393625"/>
      <w:r>
        <w:rPr>
          <w:rFonts w:hint="eastAsia" w:ascii="宋体" w:hAnsi="宋体" w:cs="宋体"/>
          <w:b/>
          <w:bCs/>
          <w:color w:val="auto"/>
          <w:szCs w:val="21"/>
        </w:rPr>
        <w:t>六、公告期限</w:t>
      </w:r>
      <w:bookmarkEnd w:id="18"/>
      <w:bookmarkEnd w:id="19"/>
      <w:bookmarkEnd w:id="20"/>
      <w:bookmarkEnd w:id="21"/>
    </w:p>
    <w:p w14:paraId="4EE0AC64">
      <w:pPr>
        <w:spacing w:line="3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w:t>
      </w:r>
      <w:r>
        <w:rPr>
          <w:rFonts w:hint="eastAsia" w:ascii="宋体" w:hAnsi="宋体" w:cs="宋体"/>
          <w:color w:val="auto"/>
          <w:kern w:val="0"/>
          <w:szCs w:val="21"/>
          <w:lang w:val="en-US" w:eastAsia="zh-CN"/>
        </w:rPr>
        <w:t>5</w:t>
      </w:r>
      <w:r>
        <w:rPr>
          <w:rFonts w:hint="eastAsia" w:ascii="宋体" w:hAnsi="宋体" w:cs="宋体"/>
          <w:color w:val="auto"/>
          <w:kern w:val="0"/>
          <w:szCs w:val="21"/>
        </w:rPr>
        <w:t>个工作日。</w:t>
      </w:r>
    </w:p>
    <w:p w14:paraId="25C9910F">
      <w:pPr>
        <w:spacing w:line="340" w:lineRule="exact"/>
        <w:rPr>
          <w:rFonts w:ascii="宋体" w:hAnsi="宋体" w:cs="宋体"/>
          <w:b/>
          <w:bCs/>
          <w:szCs w:val="21"/>
        </w:rPr>
      </w:pPr>
      <w:bookmarkStart w:id="22" w:name="_Toc35393626"/>
      <w:bookmarkStart w:id="23" w:name="_Toc35393795"/>
      <w:r>
        <w:rPr>
          <w:rFonts w:hint="eastAsia" w:ascii="宋体" w:hAnsi="宋体" w:cs="宋体"/>
          <w:b/>
          <w:bCs/>
          <w:szCs w:val="21"/>
        </w:rPr>
        <w:t>七、其他补充事宜</w:t>
      </w:r>
      <w:bookmarkEnd w:id="22"/>
      <w:bookmarkEnd w:id="23"/>
    </w:p>
    <w:p w14:paraId="273AA759">
      <w:pPr>
        <w:spacing w:line="340" w:lineRule="exact"/>
        <w:ind w:firstLine="420" w:firstLineChars="200"/>
        <w:jc w:val="left"/>
        <w:rPr>
          <w:rFonts w:ascii="宋体" w:hAnsi="宋体" w:cs="宋体"/>
          <w:szCs w:val="21"/>
        </w:rPr>
      </w:pPr>
      <w:r>
        <w:rPr>
          <w:rFonts w:hint="eastAsia" w:ascii="宋体" w:hAnsi="宋体" w:cs="宋体"/>
          <w:szCs w:val="21"/>
        </w:rPr>
        <w:t>1..本项目信息发布媒体：</w:t>
      </w:r>
    </w:p>
    <w:p w14:paraId="23C509BB">
      <w:pPr>
        <w:spacing w:line="340" w:lineRule="exact"/>
        <w:ind w:firstLine="420" w:firstLineChars="200"/>
        <w:rPr>
          <w:rFonts w:ascii="宋体" w:hAnsi="宋体" w:cs="宋体"/>
          <w:szCs w:val="21"/>
        </w:rPr>
      </w:pPr>
      <w:r>
        <w:rPr>
          <w:rFonts w:hint="eastAsia" w:ascii="宋体" w:hAnsi="宋体" w:cs="宋体"/>
          <w:szCs w:val="21"/>
        </w:rPr>
        <w:t>中国政府采购网（http://www.ccgp.gov.cn）</w:t>
      </w:r>
    </w:p>
    <w:p w14:paraId="31EC4EA8">
      <w:pPr>
        <w:spacing w:line="340" w:lineRule="exact"/>
        <w:ind w:firstLine="420" w:firstLineChars="200"/>
        <w:rPr>
          <w:rFonts w:ascii="宋体" w:hAnsi="宋体" w:cs="宋体"/>
          <w:szCs w:val="21"/>
        </w:rPr>
      </w:pPr>
      <w:r>
        <w:rPr>
          <w:rFonts w:hint="eastAsia" w:ascii="宋体" w:hAnsi="宋体" w:cs="宋体"/>
          <w:szCs w:val="21"/>
        </w:rPr>
        <w:t>广西政府采购网（http://zfcg.gxzf.gov.cn）</w:t>
      </w:r>
    </w:p>
    <w:p w14:paraId="66C9C772">
      <w:pPr>
        <w:spacing w:line="340" w:lineRule="exact"/>
        <w:ind w:firstLine="420" w:firstLineChars="200"/>
        <w:rPr>
          <w:rFonts w:ascii="宋体" w:hAnsi="宋体" w:cs="宋体"/>
          <w:szCs w:val="21"/>
        </w:rPr>
      </w:pPr>
      <w:r>
        <w:rPr>
          <w:rFonts w:hint="eastAsia" w:ascii="宋体" w:hAnsi="宋体" w:cs="宋体"/>
          <w:szCs w:val="21"/>
        </w:rPr>
        <w:t>全国公共资源交易平台（广西.桂林）（http://ggzy.jgswj.gxzf.gov.cn/glggzy/）</w:t>
      </w:r>
    </w:p>
    <w:p w14:paraId="5BEAFA52">
      <w:pPr>
        <w:pStyle w:val="355"/>
        <w:autoSpaceDE/>
        <w:autoSpaceDN/>
        <w:spacing w:line="340" w:lineRule="exact"/>
        <w:ind w:firstLine="420" w:firstLineChars="200"/>
        <w:rPr>
          <w:rFonts w:ascii="宋体" w:hAnsi="宋体" w:cs="宋体"/>
          <w:color w:val="auto"/>
          <w:sz w:val="21"/>
          <w:szCs w:val="21"/>
        </w:rPr>
      </w:pPr>
      <w:r>
        <w:rPr>
          <w:rFonts w:hint="eastAsia" w:ascii="宋体" w:hAnsi="宋体" w:cs="宋体"/>
          <w:color w:val="auto"/>
          <w:sz w:val="21"/>
          <w:szCs w:val="21"/>
        </w:rPr>
        <w:t>2..磋商响应文件解密时间：截标时间后</w:t>
      </w:r>
      <w:r>
        <w:rPr>
          <w:rFonts w:hint="eastAsia" w:ascii="宋体" w:hAnsi="宋体" w:cs="宋体"/>
          <w:color w:val="auto"/>
          <w:sz w:val="21"/>
          <w:szCs w:val="21"/>
          <w:u w:val="single"/>
        </w:rPr>
        <w:t>30</w:t>
      </w:r>
      <w:r>
        <w:rPr>
          <w:rFonts w:hint="eastAsia" w:ascii="宋体" w:hAnsi="宋体" w:cs="宋体"/>
          <w:color w:val="auto"/>
          <w:sz w:val="21"/>
          <w:szCs w:val="21"/>
        </w:rPr>
        <w:t>分钟内（</w:t>
      </w:r>
      <w:r>
        <w:rPr>
          <w:rFonts w:hint="eastAsia" w:ascii="宋体" w:hAnsi="宋体" w:cs="宋体"/>
          <w:color w:val="auto"/>
          <w:sz w:val="21"/>
          <w:szCs w:val="21"/>
          <w:u w:val="single"/>
        </w:rPr>
        <w:t>2024年</w:t>
      </w:r>
      <w:r>
        <w:rPr>
          <w:rFonts w:hint="eastAsia" w:ascii="宋体" w:hAnsi="宋体" w:cs="宋体"/>
          <w:color w:val="auto"/>
          <w:sz w:val="21"/>
          <w:szCs w:val="21"/>
          <w:u w:val="single"/>
          <w:lang w:val="en-US" w:eastAsia="zh-CN"/>
        </w:rPr>
        <w:t>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29</w:t>
      </w:r>
      <w:r>
        <w:rPr>
          <w:rFonts w:hint="eastAsia" w:ascii="宋体" w:hAnsi="宋体" w:cs="宋体"/>
          <w:color w:val="auto"/>
          <w:sz w:val="21"/>
          <w:szCs w:val="21"/>
          <w:u w:val="single"/>
        </w:rPr>
        <w:t>日上午9时30分至10时00分</w:t>
      </w:r>
      <w:r>
        <w:rPr>
          <w:rFonts w:hint="eastAsia" w:ascii="宋体" w:hAnsi="宋体" w:cs="宋体"/>
          <w:color w:val="auto"/>
          <w:sz w:val="21"/>
          <w:szCs w:val="21"/>
        </w:rPr>
        <w:t>)磋商供应商可以登录广西政府采购云平台，用“项目采购-开标评标”功能进行解密电子磋商响应文件。</w:t>
      </w:r>
    </w:p>
    <w:p w14:paraId="0199FF7A">
      <w:pPr>
        <w:spacing w:line="340" w:lineRule="exact"/>
        <w:ind w:firstLine="420" w:firstLineChars="200"/>
        <w:rPr>
          <w:rFonts w:ascii="宋体" w:hAnsi="宋体" w:cs="宋体"/>
          <w:kern w:val="0"/>
          <w:szCs w:val="21"/>
        </w:rPr>
      </w:pPr>
      <w:r>
        <w:rPr>
          <w:rFonts w:hint="eastAsia" w:ascii="宋体" w:hAnsi="宋体" w:cs="宋体"/>
          <w:kern w:val="0"/>
          <w:szCs w:val="21"/>
        </w:rPr>
        <w:t>3.本项目需要落实的政府采购政策：</w:t>
      </w:r>
    </w:p>
    <w:p w14:paraId="51976FD2">
      <w:pPr>
        <w:spacing w:line="340" w:lineRule="exact"/>
        <w:ind w:firstLine="420" w:firstLineChars="200"/>
        <w:rPr>
          <w:rFonts w:ascii="宋体" w:hAnsi="宋体" w:cs="宋体"/>
          <w:color w:val="auto"/>
          <w:kern w:val="0"/>
          <w:szCs w:val="21"/>
        </w:rPr>
      </w:pPr>
      <w:r>
        <w:rPr>
          <w:rFonts w:hint="eastAsia" w:ascii="宋体" w:hAnsi="宋体" w:cs="宋体"/>
          <w:kern w:val="0"/>
          <w:szCs w:val="21"/>
        </w:rPr>
        <w:t>3.1《政府采购促进中小企业发展管理办法》（财库[2020]46号）；本项</w:t>
      </w:r>
      <w:r>
        <w:rPr>
          <w:rFonts w:hint="eastAsia" w:ascii="宋体" w:hAnsi="宋体" w:cs="宋体"/>
          <w:color w:val="auto"/>
          <w:kern w:val="0"/>
          <w:szCs w:val="21"/>
        </w:rPr>
        <w:t>目属于专门面向</w:t>
      </w:r>
      <w:r>
        <w:rPr>
          <w:rFonts w:hint="eastAsia" w:ascii="宋体" w:hAnsi="宋体" w:cs="宋体"/>
          <w:color w:val="auto"/>
          <w:kern w:val="0"/>
          <w:szCs w:val="21"/>
          <w:lang w:val="en-US" w:eastAsia="zh-CN"/>
        </w:rPr>
        <w:t>小微</w:t>
      </w:r>
      <w:r>
        <w:rPr>
          <w:rFonts w:hint="eastAsia" w:ascii="宋体" w:hAnsi="宋体" w:cs="宋体"/>
          <w:color w:val="auto"/>
          <w:kern w:val="0"/>
          <w:szCs w:val="21"/>
        </w:rPr>
        <w:t>企业采购。</w:t>
      </w:r>
    </w:p>
    <w:p w14:paraId="333B377F">
      <w:pPr>
        <w:spacing w:line="340" w:lineRule="exact"/>
        <w:ind w:firstLine="420" w:firstLineChars="200"/>
        <w:rPr>
          <w:rFonts w:ascii="宋体" w:hAnsi="宋体" w:cs="宋体"/>
          <w:kern w:val="0"/>
          <w:szCs w:val="21"/>
        </w:rPr>
      </w:pPr>
      <w:r>
        <w:rPr>
          <w:rFonts w:hint="eastAsia" w:ascii="宋体" w:hAnsi="宋体" w:cs="宋体"/>
          <w:kern w:val="0"/>
          <w:szCs w:val="21"/>
        </w:rPr>
        <w:t xml:space="preserve">3.2《关于政府采购支持监狱企业发展有关问题的通知》（财库[2014]68号）。 </w:t>
      </w:r>
    </w:p>
    <w:p w14:paraId="472257BA">
      <w:pPr>
        <w:spacing w:line="340" w:lineRule="exact"/>
        <w:ind w:firstLine="420" w:firstLineChars="200"/>
        <w:rPr>
          <w:rFonts w:ascii="宋体" w:hAnsi="宋体" w:cs="宋体"/>
          <w:kern w:val="0"/>
          <w:szCs w:val="21"/>
        </w:rPr>
      </w:pPr>
      <w:r>
        <w:rPr>
          <w:rFonts w:hint="eastAsia" w:ascii="宋体" w:hAnsi="宋体" w:cs="宋体"/>
          <w:kern w:val="0"/>
          <w:szCs w:val="21"/>
        </w:rPr>
        <w:t>3.3《关于促进残疾人就业政府采购政策的通知》（财库[2017]141号）。</w:t>
      </w:r>
    </w:p>
    <w:p w14:paraId="2B231315">
      <w:pPr>
        <w:spacing w:line="340" w:lineRule="exact"/>
        <w:ind w:firstLine="420" w:firstLineChars="200"/>
        <w:jc w:val="left"/>
        <w:rPr>
          <w:rFonts w:ascii="宋体" w:hAnsi="宋体" w:cs="宋体"/>
          <w:kern w:val="0"/>
          <w:szCs w:val="21"/>
        </w:rPr>
      </w:pPr>
      <w:r>
        <w:rPr>
          <w:rFonts w:hint="eastAsia" w:ascii="宋体" w:hAnsi="宋体" w:cs="宋体"/>
          <w:kern w:val="0"/>
          <w:szCs w:val="21"/>
        </w:rPr>
        <w:t>4.本项目所属行业为“建筑业”。</w:t>
      </w:r>
    </w:p>
    <w:p w14:paraId="09E871DB">
      <w:pPr>
        <w:spacing w:line="340" w:lineRule="exact"/>
        <w:jc w:val="left"/>
        <w:rPr>
          <w:rFonts w:ascii="宋体" w:hAnsi="宋体" w:cs="宋体"/>
          <w:b/>
          <w:bCs/>
          <w:szCs w:val="21"/>
        </w:rPr>
      </w:pPr>
      <w:r>
        <w:rPr>
          <w:rFonts w:hint="eastAsia" w:ascii="宋体" w:hAnsi="宋体" w:cs="宋体"/>
          <w:b/>
          <w:bCs/>
          <w:szCs w:val="21"/>
        </w:rPr>
        <w:t>八、在线响应（电子响应）说明</w:t>
      </w:r>
    </w:p>
    <w:p w14:paraId="1D9D81B4">
      <w:pPr>
        <w:spacing w:line="340" w:lineRule="exact"/>
        <w:ind w:firstLine="420" w:firstLineChars="200"/>
        <w:rPr>
          <w:rFonts w:ascii="宋体" w:hAnsi="宋体" w:cs="宋体"/>
          <w:szCs w:val="21"/>
        </w:rPr>
      </w:pPr>
      <w:r>
        <w:rPr>
          <w:rFonts w:hint="eastAsia" w:ascii="宋体" w:hAnsi="宋体" w:cs="宋体"/>
          <w:szCs w:val="21"/>
        </w:rPr>
        <w:t>1.本项目通过广西政府采购云平台实行在线投标响应（电子投标），供应商需要先安装“广西政府采购云电子交易客户端”，并按照本竞争性磋商文件和广西政府采购云平台的要求，通过“广西政府采购云电子交易客户端”编制并加密电子响应文件。供应商未按规定编制并加密的电子响应文件，广西政府采购云平台将予以拒收。</w:t>
      </w:r>
    </w:p>
    <w:p w14:paraId="69DB91FB">
      <w:pPr>
        <w:pStyle w:val="355"/>
        <w:autoSpaceDE/>
        <w:autoSpaceDN/>
        <w:spacing w:line="34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广西政府采购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14:paraId="0685D0E1">
      <w:pPr>
        <w:pStyle w:val="355"/>
        <w:autoSpaceDE/>
        <w:autoSpaceDN/>
        <w:spacing w:line="34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2.为确保网上操作合法、有效和安全，供应商应当在响应文件递交截止时间前完成在“广西政府采购云平台”的身份认证，确保在电子投标过程中能够对相关数据电文进行加密和使用电子签章。使用“广西政府采购云平台电子交易客户端”需要提前申领CA数字证书，申领流程请自行前往相关网站进行查阅。（各供应商在截标前应确保成为广西政府采购云平台正式注册入库供应商，并完成CA数字证书申领。如因未注册入库、未办理CA数字证书等原因造成无法磋商或磋商失败等后果由供应商自行承担。）</w:t>
      </w:r>
    </w:p>
    <w:p w14:paraId="27653DB2">
      <w:pPr>
        <w:pStyle w:val="355"/>
        <w:autoSpaceDE/>
        <w:autoSpaceDN/>
        <w:spacing w:line="34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3.供应商应当在响应文件递交截止时间前，将生成的“电子响应文件”上传递交至广西政府采购云平台。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30D98113">
      <w:pPr>
        <w:pStyle w:val="355"/>
        <w:autoSpaceDE/>
        <w:autoSpaceDN/>
        <w:spacing w:line="340" w:lineRule="exact"/>
        <w:ind w:firstLine="420" w:firstLineChars="200"/>
        <w:jc w:val="both"/>
        <w:rPr>
          <w:rFonts w:ascii="宋体" w:hAnsi="宋体" w:cs="宋体"/>
          <w:color w:val="auto"/>
          <w:sz w:val="21"/>
          <w:szCs w:val="21"/>
        </w:rPr>
      </w:pPr>
      <w:r>
        <w:rPr>
          <w:rFonts w:hint="eastAsia" w:ascii="宋体" w:hAnsi="宋体" w:cs="宋体"/>
          <w:color w:val="auto"/>
          <w:sz w:val="21"/>
          <w:szCs w:val="21"/>
        </w:rPr>
        <w:t>4.响应文件解密时间：截标时间后30分钟内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rFonts w:hint="eastAsia" w:ascii="宋体" w:hAnsi="宋体" w:cs="宋体"/>
          <w:color w:val="auto"/>
          <w:sz w:val="21"/>
          <w:szCs w:val="21"/>
          <w:lang w:val="en-US" w:eastAsia="zh-CN"/>
        </w:rPr>
        <w:t>13</w:t>
      </w:r>
      <w:r>
        <w:rPr>
          <w:rFonts w:hint="eastAsia" w:ascii="宋体" w:hAnsi="宋体" w:cs="宋体"/>
          <w:color w:val="auto"/>
          <w:sz w:val="21"/>
          <w:szCs w:val="21"/>
        </w:rPr>
        <w:t>号开标室现场提交或以电子邮件的形式（以通知时告知的电子邮箱地址为准）提交电子备份响应文件】。若供应商在规定时间内无法解密或解密失败且未</w:t>
      </w:r>
      <w:r>
        <w:rPr>
          <w:rFonts w:hint="eastAsia" w:ascii="宋体" w:hAnsi="宋体" w:cs="宋体"/>
          <w:color w:val="auto"/>
          <w:spacing w:val="-6"/>
          <w:sz w:val="21"/>
          <w:szCs w:val="21"/>
        </w:rPr>
        <w:t>提供电子备份响应文件的(包含提供的电子备份响应文件无效或无法解密的情况)，视为无效响应。</w:t>
      </w:r>
    </w:p>
    <w:p w14:paraId="04D04FA8">
      <w:pPr>
        <w:pStyle w:val="355"/>
        <w:autoSpaceDE/>
        <w:autoSpaceDN/>
        <w:spacing w:line="340" w:lineRule="exact"/>
        <w:ind w:firstLine="422" w:firstLineChars="200"/>
        <w:jc w:val="both"/>
        <w:rPr>
          <w:rFonts w:ascii="宋体" w:hAnsi="宋体" w:cs="宋体"/>
          <w:b/>
          <w:bCs/>
          <w:color w:val="auto"/>
          <w:sz w:val="21"/>
          <w:szCs w:val="21"/>
          <w:u w:val="single"/>
        </w:rPr>
      </w:pPr>
      <w:r>
        <w:rPr>
          <w:rFonts w:hint="eastAsia" w:ascii="宋体" w:hAnsi="宋体" w:cs="宋体"/>
          <w:b/>
          <w:bCs/>
          <w:color w:val="auto"/>
          <w:sz w:val="21"/>
          <w:szCs w:val="21"/>
          <w:u w:val="single"/>
        </w:rPr>
        <w:t>5.本项目需要磋商供应商代表在截标当天截标后，按磋商小组要求及时登陆广西政府采购云平台等候在线磋商及提交最后报价。</w:t>
      </w:r>
    </w:p>
    <w:p w14:paraId="23B6B230">
      <w:pPr>
        <w:pStyle w:val="355"/>
        <w:autoSpaceDE/>
        <w:autoSpaceDN/>
        <w:spacing w:line="340" w:lineRule="exact"/>
        <w:ind w:firstLine="422" w:firstLineChars="200"/>
        <w:rPr>
          <w:rFonts w:ascii="宋体" w:hAnsi="宋体" w:cs="宋体"/>
          <w:color w:val="auto"/>
          <w:sz w:val="21"/>
          <w:szCs w:val="21"/>
        </w:rPr>
      </w:pPr>
      <w:r>
        <w:rPr>
          <w:rFonts w:hint="eastAsia" w:ascii="宋体" w:hAnsi="宋体" w:cs="宋体"/>
          <w:b/>
          <w:bCs/>
          <w:color w:val="auto"/>
          <w:sz w:val="21"/>
          <w:szCs w:val="21"/>
          <w:u w:val="single"/>
        </w:rPr>
        <w:t>6.本采购项目为广西政府采购云全流程电子化操作，参与磋商的供应商需自备计算机和网络设备（设备需可视频通话和读取广西政府采购云CA数字证书），确保磋商过程顺利进行；因供应商自身设备或网络原因造成的一切后果，由供应商自行承担。</w:t>
      </w:r>
    </w:p>
    <w:p w14:paraId="7737FFC8">
      <w:pPr>
        <w:spacing w:beforeLines="50" w:line="340" w:lineRule="exact"/>
        <w:rPr>
          <w:rFonts w:ascii="宋体" w:hAnsi="宋体" w:cs="宋体"/>
          <w:b/>
          <w:bCs/>
          <w:szCs w:val="21"/>
        </w:rPr>
      </w:pPr>
      <w:bookmarkStart w:id="24" w:name="_Toc35393796"/>
      <w:bookmarkStart w:id="25" w:name="_Toc28359008"/>
      <w:bookmarkStart w:id="26" w:name="_Toc28359085"/>
      <w:bookmarkStart w:id="27" w:name="_Toc35393627"/>
      <w:r>
        <w:rPr>
          <w:rFonts w:hint="eastAsia" w:ascii="宋体" w:hAnsi="宋体" w:cs="宋体"/>
          <w:b/>
          <w:bCs/>
          <w:szCs w:val="21"/>
        </w:rPr>
        <w:t>九、对本次采购提出询问，请按以下方式联系。</w:t>
      </w:r>
      <w:bookmarkEnd w:id="24"/>
      <w:bookmarkEnd w:id="25"/>
      <w:bookmarkEnd w:id="26"/>
      <w:bookmarkEnd w:id="27"/>
    </w:p>
    <w:p w14:paraId="3522409A">
      <w:pPr>
        <w:widowControl/>
        <w:spacing w:line="340" w:lineRule="exact"/>
        <w:ind w:firstLine="420" w:firstLineChars="200"/>
        <w:jc w:val="left"/>
        <w:rPr>
          <w:rFonts w:ascii="宋体" w:hAnsi="宋体" w:cs="宋体"/>
          <w:szCs w:val="21"/>
        </w:rPr>
      </w:pPr>
      <w:r>
        <w:rPr>
          <w:rFonts w:hint="eastAsia" w:ascii="宋体" w:hAnsi="宋体" w:cs="宋体"/>
          <w:szCs w:val="21"/>
        </w:rPr>
        <w:t>1.采购人信息</w:t>
      </w:r>
    </w:p>
    <w:p w14:paraId="331E68BA">
      <w:pPr>
        <w:spacing w:line="340" w:lineRule="exact"/>
        <w:ind w:firstLine="420" w:firstLineChars="200"/>
        <w:jc w:val="left"/>
        <w:rPr>
          <w:rFonts w:ascii="宋体" w:hAnsi="宋体" w:cs="宋体"/>
          <w:szCs w:val="21"/>
        </w:rPr>
      </w:pPr>
      <w:r>
        <w:rPr>
          <w:rFonts w:hint="eastAsia" w:ascii="宋体" w:hAnsi="宋体" w:cs="宋体"/>
          <w:szCs w:val="21"/>
        </w:rPr>
        <w:t>名 称：广西壮族自治区灌阳公路养护中心</w:t>
      </w:r>
    </w:p>
    <w:p w14:paraId="0CCC4003">
      <w:pPr>
        <w:spacing w:line="340" w:lineRule="exact"/>
        <w:ind w:firstLine="420" w:firstLineChars="200"/>
        <w:jc w:val="left"/>
        <w:rPr>
          <w:rFonts w:ascii="宋体" w:hAnsi="宋体" w:cs="宋体"/>
          <w:szCs w:val="21"/>
        </w:rPr>
      </w:pPr>
      <w:r>
        <w:rPr>
          <w:rFonts w:hint="eastAsia" w:ascii="宋体" w:hAnsi="宋体" w:cs="宋体"/>
          <w:szCs w:val="21"/>
        </w:rPr>
        <w:t>地址：灌阳县</w:t>
      </w:r>
      <w:r>
        <w:rPr>
          <w:rFonts w:hint="eastAsia" w:ascii="宋体" w:hAnsi="宋体" w:cs="宋体"/>
          <w:szCs w:val="21"/>
          <w:lang w:eastAsia="zh-CN"/>
        </w:rPr>
        <w:t>灌阳镇</w:t>
      </w:r>
      <w:r>
        <w:rPr>
          <w:rFonts w:hint="eastAsia" w:ascii="宋体" w:hAnsi="宋体" w:cs="宋体"/>
          <w:szCs w:val="21"/>
        </w:rPr>
        <w:t>灌江北路169号</w:t>
      </w:r>
    </w:p>
    <w:p w14:paraId="6F29BAE1">
      <w:pPr>
        <w:spacing w:line="340" w:lineRule="exact"/>
        <w:ind w:firstLine="420" w:firstLineChars="200"/>
        <w:jc w:val="left"/>
        <w:rPr>
          <w:rFonts w:ascii="宋体" w:hAnsi="宋体" w:cs="宋体"/>
          <w:color w:val="FF0000"/>
          <w:szCs w:val="21"/>
        </w:rPr>
      </w:pPr>
      <w:r>
        <w:rPr>
          <w:rFonts w:hint="eastAsia" w:ascii="宋体" w:hAnsi="宋体" w:cs="宋体"/>
          <w:szCs w:val="21"/>
        </w:rPr>
        <w:t>联系人</w:t>
      </w:r>
      <w:r>
        <w:rPr>
          <w:rFonts w:hint="eastAsia" w:ascii="宋体" w:hAnsi="宋体" w:cs="宋体"/>
          <w:color w:val="auto"/>
          <w:szCs w:val="21"/>
        </w:rPr>
        <w:t>：</w:t>
      </w:r>
      <w:r>
        <w:rPr>
          <w:rFonts w:hint="eastAsia" w:ascii="宋体" w:hAnsi="宋体" w:cs="宋体"/>
          <w:color w:val="auto"/>
          <w:szCs w:val="21"/>
          <w:lang w:val="en-US" w:eastAsia="zh-CN"/>
        </w:rPr>
        <w:t>蒋工</w:t>
      </w:r>
      <w:r>
        <w:rPr>
          <w:rFonts w:hint="eastAsia" w:ascii="宋体" w:hAnsi="宋体" w:cs="宋体"/>
          <w:color w:val="auto"/>
          <w:szCs w:val="21"/>
        </w:rPr>
        <w:t>，</w:t>
      </w:r>
      <w:r>
        <w:rPr>
          <w:rFonts w:hint="eastAsia" w:ascii="宋体" w:hAnsi="宋体" w:cs="宋体"/>
          <w:szCs w:val="21"/>
        </w:rPr>
        <w:t>联系电话：</w:t>
      </w:r>
      <w:bookmarkStart w:id="28" w:name="_Toc28359086"/>
      <w:bookmarkStart w:id="29" w:name="_Toc28359009"/>
      <w:r>
        <w:rPr>
          <w:rFonts w:hint="eastAsia" w:ascii="宋体" w:hAnsi="宋体" w:cs="宋体"/>
          <w:szCs w:val="21"/>
        </w:rPr>
        <w:t>0773-4212205</w:t>
      </w:r>
    </w:p>
    <w:p w14:paraId="5BBA73E9">
      <w:pPr>
        <w:spacing w:line="340" w:lineRule="exact"/>
        <w:ind w:firstLine="420" w:firstLineChars="200"/>
        <w:jc w:val="left"/>
        <w:rPr>
          <w:rFonts w:ascii="宋体" w:hAnsi="宋体" w:cs="宋体"/>
          <w:szCs w:val="21"/>
        </w:rPr>
      </w:pPr>
      <w:r>
        <w:rPr>
          <w:rFonts w:hint="eastAsia" w:ascii="宋体" w:hAnsi="宋体" w:cs="宋体"/>
          <w:szCs w:val="21"/>
        </w:rPr>
        <w:t>2.采购代理机构信息</w:t>
      </w:r>
      <w:bookmarkEnd w:id="28"/>
      <w:bookmarkEnd w:id="29"/>
    </w:p>
    <w:p w14:paraId="5A1359D4">
      <w:pPr>
        <w:pStyle w:val="2"/>
        <w:spacing w:line="340" w:lineRule="exact"/>
        <w:ind w:firstLine="420" w:firstLineChars="200"/>
        <w:rPr>
          <w:rFonts w:ascii="宋体" w:hAnsi="宋体" w:cs="宋体"/>
          <w:sz w:val="21"/>
          <w:szCs w:val="21"/>
        </w:rPr>
      </w:pPr>
      <w:r>
        <w:rPr>
          <w:rFonts w:hint="eastAsia" w:ascii="宋体" w:hAnsi="宋体" w:cs="宋体"/>
          <w:sz w:val="21"/>
          <w:szCs w:val="21"/>
        </w:rPr>
        <w:t>名 称：广西朝华工程项目管理有限公司</w:t>
      </w:r>
    </w:p>
    <w:p w14:paraId="1F38694A">
      <w:pPr>
        <w:pStyle w:val="2"/>
        <w:spacing w:line="340" w:lineRule="exact"/>
        <w:ind w:firstLine="420" w:firstLineChars="200"/>
        <w:rPr>
          <w:rFonts w:ascii="宋体" w:hAnsi="宋体" w:cs="宋体"/>
          <w:sz w:val="21"/>
          <w:szCs w:val="21"/>
        </w:rPr>
      </w:pPr>
      <w:r>
        <w:rPr>
          <w:rFonts w:hint="eastAsia" w:ascii="宋体" w:hAnsi="宋体" w:cs="宋体"/>
          <w:sz w:val="21"/>
          <w:szCs w:val="21"/>
        </w:rPr>
        <w:t>地　址：桂林市七星区朝阳路信息产业园创新大厦H座B区2幢4-1</w:t>
      </w:r>
    </w:p>
    <w:p w14:paraId="69771657">
      <w:pPr>
        <w:pStyle w:val="2"/>
        <w:spacing w:line="340" w:lineRule="exact"/>
        <w:ind w:firstLine="420" w:firstLineChars="200"/>
        <w:rPr>
          <w:rFonts w:ascii="宋体" w:hAnsi="宋体" w:cs="宋体"/>
          <w:sz w:val="21"/>
          <w:szCs w:val="21"/>
        </w:rPr>
      </w:pPr>
      <w:r>
        <w:rPr>
          <w:rFonts w:hint="eastAsia" w:ascii="宋体" w:hAnsi="宋体" w:cs="宋体"/>
          <w:sz w:val="21"/>
          <w:szCs w:val="21"/>
        </w:rPr>
        <w:t>联系方式：0773-8998986</w:t>
      </w:r>
    </w:p>
    <w:p w14:paraId="7CC9CAF0">
      <w:pPr>
        <w:pStyle w:val="2"/>
        <w:spacing w:line="340" w:lineRule="exact"/>
        <w:ind w:firstLine="420" w:firstLineChars="200"/>
        <w:rPr>
          <w:rFonts w:ascii="宋体" w:hAnsi="宋体" w:cs="宋体"/>
          <w:sz w:val="21"/>
          <w:szCs w:val="21"/>
        </w:rPr>
      </w:pPr>
      <w:r>
        <w:rPr>
          <w:rFonts w:hint="eastAsia" w:ascii="宋体" w:hAnsi="宋体" w:cs="宋体"/>
          <w:sz w:val="21"/>
          <w:szCs w:val="21"/>
        </w:rPr>
        <w:t>3.项目联系方式</w:t>
      </w:r>
    </w:p>
    <w:p w14:paraId="6D65D761">
      <w:pPr>
        <w:pStyle w:val="2"/>
        <w:spacing w:line="340" w:lineRule="exact"/>
        <w:ind w:firstLine="420" w:firstLineChars="200"/>
        <w:rPr>
          <w:rFonts w:ascii="宋体" w:hAnsi="宋体" w:cs="宋体"/>
          <w:sz w:val="21"/>
          <w:szCs w:val="21"/>
        </w:rPr>
      </w:pPr>
      <w:r>
        <w:rPr>
          <w:rFonts w:hint="eastAsia" w:ascii="宋体" w:hAnsi="宋体" w:cs="宋体"/>
          <w:sz w:val="21"/>
          <w:szCs w:val="21"/>
        </w:rPr>
        <w:t>项目联系人：秦新阳</w:t>
      </w:r>
    </w:p>
    <w:p w14:paraId="6A7A058D">
      <w:pPr>
        <w:pStyle w:val="2"/>
        <w:spacing w:line="340" w:lineRule="exact"/>
        <w:ind w:firstLine="420" w:firstLineChars="200"/>
        <w:rPr>
          <w:rFonts w:ascii="宋体" w:hAnsi="宋体" w:cs="宋体"/>
          <w:sz w:val="21"/>
          <w:szCs w:val="21"/>
        </w:rPr>
      </w:pPr>
      <w:r>
        <w:rPr>
          <w:rFonts w:hint="eastAsia" w:ascii="宋体" w:hAnsi="宋体" w:cs="宋体"/>
          <w:sz w:val="21"/>
          <w:szCs w:val="21"/>
        </w:rPr>
        <w:t>电　话：0773-8998986</w:t>
      </w:r>
    </w:p>
    <w:p w14:paraId="3A80A271">
      <w:pPr>
        <w:spacing w:line="340" w:lineRule="exact"/>
        <w:ind w:firstLine="420" w:firstLineChars="200"/>
        <w:jc w:val="right"/>
        <w:rPr>
          <w:rFonts w:ascii="宋体" w:hAnsi="宋体" w:cs="宋体"/>
          <w:color w:val="auto"/>
          <w:szCs w:val="21"/>
        </w:rPr>
        <w:sectPr>
          <w:footerReference r:id="rId4" w:type="default"/>
          <w:pgSz w:w="11911" w:h="16849"/>
          <w:pgMar w:top="1417" w:right="1417" w:bottom="1417" w:left="1417" w:header="720" w:footer="720" w:gutter="0"/>
          <w:pgNumType w:start="1"/>
          <w:cols w:space="720" w:num="1"/>
          <w:docGrid w:linePitch="312" w:charSpace="0"/>
        </w:sectPr>
      </w:pPr>
      <w:r>
        <w:rPr>
          <w:rFonts w:hint="eastAsia" w:ascii="宋体" w:hAnsi="宋体" w:cs="宋体"/>
          <w:szCs w:val="21"/>
        </w:rPr>
        <w:t>202</w:t>
      </w:r>
      <w:r>
        <w:rPr>
          <w:rFonts w:hint="eastAsia" w:ascii="宋体" w:hAnsi="宋体" w:cs="宋体"/>
          <w:color w:val="auto"/>
          <w:szCs w:val="21"/>
        </w:rPr>
        <w:t>4年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17</w:t>
      </w:r>
      <w:r>
        <w:rPr>
          <w:rFonts w:hint="eastAsia" w:ascii="宋体" w:hAnsi="宋体" w:cs="宋体"/>
          <w:color w:val="auto"/>
          <w:szCs w:val="21"/>
        </w:rPr>
        <w:t>日</w:t>
      </w:r>
    </w:p>
    <w:p w14:paraId="6F4C6093">
      <w:pPr>
        <w:pStyle w:val="3"/>
        <w:spacing w:line="240" w:lineRule="auto"/>
        <w:jc w:val="center"/>
      </w:pPr>
      <w:bookmarkStart w:id="30" w:name="_Toc19639"/>
      <w:bookmarkStart w:id="31" w:name="_Toc31626"/>
      <w:bookmarkStart w:id="32" w:name="_Toc8835"/>
      <w:bookmarkStart w:id="33" w:name="_Toc4003"/>
      <w:bookmarkStart w:id="34" w:name="_Toc15905"/>
      <w:r>
        <w:rPr>
          <w:rFonts w:hint="eastAsia" w:ascii="Cambria" w:hAnsi="Cambria"/>
          <w:sz w:val="32"/>
          <w:szCs w:val="32"/>
        </w:rPr>
        <w:t>第二章  供应商须知</w:t>
      </w:r>
      <w:bookmarkEnd w:id="30"/>
      <w:bookmarkEnd w:id="31"/>
      <w:bookmarkEnd w:id="32"/>
      <w:bookmarkEnd w:id="33"/>
      <w:bookmarkEnd w:id="34"/>
    </w:p>
    <w:p w14:paraId="65FDDCF0">
      <w:pPr>
        <w:pStyle w:val="4"/>
        <w:spacing w:line="240" w:lineRule="auto"/>
        <w:jc w:val="center"/>
      </w:pPr>
      <w:bookmarkStart w:id="35" w:name="_Toc9063"/>
      <w:bookmarkStart w:id="36" w:name="_Toc28175"/>
      <w:bookmarkStart w:id="37" w:name="_Toc2463"/>
      <w:bookmarkStart w:id="38" w:name="_Toc15516"/>
      <w:bookmarkStart w:id="39" w:name="_Toc19411"/>
      <w:r>
        <w:rPr>
          <w:rFonts w:hint="eastAsia"/>
        </w:rPr>
        <w:t>供应商须知前附表</w:t>
      </w:r>
      <w:bookmarkEnd w:id="35"/>
      <w:bookmarkEnd w:id="36"/>
      <w:bookmarkEnd w:id="37"/>
      <w:bookmarkEnd w:id="38"/>
      <w:bookmarkEnd w:id="39"/>
    </w:p>
    <w:tbl>
      <w:tblPr>
        <w:tblStyle w:val="52"/>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45"/>
        <w:gridCol w:w="1749"/>
        <w:gridCol w:w="6373"/>
      </w:tblGrid>
      <w:tr w14:paraId="09E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6" w:type="dxa"/>
            <w:noWrap/>
            <w:vAlign w:val="center"/>
          </w:tcPr>
          <w:p w14:paraId="7E35C816">
            <w:pPr>
              <w:spacing w:line="360" w:lineRule="auto"/>
              <w:jc w:val="center"/>
              <w:rPr>
                <w:rFonts w:ascii="宋体" w:hAnsi="宋体" w:cs="宋体"/>
                <w:szCs w:val="21"/>
              </w:rPr>
            </w:pPr>
            <w:r>
              <w:rPr>
                <w:rFonts w:hint="eastAsia" w:ascii="宋体" w:hAnsi="宋体" w:cs="宋体"/>
                <w:szCs w:val="21"/>
              </w:rPr>
              <w:t>序号</w:t>
            </w:r>
          </w:p>
        </w:tc>
        <w:tc>
          <w:tcPr>
            <w:tcW w:w="645" w:type="dxa"/>
            <w:noWrap/>
            <w:vAlign w:val="center"/>
          </w:tcPr>
          <w:p w14:paraId="157A633E">
            <w:pPr>
              <w:spacing w:line="360" w:lineRule="auto"/>
              <w:jc w:val="center"/>
              <w:rPr>
                <w:rFonts w:ascii="宋体" w:hAnsi="宋体" w:cs="宋体"/>
                <w:szCs w:val="21"/>
              </w:rPr>
            </w:pPr>
            <w:r>
              <w:rPr>
                <w:rFonts w:hint="eastAsia" w:ascii="宋体" w:hAnsi="宋体" w:cs="宋体"/>
                <w:szCs w:val="21"/>
              </w:rPr>
              <w:t>条款号</w:t>
            </w:r>
          </w:p>
        </w:tc>
        <w:tc>
          <w:tcPr>
            <w:tcW w:w="1749" w:type="dxa"/>
            <w:noWrap/>
            <w:vAlign w:val="center"/>
          </w:tcPr>
          <w:p w14:paraId="378FFC04">
            <w:pPr>
              <w:spacing w:line="360" w:lineRule="auto"/>
              <w:jc w:val="center"/>
              <w:rPr>
                <w:rFonts w:ascii="宋体" w:hAnsi="宋体" w:cs="宋体"/>
                <w:szCs w:val="21"/>
              </w:rPr>
            </w:pPr>
            <w:r>
              <w:rPr>
                <w:rFonts w:hint="eastAsia" w:ascii="宋体" w:hAnsi="宋体" w:cs="宋体"/>
                <w:szCs w:val="21"/>
              </w:rPr>
              <w:t>条款名称</w:t>
            </w:r>
          </w:p>
        </w:tc>
        <w:tc>
          <w:tcPr>
            <w:tcW w:w="6373" w:type="dxa"/>
            <w:noWrap/>
            <w:vAlign w:val="center"/>
          </w:tcPr>
          <w:p w14:paraId="6DEEA757">
            <w:pPr>
              <w:spacing w:line="360" w:lineRule="auto"/>
              <w:jc w:val="center"/>
              <w:rPr>
                <w:rFonts w:ascii="宋体" w:hAnsi="宋体" w:cs="宋体"/>
                <w:szCs w:val="21"/>
              </w:rPr>
            </w:pPr>
            <w:r>
              <w:rPr>
                <w:rFonts w:hint="eastAsia" w:ascii="宋体" w:hAnsi="宋体" w:cs="宋体"/>
                <w:szCs w:val="21"/>
              </w:rPr>
              <w:t>内容、要求</w:t>
            </w:r>
          </w:p>
        </w:tc>
      </w:tr>
      <w:tr w14:paraId="69C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56" w:type="dxa"/>
            <w:noWrap/>
            <w:vAlign w:val="center"/>
          </w:tcPr>
          <w:p w14:paraId="20D66BC3">
            <w:pPr>
              <w:spacing w:line="360" w:lineRule="auto"/>
              <w:jc w:val="center"/>
              <w:rPr>
                <w:rFonts w:ascii="宋体" w:hAnsi="宋体" w:cs="宋体"/>
                <w:szCs w:val="21"/>
              </w:rPr>
            </w:pPr>
            <w:r>
              <w:rPr>
                <w:rFonts w:hint="eastAsia" w:ascii="宋体" w:hAnsi="宋体" w:cs="宋体"/>
                <w:szCs w:val="21"/>
              </w:rPr>
              <w:t>1</w:t>
            </w:r>
          </w:p>
        </w:tc>
        <w:tc>
          <w:tcPr>
            <w:tcW w:w="645" w:type="dxa"/>
            <w:noWrap/>
            <w:vAlign w:val="center"/>
          </w:tcPr>
          <w:p w14:paraId="22297B13">
            <w:pPr>
              <w:spacing w:line="360" w:lineRule="auto"/>
              <w:jc w:val="center"/>
              <w:rPr>
                <w:rFonts w:ascii="宋体" w:hAnsi="宋体" w:cs="宋体"/>
                <w:szCs w:val="21"/>
              </w:rPr>
            </w:pPr>
            <w:r>
              <w:rPr>
                <w:rFonts w:hint="eastAsia" w:ascii="宋体" w:hAnsi="宋体" w:cs="宋体"/>
                <w:szCs w:val="21"/>
              </w:rPr>
              <w:t>1.1</w:t>
            </w:r>
          </w:p>
        </w:tc>
        <w:tc>
          <w:tcPr>
            <w:tcW w:w="1749" w:type="dxa"/>
            <w:noWrap/>
            <w:vAlign w:val="center"/>
          </w:tcPr>
          <w:p w14:paraId="5496BAC1">
            <w:pPr>
              <w:spacing w:line="360" w:lineRule="auto"/>
              <w:jc w:val="center"/>
              <w:rPr>
                <w:rFonts w:ascii="宋体" w:hAnsi="宋体" w:cs="宋体"/>
                <w:szCs w:val="21"/>
              </w:rPr>
            </w:pPr>
            <w:r>
              <w:rPr>
                <w:rFonts w:hint="eastAsia" w:ascii="宋体" w:hAnsi="宋体" w:cs="宋体"/>
                <w:szCs w:val="21"/>
              </w:rPr>
              <w:t>采购项目名称及采购项目编号</w:t>
            </w:r>
          </w:p>
        </w:tc>
        <w:tc>
          <w:tcPr>
            <w:tcW w:w="6373" w:type="dxa"/>
            <w:noWrap/>
            <w:vAlign w:val="center"/>
          </w:tcPr>
          <w:p w14:paraId="057AE31B">
            <w:pPr>
              <w:widowControl/>
              <w:spacing w:line="360" w:lineRule="auto"/>
              <w:jc w:val="left"/>
              <w:rPr>
                <w:rFonts w:ascii="宋体" w:hAnsi="宋体" w:cs="宋体"/>
                <w:kern w:val="21"/>
                <w:szCs w:val="21"/>
              </w:rPr>
            </w:pPr>
            <w:r>
              <w:rPr>
                <w:rFonts w:hint="eastAsia" w:ascii="宋体" w:hAnsi="宋体" w:cs="宋体"/>
                <w:kern w:val="21"/>
                <w:szCs w:val="21"/>
              </w:rPr>
              <w:t>项目名称：2024年普通国道危旧桥梁改造工程G241线K2814+890石山寨桥</w:t>
            </w:r>
          </w:p>
          <w:p w14:paraId="4240BBA6">
            <w:pPr>
              <w:widowControl/>
              <w:spacing w:line="360" w:lineRule="auto"/>
              <w:jc w:val="left"/>
              <w:rPr>
                <w:rFonts w:ascii="宋体" w:hAnsi="宋体" w:cs="宋体"/>
                <w:szCs w:val="21"/>
              </w:rPr>
            </w:pPr>
            <w:r>
              <w:rPr>
                <w:rFonts w:hint="eastAsia" w:ascii="宋体" w:hAnsi="宋体" w:cs="宋体"/>
                <w:kern w:val="21"/>
                <w:szCs w:val="21"/>
              </w:rPr>
              <w:t>项目编号</w:t>
            </w:r>
            <w:r>
              <w:rPr>
                <w:rFonts w:hint="eastAsia" w:ascii="宋体" w:hAnsi="宋体" w:cs="宋体"/>
                <w:color w:val="auto"/>
                <w:kern w:val="21"/>
                <w:szCs w:val="21"/>
              </w:rPr>
              <w:t>：</w:t>
            </w:r>
            <w:r>
              <w:rPr>
                <w:rFonts w:hint="eastAsia" w:ascii="宋体" w:hAnsi="宋体" w:cs="宋体"/>
                <w:color w:val="auto"/>
                <w:szCs w:val="21"/>
              </w:rPr>
              <w:t>GXZC2024-C2-004648-GXCH</w:t>
            </w:r>
          </w:p>
        </w:tc>
      </w:tr>
      <w:tr w14:paraId="342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456" w:type="dxa"/>
            <w:noWrap/>
            <w:vAlign w:val="center"/>
          </w:tcPr>
          <w:p w14:paraId="479DCAB7">
            <w:pPr>
              <w:spacing w:line="360" w:lineRule="auto"/>
              <w:jc w:val="center"/>
              <w:rPr>
                <w:rFonts w:ascii="宋体" w:hAnsi="宋体" w:cs="宋体"/>
                <w:szCs w:val="21"/>
              </w:rPr>
            </w:pPr>
            <w:r>
              <w:rPr>
                <w:rFonts w:hint="eastAsia" w:ascii="宋体" w:hAnsi="宋体" w:cs="宋体"/>
                <w:szCs w:val="21"/>
              </w:rPr>
              <w:t>2</w:t>
            </w:r>
          </w:p>
        </w:tc>
        <w:tc>
          <w:tcPr>
            <w:tcW w:w="645" w:type="dxa"/>
            <w:noWrap/>
            <w:vAlign w:val="center"/>
          </w:tcPr>
          <w:p w14:paraId="6B361233">
            <w:pPr>
              <w:spacing w:line="360" w:lineRule="auto"/>
              <w:jc w:val="center"/>
              <w:rPr>
                <w:rFonts w:ascii="宋体" w:hAnsi="宋体" w:cs="宋体"/>
                <w:szCs w:val="21"/>
              </w:rPr>
            </w:pPr>
            <w:r>
              <w:rPr>
                <w:rFonts w:hint="eastAsia" w:ascii="宋体" w:hAnsi="宋体" w:cs="宋体"/>
                <w:szCs w:val="21"/>
              </w:rPr>
              <w:t>1.2</w:t>
            </w:r>
          </w:p>
        </w:tc>
        <w:tc>
          <w:tcPr>
            <w:tcW w:w="1749" w:type="dxa"/>
            <w:noWrap/>
            <w:vAlign w:val="center"/>
          </w:tcPr>
          <w:p w14:paraId="61338321">
            <w:pPr>
              <w:spacing w:line="320" w:lineRule="exact"/>
              <w:jc w:val="center"/>
              <w:rPr>
                <w:rFonts w:ascii="宋体" w:hAnsi="宋体" w:cs="宋体"/>
                <w:szCs w:val="21"/>
              </w:rPr>
            </w:pPr>
            <w:r>
              <w:rPr>
                <w:rFonts w:hint="eastAsia" w:ascii="宋体" w:hAnsi="宋体" w:cs="宋体"/>
                <w:szCs w:val="21"/>
              </w:rPr>
              <w:t>项目内容、要求工期、质量标准</w:t>
            </w:r>
          </w:p>
        </w:tc>
        <w:tc>
          <w:tcPr>
            <w:tcW w:w="6373" w:type="dxa"/>
            <w:noWrap/>
            <w:vAlign w:val="center"/>
          </w:tcPr>
          <w:p w14:paraId="2E7E7C91">
            <w:pPr>
              <w:spacing w:line="360" w:lineRule="auto"/>
              <w:rPr>
                <w:rFonts w:ascii="宋体" w:hAnsi="宋体" w:cs="宋体"/>
                <w:szCs w:val="21"/>
              </w:rPr>
            </w:pPr>
            <w:r>
              <w:rPr>
                <w:rFonts w:hint="eastAsia" w:ascii="宋体" w:hAnsi="宋体" w:cs="宋体"/>
                <w:kern w:val="21"/>
                <w:szCs w:val="21"/>
              </w:rPr>
              <w:t>2024年普通国道危旧桥梁改造工程G241线K2814+890石山寨桥</w:t>
            </w:r>
            <w:r>
              <w:rPr>
                <w:rFonts w:hint="eastAsia" w:ascii="宋体" w:hAnsi="宋体" w:cs="宋体"/>
                <w:szCs w:val="21"/>
              </w:rPr>
              <w:t>项目等图纸、工程量清单范围内项目内容。</w:t>
            </w:r>
          </w:p>
          <w:p w14:paraId="4E7B8727">
            <w:pPr>
              <w:pStyle w:val="6"/>
              <w:spacing w:line="320" w:lineRule="exact"/>
              <w:rPr>
                <w:rFonts w:ascii="宋体" w:hAnsi="宋体" w:cs="宋体"/>
                <w:b w:val="0"/>
                <w:bCs w:val="0"/>
                <w:sz w:val="21"/>
                <w:szCs w:val="21"/>
              </w:rPr>
            </w:pPr>
            <w:r>
              <w:rPr>
                <w:rFonts w:hint="eastAsia" w:ascii="宋体" w:hAnsi="宋体" w:cs="宋体"/>
                <w:b w:val="0"/>
                <w:bCs w:val="0"/>
                <w:sz w:val="21"/>
                <w:szCs w:val="21"/>
              </w:rPr>
              <w:t>要求工期：</w:t>
            </w:r>
            <w:r>
              <w:rPr>
                <w:rFonts w:hint="eastAsia" w:ascii="宋体" w:hAnsi="宋体" w:cs="宋体"/>
                <w:b w:val="0"/>
                <w:bCs w:val="0"/>
                <w:sz w:val="21"/>
                <w:szCs w:val="21"/>
                <w:lang w:val="en-US" w:eastAsia="zh-CN"/>
              </w:rPr>
              <w:t>150</w:t>
            </w:r>
            <w:r>
              <w:rPr>
                <w:rFonts w:hint="eastAsia" w:ascii="宋体" w:hAnsi="宋体" w:cs="宋体"/>
                <w:b w:val="0"/>
                <w:bCs w:val="0"/>
                <w:sz w:val="21"/>
                <w:szCs w:val="21"/>
              </w:rPr>
              <w:t>日历天（</w:t>
            </w:r>
            <w:r>
              <w:rPr>
                <w:rFonts w:hint="eastAsia" w:ascii="宋体" w:hAnsi="宋体" w:cs="宋体"/>
                <w:b w:val="0"/>
                <w:bCs w:val="0"/>
                <w:sz w:val="21"/>
                <w:szCs w:val="21"/>
                <w:lang w:val="en-US" w:eastAsia="zh-CN"/>
              </w:rPr>
              <w:t>5</w:t>
            </w:r>
            <w:r>
              <w:rPr>
                <w:rFonts w:hint="eastAsia" w:ascii="宋体" w:hAnsi="宋体" w:cs="宋体"/>
                <w:b w:val="0"/>
                <w:bCs w:val="0"/>
                <w:sz w:val="21"/>
                <w:szCs w:val="21"/>
              </w:rPr>
              <w:t>个月）。</w:t>
            </w:r>
          </w:p>
          <w:p w14:paraId="4239C3CF">
            <w:pPr>
              <w:pStyle w:val="6"/>
              <w:spacing w:line="320" w:lineRule="exact"/>
              <w:rPr>
                <w:rFonts w:ascii="宋体" w:hAnsi="宋体" w:cs="宋体"/>
                <w:b w:val="0"/>
                <w:bCs w:val="0"/>
                <w:sz w:val="21"/>
                <w:szCs w:val="21"/>
              </w:rPr>
            </w:pPr>
            <w:r>
              <w:rPr>
                <w:rFonts w:hint="eastAsia" w:ascii="宋体" w:hAnsi="宋体" w:cs="宋体"/>
                <w:b w:val="0"/>
                <w:bCs w:val="0"/>
                <w:sz w:val="21"/>
                <w:szCs w:val="21"/>
              </w:rPr>
              <w:t>质量标准：交工验收质量合格，竣工验收质量优良。</w:t>
            </w:r>
          </w:p>
          <w:p w14:paraId="07051D54">
            <w:pPr>
              <w:pStyle w:val="6"/>
              <w:spacing w:line="320" w:lineRule="exact"/>
              <w:rPr>
                <w:rFonts w:ascii="宋体" w:hAnsi="宋体" w:cs="宋体"/>
                <w:b w:val="0"/>
                <w:bCs w:val="0"/>
                <w:sz w:val="21"/>
                <w:szCs w:val="21"/>
              </w:rPr>
            </w:pPr>
            <w:r>
              <w:rPr>
                <w:rFonts w:hint="eastAsia" w:ascii="宋体" w:hAnsi="宋体" w:cs="宋体"/>
                <w:b w:val="0"/>
                <w:bCs w:val="0"/>
                <w:sz w:val="21"/>
                <w:szCs w:val="21"/>
              </w:rPr>
              <w:t>验收要求：按照《公路养护工程质量检验评定标准第一册土建工程》(JTG5220—2020）、《公路工程质量检验评定标准》（JTGF80/1-2017）的相关要求验收。</w:t>
            </w:r>
          </w:p>
          <w:p w14:paraId="3268E864">
            <w:pPr>
              <w:pStyle w:val="6"/>
              <w:spacing w:line="320" w:lineRule="exact"/>
              <w:rPr>
                <w:rFonts w:ascii="宋体" w:hAnsi="宋体" w:cs="宋体"/>
                <w:sz w:val="21"/>
                <w:szCs w:val="21"/>
              </w:rPr>
            </w:pPr>
            <w:r>
              <w:rPr>
                <w:rFonts w:hint="eastAsia" w:ascii="宋体" w:hAnsi="宋体" w:cs="宋体"/>
                <w:b w:val="0"/>
                <w:bCs w:val="0"/>
                <w:iCs w:val="0"/>
                <w:sz w:val="21"/>
                <w:szCs w:val="21"/>
              </w:rPr>
              <w:t>工程安全目标：无安全生产责任事故。</w:t>
            </w:r>
          </w:p>
        </w:tc>
      </w:tr>
      <w:tr w14:paraId="3388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456" w:type="dxa"/>
            <w:noWrap/>
            <w:vAlign w:val="center"/>
          </w:tcPr>
          <w:p w14:paraId="18B92C20">
            <w:pPr>
              <w:spacing w:line="360" w:lineRule="auto"/>
              <w:jc w:val="center"/>
              <w:rPr>
                <w:rFonts w:ascii="宋体" w:hAnsi="宋体" w:cs="宋体"/>
                <w:szCs w:val="21"/>
              </w:rPr>
            </w:pPr>
            <w:r>
              <w:rPr>
                <w:rFonts w:hint="eastAsia" w:ascii="宋体" w:hAnsi="宋体" w:cs="宋体"/>
                <w:szCs w:val="21"/>
              </w:rPr>
              <w:t>3</w:t>
            </w:r>
          </w:p>
        </w:tc>
        <w:tc>
          <w:tcPr>
            <w:tcW w:w="645" w:type="dxa"/>
            <w:noWrap/>
            <w:vAlign w:val="center"/>
          </w:tcPr>
          <w:p w14:paraId="3D25BCAA">
            <w:pPr>
              <w:spacing w:line="360" w:lineRule="auto"/>
              <w:jc w:val="center"/>
              <w:rPr>
                <w:rFonts w:ascii="宋体" w:hAnsi="宋体" w:cs="宋体"/>
                <w:szCs w:val="21"/>
              </w:rPr>
            </w:pPr>
            <w:r>
              <w:rPr>
                <w:rFonts w:hint="eastAsia" w:ascii="宋体" w:hAnsi="宋体" w:cs="宋体"/>
                <w:szCs w:val="21"/>
              </w:rPr>
              <w:t>3</w:t>
            </w:r>
          </w:p>
        </w:tc>
        <w:tc>
          <w:tcPr>
            <w:tcW w:w="1749" w:type="dxa"/>
            <w:noWrap/>
            <w:vAlign w:val="center"/>
          </w:tcPr>
          <w:p w14:paraId="0B5E48AC">
            <w:pPr>
              <w:spacing w:line="360" w:lineRule="auto"/>
              <w:jc w:val="center"/>
              <w:rPr>
                <w:rFonts w:ascii="宋体" w:hAnsi="宋体" w:cs="宋体"/>
                <w:szCs w:val="21"/>
              </w:rPr>
            </w:pPr>
            <w:r>
              <w:rPr>
                <w:rFonts w:hint="eastAsia" w:ascii="宋体" w:hAnsi="宋体" w:cs="宋体"/>
                <w:szCs w:val="21"/>
              </w:rPr>
              <w:t>供应商资格</w:t>
            </w:r>
          </w:p>
        </w:tc>
        <w:tc>
          <w:tcPr>
            <w:tcW w:w="6373" w:type="dxa"/>
            <w:noWrap/>
            <w:vAlign w:val="center"/>
          </w:tcPr>
          <w:p w14:paraId="2B68E4B3">
            <w:pPr>
              <w:spacing w:line="400" w:lineRule="exact"/>
              <w:jc w:val="left"/>
              <w:rPr>
                <w:rFonts w:ascii="宋体" w:hAnsi="宋体" w:cs="宋体"/>
                <w:szCs w:val="21"/>
              </w:rPr>
            </w:pPr>
            <w:r>
              <w:rPr>
                <w:rFonts w:hint="eastAsia" w:ascii="宋体" w:hAnsi="宋体" w:cs="宋体"/>
                <w:szCs w:val="21"/>
              </w:rPr>
              <w:t>3.1.满足《中华人民共和国政府采购法》第二十二条规定。</w:t>
            </w:r>
          </w:p>
          <w:p w14:paraId="5B863DFD">
            <w:pPr>
              <w:spacing w:line="400" w:lineRule="exact"/>
              <w:jc w:val="left"/>
              <w:rPr>
                <w:rFonts w:ascii="宋体" w:hAnsi="宋体" w:cs="宋体"/>
                <w:szCs w:val="21"/>
              </w:rPr>
            </w:pPr>
            <w:r>
              <w:rPr>
                <w:rFonts w:hint="eastAsia" w:ascii="宋体" w:hAnsi="宋体" w:cs="宋体"/>
                <w:szCs w:val="21"/>
              </w:rPr>
              <w:t>3.2.落实政府采购政策需满足的资格要求：按照《广西壮族自治区财政厅关于进一步发挥政府采购政策功能促进企业发展的通知》（桂财采〔2022〕30 号）和财政部、工业和信息化部印发《政府采购促进中小企业</w:t>
            </w:r>
            <w:r>
              <w:rPr>
                <w:rFonts w:hint="eastAsia" w:ascii="宋体" w:hAnsi="宋体" w:cs="宋体"/>
                <w:color w:val="auto"/>
                <w:szCs w:val="21"/>
              </w:rPr>
              <w:t>发展管理办法》（财库〔2020〕46 号）的有关规定，</w:t>
            </w:r>
            <w:r>
              <w:rPr>
                <w:rFonts w:hint="eastAsia" w:ascii="宋体" w:hAnsi="宋体" w:cs="宋体"/>
                <w:b/>
                <w:bCs/>
                <w:color w:val="auto"/>
                <w:szCs w:val="21"/>
              </w:rPr>
              <w:t>本项目专门面向</w:t>
            </w:r>
            <w:r>
              <w:rPr>
                <w:rFonts w:hint="eastAsia" w:ascii="宋体" w:hAnsi="宋体" w:cs="宋体"/>
                <w:b/>
                <w:bCs/>
                <w:color w:val="auto"/>
                <w:szCs w:val="21"/>
                <w:lang w:val="en-US" w:eastAsia="zh-CN"/>
              </w:rPr>
              <w:t>小微</w:t>
            </w:r>
            <w:r>
              <w:rPr>
                <w:rFonts w:hint="eastAsia" w:ascii="宋体" w:hAnsi="宋体" w:cs="宋体"/>
                <w:b/>
                <w:bCs/>
                <w:color w:val="auto"/>
                <w:szCs w:val="21"/>
              </w:rPr>
              <w:t>企业采购</w:t>
            </w:r>
            <w:r>
              <w:rPr>
                <w:rFonts w:hint="eastAsia" w:ascii="宋体" w:hAnsi="宋体" w:cs="宋体"/>
                <w:color w:val="auto"/>
                <w:szCs w:val="21"/>
              </w:rPr>
              <w:t>,供应商须满足《政府采购促进中小企业发展管理办法》(财库〔2</w:t>
            </w:r>
            <w:r>
              <w:rPr>
                <w:rFonts w:hint="eastAsia" w:ascii="宋体" w:hAnsi="宋体" w:cs="宋体"/>
                <w:szCs w:val="21"/>
              </w:rPr>
              <w:t>020〕46号)第二条规定。中小微企业以国家统计局关于印发《统计上大中小微型企业划分办法（2017)》的通知附表为划分标准。</w:t>
            </w:r>
          </w:p>
          <w:p w14:paraId="4C9E3F20">
            <w:pPr>
              <w:spacing w:line="400" w:lineRule="exact"/>
              <w:jc w:val="left"/>
              <w:rPr>
                <w:rFonts w:ascii="宋体" w:hAnsi="宋体" w:cs="宋体"/>
                <w:szCs w:val="21"/>
              </w:rPr>
            </w:pPr>
            <w:r>
              <w:rPr>
                <w:rFonts w:hint="eastAsia" w:ascii="宋体" w:hAnsi="宋体" w:cs="宋体"/>
                <w:szCs w:val="21"/>
              </w:rPr>
              <w:t>3.3.本项目的特定资格要求：</w:t>
            </w:r>
          </w:p>
          <w:p w14:paraId="7D65AC13">
            <w:pPr>
              <w:adjustRightInd/>
              <w:snapToGrid/>
              <w:spacing w:line="3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本次招标要求</w:t>
            </w:r>
            <w:r>
              <w:rPr>
                <w:rFonts w:hint="eastAsia" w:ascii="宋体" w:hAnsi="宋体" w:cs="宋体"/>
                <w:sz w:val="21"/>
                <w:szCs w:val="21"/>
                <w:lang w:eastAsia="zh-CN"/>
              </w:rPr>
              <w:t>供应商</w:t>
            </w:r>
            <w:r>
              <w:rPr>
                <w:rFonts w:hint="eastAsia" w:ascii="宋体" w:hAnsi="宋体" w:eastAsia="宋体" w:cs="宋体"/>
                <w:sz w:val="21"/>
                <w:szCs w:val="21"/>
              </w:rPr>
              <w:t>必须是在国家工商行政部门注册，具有有效的营业执照、有效的安全生产许可证及有效的公路养护作业单位资质桥梁养护乙级（含）以上资质，并在人员、设备、资金等方面具有相应的施工能力。</w:t>
            </w:r>
          </w:p>
          <w:p w14:paraId="70878460">
            <w:pPr>
              <w:spacing w:line="340" w:lineRule="exact"/>
              <w:ind w:firstLine="420"/>
              <w:rPr>
                <w:rFonts w:hint="eastAsia" w:ascii="宋体" w:hAnsi="宋体" w:eastAsia="宋体" w:cs="宋体"/>
                <w:b w:val="0"/>
                <w:bCs w:val="0"/>
                <w:kern w:val="2"/>
                <w:sz w:val="21"/>
                <w:szCs w:val="21"/>
              </w:rPr>
            </w:pPr>
            <w:r>
              <w:rPr>
                <w:rFonts w:hint="eastAsia" w:ascii="宋体" w:hAnsi="宋体" w:eastAsia="宋体" w:cs="宋体"/>
                <w:b w:val="0"/>
                <w:bCs w:val="0"/>
                <w:kern w:val="2"/>
                <w:sz w:val="21"/>
                <w:szCs w:val="21"/>
              </w:rPr>
              <w:t>注：（1）</w:t>
            </w:r>
            <w:r>
              <w:rPr>
                <w:rFonts w:hint="eastAsia" w:ascii="宋体" w:hAnsi="宋体" w:eastAsia="宋体" w:cs="宋体"/>
                <w:kern w:val="2"/>
                <w:sz w:val="21"/>
                <w:szCs w:val="21"/>
              </w:rPr>
              <w:t>公路养护作业单位资质</w:t>
            </w:r>
            <w:r>
              <w:rPr>
                <w:rFonts w:hint="eastAsia" w:ascii="宋体" w:hAnsi="宋体" w:eastAsia="宋体" w:cs="宋体"/>
                <w:b w:val="0"/>
                <w:bCs w:val="0"/>
                <w:kern w:val="2"/>
                <w:sz w:val="21"/>
                <w:szCs w:val="21"/>
              </w:rPr>
              <w:t>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4A52F58D">
            <w:pPr>
              <w:spacing w:line="340" w:lineRule="exact"/>
              <w:ind w:firstLine="420"/>
              <w:rPr>
                <w:rFonts w:hint="eastAsia" w:ascii="宋体" w:hAnsi="宋体" w:eastAsia="宋体" w:cs="宋体"/>
                <w:b w:val="0"/>
                <w:bCs w:val="0"/>
                <w:kern w:val="2"/>
                <w:sz w:val="21"/>
                <w:szCs w:val="21"/>
                <w:shd w:val="clear"/>
              </w:rPr>
            </w:pPr>
            <w:r>
              <w:rPr>
                <w:rFonts w:hint="eastAsia" w:ascii="宋体" w:hAnsi="宋体" w:eastAsia="宋体" w:cs="宋体"/>
                <w:b w:val="0"/>
                <w:bCs w:val="0"/>
                <w:kern w:val="2"/>
                <w:sz w:val="21"/>
                <w:szCs w:val="21"/>
                <w:shd w:val="clear"/>
              </w:rPr>
              <w:t xml:space="preserve"> （2）投标人应进入交通运输部“全国公路建设市场信用信息管理系（http://glxy.mot.gov.cn）”中的公路工程施工资质企业名录，且</w:t>
            </w:r>
            <w:r>
              <w:rPr>
                <w:rFonts w:hint="eastAsia" w:ascii="宋体" w:hAnsi="宋体" w:cs="宋体"/>
                <w:b w:val="0"/>
                <w:bCs w:val="0"/>
                <w:kern w:val="2"/>
                <w:sz w:val="21"/>
                <w:szCs w:val="21"/>
                <w:shd w:val="clear"/>
                <w:lang w:eastAsia="zh-CN"/>
              </w:rPr>
              <w:t>供应商</w:t>
            </w:r>
            <w:r>
              <w:rPr>
                <w:rFonts w:hint="eastAsia" w:ascii="宋体" w:hAnsi="宋体" w:eastAsia="宋体" w:cs="宋体"/>
                <w:b w:val="0"/>
                <w:bCs w:val="0"/>
                <w:kern w:val="2"/>
                <w:sz w:val="21"/>
                <w:szCs w:val="21"/>
                <w:shd w:val="clear"/>
              </w:rPr>
              <w:t>名称和资质与该名录中的相应企业名称和资质完全一致。</w:t>
            </w:r>
          </w:p>
          <w:p w14:paraId="703F75C7">
            <w:pPr>
              <w:spacing w:line="400" w:lineRule="exact"/>
              <w:jc w:val="left"/>
              <w:rPr>
                <w:rFonts w:ascii="宋体" w:hAnsi="宋体" w:cs="宋体"/>
                <w:szCs w:val="21"/>
              </w:rPr>
            </w:pPr>
            <w:r>
              <w:rPr>
                <w:rFonts w:hint="eastAsia" w:ascii="宋体" w:hAnsi="宋体" w:cs="宋体"/>
                <w:szCs w:val="21"/>
              </w:rPr>
              <w:t>3. 4.对在“信用中国”网站(www.creditchina.gov.cn)、中国政府采购网(www.ccgp.gov.cn)等渠道列入失信被执行人、重大税收违法案件当事人名单、严重违法失信行为记录名单及其他不符合《中华人民共和国政府采购法》第二十二条规定条件的供应商，不得参与采购活动。</w:t>
            </w:r>
          </w:p>
        </w:tc>
      </w:tr>
      <w:tr w14:paraId="5532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6" w:type="dxa"/>
            <w:noWrap/>
            <w:vAlign w:val="center"/>
          </w:tcPr>
          <w:p w14:paraId="1BF04E1F">
            <w:pPr>
              <w:spacing w:line="360" w:lineRule="auto"/>
              <w:jc w:val="center"/>
              <w:rPr>
                <w:rFonts w:ascii="宋体" w:hAnsi="宋体" w:cs="宋体"/>
                <w:szCs w:val="21"/>
              </w:rPr>
            </w:pPr>
            <w:r>
              <w:rPr>
                <w:rFonts w:hint="eastAsia" w:ascii="宋体" w:hAnsi="宋体" w:cs="宋体"/>
                <w:szCs w:val="21"/>
              </w:rPr>
              <w:t>4</w:t>
            </w:r>
          </w:p>
        </w:tc>
        <w:tc>
          <w:tcPr>
            <w:tcW w:w="645" w:type="dxa"/>
            <w:noWrap/>
            <w:vAlign w:val="center"/>
          </w:tcPr>
          <w:p w14:paraId="1BA31372">
            <w:pPr>
              <w:spacing w:line="360" w:lineRule="auto"/>
              <w:jc w:val="center"/>
              <w:rPr>
                <w:rFonts w:ascii="宋体" w:hAnsi="宋体" w:cs="宋体"/>
                <w:szCs w:val="21"/>
              </w:rPr>
            </w:pPr>
            <w:r>
              <w:rPr>
                <w:rFonts w:hint="eastAsia" w:ascii="宋体" w:hAnsi="宋体" w:cs="宋体"/>
                <w:szCs w:val="21"/>
              </w:rPr>
              <w:t>4</w:t>
            </w:r>
          </w:p>
        </w:tc>
        <w:tc>
          <w:tcPr>
            <w:tcW w:w="1749" w:type="dxa"/>
            <w:noWrap/>
            <w:vAlign w:val="center"/>
          </w:tcPr>
          <w:p w14:paraId="4A604BD5">
            <w:pPr>
              <w:spacing w:line="360" w:lineRule="auto"/>
              <w:jc w:val="center"/>
              <w:rPr>
                <w:rFonts w:ascii="宋体" w:hAnsi="宋体" w:cs="宋体"/>
                <w:szCs w:val="21"/>
              </w:rPr>
            </w:pPr>
            <w:r>
              <w:rPr>
                <w:rFonts w:hint="eastAsia" w:ascii="宋体" w:hAnsi="宋体" w:cs="宋体"/>
                <w:szCs w:val="21"/>
              </w:rPr>
              <w:t>磋商费用</w:t>
            </w:r>
          </w:p>
        </w:tc>
        <w:tc>
          <w:tcPr>
            <w:tcW w:w="6373" w:type="dxa"/>
            <w:noWrap/>
          </w:tcPr>
          <w:p w14:paraId="0660D269">
            <w:pPr>
              <w:spacing w:line="360" w:lineRule="auto"/>
              <w:rPr>
                <w:rFonts w:ascii="宋体" w:hAnsi="宋体" w:cs="宋体"/>
                <w:szCs w:val="21"/>
              </w:rPr>
            </w:pPr>
            <w:r>
              <w:rPr>
                <w:rFonts w:hint="eastAsia" w:ascii="宋体" w:hAnsi="宋体" w:cs="宋体"/>
                <w:szCs w:val="21"/>
              </w:rPr>
              <w:t xml:space="preserve">不论磋商结果如何，供应商均应自行承担印刷费、差旅费、住宿费等所有与磋商有关的全部费用。 </w:t>
            </w:r>
          </w:p>
        </w:tc>
      </w:tr>
      <w:tr w14:paraId="1F33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noWrap/>
            <w:vAlign w:val="center"/>
          </w:tcPr>
          <w:p w14:paraId="3C42AFE6">
            <w:pPr>
              <w:spacing w:line="360" w:lineRule="auto"/>
              <w:jc w:val="center"/>
              <w:rPr>
                <w:rFonts w:ascii="宋体" w:hAnsi="宋体" w:cs="宋体"/>
                <w:szCs w:val="21"/>
              </w:rPr>
            </w:pPr>
            <w:r>
              <w:rPr>
                <w:rFonts w:hint="eastAsia" w:ascii="宋体" w:hAnsi="宋体" w:cs="宋体"/>
                <w:szCs w:val="21"/>
              </w:rPr>
              <w:t>5</w:t>
            </w:r>
          </w:p>
        </w:tc>
        <w:tc>
          <w:tcPr>
            <w:tcW w:w="645" w:type="dxa"/>
            <w:noWrap/>
            <w:vAlign w:val="center"/>
          </w:tcPr>
          <w:p w14:paraId="64B24501">
            <w:pPr>
              <w:spacing w:line="360" w:lineRule="auto"/>
              <w:jc w:val="center"/>
              <w:rPr>
                <w:rFonts w:ascii="宋体" w:hAnsi="宋体" w:cs="宋体"/>
                <w:position w:val="-2"/>
                <w:szCs w:val="21"/>
              </w:rPr>
            </w:pPr>
            <w:r>
              <w:rPr>
                <w:rFonts w:hint="eastAsia" w:ascii="宋体" w:hAnsi="宋体" w:cs="宋体"/>
                <w:position w:val="-2"/>
                <w:szCs w:val="21"/>
              </w:rPr>
              <w:t>13</w:t>
            </w:r>
          </w:p>
        </w:tc>
        <w:tc>
          <w:tcPr>
            <w:tcW w:w="1749" w:type="dxa"/>
            <w:noWrap/>
            <w:vAlign w:val="center"/>
          </w:tcPr>
          <w:p w14:paraId="374AFCA1">
            <w:pPr>
              <w:spacing w:line="360" w:lineRule="auto"/>
              <w:jc w:val="center"/>
              <w:rPr>
                <w:rFonts w:ascii="宋体" w:hAnsi="宋体" w:cs="宋体"/>
                <w:position w:val="-2"/>
                <w:szCs w:val="21"/>
              </w:rPr>
            </w:pPr>
            <w:r>
              <w:rPr>
                <w:rFonts w:hint="eastAsia" w:ascii="宋体" w:hAnsi="宋体" w:cs="宋体"/>
                <w:szCs w:val="21"/>
              </w:rPr>
              <w:t>磋商报价及采购控制价</w:t>
            </w:r>
          </w:p>
        </w:tc>
        <w:tc>
          <w:tcPr>
            <w:tcW w:w="6373" w:type="dxa"/>
            <w:noWrap/>
            <w:vAlign w:val="center"/>
          </w:tcPr>
          <w:p w14:paraId="32FFC590">
            <w:pPr>
              <w:widowControl/>
              <w:snapToGrid w:val="0"/>
              <w:spacing w:line="360" w:lineRule="auto"/>
              <w:ind w:firstLine="420" w:firstLineChars="200"/>
              <w:jc w:val="left"/>
              <w:rPr>
                <w:rFonts w:ascii="宋体" w:hAnsi="宋体" w:cs="宋体"/>
                <w:szCs w:val="21"/>
              </w:rPr>
            </w:pPr>
            <w:r>
              <w:rPr>
                <w:rFonts w:hint="eastAsia" w:ascii="宋体" w:hAnsi="宋体" w:cs="宋体"/>
                <w:szCs w:val="21"/>
              </w:rPr>
              <w:t>磋商报价应按采购文件中相关附表格式填写。</w:t>
            </w:r>
          </w:p>
          <w:p w14:paraId="2C557030">
            <w:pPr>
              <w:widowControl/>
              <w:snapToGrid w:val="0"/>
              <w:spacing w:line="360" w:lineRule="auto"/>
              <w:ind w:firstLine="422" w:firstLineChars="200"/>
              <w:jc w:val="left"/>
              <w:rPr>
                <w:rFonts w:ascii="宋体" w:hAnsi="宋体" w:cs="宋体"/>
                <w:szCs w:val="21"/>
              </w:rPr>
            </w:pPr>
            <w:r>
              <w:rPr>
                <w:rFonts w:hint="eastAsia" w:ascii="宋体" w:hAnsi="宋体" w:cs="宋体"/>
                <w:b/>
                <w:szCs w:val="21"/>
              </w:rPr>
              <w:t>承包人必须完成本合同工程路容路貌整治、排水系统整治工作，其费用应视为已分摊在本合同工程的有关子目的单价或总额价之中。</w:t>
            </w:r>
          </w:p>
          <w:p w14:paraId="56F6DE13">
            <w:pPr>
              <w:widowControl/>
              <w:snapToGrid w:val="0"/>
              <w:spacing w:line="360" w:lineRule="auto"/>
              <w:ind w:firstLine="406" w:firstLineChars="200"/>
              <w:jc w:val="left"/>
              <w:rPr>
                <w:rFonts w:hint="eastAsia" w:ascii="宋体" w:hAnsi="宋体" w:eastAsia="宋体" w:cs="宋体"/>
                <w:b/>
                <w:bCs/>
                <w:color w:val="FF0000"/>
                <w:spacing w:val="-4"/>
                <w:szCs w:val="21"/>
                <w:lang w:val="en-US" w:eastAsia="zh-CN"/>
              </w:rPr>
            </w:pPr>
            <w:r>
              <w:rPr>
                <w:rFonts w:hint="eastAsia" w:ascii="宋体" w:hAnsi="宋体" w:cs="宋体"/>
                <w:b/>
                <w:bCs/>
                <w:color w:val="FF0000"/>
                <w:spacing w:val="-4"/>
                <w:szCs w:val="21"/>
              </w:rPr>
              <w:t>本项目的招标控制价为：1193000.00元</w:t>
            </w:r>
          </w:p>
          <w:p w14:paraId="67DCFAAB">
            <w:pPr>
              <w:widowControl/>
              <w:snapToGrid w:val="0"/>
              <w:spacing w:line="360" w:lineRule="auto"/>
              <w:ind w:firstLine="422" w:firstLineChars="200"/>
              <w:jc w:val="left"/>
              <w:rPr>
                <w:rFonts w:ascii="宋体" w:hAnsi="宋体" w:cs="宋体"/>
                <w:b/>
                <w:color w:val="FF0000"/>
                <w:szCs w:val="21"/>
              </w:rPr>
            </w:pPr>
            <w:r>
              <w:rPr>
                <w:rFonts w:hint="eastAsia" w:ascii="宋体" w:hAnsi="宋体" w:cs="宋体"/>
                <w:b/>
                <w:color w:val="FF0000"/>
                <w:szCs w:val="21"/>
              </w:rPr>
              <w:t>磋商报价四舍五入到元，超出控制价的，响应文件作无效处理。</w:t>
            </w:r>
          </w:p>
          <w:p w14:paraId="4F010EE1">
            <w:pPr>
              <w:widowControl/>
              <w:snapToGrid w:val="0"/>
              <w:spacing w:line="360" w:lineRule="auto"/>
              <w:ind w:firstLine="422" w:firstLineChars="200"/>
              <w:jc w:val="left"/>
              <w:rPr>
                <w:rFonts w:ascii="宋体" w:hAnsi="宋体" w:cs="宋体"/>
                <w:szCs w:val="21"/>
              </w:rPr>
            </w:pPr>
            <w:r>
              <w:rPr>
                <w:rFonts w:hint="eastAsia" w:ascii="宋体" w:hAnsi="宋体" w:cs="宋体"/>
                <w:b/>
                <w:szCs w:val="21"/>
              </w:rPr>
              <w:t>注：供应商的第二次磋商报价不得高于该供应商第一次磋商报价，否则做无效标处理。如供应商维持磋商报价不变，以原磋商报价作为供应商最后报价；如供应商需要改变原磋商报价时，供应商应预先准备好调整后的完整已标价的工程量清单。如供应商在磋商过程中，改变原报价且未按竞争性磋商文件要求提供调整后的磋商报价电子版的，其报价不予认可，视供应商维持原磋商报价不变。</w:t>
            </w:r>
          </w:p>
        </w:tc>
      </w:tr>
      <w:tr w14:paraId="6E2D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456" w:type="dxa"/>
            <w:noWrap/>
            <w:vAlign w:val="center"/>
          </w:tcPr>
          <w:p w14:paraId="28126C12">
            <w:pPr>
              <w:spacing w:line="360" w:lineRule="auto"/>
              <w:jc w:val="center"/>
              <w:rPr>
                <w:rFonts w:ascii="宋体" w:hAnsi="宋体" w:cs="宋体"/>
                <w:szCs w:val="21"/>
              </w:rPr>
            </w:pPr>
            <w:r>
              <w:rPr>
                <w:rFonts w:hint="eastAsia" w:ascii="宋体" w:hAnsi="宋体" w:cs="宋体"/>
                <w:szCs w:val="21"/>
              </w:rPr>
              <w:t>6</w:t>
            </w:r>
          </w:p>
        </w:tc>
        <w:tc>
          <w:tcPr>
            <w:tcW w:w="645" w:type="dxa"/>
            <w:noWrap/>
            <w:vAlign w:val="center"/>
          </w:tcPr>
          <w:p w14:paraId="4E964369">
            <w:pPr>
              <w:spacing w:line="360" w:lineRule="auto"/>
              <w:jc w:val="center"/>
              <w:rPr>
                <w:rFonts w:ascii="宋体" w:hAnsi="宋体" w:cs="宋体"/>
                <w:position w:val="-2"/>
                <w:szCs w:val="21"/>
              </w:rPr>
            </w:pPr>
            <w:r>
              <w:rPr>
                <w:rFonts w:hint="eastAsia" w:ascii="宋体" w:hAnsi="宋体" w:cs="宋体"/>
                <w:position w:val="-2"/>
                <w:szCs w:val="21"/>
              </w:rPr>
              <w:t>14.1</w:t>
            </w:r>
          </w:p>
        </w:tc>
        <w:tc>
          <w:tcPr>
            <w:tcW w:w="1749" w:type="dxa"/>
            <w:noWrap/>
            <w:vAlign w:val="center"/>
          </w:tcPr>
          <w:p w14:paraId="3BF8F937">
            <w:pPr>
              <w:spacing w:line="360" w:lineRule="auto"/>
              <w:jc w:val="center"/>
              <w:rPr>
                <w:rFonts w:ascii="宋体" w:hAnsi="宋体" w:cs="宋体"/>
                <w:position w:val="-2"/>
                <w:szCs w:val="21"/>
              </w:rPr>
            </w:pPr>
            <w:r>
              <w:rPr>
                <w:rFonts w:hint="eastAsia" w:ascii="宋体" w:hAnsi="宋体" w:cs="宋体"/>
                <w:szCs w:val="21"/>
              </w:rPr>
              <w:t>响应文件有效期</w:t>
            </w:r>
          </w:p>
        </w:tc>
        <w:tc>
          <w:tcPr>
            <w:tcW w:w="6373" w:type="dxa"/>
            <w:noWrap/>
            <w:vAlign w:val="center"/>
          </w:tcPr>
          <w:p w14:paraId="35D7D0DB">
            <w:pPr>
              <w:tabs>
                <w:tab w:val="left" w:pos="1305"/>
              </w:tabs>
              <w:spacing w:line="360" w:lineRule="auto"/>
              <w:rPr>
                <w:rFonts w:ascii="宋体" w:hAnsi="宋体" w:cs="宋体"/>
                <w:szCs w:val="21"/>
              </w:rPr>
            </w:pPr>
            <w:r>
              <w:rPr>
                <w:rFonts w:hint="eastAsia" w:ascii="宋体" w:hAnsi="宋体" w:cs="宋体"/>
                <w:szCs w:val="21"/>
              </w:rPr>
              <w:t>自响应文件递交截止时间之日起90天，有效期不足的响应文件将被拒绝。</w:t>
            </w:r>
          </w:p>
        </w:tc>
      </w:tr>
      <w:tr w14:paraId="0DD55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56" w:type="dxa"/>
            <w:noWrap/>
            <w:vAlign w:val="center"/>
          </w:tcPr>
          <w:p w14:paraId="45CF9616">
            <w:pPr>
              <w:spacing w:line="360" w:lineRule="auto"/>
              <w:jc w:val="center"/>
              <w:rPr>
                <w:rFonts w:ascii="宋体" w:hAnsi="宋体" w:cs="宋体"/>
                <w:szCs w:val="21"/>
              </w:rPr>
            </w:pPr>
            <w:r>
              <w:rPr>
                <w:rFonts w:hint="eastAsia" w:ascii="宋体" w:hAnsi="宋体" w:cs="宋体"/>
                <w:szCs w:val="21"/>
              </w:rPr>
              <w:t>7</w:t>
            </w:r>
          </w:p>
        </w:tc>
        <w:tc>
          <w:tcPr>
            <w:tcW w:w="645" w:type="dxa"/>
            <w:noWrap/>
            <w:vAlign w:val="center"/>
          </w:tcPr>
          <w:p w14:paraId="07F3EFB0">
            <w:pPr>
              <w:spacing w:line="360" w:lineRule="auto"/>
              <w:jc w:val="center"/>
              <w:rPr>
                <w:rFonts w:ascii="宋体" w:hAnsi="宋体" w:cs="宋体"/>
                <w:szCs w:val="21"/>
              </w:rPr>
            </w:pPr>
            <w:r>
              <w:rPr>
                <w:rFonts w:hint="eastAsia" w:ascii="宋体" w:hAnsi="宋体" w:cs="宋体"/>
                <w:szCs w:val="21"/>
              </w:rPr>
              <w:t>15</w:t>
            </w:r>
          </w:p>
        </w:tc>
        <w:tc>
          <w:tcPr>
            <w:tcW w:w="1749" w:type="dxa"/>
            <w:noWrap/>
            <w:vAlign w:val="center"/>
          </w:tcPr>
          <w:p w14:paraId="17292085">
            <w:pPr>
              <w:spacing w:line="360" w:lineRule="auto"/>
              <w:jc w:val="center"/>
              <w:rPr>
                <w:rFonts w:ascii="宋体" w:hAnsi="宋体" w:cs="宋体"/>
                <w:szCs w:val="21"/>
              </w:rPr>
            </w:pPr>
            <w:r>
              <w:rPr>
                <w:rFonts w:hint="eastAsia" w:ascii="宋体" w:hAnsi="宋体" w:cs="宋体"/>
                <w:position w:val="-2"/>
                <w:szCs w:val="21"/>
              </w:rPr>
              <w:t>保证金</w:t>
            </w:r>
          </w:p>
        </w:tc>
        <w:tc>
          <w:tcPr>
            <w:tcW w:w="6373" w:type="dxa"/>
            <w:noWrap/>
          </w:tcPr>
          <w:p w14:paraId="6D6B690B">
            <w:pPr>
              <w:tabs>
                <w:tab w:val="left" w:pos="1305"/>
              </w:tabs>
              <w:spacing w:line="360" w:lineRule="auto"/>
              <w:rPr>
                <w:rFonts w:ascii="宋体" w:hAnsi="宋体" w:cs="宋体"/>
                <w:szCs w:val="21"/>
              </w:rPr>
            </w:pPr>
            <w:r>
              <w:rPr>
                <w:rFonts w:hint="eastAsia" w:ascii="宋体" w:hAnsi="宋体" w:cs="宋体"/>
                <w:szCs w:val="21"/>
              </w:rPr>
              <w:t>本项目无需缴纳磋商保证金</w:t>
            </w:r>
          </w:p>
        </w:tc>
      </w:tr>
      <w:tr w14:paraId="667A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 w:type="dxa"/>
            <w:noWrap/>
            <w:vAlign w:val="center"/>
          </w:tcPr>
          <w:p w14:paraId="713488BC">
            <w:pPr>
              <w:spacing w:line="360" w:lineRule="auto"/>
              <w:jc w:val="center"/>
              <w:rPr>
                <w:rFonts w:ascii="宋体" w:hAnsi="宋体" w:cs="宋体"/>
                <w:szCs w:val="21"/>
              </w:rPr>
            </w:pPr>
            <w:r>
              <w:rPr>
                <w:rFonts w:hint="eastAsia" w:ascii="宋体" w:hAnsi="宋体" w:cs="宋体"/>
                <w:szCs w:val="21"/>
              </w:rPr>
              <w:t>8</w:t>
            </w:r>
          </w:p>
        </w:tc>
        <w:tc>
          <w:tcPr>
            <w:tcW w:w="645" w:type="dxa"/>
            <w:noWrap/>
            <w:vAlign w:val="center"/>
          </w:tcPr>
          <w:p w14:paraId="6D135FBA">
            <w:pPr>
              <w:spacing w:line="360" w:lineRule="auto"/>
              <w:jc w:val="center"/>
              <w:rPr>
                <w:rFonts w:ascii="宋体" w:hAnsi="宋体" w:cs="宋体"/>
                <w:position w:val="10"/>
                <w:szCs w:val="21"/>
              </w:rPr>
            </w:pPr>
            <w:r>
              <w:rPr>
                <w:rFonts w:hint="eastAsia" w:ascii="宋体" w:hAnsi="宋体" w:cs="宋体"/>
                <w:position w:val="10"/>
                <w:szCs w:val="21"/>
              </w:rPr>
              <w:t>16</w:t>
            </w:r>
          </w:p>
        </w:tc>
        <w:tc>
          <w:tcPr>
            <w:tcW w:w="1749" w:type="dxa"/>
            <w:noWrap/>
            <w:vAlign w:val="center"/>
          </w:tcPr>
          <w:p w14:paraId="67E8ED7E">
            <w:pPr>
              <w:pStyle w:val="5"/>
              <w:widowControl w:val="0"/>
              <w:spacing w:before="0" w:after="0" w:line="360" w:lineRule="auto"/>
              <w:jc w:val="center"/>
              <w:rPr>
                <w:rFonts w:ascii="宋体" w:hAnsi="宋体" w:cs="宋体"/>
                <w:b w:val="0"/>
                <w:sz w:val="21"/>
                <w:szCs w:val="21"/>
              </w:rPr>
            </w:pPr>
            <w:r>
              <w:rPr>
                <w:rFonts w:hint="eastAsia" w:ascii="宋体" w:hAnsi="宋体" w:cs="宋体"/>
                <w:b w:val="0"/>
                <w:sz w:val="21"/>
                <w:szCs w:val="21"/>
              </w:rPr>
              <w:t>竞争性磋商响应文件的制作</w:t>
            </w:r>
          </w:p>
          <w:p w14:paraId="42BA673A">
            <w:pPr>
              <w:spacing w:line="360" w:lineRule="auto"/>
              <w:jc w:val="center"/>
              <w:rPr>
                <w:rFonts w:ascii="宋体" w:hAnsi="宋体" w:cs="宋体"/>
                <w:position w:val="10"/>
                <w:szCs w:val="21"/>
              </w:rPr>
            </w:pPr>
          </w:p>
        </w:tc>
        <w:tc>
          <w:tcPr>
            <w:tcW w:w="6373" w:type="dxa"/>
            <w:noWrap/>
            <w:vAlign w:val="center"/>
          </w:tcPr>
          <w:p w14:paraId="43831949">
            <w:pPr>
              <w:spacing w:line="360" w:lineRule="auto"/>
              <w:rPr>
                <w:rFonts w:ascii="宋体" w:hAnsi="宋体" w:cs="宋体"/>
                <w:szCs w:val="21"/>
              </w:rPr>
            </w:pPr>
            <w:r>
              <w:rPr>
                <w:rFonts w:hint="eastAsia" w:ascii="宋体" w:hAnsi="宋体" w:cs="宋体"/>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2CE60ABD">
            <w:pPr>
              <w:spacing w:line="360" w:lineRule="auto"/>
              <w:rPr>
                <w:rFonts w:ascii="宋体" w:hAnsi="宋体" w:cs="宋体"/>
                <w:szCs w:val="21"/>
              </w:rPr>
            </w:pPr>
            <w:r>
              <w:rPr>
                <w:rFonts w:hint="eastAsia" w:ascii="宋体" w:hAnsi="宋体" w:cs="宋体"/>
                <w:szCs w:val="21"/>
              </w:rPr>
              <w:t>16.2供应商法人（负责人）或授权代表持有广西政府采购云个人CA签章的，应在响应文件中涉及到签字的位置使用个人CA签章，没有办理广西政府采购云个人CA签章的可在响应文件中涉及到签字的位置手写签字后扫描或者拍照做成 PDF 的格式上传即可。</w:t>
            </w:r>
          </w:p>
          <w:p w14:paraId="7D77DF28">
            <w:pPr>
              <w:spacing w:line="360" w:lineRule="auto"/>
              <w:rPr>
                <w:rFonts w:ascii="宋体" w:hAnsi="宋体" w:cs="宋体"/>
                <w:szCs w:val="21"/>
              </w:rPr>
            </w:pPr>
            <w:r>
              <w:rPr>
                <w:rFonts w:hint="eastAsia" w:ascii="宋体" w:hAnsi="宋体" w:cs="宋体"/>
                <w:szCs w:val="21"/>
              </w:rPr>
              <w:t>16.3 磋商响应文件不得涂改，若有修改错漏处，须法定代表人（负责人）或授权委托人签字（或个人CA签章）。磋商响应文件因字迹潦草或表达不清所引起的后果由供应商负责。</w:t>
            </w:r>
          </w:p>
          <w:p w14:paraId="4B5D8947">
            <w:pPr>
              <w:spacing w:line="360" w:lineRule="auto"/>
              <w:rPr>
                <w:rFonts w:ascii="宋体" w:hAnsi="宋体" w:cs="宋体"/>
                <w:szCs w:val="21"/>
              </w:rPr>
            </w:pPr>
            <w:r>
              <w:rPr>
                <w:rFonts w:hint="eastAsia" w:ascii="宋体" w:hAnsi="宋体" w:cs="宋体"/>
                <w:szCs w:val="21"/>
              </w:rPr>
              <w:t xml:space="preserve">16.4磋商前准备 </w:t>
            </w:r>
          </w:p>
          <w:p w14:paraId="36D97358">
            <w:pPr>
              <w:spacing w:line="360" w:lineRule="auto"/>
              <w:rPr>
                <w:rFonts w:ascii="宋体" w:hAnsi="宋体" w:cs="宋体"/>
                <w:szCs w:val="21"/>
              </w:rPr>
            </w:pPr>
            <w:r>
              <w:rPr>
                <w:rFonts w:hint="eastAsia" w:ascii="宋体" w:hAnsi="宋体" w:cs="宋体"/>
                <w:szCs w:val="21"/>
              </w:rPr>
              <w:t xml:space="preserve">16.4.1本项目实行在线磋商，采用电子磋商响应文件。若供应商参与磋商，自行承担磋商一切费用。 </w:t>
            </w:r>
          </w:p>
          <w:p w14:paraId="51073C73">
            <w:pPr>
              <w:spacing w:line="360" w:lineRule="auto"/>
              <w:rPr>
                <w:rFonts w:ascii="宋体" w:hAnsi="宋体" w:cs="宋体"/>
                <w:szCs w:val="21"/>
              </w:rPr>
            </w:pPr>
            <w:r>
              <w:rPr>
                <w:rFonts w:hint="eastAsia" w:ascii="宋体" w:hAnsi="宋体" w:cs="宋体"/>
                <w:szCs w:val="21"/>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11575588">
            <w:pPr>
              <w:spacing w:line="360" w:lineRule="auto"/>
              <w:rPr>
                <w:rFonts w:ascii="宋体" w:hAnsi="宋体" w:cs="宋体"/>
                <w:szCs w:val="21"/>
              </w:rPr>
            </w:pPr>
            <w:r>
              <w:rPr>
                <w:rFonts w:hint="eastAsia" w:ascii="宋体" w:hAnsi="宋体" w:cs="宋体"/>
                <w:szCs w:val="21"/>
              </w:rPr>
              <w:t>16.4.3供应商将广西政府采购云电子交易客户端下载、安装完成后，可通过账号密码或 CA 登录客户端进行响应文件制作。客户端请至网站下载专区查看，如有问题可拨打广西政府采购云客户服务热线 95763 进行咨询。</w:t>
            </w:r>
          </w:p>
        </w:tc>
      </w:tr>
      <w:tr w14:paraId="2ADB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noWrap/>
            <w:vAlign w:val="center"/>
          </w:tcPr>
          <w:p w14:paraId="45C4A7D6">
            <w:pPr>
              <w:spacing w:line="360" w:lineRule="auto"/>
              <w:jc w:val="center"/>
              <w:rPr>
                <w:rFonts w:ascii="宋体" w:hAnsi="宋体" w:cs="宋体"/>
                <w:szCs w:val="21"/>
              </w:rPr>
            </w:pPr>
            <w:r>
              <w:rPr>
                <w:rFonts w:hint="eastAsia" w:ascii="宋体" w:hAnsi="宋体" w:cs="宋体"/>
                <w:szCs w:val="21"/>
              </w:rPr>
              <w:t>9</w:t>
            </w:r>
          </w:p>
        </w:tc>
        <w:tc>
          <w:tcPr>
            <w:tcW w:w="645" w:type="dxa"/>
            <w:noWrap/>
            <w:vAlign w:val="center"/>
          </w:tcPr>
          <w:p w14:paraId="0A1E5E19">
            <w:pPr>
              <w:spacing w:line="360" w:lineRule="auto"/>
              <w:jc w:val="center"/>
              <w:rPr>
                <w:rFonts w:ascii="宋体" w:hAnsi="宋体" w:cs="宋体"/>
                <w:szCs w:val="21"/>
              </w:rPr>
            </w:pPr>
            <w:r>
              <w:rPr>
                <w:rFonts w:hint="eastAsia" w:ascii="宋体" w:hAnsi="宋体" w:cs="宋体"/>
                <w:szCs w:val="21"/>
              </w:rPr>
              <w:t>18.1</w:t>
            </w:r>
          </w:p>
        </w:tc>
        <w:tc>
          <w:tcPr>
            <w:tcW w:w="1749" w:type="dxa"/>
            <w:noWrap/>
            <w:vAlign w:val="center"/>
          </w:tcPr>
          <w:p w14:paraId="21AA5309">
            <w:pPr>
              <w:spacing w:line="360" w:lineRule="auto"/>
              <w:jc w:val="center"/>
              <w:rPr>
                <w:rFonts w:ascii="宋体" w:hAnsi="宋体" w:cs="宋体"/>
                <w:szCs w:val="21"/>
              </w:rPr>
            </w:pPr>
            <w:r>
              <w:rPr>
                <w:rFonts w:hint="eastAsia" w:ascii="宋体" w:hAnsi="宋体" w:cs="宋体"/>
                <w:szCs w:val="21"/>
              </w:rPr>
              <w:t>响应文件递交截止时间</w:t>
            </w:r>
          </w:p>
        </w:tc>
        <w:tc>
          <w:tcPr>
            <w:tcW w:w="6373" w:type="dxa"/>
            <w:noWrap/>
            <w:vAlign w:val="center"/>
          </w:tcPr>
          <w:p w14:paraId="416CCFAC">
            <w:pPr>
              <w:spacing w:line="360" w:lineRule="auto"/>
              <w:rPr>
                <w:rFonts w:ascii="宋体" w:hAnsi="宋体" w:cs="宋体"/>
                <w:color w:val="auto"/>
                <w:szCs w:val="21"/>
              </w:rPr>
            </w:pPr>
            <w:r>
              <w:rPr>
                <w:rFonts w:hint="eastAsia" w:ascii="宋体" w:hAnsi="宋体" w:cs="宋体"/>
                <w:color w:val="auto"/>
                <w:szCs w:val="21"/>
                <w:u w:val="single"/>
              </w:rPr>
              <w:t>于2024年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日9时30分</w:t>
            </w:r>
            <w:r>
              <w:rPr>
                <w:rFonts w:hint="eastAsia" w:ascii="宋体" w:hAnsi="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tc>
      </w:tr>
      <w:tr w14:paraId="2601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456" w:type="dxa"/>
            <w:noWrap/>
            <w:vAlign w:val="center"/>
          </w:tcPr>
          <w:p w14:paraId="09BFCB89">
            <w:pPr>
              <w:spacing w:line="360" w:lineRule="auto"/>
              <w:jc w:val="center"/>
              <w:rPr>
                <w:rFonts w:ascii="宋体" w:hAnsi="宋体" w:cs="宋体"/>
                <w:szCs w:val="21"/>
              </w:rPr>
            </w:pPr>
            <w:r>
              <w:rPr>
                <w:rFonts w:hint="eastAsia" w:ascii="宋体" w:hAnsi="宋体" w:cs="宋体"/>
                <w:szCs w:val="21"/>
              </w:rPr>
              <w:t>10</w:t>
            </w:r>
          </w:p>
        </w:tc>
        <w:tc>
          <w:tcPr>
            <w:tcW w:w="645" w:type="dxa"/>
            <w:noWrap/>
            <w:vAlign w:val="center"/>
          </w:tcPr>
          <w:p w14:paraId="29EF4317">
            <w:pPr>
              <w:spacing w:line="360" w:lineRule="auto"/>
              <w:jc w:val="center"/>
              <w:rPr>
                <w:rFonts w:ascii="宋体" w:hAnsi="宋体" w:cs="宋体"/>
                <w:szCs w:val="21"/>
              </w:rPr>
            </w:pPr>
            <w:r>
              <w:rPr>
                <w:rFonts w:hint="eastAsia" w:ascii="宋体" w:hAnsi="宋体" w:cs="宋体"/>
                <w:szCs w:val="21"/>
              </w:rPr>
              <w:t>18.2</w:t>
            </w:r>
          </w:p>
        </w:tc>
        <w:tc>
          <w:tcPr>
            <w:tcW w:w="1749" w:type="dxa"/>
            <w:noWrap/>
            <w:vAlign w:val="center"/>
          </w:tcPr>
          <w:p w14:paraId="603F68C0">
            <w:pPr>
              <w:spacing w:line="360" w:lineRule="auto"/>
              <w:jc w:val="center"/>
              <w:rPr>
                <w:rFonts w:ascii="宋体" w:hAnsi="宋体" w:cs="宋体"/>
                <w:szCs w:val="21"/>
              </w:rPr>
            </w:pPr>
            <w:r>
              <w:rPr>
                <w:rFonts w:hint="eastAsia" w:ascii="宋体" w:hAnsi="宋体" w:cs="宋体"/>
                <w:szCs w:val="21"/>
              </w:rPr>
              <w:t>磋商响应文件解密时间</w:t>
            </w:r>
          </w:p>
        </w:tc>
        <w:tc>
          <w:tcPr>
            <w:tcW w:w="6373" w:type="dxa"/>
            <w:noWrap/>
            <w:vAlign w:val="center"/>
          </w:tcPr>
          <w:p w14:paraId="3C353021">
            <w:pPr>
              <w:pStyle w:val="18"/>
              <w:widowControl w:val="0"/>
              <w:spacing w:line="360" w:lineRule="auto"/>
              <w:rPr>
                <w:rFonts w:ascii="宋体" w:hAnsi="宋体" w:cs="宋体"/>
                <w:color w:val="auto"/>
                <w:kern w:val="2"/>
                <w:sz w:val="21"/>
                <w:szCs w:val="21"/>
              </w:rPr>
            </w:pPr>
            <w:r>
              <w:rPr>
                <w:rFonts w:hint="eastAsia" w:ascii="宋体" w:hAnsi="宋体" w:cs="宋体"/>
                <w:color w:val="auto"/>
                <w:kern w:val="2"/>
                <w:sz w:val="21"/>
                <w:szCs w:val="21"/>
              </w:rPr>
              <w:t>磋商响应文件解密时间：</w:t>
            </w:r>
            <w:r>
              <w:rPr>
                <w:rFonts w:hint="eastAsia" w:ascii="宋体" w:hAnsi="宋体" w:cs="宋体"/>
                <w:color w:val="auto"/>
                <w:sz w:val="21"/>
                <w:szCs w:val="21"/>
              </w:rPr>
              <w:t>截标时间后</w:t>
            </w:r>
            <w:r>
              <w:rPr>
                <w:rFonts w:hint="eastAsia" w:ascii="宋体" w:hAnsi="宋体" w:cs="宋体"/>
                <w:color w:val="auto"/>
                <w:sz w:val="21"/>
                <w:szCs w:val="21"/>
                <w:u w:val="single"/>
              </w:rPr>
              <w:t>30</w:t>
            </w:r>
            <w:r>
              <w:rPr>
                <w:rFonts w:hint="eastAsia" w:ascii="宋体" w:hAnsi="宋体" w:cs="宋体"/>
                <w:color w:val="auto"/>
                <w:sz w:val="21"/>
                <w:szCs w:val="21"/>
              </w:rPr>
              <w:t>分钟内（</w:t>
            </w:r>
            <w:r>
              <w:rPr>
                <w:rFonts w:hint="eastAsia" w:ascii="宋体" w:hAnsi="宋体" w:cs="宋体"/>
                <w:color w:val="auto"/>
                <w:sz w:val="21"/>
                <w:szCs w:val="21"/>
                <w:u w:val="single"/>
              </w:rPr>
              <w:t>2024年</w:t>
            </w:r>
            <w:r>
              <w:rPr>
                <w:rFonts w:hint="eastAsia" w:ascii="宋体" w:hAnsi="宋体" w:cs="宋体"/>
                <w:color w:val="auto"/>
                <w:sz w:val="21"/>
                <w:szCs w:val="21"/>
                <w:u w:val="single"/>
                <w:lang w:val="en-US" w:eastAsia="zh-CN"/>
              </w:rPr>
              <w:t>7</w:t>
            </w:r>
            <w:r>
              <w:rPr>
                <w:rFonts w:hint="eastAsia" w:ascii="宋体" w:hAnsi="宋体" w:cs="宋体"/>
                <w:color w:val="auto"/>
                <w:sz w:val="21"/>
                <w:szCs w:val="21"/>
                <w:u w:val="single"/>
              </w:rPr>
              <w:t>月</w:t>
            </w:r>
            <w:r>
              <w:rPr>
                <w:rFonts w:hint="eastAsia" w:ascii="宋体" w:hAnsi="宋体" w:cs="宋体"/>
                <w:color w:val="auto"/>
                <w:sz w:val="21"/>
                <w:szCs w:val="21"/>
                <w:u w:val="single"/>
                <w:lang w:val="en-US" w:eastAsia="zh-CN"/>
              </w:rPr>
              <w:t>29</w:t>
            </w:r>
            <w:r>
              <w:rPr>
                <w:rFonts w:hint="eastAsia" w:ascii="宋体" w:hAnsi="宋体" w:cs="宋体"/>
                <w:color w:val="auto"/>
                <w:sz w:val="21"/>
                <w:szCs w:val="21"/>
                <w:u w:val="single"/>
              </w:rPr>
              <w:t>日上午9时30分至10时00分</w:t>
            </w:r>
            <w:r>
              <w:rPr>
                <w:rFonts w:hint="eastAsia" w:ascii="宋体" w:hAnsi="宋体" w:cs="宋体"/>
                <w:color w:val="auto"/>
                <w:sz w:val="21"/>
                <w:szCs w:val="21"/>
              </w:rPr>
              <w:t>)磋商供应商可以登录广西政府采购云平台，用“项目采购-开标评标”功能进行解密电子磋商响应文件。若磋商供应商在规定时间内无法解密或解密失败，视为无效响应。</w:t>
            </w:r>
          </w:p>
        </w:tc>
      </w:tr>
      <w:tr w14:paraId="0A03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noWrap/>
            <w:vAlign w:val="center"/>
          </w:tcPr>
          <w:p w14:paraId="6DEBAA12">
            <w:pPr>
              <w:spacing w:line="360" w:lineRule="auto"/>
              <w:jc w:val="center"/>
              <w:rPr>
                <w:rFonts w:ascii="宋体" w:hAnsi="宋体" w:cs="宋体"/>
                <w:szCs w:val="21"/>
              </w:rPr>
            </w:pPr>
            <w:r>
              <w:rPr>
                <w:rFonts w:hint="eastAsia" w:ascii="宋体" w:hAnsi="宋体" w:cs="宋体"/>
                <w:szCs w:val="21"/>
              </w:rPr>
              <w:t>11</w:t>
            </w:r>
          </w:p>
        </w:tc>
        <w:tc>
          <w:tcPr>
            <w:tcW w:w="645" w:type="dxa"/>
            <w:noWrap/>
            <w:vAlign w:val="center"/>
          </w:tcPr>
          <w:p w14:paraId="7D7F4E88">
            <w:pPr>
              <w:spacing w:line="360" w:lineRule="auto"/>
              <w:rPr>
                <w:rFonts w:ascii="宋体" w:hAnsi="宋体" w:cs="宋体"/>
                <w:position w:val="-2"/>
                <w:szCs w:val="21"/>
              </w:rPr>
            </w:pPr>
            <w:r>
              <w:rPr>
                <w:rFonts w:hint="eastAsia" w:ascii="宋体" w:hAnsi="宋体" w:cs="宋体"/>
                <w:position w:val="-2"/>
                <w:szCs w:val="21"/>
              </w:rPr>
              <w:t>19.1</w:t>
            </w:r>
          </w:p>
        </w:tc>
        <w:tc>
          <w:tcPr>
            <w:tcW w:w="1749" w:type="dxa"/>
            <w:noWrap/>
            <w:vAlign w:val="center"/>
          </w:tcPr>
          <w:p w14:paraId="1E71D4C8">
            <w:pPr>
              <w:spacing w:line="360" w:lineRule="auto"/>
              <w:jc w:val="center"/>
              <w:rPr>
                <w:rFonts w:ascii="宋体" w:hAnsi="宋体" w:cs="宋体"/>
                <w:szCs w:val="21"/>
              </w:rPr>
            </w:pPr>
            <w:r>
              <w:rPr>
                <w:rFonts w:hint="eastAsia" w:ascii="宋体" w:hAnsi="宋体" w:cs="宋体"/>
                <w:szCs w:val="21"/>
              </w:rPr>
              <w:t>磋商小组组成</w:t>
            </w:r>
          </w:p>
        </w:tc>
        <w:tc>
          <w:tcPr>
            <w:tcW w:w="6373" w:type="dxa"/>
            <w:noWrap/>
            <w:vAlign w:val="center"/>
          </w:tcPr>
          <w:p w14:paraId="73ECED84">
            <w:pPr>
              <w:spacing w:line="360" w:lineRule="auto"/>
              <w:ind w:left="-4" w:leftChars="-2" w:firstLine="2" w:firstLineChars="1"/>
              <w:rPr>
                <w:rFonts w:ascii="宋体" w:hAnsi="宋体" w:cs="宋体"/>
                <w:color w:val="auto"/>
                <w:szCs w:val="21"/>
              </w:rPr>
            </w:pPr>
            <w:r>
              <w:rPr>
                <w:rFonts w:hint="eastAsia" w:ascii="宋体" w:hAnsi="宋体" w:cs="宋体"/>
                <w:color w:val="auto"/>
                <w:szCs w:val="21"/>
              </w:rPr>
              <w:t>磋商及评审工作由采购代理机构负责组织，具体磋商、评审工作由依法组建的磋商小组负责，磋商小组由政府采购评审专家库抽取的相关专业的专家组成。磋商小组的构成：3 人。</w:t>
            </w:r>
          </w:p>
        </w:tc>
      </w:tr>
      <w:tr w14:paraId="2D63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6" w:type="dxa"/>
            <w:noWrap/>
            <w:vAlign w:val="center"/>
          </w:tcPr>
          <w:p w14:paraId="3E6A163B">
            <w:pPr>
              <w:spacing w:line="360" w:lineRule="auto"/>
              <w:jc w:val="center"/>
              <w:rPr>
                <w:rFonts w:ascii="宋体" w:hAnsi="宋体" w:cs="宋体"/>
                <w:szCs w:val="21"/>
              </w:rPr>
            </w:pPr>
            <w:r>
              <w:rPr>
                <w:rFonts w:hint="eastAsia" w:ascii="宋体" w:hAnsi="宋体" w:cs="宋体"/>
                <w:szCs w:val="21"/>
              </w:rPr>
              <w:t>12</w:t>
            </w:r>
          </w:p>
        </w:tc>
        <w:tc>
          <w:tcPr>
            <w:tcW w:w="645" w:type="dxa"/>
            <w:noWrap/>
            <w:vAlign w:val="center"/>
          </w:tcPr>
          <w:p w14:paraId="73265D56">
            <w:pPr>
              <w:spacing w:line="360" w:lineRule="auto"/>
              <w:jc w:val="center"/>
              <w:rPr>
                <w:rFonts w:ascii="宋体" w:hAnsi="宋体" w:cs="宋体"/>
                <w:szCs w:val="21"/>
              </w:rPr>
            </w:pPr>
            <w:r>
              <w:rPr>
                <w:rFonts w:hint="eastAsia" w:ascii="宋体" w:hAnsi="宋体" w:cs="宋体"/>
                <w:szCs w:val="21"/>
              </w:rPr>
              <w:t>19.2</w:t>
            </w:r>
          </w:p>
        </w:tc>
        <w:tc>
          <w:tcPr>
            <w:tcW w:w="1749" w:type="dxa"/>
            <w:noWrap/>
            <w:vAlign w:val="center"/>
          </w:tcPr>
          <w:p w14:paraId="6E1745FC">
            <w:pPr>
              <w:spacing w:line="360" w:lineRule="auto"/>
              <w:jc w:val="center"/>
              <w:rPr>
                <w:rFonts w:ascii="宋体" w:hAnsi="宋体" w:cs="宋体"/>
                <w:szCs w:val="21"/>
              </w:rPr>
            </w:pPr>
            <w:r>
              <w:rPr>
                <w:rFonts w:hint="eastAsia" w:ascii="宋体" w:hAnsi="宋体" w:cs="宋体"/>
                <w:szCs w:val="21"/>
              </w:rPr>
              <w:t>磋商时间、地点、人员</w:t>
            </w:r>
          </w:p>
        </w:tc>
        <w:tc>
          <w:tcPr>
            <w:tcW w:w="6373" w:type="dxa"/>
            <w:noWrap/>
          </w:tcPr>
          <w:p w14:paraId="5CACC8FF">
            <w:pPr>
              <w:spacing w:line="360" w:lineRule="auto"/>
              <w:ind w:left="315" w:hanging="315" w:hangingChars="150"/>
              <w:jc w:val="left"/>
              <w:rPr>
                <w:rFonts w:ascii="宋体" w:hAnsi="宋体" w:cs="宋体"/>
                <w:szCs w:val="21"/>
              </w:rPr>
            </w:pPr>
            <w:r>
              <w:rPr>
                <w:rFonts w:hint="eastAsia" w:ascii="宋体" w:hAnsi="宋体" w:cs="宋体"/>
                <w:szCs w:val="21"/>
              </w:rPr>
              <w:t>19.2.1磋商时间：响应文件递交截止时间后。</w:t>
            </w:r>
          </w:p>
          <w:p w14:paraId="3D8F4792">
            <w:pPr>
              <w:spacing w:line="360" w:lineRule="auto"/>
              <w:jc w:val="left"/>
              <w:rPr>
                <w:rFonts w:ascii="宋体" w:hAnsi="宋体" w:cs="宋体"/>
                <w:szCs w:val="21"/>
              </w:rPr>
            </w:pPr>
            <w:r>
              <w:rPr>
                <w:rFonts w:hint="eastAsia" w:ascii="宋体" w:hAnsi="宋体" w:cs="宋体"/>
                <w:szCs w:val="21"/>
              </w:rPr>
              <w:t>19.2.2磋商地点：本项目需要磋商供应商代表在截标当天截标后，按磋商小组要求及时登陆广西政府采购云平台等候在线磋商。</w:t>
            </w:r>
          </w:p>
          <w:p w14:paraId="44B73ABF">
            <w:pPr>
              <w:spacing w:line="360" w:lineRule="auto"/>
              <w:ind w:left="15" w:hanging="14" w:hangingChars="7"/>
              <w:jc w:val="left"/>
              <w:rPr>
                <w:rFonts w:ascii="宋体" w:hAnsi="宋体" w:cs="宋体"/>
                <w:szCs w:val="21"/>
              </w:rPr>
            </w:pPr>
            <w:r>
              <w:rPr>
                <w:rFonts w:hint="eastAsia" w:ascii="宋体" w:hAnsi="宋体" w:cs="宋体"/>
                <w:szCs w:val="21"/>
              </w:rPr>
              <w:t>19.2.3磋商参加人员：供应商法定代表人、负责人、自然人或相应的委托代理人持有效身份证和供应商广西政府采购云平台CA数字证书参加磋商。请供应商按时等候磋商。</w:t>
            </w:r>
          </w:p>
          <w:p w14:paraId="7F022DE7">
            <w:pPr>
              <w:spacing w:line="360" w:lineRule="auto"/>
              <w:ind w:left="15" w:hanging="14" w:hangingChars="7"/>
              <w:rPr>
                <w:rFonts w:ascii="宋体" w:hAnsi="宋体" w:cs="宋体"/>
                <w:b/>
                <w:szCs w:val="21"/>
              </w:rPr>
            </w:pPr>
            <w:r>
              <w:rPr>
                <w:rFonts w:hint="eastAsia" w:ascii="宋体" w:hAnsi="宋体" w:cs="宋体"/>
                <w:szCs w:val="21"/>
              </w:rPr>
              <w:t>19.2.4响应文件递交截止时间后，由磋商小组在评标室内线上开启响应文件。</w:t>
            </w:r>
          </w:p>
        </w:tc>
      </w:tr>
      <w:tr w14:paraId="3779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56" w:type="dxa"/>
            <w:noWrap/>
            <w:vAlign w:val="center"/>
          </w:tcPr>
          <w:p w14:paraId="083FAF51">
            <w:pPr>
              <w:spacing w:line="360" w:lineRule="auto"/>
              <w:jc w:val="center"/>
              <w:rPr>
                <w:rFonts w:ascii="宋体" w:hAnsi="宋体" w:cs="宋体"/>
                <w:szCs w:val="21"/>
              </w:rPr>
            </w:pPr>
            <w:r>
              <w:rPr>
                <w:rFonts w:hint="eastAsia" w:ascii="宋体" w:hAnsi="宋体" w:cs="宋体"/>
                <w:kern w:val="0"/>
                <w:szCs w:val="21"/>
              </w:rPr>
              <w:t>13</w:t>
            </w:r>
          </w:p>
        </w:tc>
        <w:tc>
          <w:tcPr>
            <w:tcW w:w="645" w:type="dxa"/>
            <w:noWrap/>
            <w:vAlign w:val="center"/>
          </w:tcPr>
          <w:p w14:paraId="36D0CA17">
            <w:pPr>
              <w:spacing w:line="360" w:lineRule="auto"/>
              <w:jc w:val="center"/>
              <w:rPr>
                <w:rFonts w:ascii="宋体" w:hAnsi="宋体" w:cs="宋体"/>
                <w:szCs w:val="21"/>
              </w:rPr>
            </w:pPr>
            <w:r>
              <w:rPr>
                <w:rFonts w:hint="eastAsia" w:ascii="宋体" w:hAnsi="宋体" w:cs="宋体"/>
                <w:szCs w:val="21"/>
              </w:rPr>
              <w:t>20.2</w:t>
            </w:r>
          </w:p>
        </w:tc>
        <w:tc>
          <w:tcPr>
            <w:tcW w:w="1749" w:type="dxa"/>
            <w:noWrap/>
            <w:vAlign w:val="center"/>
          </w:tcPr>
          <w:p w14:paraId="48749914">
            <w:pPr>
              <w:pStyle w:val="26"/>
              <w:spacing w:line="360" w:lineRule="auto"/>
              <w:jc w:val="center"/>
              <w:rPr>
                <w:rFonts w:hAnsi="宋体" w:cs="宋体"/>
                <w:sz w:val="21"/>
                <w:szCs w:val="21"/>
              </w:rPr>
            </w:pPr>
            <w:r>
              <w:rPr>
                <w:rFonts w:hint="eastAsia" w:hAnsi="宋体" w:cs="宋体"/>
                <w:sz w:val="21"/>
                <w:szCs w:val="21"/>
              </w:rPr>
              <w:t>评审办法</w:t>
            </w:r>
          </w:p>
        </w:tc>
        <w:tc>
          <w:tcPr>
            <w:tcW w:w="6373" w:type="dxa"/>
            <w:noWrap/>
            <w:vAlign w:val="center"/>
          </w:tcPr>
          <w:p w14:paraId="144B8ECF">
            <w:pPr>
              <w:tabs>
                <w:tab w:val="left" w:pos="1140"/>
              </w:tabs>
              <w:spacing w:line="360" w:lineRule="auto"/>
              <w:rPr>
                <w:rFonts w:ascii="宋体" w:hAnsi="宋体" w:cs="宋体"/>
                <w:szCs w:val="21"/>
              </w:rPr>
            </w:pPr>
            <w:r>
              <w:rPr>
                <w:rFonts w:hint="eastAsia" w:ascii="宋体" w:hAnsi="宋体" w:cs="宋体"/>
                <w:szCs w:val="21"/>
              </w:rPr>
              <w:t>具体详见第四章评审办法。</w:t>
            </w:r>
          </w:p>
        </w:tc>
      </w:tr>
      <w:tr w14:paraId="0335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56" w:type="dxa"/>
            <w:noWrap/>
            <w:vAlign w:val="center"/>
          </w:tcPr>
          <w:p w14:paraId="6DBB0F4D">
            <w:pPr>
              <w:spacing w:line="360" w:lineRule="auto"/>
              <w:jc w:val="center"/>
              <w:rPr>
                <w:rFonts w:ascii="宋体" w:hAnsi="宋体" w:cs="宋体"/>
                <w:szCs w:val="21"/>
              </w:rPr>
            </w:pPr>
            <w:r>
              <w:rPr>
                <w:rFonts w:hint="eastAsia" w:ascii="宋体" w:hAnsi="宋体" w:cs="宋体"/>
                <w:szCs w:val="21"/>
              </w:rPr>
              <w:t>14</w:t>
            </w:r>
          </w:p>
        </w:tc>
        <w:tc>
          <w:tcPr>
            <w:tcW w:w="645" w:type="dxa"/>
            <w:noWrap/>
            <w:vAlign w:val="center"/>
          </w:tcPr>
          <w:p w14:paraId="1B6420C2">
            <w:pPr>
              <w:spacing w:line="360" w:lineRule="auto"/>
              <w:jc w:val="center"/>
              <w:rPr>
                <w:rFonts w:ascii="宋体" w:hAnsi="宋体" w:cs="宋体"/>
                <w:szCs w:val="21"/>
              </w:rPr>
            </w:pPr>
            <w:r>
              <w:rPr>
                <w:rFonts w:hint="eastAsia" w:ascii="宋体" w:hAnsi="宋体" w:cs="宋体"/>
                <w:szCs w:val="21"/>
              </w:rPr>
              <w:t>26</w:t>
            </w:r>
          </w:p>
        </w:tc>
        <w:tc>
          <w:tcPr>
            <w:tcW w:w="1749" w:type="dxa"/>
            <w:noWrap/>
            <w:vAlign w:val="center"/>
          </w:tcPr>
          <w:p w14:paraId="50FAA7B7">
            <w:pPr>
              <w:spacing w:line="360" w:lineRule="auto"/>
              <w:jc w:val="center"/>
              <w:rPr>
                <w:rFonts w:ascii="宋体" w:hAnsi="宋体" w:cs="宋体"/>
                <w:szCs w:val="21"/>
              </w:rPr>
            </w:pPr>
            <w:r>
              <w:rPr>
                <w:rFonts w:hint="eastAsia" w:ascii="宋体" w:hAnsi="宋体" w:cs="宋体"/>
                <w:szCs w:val="21"/>
              </w:rPr>
              <w:t>信用查询</w:t>
            </w:r>
          </w:p>
        </w:tc>
        <w:tc>
          <w:tcPr>
            <w:tcW w:w="6373" w:type="dxa"/>
            <w:noWrap/>
            <w:vAlign w:val="center"/>
          </w:tcPr>
          <w:p w14:paraId="0843B8B2">
            <w:pPr>
              <w:spacing w:line="360" w:lineRule="auto"/>
              <w:rPr>
                <w:rFonts w:ascii="宋体" w:hAnsi="宋体" w:cs="宋体"/>
                <w:szCs w:val="21"/>
              </w:rPr>
            </w:pPr>
            <w:r>
              <w:rPr>
                <w:rFonts w:hint="eastAsia" w:ascii="宋体" w:hAnsi="宋体" w:cs="宋体"/>
                <w:szCs w:val="21"/>
              </w:rPr>
              <w:t>根据《关于做好政府采购有关信用主体标识码登记及在政府采购活动中查询使用信用记录有关问题的通知》（桂财采〔2016〕37），由采购代理机构对第一成交候选人进行信用查询：</w:t>
            </w:r>
          </w:p>
          <w:p w14:paraId="7E1D6502">
            <w:pPr>
              <w:spacing w:line="360" w:lineRule="auto"/>
              <w:rPr>
                <w:rFonts w:ascii="宋体" w:hAnsi="宋体" w:cs="宋体"/>
                <w:szCs w:val="21"/>
              </w:rPr>
            </w:pPr>
            <w:r>
              <w:rPr>
                <w:rFonts w:hint="eastAsia" w:ascii="宋体" w:hAnsi="宋体" w:cs="宋体"/>
                <w:szCs w:val="21"/>
              </w:rPr>
              <w:t>⑴查询渠道：“信用中国”网站(www.creditchina.gov.cn)、中国政府采购网(www.ccgp.gov.cn)等；</w:t>
            </w:r>
          </w:p>
          <w:p w14:paraId="3A84E122">
            <w:pPr>
              <w:spacing w:line="360" w:lineRule="auto"/>
              <w:rPr>
                <w:rFonts w:ascii="宋体" w:hAnsi="宋体" w:cs="宋体"/>
                <w:szCs w:val="21"/>
              </w:rPr>
            </w:pPr>
            <w:r>
              <w:rPr>
                <w:rFonts w:hint="eastAsia" w:ascii="宋体" w:hAnsi="宋体" w:cs="宋体"/>
                <w:szCs w:val="21"/>
              </w:rPr>
              <w:t>⑵查询截止时点：成交通知书发出前；</w:t>
            </w:r>
          </w:p>
          <w:p w14:paraId="2DB4BD26">
            <w:pPr>
              <w:spacing w:line="360" w:lineRule="auto"/>
              <w:rPr>
                <w:rFonts w:ascii="宋体" w:hAnsi="宋体" w:cs="宋体"/>
                <w:szCs w:val="21"/>
              </w:rPr>
            </w:pPr>
            <w:r>
              <w:rPr>
                <w:rFonts w:hint="eastAsia" w:ascii="宋体" w:hAnsi="宋体" w:cs="宋体"/>
                <w:szCs w:val="21"/>
              </w:rPr>
              <w:t>⑶信用信息查询记录和证据留存方式：在查询网站中直接打印查询记录，打印材料作为采购活动资料保存。</w:t>
            </w:r>
          </w:p>
          <w:p w14:paraId="108504E2">
            <w:pPr>
              <w:spacing w:line="360" w:lineRule="auto"/>
              <w:ind w:left="15" w:hanging="14" w:hangingChars="7"/>
              <w:rPr>
                <w:rFonts w:ascii="宋体" w:hAnsi="宋体" w:cs="宋体"/>
                <w:szCs w:val="21"/>
              </w:rPr>
            </w:pPr>
            <w:r>
              <w:rPr>
                <w:rFonts w:hint="eastAsia" w:ascii="宋体" w:hAnsi="宋体" w:cs="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5B46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56" w:type="dxa"/>
            <w:noWrap/>
            <w:vAlign w:val="center"/>
          </w:tcPr>
          <w:p w14:paraId="0ED1B2E8">
            <w:pPr>
              <w:spacing w:line="360" w:lineRule="auto"/>
              <w:jc w:val="center"/>
              <w:rPr>
                <w:rFonts w:ascii="宋体" w:hAnsi="宋体" w:cs="宋体"/>
                <w:szCs w:val="21"/>
              </w:rPr>
            </w:pPr>
            <w:r>
              <w:rPr>
                <w:rFonts w:hint="eastAsia" w:ascii="宋体" w:hAnsi="宋体" w:cs="宋体"/>
                <w:szCs w:val="21"/>
              </w:rPr>
              <w:t>15</w:t>
            </w:r>
          </w:p>
        </w:tc>
        <w:tc>
          <w:tcPr>
            <w:tcW w:w="645" w:type="dxa"/>
            <w:noWrap/>
            <w:vAlign w:val="center"/>
          </w:tcPr>
          <w:p w14:paraId="09BEF557">
            <w:pPr>
              <w:spacing w:line="360" w:lineRule="auto"/>
              <w:jc w:val="center"/>
              <w:rPr>
                <w:rFonts w:ascii="宋体" w:hAnsi="宋体" w:cs="宋体"/>
                <w:szCs w:val="21"/>
              </w:rPr>
            </w:pPr>
            <w:r>
              <w:rPr>
                <w:rFonts w:hint="eastAsia" w:ascii="宋体" w:hAnsi="宋体" w:cs="宋体"/>
                <w:szCs w:val="21"/>
              </w:rPr>
              <w:t>27</w:t>
            </w:r>
          </w:p>
        </w:tc>
        <w:tc>
          <w:tcPr>
            <w:tcW w:w="1749" w:type="dxa"/>
            <w:noWrap/>
            <w:vAlign w:val="center"/>
          </w:tcPr>
          <w:p w14:paraId="7137AE65">
            <w:pPr>
              <w:spacing w:line="360" w:lineRule="auto"/>
              <w:jc w:val="center"/>
              <w:rPr>
                <w:rFonts w:ascii="宋体" w:hAnsi="宋体" w:cs="宋体"/>
                <w:szCs w:val="21"/>
              </w:rPr>
            </w:pPr>
            <w:r>
              <w:rPr>
                <w:rFonts w:hint="eastAsia" w:ascii="宋体" w:hAnsi="宋体" w:cs="宋体"/>
                <w:szCs w:val="21"/>
              </w:rPr>
              <w:t>成交公告</w:t>
            </w:r>
          </w:p>
          <w:p w14:paraId="1AE3E79C">
            <w:pPr>
              <w:spacing w:line="360" w:lineRule="auto"/>
              <w:jc w:val="center"/>
              <w:rPr>
                <w:rFonts w:ascii="宋体" w:hAnsi="宋体" w:cs="宋体"/>
                <w:szCs w:val="21"/>
              </w:rPr>
            </w:pPr>
            <w:r>
              <w:rPr>
                <w:rFonts w:hint="eastAsia" w:ascii="宋体" w:hAnsi="宋体" w:cs="宋体"/>
                <w:szCs w:val="21"/>
              </w:rPr>
              <w:t>及成交通知书</w:t>
            </w:r>
          </w:p>
        </w:tc>
        <w:tc>
          <w:tcPr>
            <w:tcW w:w="6373" w:type="dxa"/>
            <w:noWrap/>
          </w:tcPr>
          <w:p w14:paraId="34FD58B9">
            <w:pPr>
              <w:spacing w:line="360" w:lineRule="auto"/>
              <w:rPr>
                <w:rFonts w:ascii="宋体" w:hAnsi="宋体" w:cs="宋体"/>
                <w:szCs w:val="21"/>
              </w:rPr>
            </w:pPr>
            <w:r>
              <w:rPr>
                <w:rFonts w:hint="eastAsia" w:ascii="宋体" w:hAnsi="宋体" w:cs="宋体"/>
                <w:szCs w:val="21"/>
              </w:rPr>
              <w:t>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BE2CF6A">
            <w:pPr>
              <w:spacing w:line="360" w:lineRule="auto"/>
              <w:rPr>
                <w:rFonts w:ascii="宋体" w:hAnsi="宋体" w:cs="宋体"/>
                <w:szCs w:val="21"/>
              </w:rPr>
            </w:pPr>
            <w:r>
              <w:rPr>
                <w:rFonts w:hint="eastAsia" w:ascii="宋体" w:hAnsi="宋体" w:cs="宋体"/>
                <w:szCs w:val="21"/>
              </w:rPr>
              <w:t>2.在发布成交公告的同时，采购代理机构向成交供应商发出成交通知书。如成交供应商自接到通知之日起七个工作日内，不办理成交通知书领取手续的，按违约处理。采购单位将取消其成交资格，从磋商小组推荐的成交候选供应商中按顺序重新确定成交供应商。</w:t>
            </w:r>
          </w:p>
        </w:tc>
      </w:tr>
      <w:tr w14:paraId="68F3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56" w:type="dxa"/>
            <w:noWrap/>
            <w:vAlign w:val="center"/>
          </w:tcPr>
          <w:p w14:paraId="5DAC120B">
            <w:pPr>
              <w:spacing w:line="360" w:lineRule="auto"/>
              <w:jc w:val="center"/>
              <w:rPr>
                <w:rFonts w:ascii="宋体" w:hAnsi="宋体" w:cs="宋体"/>
                <w:szCs w:val="21"/>
              </w:rPr>
            </w:pPr>
            <w:r>
              <w:rPr>
                <w:rFonts w:hint="eastAsia" w:ascii="宋体" w:hAnsi="宋体" w:cs="宋体"/>
                <w:szCs w:val="21"/>
              </w:rPr>
              <w:t>16</w:t>
            </w:r>
          </w:p>
        </w:tc>
        <w:tc>
          <w:tcPr>
            <w:tcW w:w="645" w:type="dxa"/>
            <w:noWrap/>
            <w:vAlign w:val="center"/>
          </w:tcPr>
          <w:p w14:paraId="305AC425">
            <w:pPr>
              <w:spacing w:line="360" w:lineRule="auto"/>
              <w:jc w:val="center"/>
              <w:rPr>
                <w:rFonts w:ascii="宋体" w:hAnsi="宋体" w:cs="宋体"/>
                <w:szCs w:val="21"/>
              </w:rPr>
            </w:pPr>
            <w:r>
              <w:rPr>
                <w:rFonts w:hint="eastAsia" w:ascii="宋体" w:hAnsi="宋体" w:cs="宋体"/>
                <w:szCs w:val="21"/>
              </w:rPr>
              <w:t>28</w:t>
            </w:r>
          </w:p>
        </w:tc>
        <w:tc>
          <w:tcPr>
            <w:tcW w:w="1749" w:type="dxa"/>
            <w:noWrap/>
            <w:vAlign w:val="center"/>
          </w:tcPr>
          <w:p w14:paraId="6892CAD3">
            <w:pPr>
              <w:spacing w:line="360" w:lineRule="auto"/>
              <w:jc w:val="center"/>
              <w:rPr>
                <w:rFonts w:ascii="宋体" w:hAnsi="宋体" w:cs="宋体"/>
                <w:szCs w:val="21"/>
              </w:rPr>
            </w:pPr>
            <w:r>
              <w:rPr>
                <w:rFonts w:hint="eastAsia" w:ascii="宋体" w:hAnsi="宋体" w:cs="宋体"/>
                <w:szCs w:val="21"/>
              </w:rPr>
              <w:t>履约保证金</w:t>
            </w:r>
          </w:p>
        </w:tc>
        <w:tc>
          <w:tcPr>
            <w:tcW w:w="6373" w:type="dxa"/>
            <w:noWrap/>
            <w:vAlign w:val="center"/>
          </w:tcPr>
          <w:p w14:paraId="721C772B">
            <w:pPr>
              <w:spacing w:line="360" w:lineRule="auto"/>
              <w:rPr>
                <w:rFonts w:ascii="宋体" w:hAnsi="宋体" w:cs="宋体"/>
                <w:szCs w:val="21"/>
              </w:rPr>
            </w:pPr>
            <w:r>
              <w:rPr>
                <w:rFonts w:hint="eastAsia" w:ascii="宋体" w:hAnsi="宋体" w:cs="宋体"/>
                <w:szCs w:val="21"/>
                <w:highlight w:val="yellow"/>
              </w:rPr>
              <w:t>履约保证金金额按中标价的1%（</w:t>
            </w:r>
            <w:r>
              <w:rPr>
                <w:rFonts w:hint="eastAsia" w:ascii="宋体" w:hAnsi="宋体" w:cs="宋体"/>
                <w:szCs w:val="21"/>
              </w:rPr>
              <w:t>人民币，四舍五入到元）缴纳，由成交供应商在与采购人签订合同前将履约保证金以支票、汇票、本票或者金融机构、担保机构出具的保函等非现金形式提交转入采购人履约保证金专户。</w:t>
            </w:r>
          </w:p>
          <w:p w14:paraId="39C891C9">
            <w:pPr>
              <w:pStyle w:val="18"/>
              <w:spacing w:line="360" w:lineRule="auto"/>
              <w:rPr>
                <w:rFonts w:ascii="宋体" w:hAnsi="宋体" w:cs="宋体"/>
                <w:kern w:val="2"/>
                <w:sz w:val="21"/>
                <w:szCs w:val="21"/>
              </w:rPr>
            </w:pPr>
            <w:r>
              <w:rPr>
                <w:rFonts w:hint="eastAsia" w:ascii="宋体" w:hAnsi="宋体" w:cs="宋体"/>
                <w:kern w:val="2"/>
                <w:sz w:val="21"/>
                <w:szCs w:val="21"/>
              </w:rPr>
              <w:t>注：各招标人和招标代理机构要按照《国务院办公厅关于进一步优化营商环境更好服务市场主体的实施意见》（国办发〔2020〕24号）要求，推行以保险、保函等替代现金缴纳涉企保证金，减轻企业现金流压力。鼓励招标人在与中小微企业签订政府采购合同时，减少或免于收取履约保证金，有必要收取履约保证金的，招标人、招标代理机构应当允许供应商自主选择以保险、保函等替代现金缴纳涉企保证金，且收取的履约保证金不得超过合同金额的1%。</w:t>
            </w:r>
          </w:p>
        </w:tc>
      </w:tr>
      <w:tr w14:paraId="2E53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56" w:type="dxa"/>
            <w:noWrap/>
            <w:vAlign w:val="center"/>
          </w:tcPr>
          <w:p w14:paraId="09A1BA99">
            <w:pPr>
              <w:spacing w:line="360" w:lineRule="auto"/>
              <w:jc w:val="center"/>
              <w:rPr>
                <w:rFonts w:ascii="宋体" w:hAnsi="宋体" w:cs="宋体"/>
                <w:szCs w:val="21"/>
              </w:rPr>
            </w:pPr>
            <w:r>
              <w:rPr>
                <w:rFonts w:hint="eastAsia" w:ascii="宋体" w:hAnsi="宋体" w:cs="宋体"/>
                <w:szCs w:val="21"/>
              </w:rPr>
              <w:t>17</w:t>
            </w:r>
          </w:p>
        </w:tc>
        <w:tc>
          <w:tcPr>
            <w:tcW w:w="645" w:type="dxa"/>
            <w:noWrap/>
            <w:vAlign w:val="center"/>
          </w:tcPr>
          <w:p w14:paraId="39A44487">
            <w:pPr>
              <w:spacing w:line="360" w:lineRule="auto"/>
              <w:jc w:val="center"/>
              <w:rPr>
                <w:rFonts w:ascii="宋体" w:hAnsi="宋体" w:cs="宋体"/>
                <w:szCs w:val="21"/>
              </w:rPr>
            </w:pPr>
            <w:r>
              <w:rPr>
                <w:rFonts w:hint="eastAsia" w:ascii="宋体" w:hAnsi="宋体" w:cs="宋体"/>
                <w:szCs w:val="21"/>
              </w:rPr>
              <w:t>29.1</w:t>
            </w:r>
          </w:p>
        </w:tc>
        <w:tc>
          <w:tcPr>
            <w:tcW w:w="1749" w:type="dxa"/>
            <w:noWrap/>
            <w:vAlign w:val="center"/>
          </w:tcPr>
          <w:p w14:paraId="1ED8E3B9">
            <w:pPr>
              <w:spacing w:line="360" w:lineRule="auto"/>
              <w:jc w:val="center"/>
              <w:rPr>
                <w:rFonts w:ascii="宋体" w:hAnsi="宋体" w:cs="宋体"/>
                <w:szCs w:val="21"/>
              </w:rPr>
            </w:pPr>
            <w:r>
              <w:rPr>
                <w:rFonts w:hint="eastAsia" w:ascii="宋体" w:hAnsi="宋体" w:cs="宋体"/>
                <w:szCs w:val="21"/>
              </w:rPr>
              <w:t>签订合同时间</w:t>
            </w:r>
          </w:p>
        </w:tc>
        <w:tc>
          <w:tcPr>
            <w:tcW w:w="6373" w:type="dxa"/>
            <w:noWrap/>
          </w:tcPr>
          <w:p w14:paraId="6936CFB5">
            <w:pPr>
              <w:spacing w:line="360" w:lineRule="auto"/>
              <w:rPr>
                <w:rFonts w:ascii="宋体" w:hAnsi="宋体" w:cs="宋体"/>
                <w:szCs w:val="21"/>
              </w:rPr>
            </w:pPr>
            <w:r>
              <w:rPr>
                <w:rFonts w:hint="eastAsia" w:ascii="宋体" w:hAnsi="宋体" w:cs="宋体"/>
                <w:bCs/>
                <w:kern w:val="0"/>
                <w:szCs w:val="21"/>
              </w:rPr>
              <w:t>成交通知书发出之日起</w:t>
            </w:r>
            <w:r>
              <w:rPr>
                <w:rFonts w:hint="eastAsia" w:ascii="宋体" w:hAnsi="宋体" w:cs="宋体"/>
                <w:bCs/>
                <w:color w:val="FF0000"/>
                <w:kern w:val="0"/>
                <w:szCs w:val="21"/>
              </w:rPr>
              <w:t>八个工作日内</w:t>
            </w:r>
            <w:r>
              <w:rPr>
                <w:rFonts w:hint="eastAsia" w:ascii="宋体" w:hAnsi="宋体" w:cs="宋体"/>
                <w:bCs/>
                <w:kern w:val="0"/>
                <w:szCs w:val="21"/>
              </w:rPr>
              <w:t>签订合同</w:t>
            </w:r>
            <w:r>
              <w:rPr>
                <w:rFonts w:hint="eastAsia" w:ascii="宋体" w:hAnsi="宋体" w:cs="宋体"/>
                <w:szCs w:val="21"/>
              </w:rPr>
              <w:t>。成交供应商领取成交通知书后，应按规定与采购人签订合同。</w:t>
            </w:r>
          </w:p>
        </w:tc>
      </w:tr>
      <w:tr w14:paraId="50C2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56" w:type="dxa"/>
            <w:noWrap/>
            <w:vAlign w:val="center"/>
          </w:tcPr>
          <w:p w14:paraId="7AE8DC30">
            <w:pPr>
              <w:spacing w:line="360" w:lineRule="auto"/>
              <w:jc w:val="center"/>
              <w:rPr>
                <w:rFonts w:ascii="宋体" w:hAnsi="宋体" w:cs="宋体"/>
                <w:szCs w:val="21"/>
              </w:rPr>
            </w:pPr>
            <w:r>
              <w:rPr>
                <w:rFonts w:hint="eastAsia" w:ascii="宋体" w:hAnsi="宋体" w:cs="宋体"/>
                <w:szCs w:val="21"/>
              </w:rPr>
              <w:t>18</w:t>
            </w:r>
          </w:p>
        </w:tc>
        <w:tc>
          <w:tcPr>
            <w:tcW w:w="645" w:type="dxa"/>
            <w:noWrap/>
            <w:vAlign w:val="center"/>
          </w:tcPr>
          <w:p w14:paraId="23F41822">
            <w:pPr>
              <w:spacing w:line="360" w:lineRule="auto"/>
              <w:jc w:val="center"/>
              <w:rPr>
                <w:rFonts w:ascii="宋体" w:hAnsi="宋体" w:cs="宋体"/>
                <w:szCs w:val="21"/>
              </w:rPr>
            </w:pPr>
            <w:r>
              <w:rPr>
                <w:rFonts w:hint="eastAsia" w:ascii="宋体" w:hAnsi="宋体" w:cs="宋体"/>
                <w:szCs w:val="21"/>
              </w:rPr>
              <w:t>29.3</w:t>
            </w:r>
          </w:p>
        </w:tc>
        <w:tc>
          <w:tcPr>
            <w:tcW w:w="1749" w:type="dxa"/>
            <w:noWrap/>
            <w:vAlign w:val="center"/>
          </w:tcPr>
          <w:p w14:paraId="0DDBA1FF">
            <w:pPr>
              <w:spacing w:line="360" w:lineRule="auto"/>
              <w:jc w:val="center"/>
              <w:rPr>
                <w:rFonts w:ascii="宋体" w:hAnsi="宋体" w:cs="宋体"/>
                <w:szCs w:val="21"/>
              </w:rPr>
            </w:pPr>
            <w:r>
              <w:rPr>
                <w:rFonts w:hint="eastAsia" w:ascii="宋体" w:hAnsi="宋体" w:cs="宋体"/>
                <w:szCs w:val="21"/>
              </w:rPr>
              <w:t>合同备案存档</w:t>
            </w:r>
          </w:p>
        </w:tc>
        <w:tc>
          <w:tcPr>
            <w:tcW w:w="6373" w:type="dxa"/>
            <w:noWrap/>
            <w:vAlign w:val="center"/>
          </w:tcPr>
          <w:p w14:paraId="4D7FBF51">
            <w:pPr>
              <w:spacing w:line="360" w:lineRule="auto"/>
              <w:rPr>
                <w:rFonts w:ascii="宋体" w:hAnsi="宋体" w:cs="宋体"/>
                <w:szCs w:val="21"/>
              </w:rPr>
            </w:pPr>
            <w:r>
              <w:rPr>
                <w:rFonts w:hint="eastAsia" w:ascii="宋体" w:hAnsi="宋体" w:cs="宋体"/>
                <w:szCs w:val="21"/>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监督部门备案，一份由广西朝华工程咨询管理有限公司存档。</w:t>
            </w:r>
          </w:p>
        </w:tc>
      </w:tr>
      <w:tr w14:paraId="2E255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56" w:type="dxa"/>
            <w:noWrap/>
            <w:vAlign w:val="center"/>
          </w:tcPr>
          <w:p w14:paraId="2E322C0B">
            <w:pPr>
              <w:spacing w:line="360" w:lineRule="auto"/>
              <w:jc w:val="center"/>
              <w:rPr>
                <w:rFonts w:ascii="宋体" w:hAnsi="宋体" w:cs="宋体"/>
                <w:szCs w:val="21"/>
              </w:rPr>
            </w:pPr>
            <w:r>
              <w:rPr>
                <w:rFonts w:hint="eastAsia" w:ascii="宋体" w:hAnsi="宋体" w:cs="宋体"/>
                <w:szCs w:val="21"/>
              </w:rPr>
              <w:t>19</w:t>
            </w:r>
          </w:p>
        </w:tc>
        <w:tc>
          <w:tcPr>
            <w:tcW w:w="645" w:type="dxa"/>
            <w:noWrap/>
            <w:vAlign w:val="center"/>
          </w:tcPr>
          <w:p w14:paraId="0CDF040F">
            <w:pPr>
              <w:spacing w:line="360" w:lineRule="auto"/>
              <w:jc w:val="center"/>
              <w:rPr>
                <w:rFonts w:ascii="宋体" w:hAnsi="宋体" w:cs="宋体"/>
                <w:szCs w:val="21"/>
              </w:rPr>
            </w:pPr>
            <w:r>
              <w:rPr>
                <w:rFonts w:hint="eastAsia" w:ascii="宋体" w:hAnsi="宋体" w:cs="宋体"/>
                <w:szCs w:val="21"/>
              </w:rPr>
              <w:t>30</w:t>
            </w:r>
          </w:p>
        </w:tc>
        <w:tc>
          <w:tcPr>
            <w:tcW w:w="1749" w:type="dxa"/>
            <w:noWrap/>
            <w:vAlign w:val="center"/>
          </w:tcPr>
          <w:p w14:paraId="43681C15">
            <w:pPr>
              <w:spacing w:line="360" w:lineRule="auto"/>
              <w:jc w:val="center"/>
              <w:rPr>
                <w:rFonts w:ascii="宋体" w:hAnsi="宋体" w:cs="宋体"/>
                <w:szCs w:val="21"/>
              </w:rPr>
            </w:pPr>
            <w:r>
              <w:rPr>
                <w:rFonts w:hint="eastAsia" w:ascii="宋体" w:hAnsi="宋体" w:cs="宋体"/>
                <w:szCs w:val="21"/>
              </w:rPr>
              <w:t>采购代理服务费</w:t>
            </w:r>
          </w:p>
        </w:tc>
        <w:tc>
          <w:tcPr>
            <w:tcW w:w="6373" w:type="dxa"/>
            <w:noWrap/>
            <w:vAlign w:val="center"/>
          </w:tcPr>
          <w:p w14:paraId="7A4B4230">
            <w:pPr>
              <w:spacing w:line="360" w:lineRule="auto"/>
              <w:jc w:val="left"/>
              <w:rPr>
                <w:rFonts w:ascii="宋体" w:hAnsi="宋体" w:cs="宋体"/>
                <w:szCs w:val="21"/>
              </w:rPr>
            </w:pPr>
            <w:r>
              <w:rPr>
                <w:rFonts w:hint="eastAsia" w:ascii="宋体" w:hAnsi="宋体" w:cs="宋体"/>
                <w:color w:val="0000FF"/>
                <w:szCs w:val="21"/>
              </w:rPr>
              <w:t>本项目招标代理服务费由招标人支付。</w:t>
            </w:r>
          </w:p>
        </w:tc>
      </w:tr>
      <w:tr w14:paraId="6748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56" w:type="dxa"/>
            <w:noWrap/>
            <w:vAlign w:val="center"/>
          </w:tcPr>
          <w:p w14:paraId="71DD74CB">
            <w:pPr>
              <w:spacing w:line="360" w:lineRule="auto"/>
              <w:jc w:val="center"/>
              <w:rPr>
                <w:rFonts w:ascii="宋体" w:hAnsi="宋体" w:cs="宋体"/>
                <w:szCs w:val="21"/>
              </w:rPr>
            </w:pPr>
            <w:r>
              <w:rPr>
                <w:rFonts w:hint="eastAsia" w:ascii="宋体" w:hAnsi="宋体" w:cs="宋体"/>
                <w:szCs w:val="21"/>
              </w:rPr>
              <w:t>20</w:t>
            </w:r>
          </w:p>
        </w:tc>
        <w:tc>
          <w:tcPr>
            <w:tcW w:w="645" w:type="dxa"/>
            <w:noWrap/>
            <w:vAlign w:val="center"/>
          </w:tcPr>
          <w:p w14:paraId="142958FA">
            <w:pPr>
              <w:spacing w:line="360" w:lineRule="auto"/>
              <w:jc w:val="center"/>
              <w:rPr>
                <w:rFonts w:ascii="宋体" w:hAnsi="宋体" w:cs="宋体"/>
                <w:szCs w:val="21"/>
              </w:rPr>
            </w:pPr>
            <w:r>
              <w:rPr>
                <w:rFonts w:hint="eastAsia" w:ascii="宋体" w:hAnsi="宋体" w:cs="宋体"/>
                <w:szCs w:val="21"/>
              </w:rPr>
              <w:t>31</w:t>
            </w:r>
          </w:p>
        </w:tc>
        <w:tc>
          <w:tcPr>
            <w:tcW w:w="1749" w:type="dxa"/>
            <w:noWrap/>
            <w:vAlign w:val="center"/>
          </w:tcPr>
          <w:p w14:paraId="407124FF">
            <w:pPr>
              <w:spacing w:line="360" w:lineRule="auto"/>
              <w:jc w:val="center"/>
              <w:rPr>
                <w:rFonts w:ascii="宋体" w:hAnsi="宋体" w:cs="宋体"/>
                <w:szCs w:val="21"/>
              </w:rPr>
            </w:pPr>
            <w:r>
              <w:rPr>
                <w:rFonts w:hint="eastAsia" w:ascii="宋体" w:hAnsi="宋体" w:cs="宋体"/>
                <w:szCs w:val="21"/>
              </w:rPr>
              <w:t>监督管理机构</w:t>
            </w:r>
          </w:p>
        </w:tc>
        <w:tc>
          <w:tcPr>
            <w:tcW w:w="6373" w:type="dxa"/>
            <w:noWrap/>
            <w:vAlign w:val="center"/>
          </w:tcPr>
          <w:p w14:paraId="472AC43B">
            <w:pPr>
              <w:spacing w:line="360" w:lineRule="auto"/>
              <w:rPr>
                <w:rFonts w:ascii="宋体" w:hAnsi="宋体" w:cs="宋体"/>
                <w:szCs w:val="21"/>
              </w:rPr>
            </w:pPr>
            <w:r>
              <w:rPr>
                <w:rFonts w:hint="eastAsia" w:ascii="宋体" w:hAnsi="宋体" w:cs="宋体"/>
                <w:szCs w:val="21"/>
              </w:rPr>
              <w:t>广西壮族自治区桂林公路发展中心：0773-3844743</w:t>
            </w:r>
          </w:p>
        </w:tc>
      </w:tr>
      <w:tr w14:paraId="5A1E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56" w:type="dxa"/>
            <w:noWrap/>
            <w:vAlign w:val="center"/>
          </w:tcPr>
          <w:p w14:paraId="4335FEC4">
            <w:pPr>
              <w:spacing w:line="360" w:lineRule="auto"/>
              <w:jc w:val="center"/>
              <w:rPr>
                <w:rFonts w:ascii="宋体" w:hAnsi="宋体" w:cs="宋体"/>
                <w:szCs w:val="21"/>
              </w:rPr>
            </w:pPr>
            <w:r>
              <w:rPr>
                <w:rFonts w:hint="eastAsia" w:ascii="宋体" w:hAnsi="宋体" w:cs="宋体"/>
                <w:szCs w:val="21"/>
              </w:rPr>
              <w:t>21</w:t>
            </w:r>
          </w:p>
        </w:tc>
        <w:tc>
          <w:tcPr>
            <w:tcW w:w="645" w:type="dxa"/>
            <w:noWrap/>
            <w:vAlign w:val="center"/>
          </w:tcPr>
          <w:p w14:paraId="68E9C3F7">
            <w:pPr>
              <w:spacing w:line="360" w:lineRule="auto"/>
              <w:jc w:val="center"/>
              <w:rPr>
                <w:rFonts w:ascii="宋体" w:hAnsi="宋体" w:cs="宋体"/>
                <w:szCs w:val="21"/>
              </w:rPr>
            </w:pPr>
            <w:r>
              <w:rPr>
                <w:rFonts w:hint="eastAsia" w:ascii="宋体" w:hAnsi="宋体" w:cs="宋体"/>
                <w:szCs w:val="21"/>
              </w:rPr>
              <w:t>32</w:t>
            </w:r>
          </w:p>
        </w:tc>
        <w:tc>
          <w:tcPr>
            <w:tcW w:w="1749" w:type="dxa"/>
            <w:noWrap/>
            <w:vAlign w:val="center"/>
          </w:tcPr>
          <w:p w14:paraId="60600C23">
            <w:pPr>
              <w:spacing w:line="360" w:lineRule="auto"/>
              <w:jc w:val="center"/>
              <w:rPr>
                <w:rFonts w:ascii="宋体" w:hAnsi="宋体" w:cs="宋体"/>
                <w:szCs w:val="21"/>
              </w:rPr>
            </w:pPr>
            <w:r>
              <w:rPr>
                <w:rFonts w:hint="eastAsia" w:ascii="宋体" w:hAnsi="宋体" w:cs="宋体"/>
                <w:szCs w:val="21"/>
              </w:rPr>
              <w:t>解释权</w:t>
            </w:r>
          </w:p>
        </w:tc>
        <w:tc>
          <w:tcPr>
            <w:tcW w:w="6373" w:type="dxa"/>
            <w:noWrap/>
          </w:tcPr>
          <w:p w14:paraId="223A5576">
            <w:pPr>
              <w:spacing w:line="360" w:lineRule="auto"/>
              <w:rPr>
                <w:rFonts w:ascii="宋体" w:hAnsi="宋体" w:cs="宋体"/>
                <w:szCs w:val="21"/>
              </w:rPr>
            </w:pPr>
            <w:r>
              <w:rPr>
                <w:rFonts w:hint="eastAsia" w:ascii="宋体" w:hAnsi="宋体" w:cs="宋体"/>
                <w:szCs w:val="21"/>
              </w:rPr>
              <w:t>本竞争性磋商文件是根据《中华人民共和国政府采购法》、《中华人民共和国政府采购法实施条例》、《政府采购非招标采购方式管理办法》、《政府采购竞争性磋商采购方式管理暂行办法》和政府采购管理有关规定编制。</w:t>
            </w:r>
          </w:p>
        </w:tc>
      </w:tr>
      <w:tr w14:paraId="7E7F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9223" w:type="dxa"/>
            <w:gridSpan w:val="4"/>
            <w:noWrap/>
            <w:vAlign w:val="center"/>
          </w:tcPr>
          <w:p w14:paraId="4E570834">
            <w:pPr>
              <w:spacing w:line="360" w:lineRule="auto"/>
              <w:rPr>
                <w:rFonts w:ascii="宋体" w:hAnsi="宋体" w:cs="宋体"/>
                <w:szCs w:val="21"/>
              </w:rPr>
            </w:pPr>
            <w:r>
              <w:rPr>
                <w:rFonts w:hint="eastAsia" w:ascii="宋体" w:hAnsi="宋体" w:cs="宋体"/>
                <w:szCs w:val="21"/>
              </w:rPr>
              <w:t>需要补充的其他内容：</w:t>
            </w:r>
          </w:p>
        </w:tc>
      </w:tr>
      <w:tr w14:paraId="09B7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101" w:type="dxa"/>
            <w:gridSpan w:val="2"/>
            <w:vMerge w:val="restart"/>
            <w:noWrap/>
            <w:vAlign w:val="center"/>
          </w:tcPr>
          <w:p w14:paraId="09ECF797">
            <w:pPr>
              <w:spacing w:line="360" w:lineRule="auto"/>
              <w:jc w:val="center"/>
              <w:rPr>
                <w:rFonts w:ascii="宋体" w:hAnsi="宋体" w:cs="宋体"/>
                <w:szCs w:val="21"/>
              </w:rPr>
            </w:pPr>
            <w:r>
              <w:rPr>
                <w:rFonts w:hint="eastAsia" w:ascii="宋体" w:hAnsi="宋体" w:cs="宋体"/>
                <w:szCs w:val="21"/>
              </w:rPr>
              <w:t>33.1</w:t>
            </w:r>
          </w:p>
        </w:tc>
        <w:tc>
          <w:tcPr>
            <w:tcW w:w="1749" w:type="dxa"/>
            <w:noWrap/>
            <w:vAlign w:val="center"/>
          </w:tcPr>
          <w:p w14:paraId="3299F703">
            <w:pPr>
              <w:spacing w:line="360" w:lineRule="auto"/>
              <w:jc w:val="center"/>
              <w:rPr>
                <w:rFonts w:ascii="宋体" w:hAnsi="宋体" w:cs="宋体"/>
                <w:szCs w:val="21"/>
              </w:rPr>
            </w:pPr>
            <w:r>
              <w:rPr>
                <w:rFonts w:hint="eastAsia" w:ascii="宋体" w:hAnsi="宋体" w:cs="宋体"/>
                <w:szCs w:val="21"/>
              </w:rPr>
              <w:t>合同协议书、农民工工资承诺</w:t>
            </w:r>
          </w:p>
        </w:tc>
        <w:tc>
          <w:tcPr>
            <w:tcW w:w="6373" w:type="dxa"/>
            <w:noWrap/>
          </w:tcPr>
          <w:p w14:paraId="6310796F">
            <w:pPr>
              <w:pStyle w:val="466"/>
              <w:spacing w:line="360" w:lineRule="auto"/>
              <w:rPr>
                <w:rFonts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合同协议书必须由中标人的法定代表人签署；</w:t>
            </w:r>
          </w:p>
          <w:p w14:paraId="109AF0CB">
            <w:pPr>
              <w:pStyle w:val="466"/>
              <w:spacing w:line="360" w:lineRule="auto"/>
              <w:rPr>
                <w:rFonts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各投标人必须对农民工工资保障金的问题作出以下承诺：</w:t>
            </w:r>
          </w:p>
          <w:p w14:paraId="4114CFEF">
            <w:pPr>
              <w:pStyle w:val="466"/>
              <w:spacing w:line="360" w:lineRule="auto"/>
              <w:rPr>
                <w:rFonts w:ascii="宋体" w:hAnsi="宋体" w:eastAsia="宋体" w:cs="宋体"/>
                <w:sz w:val="21"/>
                <w:szCs w:val="21"/>
              </w:rPr>
            </w:pPr>
            <w:r>
              <w:rPr>
                <w:rFonts w:hint="eastAsia" w:ascii="宋体" w:hAnsi="宋体" w:eastAsia="宋体" w:cs="宋体"/>
                <w:sz w:val="21"/>
                <w:szCs w:val="21"/>
              </w:rPr>
              <w:t>（1）必须在投标文件中如实反映其以前所承建工程中农民工工资支付情况，须特别注明截至开标之日止，是否存在拖欠或克扣农民工工资的行为；</w:t>
            </w:r>
          </w:p>
          <w:p w14:paraId="1EA7962F">
            <w:pPr>
              <w:pStyle w:val="466"/>
              <w:spacing w:line="360" w:lineRule="auto"/>
              <w:rPr>
                <w:rFonts w:ascii="宋体" w:hAnsi="宋体" w:eastAsia="宋体" w:cs="宋体"/>
                <w:sz w:val="21"/>
                <w:szCs w:val="21"/>
              </w:rPr>
            </w:pPr>
            <w:r>
              <w:rPr>
                <w:rFonts w:hint="eastAsia" w:ascii="宋体" w:hAnsi="宋体" w:eastAsia="宋体" w:cs="宋体"/>
                <w:sz w:val="21"/>
                <w:szCs w:val="21"/>
              </w:rPr>
              <w:t>（2）在签订合同后及项目开工前，承包人须按（桂薪联发[2016]1号）《关于印发广西壮族自治区工程建设领域工人工资支付专用账户管理办法的通知》、（桂薪联发[2016]2号）《关于明确农民工工资保证金制度有关问题的通知》文要求</w:t>
            </w:r>
            <w:r>
              <w:rPr>
                <w:rFonts w:hint="eastAsia" w:ascii="宋体" w:hAnsi="宋体" w:eastAsia="宋体" w:cs="宋体"/>
                <w:sz w:val="21"/>
                <w:szCs w:val="21"/>
                <w:lang w:val="en-US"/>
              </w:rPr>
              <w:t>以</w:t>
            </w:r>
            <w:r>
              <w:rPr>
                <w:rFonts w:hint="eastAsia" w:ascii="宋体" w:hAnsi="宋体" w:eastAsia="宋体" w:cs="宋体"/>
                <w:sz w:val="21"/>
                <w:szCs w:val="21"/>
              </w:rPr>
              <w:t>工程中标价的2%作为农民工工资保证金，农民工工资保证金可采用资金预存方式或项目所在地商业银行出具的银行保函方式缴存，并到项目所在地人力资源社会保障局和建设项目主管部门备案。</w:t>
            </w:r>
          </w:p>
          <w:p w14:paraId="51A442D8">
            <w:pPr>
              <w:pStyle w:val="466"/>
              <w:spacing w:line="360" w:lineRule="auto"/>
              <w:rPr>
                <w:rFonts w:ascii="宋体" w:hAnsi="宋体" w:eastAsia="宋体" w:cs="宋体"/>
                <w:sz w:val="21"/>
                <w:szCs w:val="21"/>
              </w:rPr>
            </w:pPr>
            <w:r>
              <w:rPr>
                <w:rFonts w:hint="eastAsia" w:ascii="宋体" w:hAnsi="宋体" w:eastAsia="宋体" w:cs="宋体"/>
                <w:sz w:val="21"/>
                <w:szCs w:val="21"/>
              </w:rPr>
              <w:t>（3）在项目实施过程中，若出现结算价超出合同价时，以实际结算金额的2%的额度补充存入农民工工资保证金。</w:t>
            </w:r>
          </w:p>
          <w:p w14:paraId="52314F42">
            <w:pPr>
              <w:pStyle w:val="466"/>
              <w:spacing w:line="360" w:lineRule="auto"/>
              <w:rPr>
                <w:rFonts w:ascii="宋体" w:hAnsi="宋体" w:eastAsia="宋体" w:cs="宋体"/>
                <w:sz w:val="21"/>
                <w:szCs w:val="21"/>
              </w:rPr>
            </w:pPr>
            <w:r>
              <w:rPr>
                <w:rFonts w:hint="eastAsia" w:ascii="宋体" w:hAnsi="宋体" w:eastAsia="宋体" w:cs="宋体"/>
                <w:sz w:val="21"/>
                <w:szCs w:val="21"/>
              </w:rPr>
              <w:t>（4）依法足额支付农民工工资，一旦其承建的项目出现拖欠农民工工资的，可由劳动保障、交通主管部门（或交通主管部门授权的机构）及建设单位根据相关规定从其农民工工资保障金中先予支取。</w:t>
            </w:r>
          </w:p>
          <w:p w14:paraId="662B701F">
            <w:pPr>
              <w:pStyle w:val="466"/>
              <w:spacing w:line="360" w:lineRule="auto"/>
              <w:rPr>
                <w:rFonts w:ascii="宋体" w:hAnsi="宋体" w:eastAsia="宋体" w:cs="宋体"/>
                <w:sz w:val="21"/>
                <w:szCs w:val="21"/>
              </w:rPr>
            </w:pPr>
            <w:r>
              <w:rPr>
                <w:rFonts w:hint="eastAsia" w:ascii="宋体" w:hAnsi="宋体" w:eastAsia="宋体" w:cs="宋体"/>
                <w:sz w:val="21"/>
                <w:szCs w:val="21"/>
              </w:rPr>
              <w:t>投标文件没有以上四项承诺内容的，作投标无效处理。</w:t>
            </w:r>
          </w:p>
          <w:p w14:paraId="0C2E8F80">
            <w:pPr>
              <w:pStyle w:val="466"/>
              <w:spacing w:line="360" w:lineRule="auto"/>
              <w:rPr>
                <w:rFonts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在施工过程中，请施工单位自行保留好各类发票、材料合同等，如保险费、沥青混凝土材料外购的发票等。便于审计结算时采用。同时做好各类隐蔽工程的影像资料、中间检测图片等相关图片资料，以便审计结算备查。</w:t>
            </w:r>
          </w:p>
        </w:tc>
      </w:tr>
      <w:tr w14:paraId="7FE7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gridSpan w:val="2"/>
            <w:vMerge w:val="continue"/>
            <w:noWrap/>
            <w:vAlign w:val="center"/>
          </w:tcPr>
          <w:p w14:paraId="457D5615">
            <w:pPr>
              <w:spacing w:line="360" w:lineRule="auto"/>
              <w:jc w:val="center"/>
              <w:rPr>
                <w:rFonts w:ascii="宋体" w:hAnsi="宋体" w:cs="宋体"/>
                <w:szCs w:val="21"/>
              </w:rPr>
            </w:pPr>
          </w:p>
        </w:tc>
        <w:tc>
          <w:tcPr>
            <w:tcW w:w="1749" w:type="dxa"/>
            <w:noWrap/>
            <w:vAlign w:val="center"/>
          </w:tcPr>
          <w:p w14:paraId="56E62DD1">
            <w:pPr>
              <w:spacing w:line="360" w:lineRule="auto"/>
              <w:jc w:val="center"/>
              <w:rPr>
                <w:rFonts w:ascii="宋体" w:hAnsi="宋体" w:cs="宋体"/>
                <w:szCs w:val="21"/>
              </w:rPr>
            </w:pPr>
            <w:r>
              <w:rPr>
                <w:rFonts w:hint="eastAsia" w:ascii="宋体" w:hAnsi="宋体" w:cs="宋体"/>
                <w:szCs w:val="21"/>
              </w:rPr>
              <w:t>工程量清单</w:t>
            </w:r>
          </w:p>
        </w:tc>
        <w:tc>
          <w:tcPr>
            <w:tcW w:w="6373" w:type="dxa"/>
            <w:noWrap/>
            <w:vAlign w:val="center"/>
          </w:tcPr>
          <w:p w14:paraId="7765822B">
            <w:pPr>
              <w:widowControl/>
              <w:numPr>
                <w:ilvl w:val="0"/>
                <w:numId w:val="2"/>
              </w:numPr>
              <w:snapToGrid w:val="0"/>
              <w:spacing w:line="360" w:lineRule="auto"/>
              <w:rPr>
                <w:rFonts w:ascii="宋体" w:hAnsi="宋体" w:cs="宋体"/>
                <w:szCs w:val="21"/>
              </w:rPr>
            </w:pPr>
            <w:r>
              <w:rPr>
                <w:rFonts w:hint="eastAsia" w:ascii="宋体" w:hAnsi="宋体" w:cs="宋体"/>
                <w:szCs w:val="21"/>
              </w:rPr>
              <w:t>在填写工程量清单时请详细阅读工程量说明再填报。按照《公路工程标准施工招标文件》2018版中的100章所涵盖的内容均视同包含在投标报价所用的工程量清单中的各子项中。同时工程量清单仅作为一个报价依据，结算时以发生的实际数量进行结算。</w:t>
            </w:r>
          </w:p>
        </w:tc>
      </w:tr>
      <w:tr w14:paraId="6381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gridSpan w:val="2"/>
            <w:vMerge w:val="continue"/>
            <w:noWrap/>
            <w:vAlign w:val="center"/>
          </w:tcPr>
          <w:p w14:paraId="681FD742">
            <w:pPr>
              <w:spacing w:line="360" w:lineRule="auto"/>
              <w:jc w:val="center"/>
              <w:rPr>
                <w:rFonts w:ascii="宋体" w:hAnsi="宋体" w:cs="宋体"/>
                <w:szCs w:val="21"/>
              </w:rPr>
            </w:pPr>
          </w:p>
        </w:tc>
        <w:tc>
          <w:tcPr>
            <w:tcW w:w="1749" w:type="dxa"/>
            <w:noWrap/>
            <w:vAlign w:val="center"/>
          </w:tcPr>
          <w:p w14:paraId="221D1A0F">
            <w:pPr>
              <w:widowControl/>
              <w:autoSpaceDE w:val="0"/>
              <w:autoSpaceDN w:val="0"/>
              <w:snapToGrid w:val="0"/>
              <w:spacing w:line="360" w:lineRule="auto"/>
              <w:jc w:val="center"/>
              <w:rPr>
                <w:rFonts w:ascii="宋体" w:hAnsi="宋体" w:cs="宋体"/>
                <w:szCs w:val="21"/>
              </w:rPr>
            </w:pPr>
            <w:r>
              <w:rPr>
                <w:rFonts w:hint="eastAsia" w:ascii="宋体" w:hAnsi="宋体" w:cs="宋体"/>
                <w:szCs w:val="21"/>
              </w:rPr>
              <w:t>联系方式</w:t>
            </w:r>
          </w:p>
        </w:tc>
        <w:tc>
          <w:tcPr>
            <w:tcW w:w="6373" w:type="dxa"/>
            <w:noWrap/>
            <w:vAlign w:val="center"/>
          </w:tcPr>
          <w:p w14:paraId="64F0E472">
            <w:pPr>
              <w:widowControl/>
              <w:autoSpaceDE w:val="0"/>
              <w:autoSpaceDN w:val="0"/>
              <w:snapToGrid w:val="0"/>
              <w:spacing w:line="360" w:lineRule="auto"/>
              <w:rPr>
                <w:rFonts w:ascii="宋体" w:hAnsi="宋体" w:cs="宋体"/>
                <w:szCs w:val="21"/>
              </w:rPr>
            </w:pPr>
            <w:r>
              <w:rPr>
                <w:rFonts w:hint="eastAsia" w:ascii="宋体" w:hAnsi="宋体" w:cs="宋体"/>
                <w:szCs w:val="21"/>
              </w:rPr>
              <w:t>投标文件中应列明投标人的公司固定电话号码、传真号码，电子邮箱、通信地址、联系人，以便联络，同时评标时有可能将予以核对。</w:t>
            </w:r>
          </w:p>
        </w:tc>
      </w:tr>
      <w:tr w14:paraId="6370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1" w:type="dxa"/>
            <w:gridSpan w:val="2"/>
            <w:vMerge w:val="continue"/>
            <w:noWrap/>
            <w:vAlign w:val="center"/>
          </w:tcPr>
          <w:p w14:paraId="6180BB9A">
            <w:pPr>
              <w:spacing w:line="360" w:lineRule="auto"/>
              <w:jc w:val="center"/>
              <w:rPr>
                <w:rFonts w:ascii="宋体" w:hAnsi="宋体" w:cs="宋体"/>
                <w:szCs w:val="21"/>
              </w:rPr>
            </w:pPr>
          </w:p>
        </w:tc>
        <w:tc>
          <w:tcPr>
            <w:tcW w:w="1749" w:type="dxa"/>
            <w:noWrap/>
            <w:vAlign w:val="center"/>
          </w:tcPr>
          <w:p w14:paraId="6019AB31">
            <w:pPr>
              <w:pStyle w:val="466"/>
              <w:kinsoku w:val="0"/>
              <w:overflowPunct w:val="0"/>
              <w:spacing w:before="42" w:line="360" w:lineRule="auto"/>
              <w:jc w:val="center"/>
              <w:rPr>
                <w:rFonts w:ascii="宋体" w:hAnsi="宋体" w:eastAsia="宋体" w:cs="宋体"/>
                <w:sz w:val="21"/>
                <w:szCs w:val="21"/>
              </w:rPr>
            </w:pPr>
            <w:r>
              <w:rPr>
                <w:rFonts w:hint="eastAsia" w:ascii="宋体" w:hAnsi="宋体" w:eastAsia="宋体" w:cs="宋体"/>
                <w:sz w:val="21"/>
                <w:szCs w:val="21"/>
              </w:rPr>
              <w:t>复印件</w:t>
            </w:r>
          </w:p>
        </w:tc>
        <w:tc>
          <w:tcPr>
            <w:tcW w:w="6373" w:type="dxa"/>
            <w:noWrap/>
          </w:tcPr>
          <w:p w14:paraId="3DF86655">
            <w:pPr>
              <w:pStyle w:val="466"/>
              <w:kinsoku w:val="0"/>
              <w:overflowPunct w:val="0"/>
              <w:spacing w:before="42" w:line="360" w:lineRule="auto"/>
              <w:rPr>
                <w:rFonts w:ascii="宋体" w:hAnsi="宋体" w:eastAsia="宋体" w:cs="宋体"/>
                <w:sz w:val="21"/>
                <w:szCs w:val="21"/>
              </w:rPr>
            </w:pPr>
            <w:r>
              <w:rPr>
                <w:rFonts w:hint="eastAsia" w:ascii="宋体" w:hAnsi="宋体" w:eastAsia="宋体" w:cs="宋体"/>
                <w:sz w:val="21"/>
                <w:szCs w:val="21"/>
              </w:rPr>
              <w:t>招标文件中要求提交复印件的，均指彩色扫描件或彩色复印件，并应加盖投标人单位章。</w:t>
            </w:r>
          </w:p>
        </w:tc>
      </w:tr>
    </w:tbl>
    <w:p w14:paraId="50338613">
      <w:pPr>
        <w:spacing w:line="360" w:lineRule="auto"/>
        <w:rPr>
          <w:rFonts w:ascii="宋体" w:hAnsi="宋体"/>
          <w:b/>
          <w:sz w:val="32"/>
          <w:szCs w:val="32"/>
        </w:rPr>
        <w:sectPr>
          <w:pgSz w:w="11911" w:h="16849"/>
          <w:pgMar w:top="1417" w:right="1417" w:bottom="1417" w:left="1417" w:header="720" w:footer="720" w:gutter="0"/>
          <w:cols w:space="720" w:num="1"/>
          <w:docGrid w:linePitch="312" w:charSpace="0"/>
        </w:sectPr>
      </w:pPr>
    </w:p>
    <w:p w14:paraId="0DD2899D">
      <w:pPr>
        <w:pStyle w:val="4"/>
        <w:spacing w:before="0" w:after="0" w:line="360" w:lineRule="auto"/>
        <w:jc w:val="center"/>
        <w:rPr>
          <w:rFonts w:ascii="宋体" w:hAnsi="宋体" w:cs="宋体"/>
          <w:sz w:val="21"/>
          <w:szCs w:val="21"/>
        </w:rPr>
      </w:pPr>
      <w:bookmarkStart w:id="40" w:name="_Toc1637869"/>
      <w:bookmarkStart w:id="41" w:name="_Toc532465843"/>
      <w:bookmarkStart w:id="42" w:name="_Toc1461"/>
      <w:bookmarkStart w:id="43" w:name="_Toc503883795"/>
      <w:bookmarkStart w:id="44" w:name="_Toc17526"/>
      <w:bookmarkStart w:id="45" w:name="_Toc17394"/>
      <w:bookmarkStart w:id="46" w:name="_Toc31755"/>
      <w:bookmarkStart w:id="47" w:name="_Toc12567"/>
      <w:bookmarkStart w:id="48" w:name="_Toc1765"/>
      <w:r>
        <w:rPr>
          <w:rFonts w:hint="eastAsia" w:ascii="宋体" w:hAnsi="宋体" w:cs="宋体"/>
          <w:sz w:val="21"/>
          <w:szCs w:val="21"/>
        </w:rPr>
        <w:t>一、总</w:t>
      </w:r>
      <w:bookmarkEnd w:id="40"/>
      <w:bookmarkEnd w:id="41"/>
      <w:bookmarkEnd w:id="42"/>
      <w:bookmarkEnd w:id="43"/>
      <w:r>
        <w:rPr>
          <w:rFonts w:hint="eastAsia" w:ascii="宋体" w:hAnsi="宋体" w:cs="宋体"/>
          <w:sz w:val="21"/>
          <w:szCs w:val="21"/>
        </w:rPr>
        <w:t>则</w:t>
      </w:r>
      <w:bookmarkEnd w:id="44"/>
      <w:bookmarkEnd w:id="45"/>
      <w:bookmarkEnd w:id="46"/>
      <w:bookmarkEnd w:id="47"/>
      <w:bookmarkEnd w:id="48"/>
    </w:p>
    <w:p w14:paraId="6EDE7F7C">
      <w:pPr>
        <w:pStyle w:val="5"/>
        <w:spacing w:before="0" w:after="0" w:line="360" w:lineRule="auto"/>
        <w:rPr>
          <w:rFonts w:ascii="宋体" w:hAnsi="宋体" w:cs="宋体"/>
          <w:sz w:val="21"/>
          <w:szCs w:val="21"/>
        </w:rPr>
      </w:pPr>
      <w:bookmarkStart w:id="49" w:name="_Toc1637870"/>
      <w:bookmarkStart w:id="50" w:name="_Toc17182"/>
      <w:bookmarkStart w:id="51" w:name="_Toc25370"/>
      <w:bookmarkStart w:id="52" w:name="_Toc532465844"/>
      <w:bookmarkStart w:id="53" w:name="_Toc5891"/>
      <w:bookmarkStart w:id="54" w:name="_Toc23195"/>
      <w:bookmarkStart w:id="55" w:name="_Toc634"/>
      <w:bookmarkStart w:id="56" w:name="_Toc27340"/>
      <w:r>
        <w:rPr>
          <w:rFonts w:hint="eastAsia" w:ascii="宋体" w:hAnsi="宋体" w:cs="宋体"/>
          <w:sz w:val="21"/>
          <w:szCs w:val="21"/>
        </w:rPr>
        <w:t>1.适应范围</w:t>
      </w:r>
      <w:bookmarkEnd w:id="49"/>
      <w:bookmarkEnd w:id="50"/>
      <w:bookmarkEnd w:id="51"/>
      <w:bookmarkEnd w:id="52"/>
      <w:bookmarkEnd w:id="53"/>
      <w:bookmarkEnd w:id="54"/>
      <w:bookmarkEnd w:id="55"/>
      <w:bookmarkEnd w:id="56"/>
    </w:p>
    <w:p w14:paraId="12AC3461">
      <w:pPr>
        <w:spacing w:line="360" w:lineRule="auto"/>
        <w:ind w:firstLine="435"/>
        <w:rPr>
          <w:rFonts w:ascii="宋体" w:hAnsi="宋体" w:cs="宋体"/>
          <w:szCs w:val="21"/>
        </w:rPr>
      </w:pPr>
      <w:r>
        <w:rPr>
          <w:rFonts w:hint="eastAsia" w:ascii="宋体" w:hAnsi="宋体" w:cs="宋体"/>
          <w:szCs w:val="21"/>
        </w:rPr>
        <w:t>1.1 采购项目名称及采购项目编号：详见供应商须知前附表。</w:t>
      </w:r>
    </w:p>
    <w:p w14:paraId="0B1FDFE2">
      <w:pPr>
        <w:spacing w:line="360" w:lineRule="auto"/>
        <w:ind w:firstLine="435"/>
        <w:rPr>
          <w:rFonts w:ascii="宋体" w:hAnsi="宋体" w:cs="宋体"/>
          <w:szCs w:val="21"/>
        </w:rPr>
      </w:pPr>
      <w:bookmarkStart w:id="57" w:name="_Toc1017"/>
      <w:bookmarkStart w:id="58" w:name="_Toc13237"/>
      <w:bookmarkStart w:id="59" w:name="_Toc29474"/>
      <w:bookmarkStart w:id="60" w:name="_Toc1637871"/>
      <w:bookmarkStart w:id="61" w:name="_Toc7221"/>
      <w:bookmarkStart w:id="62" w:name="_Toc532465845"/>
      <w:bookmarkStart w:id="63" w:name="_Toc30182"/>
      <w:bookmarkStart w:id="64" w:name="_Toc6475"/>
      <w:r>
        <w:rPr>
          <w:rFonts w:hint="eastAsia" w:ascii="宋体" w:hAnsi="宋体" w:cs="宋体"/>
          <w:szCs w:val="21"/>
        </w:rPr>
        <w:t>1.2、建设内容：详见供应商须知前附表。</w:t>
      </w:r>
    </w:p>
    <w:p w14:paraId="7FD3518F">
      <w:pPr>
        <w:pStyle w:val="5"/>
        <w:spacing w:before="0" w:after="0" w:line="360" w:lineRule="auto"/>
        <w:rPr>
          <w:rFonts w:ascii="宋体" w:hAnsi="宋体" w:cs="宋体"/>
          <w:sz w:val="21"/>
          <w:szCs w:val="21"/>
        </w:rPr>
      </w:pPr>
      <w:r>
        <w:rPr>
          <w:rFonts w:hint="eastAsia" w:ascii="宋体" w:hAnsi="宋体" w:cs="宋体"/>
          <w:sz w:val="21"/>
          <w:szCs w:val="21"/>
        </w:rPr>
        <w:t>2.定义</w:t>
      </w:r>
      <w:bookmarkEnd w:id="57"/>
      <w:bookmarkEnd w:id="58"/>
      <w:bookmarkEnd w:id="59"/>
      <w:bookmarkEnd w:id="60"/>
      <w:bookmarkEnd w:id="61"/>
      <w:bookmarkEnd w:id="62"/>
      <w:bookmarkEnd w:id="63"/>
      <w:bookmarkEnd w:id="64"/>
    </w:p>
    <w:p w14:paraId="38BF133F">
      <w:pPr>
        <w:spacing w:line="360" w:lineRule="auto"/>
        <w:ind w:firstLine="422" w:firstLineChars="201"/>
        <w:rPr>
          <w:rFonts w:ascii="宋体" w:hAnsi="宋体" w:cs="宋体"/>
          <w:szCs w:val="21"/>
        </w:rPr>
      </w:pPr>
      <w:r>
        <w:rPr>
          <w:rFonts w:hint="eastAsia" w:ascii="宋体" w:hAnsi="宋体" w:cs="宋体"/>
          <w:szCs w:val="21"/>
        </w:rPr>
        <w:t xml:space="preserve">2.1“采购人”、“采购单位”是指：依法进行采购的国家机关、事业单位、团体组织。 </w:t>
      </w:r>
    </w:p>
    <w:p w14:paraId="7A553A4C">
      <w:pPr>
        <w:spacing w:line="360" w:lineRule="auto"/>
        <w:ind w:firstLine="422" w:firstLineChars="201"/>
        <w:rPr>
          <w:rFonts w:ascii="宋体" w:hAnsi="宋体" w:cs="宋体"/>
          <w:szCs w:val="21"/>
        </w:rPr>
      </w:pPr>
      <w:r>
        <w:rPr>
          <w:rFonts w:hint="eastAsia" w:ascii="宋体" w:hAnsi="宋体" w:cs="宋体"/>
          <w:szCs w:val="21"/>
        </w:rPr>
        <w:t>2.2“采购代理机构”是指：广西朝华工程项目管理有限公司。</w:t>
      </w:r>
    </w:p>
    <w:p w14:paraId="14D4EA5E">
      <w:pPr>
        <w:spacing w:line="360" w:lineRule="auto"/>
        <w:ind w:firstLine="435"/>
        <w:rPr>
          <w:rFonts w:ascii="宋体" w:hAnsi="宋体" w:cs="宋体"/>
          <w:szCs w:val="21"/>
        </w:rPr>
      </w:pPr>
      <w:r>
        <w:rPr>
          <w:rFonts w:hint="eastAsia" w:ascii="宋体" w:hAnsi="宋体" w:cs="宋体"/>
          <w:szCs w:val="21"/>
        </w:rPr>
        <w:t>2.3“供应商”是指符合本次采购项目的供应商资格并提交响应文件、参加磋商的供应商。如果该供应商在本次磋商中成交，即成为“成交供应商”。</w:t>
      </w:r>
    </w:p>
    <w:p w14:paraId="568C9293">
      <w:pPr>
        <w:spacing w:line="360" w:lineRule="auto"/>
        <w:ind w:firstLine="435"/>
        <w:rPr>
          <w:rFonts w:ascii="宋体" w:hAnsi="宋体" w:cs="宋体"/>
          <w:szCs w:val="21"/>
        </w:rPr>
      </w:pPr>
      <w:r>
        <w:rPr>
          <w:rFonts w:hint="eastAsia" w:ascii="宋体" w:hAnsi="宋体" w:cs="宋体"/>
          <w:szCs w:val="21"/>
        </w:rPr>
        <w:t>2.4“服务”系指按磋商文件规定，供应商须承担的安装、调试、技术协助、校准、培训、技术指导以及其他类似的义务。</w:t>
      </w:r>
    </w:p>
    <w:p w14:paraId="510D5789">
      <w:pPr>
        <w:spacing w:line="360" w:lineRule="auto"/>
        <w:ind w:firstLine="435"/>
        <w:rPr>
          <w:rFonts w:ascii="宋体" w:hAnsi="宋体" w:cs="宋体"/>
          <w:szCs w:val="21"/>
        </w:rPr>
      </w:pPr>
      <w:r>
        <w:rPr>
          <w:rFonts w:hint="eastAsia" w:ascii="宋体" w:hAnsi="宋体" w:cs="宋体"/>
          <w:szCs w:val="21"/>
        </w:rPr>
        <w:t>2.5“项目”系指供应商按磋商文件规定向采购人提供的施工。</w:t>
      </w:r>
    </w:p>
    <w:p w14:paraId="29E98DB1">
      <w:pPr>
        <w:spacing w:line="360" w:lineRule="auto"/>
        <w:ind w:firstLine="435"/>
        <w:rPr>
          <w:rFonts w:ascii="宋体" w:hAnsi="宋体" w:cs="宋体"/>
          <w:szCs w:val="21"/>
        </w:rPr>
      </w:pPr>
      <w:r>
        <w:rPr>
          <w:rFonts w:hint="eastAsia" w:ascii="宋体" w:hAnsi="宋体" w:cs="宋体"/>
          <w:szCs w:val="21"/>
        </w:rPr>
        <w:t>2.6“书面形式”包括信函、传真、电报等。</w:t>
      </w:r>
    </w:p>
    <w:p w14:paraId="7ACB198F">
      <w:pPr>
        <w:pStyle w:val="5"/>
        <w:spacing w:before="0" w:after="0" w:line="360" w:lineRule="auto"/>
        <w:rPr>
          <w:rFonts w:ascii="宋体" w:hAnsi="宋体" w:cs="宋体"/>
          <w:sz w:val="21"/>
          <w:szCs w:val="21"/>
        </w:rPr>
      </w:pPr>
      <w:bookmarkStart w:id="65" w:name="_Toc30605"/>
      <w:bookmarkStart w:id="66" w:name="_Toc24255"/>
      <w:bookmarkStart w:id="67" w:name="_Toc25671"/>
      <w:bookmarkStart w:id="68" w:name="_Toc22518"/>
      <w:bookmarkStart w:id="69" w:name="_Toc11378"/>
      <w:bookmarkStart w:id="70" w:name="_Toc532465846"/>
      <w:bookmarkStart w:id="71" w:name="_Toc23361"/>
      <w:bookmarkStart w:id="72" w:name="_Toc1637872"/>
      <w:r>
        <w:rPr>
          <w:rFonts w:hint="eastAsia" w:ascii="宋体" w:hAnsi="宋体" w:cs="宋体"/>
          <w:sz w:val="21"/>
          <w:szCs w:val="21"/>
        </w:rPr>
        <w:t>3.供应商资格</w:t>
      </w:r>
      <w:bookmarkEnd w:id="65"/>
      <w:bookmarkEnd w:id="66"/>
      <w:bookmarkEnd w:id="67"/>
      <w:bookmarkEnd w:id="68"/>
      <w:bookmarkEnd w:id="69"/>
      <w:bookmarkEnd w:id="70"/>
      <w:bookmarkEnd w:id="71"/>
      <w:bookmarkEnd w:id="72"/>
    </w:p>
    <w:p w14:paraId="32E735C8">
      <w:pPr>
        <w:spacing w:line="360" w:lineRule="auto"/>
        <w:ind w:firstLine="435"/>
        <w:rPr>
          <w:rFonts w:ascii="宋体" w:hAnsi="宋体" w:cs="宋体"/>
          <w:szCs w:val="21"/>
        </w:rPr>
      </w:pPr>
      <w:r>
        <w:rPr>
          <w:rFonts w:hint="eastAsia" w:ascii="宋体" w:hAnsi="宋体" w:cs="宋体"/>
          <w:szCs w:val="21"/>
        </w:rPr>
        <w:t>详见供应商须知前附表。</w:t>
      </w:r>
    </w:p>
    <w:p w14:paraId="043DF1A9">
      <w:pPr>
        <w:pStyle w:val="5"/>
        <w:spacing w:before="0" w:after="0" w:line="360" w:lineRule="auto"/>
        <w:rPr>
          <w:rFonts w:ascii="宋体" w:hAnsi="宋体" w:cs="宋体"/>
          <w:sz w:val="21"/>
          <w:szCs w:val="21"/>
        </w:rPr>
      </w:pPr>
      <w:bookmarkStart w:id="73" w:name="_Toc532465847"/>
      <w:bookmarkStart w:id="74" w:name="_Toc202"/>
      <w:bookmarkStart w:id="75" w:name="_Toc21449"/>
      <w:bookmarkStart w:id="76" w:name="_Toc27161"/>
      <w:bookmarkStart w:id="77" w:name="_Toc13624"/>
      <w:bookmarkStart w:id="78" w:name="_Toc1637873"/>
      <w:bookmarkStart w:id="79" w:name="_Toc22753"/>
      <w:bookmarkStart w:id="80" w:name="_Toc19256"/>
      <w:r>
        <w:rPr>
          <w:rFonts w:hint="eastAsia" w:ascii="宋体" w:hAnsi="宋体" w:cs="宋体"/>
          <w:sz w:val="21"/>
          <w:szCs w:val="21"/>
        </w:rPr>
        <w:t>4.磋商费用</w:t>
      </w:r>
      <w:bookmarkEnd w:id="73"/>
      <w:bookmarkEnd w:id="74"/>
      <w:bookmarkEnd w:id="75"/>
      <w:bookmarkEnd w:id="76"/>
      <w:bookmarkEnd w:id="77"/>
      <w:bookmarkEnd w:id="78"/>
      <w:bookmarkEnd w:id="79"/>
      <w:bookmarkEnd w:id="80"/>
    </w:p>
    <w:p w14:paraId="28D77C9B">
      <w:pPr>
        <w:spacing w:line="360" w:lineRule="auto"/>
        <w:ind w:firstLine="435"/>
        <w:rPr>
          <w:rFonts w:ascii="宋体" w:hAnsi="宋体" w:cs="宋体"/>
          <w:szCs w:val="21"/>
        </w:rPr>
      </w:pPr>
      <w:r>
        <w:rPr>
          <w:rFonts w:hint="eastAsia" w:ascii="宋体" w:hAnsi="宋体" w:cs="宋体"/>
          <w:szCs w:val="21"/>
        </w:rPr>
        <w:t>不论磋商结果如何，供应商均应自行承担印刷费、差旅费、住宿费等所有与磋商有关的全部费用。</w:t>
      </w:r>
    </w:p>
    <w:p w14:paraId="374F31EB">
      <w:pPr>
        <w:pStyle w:val="5"/>
        <w:spacing w:before="0" w:after="0" w:line="360" w:lineRule="auto"/>
        <w:rPr>
          <w:rFonts w:ascii="宋体" w:hAnsi="宋体" w:cs="宋体"/>
          <w:sz w:val="21"/>
          <w:szCs w:val="21"/>
        </w:rPr>
      </w:pPr>
      <w:bookmarkStart w:id="81" w:name="_Toc8299"/>
      <w:bookmarkStart w:id="82" w:name="_Toc4109"/>
      <w:bookmarkStart w:id="83" w:name="_Toc2215"/>
      <w:bookmarkStart w:id="84" w:name="_Toc532465848"/>
      <w:bookmarkStart w:id="85" w:name="_Toc29139"/>
      <w:bookmarkStart w:id="86" w:name="_Toc31654"/>
      <w:bookmarkStart w:id="87" w:name="_Toc1637874"/>
      <w:bookmarkStart w:id="88" w:name="_Toc19217"/>
      <w:r>
        <w:rPr>
          <w:rFonts w:hint="eastAsia" w:ascii="宋体" w:hAnsi="宋体" w:cs="宋体"/>
          <w:sz w:val="21"/>
          <w:szCs w:val="21"/>
        </w:rPr>
        <w:t>5.联合体要求</w:t>
      </w:r>
      <w:bookmarkEnd w:id="81"/>
      <w:bookmarkEnd w:id="82"/>
      <w:bookmarkEnd w:id="83"/>
      <w:bookmarkEnd w:id="84"/>
      <w:bookmarkEnd w:id="85"/>
      <w:bookmarkEnd w:id="86"/>
      <w:bookmarkEnd w:id="87"/>
      <w:bookmarkEnd w:id="88"/>
    </w:p>
    <w:p w14:paraId="65273A38">
      <w:pPr>
        <w:tabs>
          <w:tab w:val="left" w:pos="1635"/>
        </w:tabs>
        <w:spacing w:line="360" w:lineRule="auto"/>
        <w:ind w:firstLine="435"/>
        <w:rPr>
          <w:rFonts w:ascii="宋体" w:hAnsi="宋体" w:cs="宋体"/>
          <w:szCs w:val="21"/>
        </w:rPr>
      </w:pPr>
      <w:r>
        <w:rPr>
          <w:rFonts w:hint="eastAsia" w:ascii="宋体" w:hAnsi="宋体" w:cs="宋体"/>
          <w:szCs w:val="21"/>
        </w:rPr>
        <w:t>本项目不接受联合体参与磋商。</w:t>
      </w:r>
    </w:p>
    <w:p w14:paraId="421D6EC3">
      <w:pPr>
        <w:pStyle w:val="5"/>
        <w:spacing w:before="0" w:after="0" w:line="360" w:lineRule="auto"/>
        <w:rPr>
          <w:rFonts w:ascii="宋体" w:hAnsi="宋体" w:cs="宋体"/>
          <w:sz w:val="21"/>
          <w:szCs w:val="21"/>
        </w:rPr>
      </w:pPr>
      <w:bookmarkStart w:id="89" w:name="_Toc10648"/>
      <w:bookmarkStart w:id="90" w:name="_Toc532465849"/>
      <w:bookmarkStart w:id="91" w:name="_Toc1637875"/>
      <w:bookmarkStart w:id="92" w:name="_Toc27934"/>
      <w:bookmarkStart w:id="93" w:name="_Toc19930"/>
      <w:bookmarkStart w:id="94" w:name="_Toc3291"/>
      <w:bookmarkStart w:id="95" w:name="_Toc6586"/>
      <w:bookmarkStart w:id="96" w:name="_Toc20374"/>
      <w:r>
        <w:rPr>
          <w:rFonts w:hint="eastAsia" w:ascii="宋体" w:hAnsi="宋体" w:cs="宋体"/>
          <w:sz w:val="21"/>
          <w:szCs w:val="21"/>
        </w:rPr>
        <w:t>6.质疑和投诉</w:t>
      </w:r>
      <w:bookmarkEnd w:id="89"/>
      <w:bookmarkEnd w:id="90"/>
      <w:bookmarkEnd w:id="91"/>
      <w:bookmarkEnd w:id="92"/>
      <w:bookmarkEnd w:id="93"/>
      <w:bookmarkEnd w:id="94"/>
      <w:bookmarkEnd w:id="95"/>
      <w:bookmarkEnd w:id="96"/>
      <w:r>
        <w:rPr>
          <w:rFonts w:hint="eastAsia" w:ascii="宋体" w:hAnsi="宋体" w:cs="宋体"/>
          <w:sz w:val="21"/>
          <w:szCs w:val="21"/>
        </w:rPr>
        <w:tab/>
      </w:r>
    </w:p>
    <w:p w14:paraId="1D258659">
      <w:pPr>
        <w:tabs>
          <w:tab w:val="left" w:pos="2190"/>
        </w:tabs>
        <w:spacing w:line="360" w:lineRule="auto"/>
        <w:ind w:firstLine="435"/>
        <w:rPr>
          <w:rFonts w:ascii="宋体" w:hAnsi="宋体" w:cs="宋体"/>
          <w:szCs w:val="21"/>
        </w:rPr>
      </w:pPr>
      <w:bookmarkStart w:id="97" w:name="_Toc532465850"/>
      <w:bookmarkStart w:id="98" w:name="_Toc21101"/>
      <w:bookmarkStart w:id="99" w:name="_Toc1637876"/>
      <w:r>
        <w:rPr>
          <w:rFonts w:hint="eastAsia" w:ascii="宋体" w:hAnsi="宋体" w:cs="宋体"/>
          <w:szCs w:val="21"/>
        </w:rPr>
        <w:t>6.1质疑</w:t>
      </w:r>
    </w:p>
    <w:p w14:paraId="046FF475">
      <w:pPr>
        <w:tabs>
          <w:tab w:val="left" w:pos="2190"/>
        </w:tabs>
        <w:spacing w:line="360" w:lineRule="auto"/>
        <w:ind w:firstLine="435"/>
        <w:rPr>
          <w:rFonts w:ascii="宋体" w:hAnsi="宋体" w:cs="宋体"/>
          <w:szCs w:val="21"/>
        </w:rPr>
      </w:pPr>
      <w:r>
        <w:rPr>
          <w:rFonts w:hint="eastAsia" w:ascii="宋体" w:hAnsi="宋体" w:cs="宋体"/>
          <w:szCs w:val="21"/>
        </w:rPr>
        <w:t>6.1.1供应商认为竞争性磋商采购文件、采购过程和成交结果使自己的合法权益受到损害的，应当在知道或者应知其权益受到损害之日起七个工作日内，以书面形式向采购人、采购代理机构提出质疑。供应商对采购人、采购代理机构质疑答复不满意或者采购人、采购代理机构未在规定时间内作出答复的，可以在答复期满后十五个工作日内向同级政府采购监督管理部门投诉。针对同一采购程序环节的质疑必须在法定质疑期内一次性提出。</w:t>
      </w:r>
    </w:p>
    <w:p w14:paraId="27599DF7">
      <w:pPr>
        <w:tabs>
          <w:tab w:val="left" w:pos="2190"/>
        </w:tabs>
        <w:spacing w:line="360" w:lineRule="auto"/>
        <w:ind w:firstLine="435"/>
        <w:rPr>
          <w:rFonts w:ascii="宋体" w:hAnsi="宋体" w:cs="宋体"/>
          <w:szCs w:val="21"/>
        </w:rPr>
      </w:pPr>
      <w:r>
        <w:rPr>
          <w:rFonts w:hint="eastAsia" w:ascii="宋体" w:hAnsi="宋体" w:cs="宋体"/>
          <w:szCs w:val="21"/>
        </w:rPr>
        <w:t>6.1.2供应商提出质疑应当提交质疑函和必要的证明材料。质疑函应当包括下列内容：</w:t>
      </w:r>
    </w:p>
    <w:p w14:paraId="5680F267">
      <w:pPr>
        <w:tabs>
          <w:tab w:val="left" w:pos="2190"/>
        </w:tabs>
        <w:spacing w:line="360" w:lineRule="auto"/>
        <w:ind w:firstLine="435"/>
        <w:rPr>
          <w:rFonts w:ascii="宋体" w:hAnsi="宋体" w:cs="宋体"/>
          <w:szCs w:val="21"/>
        </w:rPr>
      </w:pPr>
      <w:r>
        <w:rPr>
          <w:rFonts w:hint="eastAsia" w:ascii="宋体" w:hAnsi="宋体" w:cs="宋体"/>
          <w:szCs w:val="21"/>
        </w:rPr>
        <w:t>（1）供应商的姓名或者名称、地址、邮编、联系人及联系电话；</w:t>
      </w:r>
    </w:p>
    <w:p w14:paraId="0323525D">
      <w:pPr>
        <w:tabs>
          <w:tab w:val="left" w:pos="2190"/>
        </w:tabs>
        <w:spacing w:line="360" w:lineRule="auto"/>
        <w:ind w:firstLine="435"/>
        <w:rPr>
          <w:rFonts w:ascii="宋体" w:hAnsi="宋体" w:cs="宋体"/>
          <w:szCs w:val="21"/>
        </w:rPr>
      </w:pPr>
      <w:r>
        <w:rPr>
          <w:rFonts w:hint="eastAsia" w:ascii="宋体" w:hAnsi="宋体" w:cs="宋体"/>
          <w:szCs w:val="21"/>
        </w:rPr>
        <w:t>（2）质疑项目的名称、编号；</w:t>
      </w:r>
    </w:p>
    <w:p w14:paraId="0F5F3D0C">
      <w:pPr>
        <w:tabs>
          <w:tab w:val="left" w:pos="2190"/>
        </w:tabs>
        <w:spacing w:line="360" w:lineRule="auto"/>
        <w:ind w:firstLine="435"/>
        <w:rPr>
          <w:rFonts w:ascii="宋体" w:hAnsi="宋体" w:cs="宋体"/>
          <w:szCs w:val="21"/>
        </w:rPr>
      </w:pPr>
      <w:r>
        <w:rPr>
          <w:rFonts w:hint="eastAsia" w:ascii="宋体" w:hAnsi="宋体" w:cs="宋体"/>
          <w:szCs w:val="21"/>
        </w:rPr>
        <w:t>（3）具体、明确的质疑事项和与质疑事项相关的请求；</w:t>
      </w:r>
    </w:p>
    <w:p w14:paraId="2A693B3F">
      <w:pPr>
        <w:tabs>
          <w:tab w:val="left" w:pos="2190"/>
        </w:tabs>
        <w:spacing w:line="360" w:lineRule="auto"/>
        <w:ind w:firstLine="435"/>
        <w:rPr>
          <w:rFonts w:ascii="宋体" w:hAnsi="宋体" w:cs="宋体"/>
          <w:szCs w:val="21"/>
        </w:rPr>
      </w:pPr>
      <w:r>
        <w:rPr>
          <w:rFonts w:hint="eastAsia" w:ascii="宋体" w:hAnsi="宋体" w:cs="宋体"/>
          <w:szCs w:val="21"/>
        </w:rPr>
        <w:t>（4）事实依据；</w:t>
      </w:r>
    </w:p>
    <w:p w14:paraId="3E1F025D">
      <w:pPr>
        <w:tabs>
          <w:tab w:val="left" w:pos="2190"/>
        </w:tabs>
        <w:spacing w:line="360" w:lineRule="auto"/>
        <w:ind w:firstLine="435"/>
        <w:rPr>
          <w:rFonts w:ascii="宋体" w:hAnsi="宋体" w:cs="宋体"/>
          <w:szCs w:val="21"/>
        </w:rPr>
      </w:pPr>
      <w:r>
        <w:rPr>
          <w:rFonts w:hint="eastAsia" w:ascii="宋体" w:hAnsi="宋体" w:cs="宋体"/>
          <w:szCs w:val="21"/>
        </w:rPr>
        <w:t>（5）必要的法律依据；</w:t>
      </w:r>
    </w:p>
    <w:p w14:paraId="5586FBBD">
      <w:pPr>
        <w:tabs>
          <w:tab w:val="left" w:pos="2190"/>
        </w:tabs>
        <w:spacing w:line="360" w:lineRule="auto"/>
        <w:ind w:firstLine="435"/>
        <w:rPr>
          <w:rFonts w:ascii="宋体" w:hAnsi="宋体" w:cs="宋体"/>
          <w:szCs w:val="21"/>
        </w:rPr>
      </w:pPr>
      <w:r>
        <w:rPr>
          <w:rFonts w:hint="eastAsia" w:ascii="宋体" w:hAnsi="宋体" w:cs="宋体"/>
          <w:szCs w:val="21"/>
        </w:rPr>
        <w:t>（6）提出质疑的日期。</w:t>
      </w:r>
    </w:p>
    <w:p w14:paraId="5BD97831">
      <w:pPr>
        <w:tabs>
          <w:tab w:val="left" w:pos="2190"/>
        </w:tabs>
        <w:spacing w:line="360" w:lineRule="auto"/>
        <w:ind w:firstLine="435"/>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w:t>
      </w:r>
    </w:p>
    <w:p w14:paraId="6D4422A3">
      <w:pPr>
        <w:tabs>
          <w:tab w:val="left" w:pos="2190"/>
        </w:tabs>
        <w:spacing w:line="360" w:lineRule="auto"/>
        <w:ind w:firstLine="435"/>
        <w:rPr>
          <w:rFonts w:ascii="宋体" w:hAnsi="宋体" w:cs="宋体"/>
          <w:szCs w:val="21"/>
        </w:rPr>
      </w:pPr>
      <w:r>
        <w:rPr>
          <w:rFonts w:hint="eastAsia" w:ascii="宋体" w:hAnsi="宋体" w:cs="宋体"/>
          <w:szCs w:val="21"/>
        </w:rPr>
        <w:t>质疑供应商可以委托代理人办理质疑事务。代理人办理质疑事务时，除提交质疑书外，还应当提交质疑供应商的授权委托书，授权委托书应当载明委托代理的具体权限和事项。</w:t>
      </w:r>
    </w:p>
    <w:p w14:paraId="20A0077C">
      <w:pPr>
        <w:tabs>
          <w:tab w:val="left" w:pos="2190"/>
        </w:tabs>
        <w:spacing w:line="360" w:lineRule="auto"/>
        <w:ind w:firstLine="435"/>
        <w:rPr>
          <w:rFonts w:ascii="宋体" w:hAnsi="宋体" w:cs="宋体"/>
          <w:szCs w:val="21"/>
        </w:rPr>
      </w:pPr>
      <w:r>
        <w:rPr>
          <w:rFonts w:hint="eastAsia" w:ascii="宋体" w:hAnsi="宋体" w:cs="宋体"/>
          <w:szCs w:val="21"/>
        </w:rPr>
        <w:t>接收质疑函方式：以书面形式</w:t>
      </w:r>
    </w:p>
    <w:p w14:paraId="678197BC">
      <w:pPr>
        <w:tabs>
          <w:tab w:val="left" w:pos="2190"/>
        </w:tabs>
        <w:spacing w:line="360" w:lineRule="auto"/>
        <w:ind w:firstLine="435"/>
        <w:rPr>
          <w:rFonts w:ascii="宋体" w:hAnsi="宋体" w:cs="宋体"/>
          <w:szCs w:val="21"/>
        </w:rPr>
      </w:pPr>
      <w:r>
        <w:rPr>
          <w:rFonts w:hint="eastAsia" w:ascii="宋体" w:hAnsi="宋体" w:cs="宋体"/>
          <w:szCs w:val="21"/>
        </w:rPr>
        <w:t>质疑联系部门及联系方式：广西朝华工程项目管理有限公司，联系人：秦新阳，联系电话：0773-8998986；通讯地址：桂林市七星区朝阳路信息产业园创新大厦H座B区2幢4-1 。</w:t>
      </w:r>
    </w:p>
    <w:p w14:paraId="6A6FDBF5">
      <w:pPr>
        <w:tabs>
          <w:tab w:val="left" w:pos="2190"/>
        </w:tabs>
        <w:spacing w:line="360" w:lineRule="auto"/>
        <w:ind w:firstLine="435"/>
        <w:rPr>
          <w:rFonts w:ascii="宋体" w:hAnsi="宋体" w:cs="宋体"/>
          <w:szCs w:val="21"/>
        </w:rPr>
      </w:pPr>
      <w:r>
        <w:rPr>
          <w:rFonts w:hint="eastAsia" w:ascii="宋体" w:hAnsi="宋体" w:cs="宋体"/>
          <w:szCs w:val="21"/>
        </w:rPr>
        <w:t>6.2投诉</w:t>
      </w:r>
    </w:p>
    <w:p w14:paraId="6ABA1A19">
      <w:pPr>
        <w:tabs>
          <w:tab w:val="left" w:pos="2190"/>
        </w:tabs>
        <w:spacing w:line="360" w:lineRule="auto"/>
        <w:ind w:firstLine="435"/>
        <w:rPr>
          <w:rFonts w:ascii="宋体" w:hAnsi="宋体" w:cs="宋体"/>
          <w:szCs w:val="21"/>
        </w:rPr>
      </w:pPr>
      <w:r>
        <w:rPr>
          <w:rFonts w:hint="eastAsia" w:ascii="宋体" w:hAnsi="宋体" w:cs="宋体"/>
          <w:szCs w:val="21"/>
        </w:rPr>
        <w:t>6.2.1供应商认为采购文件、采购过程、中标和成交结果使自己的合法权益受到损害的，应当首先依法向采购人或采购人委托的采购代理机构提出质疑。对采购人、采购代理机构的答复不满意，或者采购人、采购代理机构未在规定期限内做出答复的，供应商可以在答复期满后十五个工作日内向同级政府采购监督管理部门提起投诉。</w:t>
      </w:r>
    </w:p>
    <w:p w14:paraId="05B34793">
      <w:pPr>
        <w:tabs>
          <w:tab w:val="left" w:pos="2190"/>
        </w:tabs>
        <w:spacing w:line="360" w:lineRule="auto"/>
        <w:ind w:firstLine="435"/>
        <w:rPr>
          <w:rFonts w:ascii="宋体" w:hAnsi="宋体" w:cs="宋体"/>
          <w:szCs w:val="21"/>
        </w:rPr>
      </w:pPr>
      <w:r>
        <w:rPr>
          <w:rFonts w:hint="eastAsia" w:ascii="宋体" w:hAnsi="宋体" w:cs="宋体"/>
          <w:szCs w:val="21"/>
        </w:rPr>
        <w:t>6.2.2投诉人投诉时,应当提交投诉书和必要的证明材料，并按照被投诉采购人、采购代理机构（以下简称被投诉人）和与投诉事项有关的供应商数量提供投诉书的副本。投诉书应当包括下列内容：</w:t>
      </w:r>
    </w:p>
    <w:p w14:paraId="68158052">
      <w:pPr>
        <w:tabs>
          <w:tab w:val="left" w:pos="2190"/>
        </w:tabs>
        <w:spacing w:line="360" w:lineRule="auto"/>
        <w:ind w:firstLine="435"/>
        <w:rPr>
          <w:rFonts w:ascii="宋体" w:hAnsi="宋体" w:cs="宋体"/>
          <w:szCs w:val="21"/>
        </w:rPr>
      </w:pPr>
      <w:r>
        <w:rPr>
          <w:rFonts w:hint="eastAsia" w:ascii="宋体" w:hAnsi="宋体" w:cs="宋体"/>
          <w:szCs w:val="21"/>
        </w:rPr>
        <w:t>（1）投诉人和被投诉人的姓名或者名称、通讯地址、邮编、联系人及联系电话；</w:t>
      </w:r>
    </w:p>
    <w:p w14:paraId="1FF68DBA">
      <w:pPr>
        <w:tabs>
          <w:tab w:val="left" w:pos="2190"/>
        </w:tabs>
        <w:spacing w:line="360" w:lineRule="auto"/>
        <w:ind w:firstLine="435"/>
        <w:rPr>
          <w:rFonts w:ascii="宋体" w:hAnsi="宋体" w:cs="宋体"/>
          <w:szCs w:val="21"/>
        </w:rPr>
      </w:pPr>
      <w:r>
        <w:rPr>
          <w:rFonts w:hint="eastAsia" w:ascii="宋体" w:hAnsi="宋体" w:cs="宋体"/>
          <w:szCs w:val="21"/>
        </w:rPr>
        <w:t>（2）质疑和质疑答复情况说明及相关证明材料；</w:t>
      </w:r>
    </w:p>
    <w:p w14:paraId="5675CD14">
      <w:pPr>
        <w:tabs>
          <w:tab w:val="left" w:pos="2190"/>
        </w:tabs>
        <w:spacing w:line="360" w:lineRule="auto"/>
        <w:ind w:firstLine="435"/>
        <w:rPr>
          <w:rFonts w:ascii="宋体" w:hAnsi="宋体" w:cs="宋体"/>
          <w:szCs w:val="21"/>
        </w:rPr>
      </w:pPr>
      <w:r>
        <w:rPr>
          <w:rFonts w:hint="eastAsia" w:ascii="宋体" w:hAnsi="宋体" w:cs="宋体"/>
          <w:szCs w:val="21"/>
        </w:rPr>
        <w:t>（3）具体、明确的投诉事项和与投诉事项相关的投诉请求；</w:t>
      </w:r>
    </w:p>
    <w:p w14:paraId="3FFB8409">
      <w:pPr>
        <w:tabs>
          <w:tab w:val="left" w:pos="2190"/>
        </w:tabs>
        <w:spacing w:line="360" w:lineRule="auto"/>
        <w:ind w:firstLine="435"/>
        <w:rPr>
          <w:rFonts w:ascii="宋体" w:hAnsi="宋体" w:cs="宋体"/>
          <w:szCs w:val="21"/>
        </w:rPr>
      </w:pPr>
      <w:r>
        <w:rPr>
          <w:rFonts w:hint="eastAsia" w:ascii="宋体" w:hAnsi="宋体" w:cs="宋体"/>
          <w:szCs w:val="21"/>
        </w:rPr>
        <w:t>（4）事实依据；</w:t>
      </w:r>
    </w:p>
    <w:p w14:paraId="5F8434DE">
      <w:pPr>
        <w:tabs>
          <w:tab w:val="left" w:pos="2190"/>
        </w:tabs>
        <w:spacing w:line="360" w:lineRule="auto"/>
        <w:ind w:firstLine="435"/>
        <w:rPr>
          <w:rFonts w:ascii="宋体" w:hAnsi="宋体" w:cs="宋体"/>
          <w:szCs w:val="21"/>
        </w:rPr>
      </w:pPr>
      <w:r>
        <w:rPr>
          <w:rFonts w:hint="eastAsia" w:ascii="宋体" w:hAnsi="宋体" w:cs="宋体"/>
          <w:szCs w:val="21"/>
        </w:rPr>
        <w:t>（5）法律依据；</w:t>
      </w:r>
    </w:p>
    <w:p w14:paraId="067A3A57">
      <w:pPr>
        <w:tabs>
          <w:tab w:val="left" w:pos="2190"/>
        </w:tabs>
        <w:spacing w:line="360" w:lineRule="auto"/>
        <w:ind w:firstLine="435"/>
        <w:rPr>
          <w:rFonts w:ascii="宋体" w:hAnsi="宋体" w:cs="宋体"/>
          <w:szCs w:val="21"/>
        </w:rPr>
      </w:pPr>
      <w:r>
        <w:rPr>
          <w:rFonts w:hint="eastAsia" w:ascii="宋体" w:hAnsi="宋体" w:cs="宋体"/>
          <w:szCs w:val="21"/>
        </w:rPr>
        <w:t>（6）提起投诉的日期。</w:t>
      </w:r>
    </w:p>
    <w:p w14:paraId="50B8E4FB">
      <w:pPr>
        <w:tabs>
          <w:tab w:val="left" w:pos="2190"/>
        </w:tabs>
        <w:spacing w:line="360" w:lineRule="auto"/>
        <w:ind w:firstLine="435"/>
        <w:rPr>
          <w:rFonts w:ascii="宋体" w:hAnsi="宋体" w:cs="宋体"/>
          <w:szCs w:val="21"/>
        </w:rPr>
      </w:pPr>
      <w:r>
        <w:rPr>
          <w:rFonts w:hint="eastAsia" w:ascii="宋体" w:hAnsi="宋体" w:cs="宋体"/>
          <w:szCs w:val="21"/>
        </w:rPr>
        <w:t>投诉人为自然人的，应当由本人签字；投诉人为法人或者其他组织的，应当由法定代表人、主要负责人，或者其授权代表签字或者盖章，并加盖公章。</w:t>
      </w:r>
    </w:p>
    <w:p w14:paraId="5F041E5D">
      <w:pPr>
        <w:tabs>
          <w:tab w:val="left" w:pos="2190"/>
        </w:tabs>
        <w:spacing w:line="360" w:lineRule="auto"/>
        <w:ind w:firstLine="435"/>
        <w:rPr>
          <w:rFonts w:ascii="宋体" w:hAnsi="宋体" w:cs="宋体"/>
          <w:szCs w:val="21"/>
        </w:rPr>
      </w:pPr>
      <w:r>
        <w:rPr>
          <w:rFonts w:hint="eastAsia" w:ascii="宋体" w:hAnsi="宋体" w:cs="宋体"/>
          <w:szCs w:val="21"/>
        </w:rPr>
        <w:t>6.2.3投诉人可以委托代理人办理投诉事务。代理人办理投诉事务时，除提交投诉书外，还应当提交投诉人的授权委托书，授权委托书应当载明委托代理的具体权限和事项。</w:t>
      </w:r>
    </w:p>
    <w:p w14:paraId="02216C7F">
      <w:pPr>
        <w:tabs>
          <w:tab w:val="left" w:pos="2190"/>
        </w:tabs>
        <w:spacing w:line="360" w:lineRule="auto"/>
        <w:ind w:firstLine="435"/>
        <w:rPr>
          <w:rFonts w:ascii="宋体" w:hAnsi="宋体" w:cs="宋体"/>
          <w:szCs w:val="21"/>
        </w:rPr>
      </w:pPr>
      <w:r>
        <w:rPr>
          <w:rFonts w:hint="eastAsia" w:ascii="宋体" w:hAnsi="宋体" w:cs="宋体"/>
          <w:szCs w:val="21"/>
        </w:rPr>
        <w:t>6.2.4投诉人提起投诉应当符合下列条件：</w:t>
      </w:r>
    </w:p>
    <w:p w14:paraId="420B392B">
      <w:pPr>
        <w:tabs>
          <w:tab w:val="left" w:pos="2190"/>
        </w:tabs>
        <w:spacing w:line="360" w:lineRule="auto"/>
        <w:ind w:firstLine="435"/>
        <w:rPr>
          <w:rFonts w:ascii="宋体" w:hAnsi="宋体" w:cs="宋体"/>
          <w:szCs w:val="21"/>
        </w:rPr>
      </w:pPr>
      <w:r>
        <w:rPr>
          <w:rFonts w:hint="eastAsia" w:ascii="宋体" w:hAnsi="宋体" w:cs="宋体"/>
          <w:szCs w:val="21"/>
        </w:rPr>
        <w:t>（1）投诉人是参与所投诉政府采购活动的供应商；</w:t>
      </w:r>
    </w:p>
    <w:p w14:paraId="22181C0D">
      <w:pPr>
        <w:tabs>
          <w:tab w:val="left" w:pos="2190"/>
        </w:tabs>
        <w:spacing w:line="360" w:lineRule="auto"/>
        <w:ind w:firstLine="435"/>
        <w:rPr>
          <w:rFonts w:ascii="宋体" w:hAnsi="宋体" w:cs="宋体"/>
          <w:szCs w:val="21"/>
        </w:rPr>
      </w:pPr>
      <w:r>
        <w:rPr>
          <w:rFonts w:hint="eastAsia" w:ascii="宋体" w:hAnsi="宋体" w:cs="宋体"/>
          <w:szCs w:val="21"/>
        </w:rPr>
        <w:t>（2）提起投诉前已依法进行质疑；</w:t>
      </w:r>
    </w:p>
    <w:p w14:paraId="4E885BBE">
      <w:pPr>
        <w:tabs>
          <w:tab w:val="left" w:pos="2190"/>
        </w:tabs>
        <w:spacing w:line="360" w:lineRule="auto"/>
        <w:ind w:firstLine="435"/>
        <w:rPr>
          <w:rFonts w:ascii="宋体" w:hAnsi="宋体" w:cs="宋体"/>
          <w:szCs w:val="21"/>
        </w:rPr>
      </w:pPr>
      <w:r>
        <w:rPr>
          <w:rFonts w:hint="eastAsia" w:ascii="宋体" w:hAnsi="宋体" w:cs="宋体"/>
          <w:szCs w:val="21"/>
        </w:rPr>
        <w:t>（3）投诉书内容符合本章第22.2项的规定；</w:t>
      </w:r>
    </w:p>
    <w:p w14:paraId="4E427FBE">
      <w:pPr>
        <w:tabs>
          <w:tab w:val="left" w:pos="2190"/>
        </w:tabs>
        <w:spacing w:line="360" w:lineRule="auto"/>
        <w:ind w:firstLine="435"/>
        <w:rPr>
          <w:rFonts w:ascii="宋体" w:hAnsi="宋体" w:cs="宋体"/>
          <w:szCs w:val="21"/>
        </w:rPr>
      </w:pPr>
      <w:r>
        <w:rPr>
          <w:rFonts w:hint="eastAsia" w:ascii="宋体" w:hAnsi="宋体" w:cs="宋体"/>
          <w:szCs w:val="21"/>
        </w:rPr>
        <w:t>（4）在投诉有效期限内提起投诉；</w:t>
      </w:r>
    </w:p>
    <w:p w14:paraId="1D663C46">
      <w:pPr>
        <w:tabs>
          <w:tab w:val="left" w:pos="2190"/>
        </w:tabs>
        <w:spacing w:line="360" w:lineRule="auto"/>
        <w:ind w:firstLine="435"/>
        <w:rPr>
          <w:rFonts w:ascii="宋体" w:hAnsi="宋体" w:cs="宋体"/>
          <w:szCs w:val="21"/>
        </w:rPr>
      </w:pPr>
      <w:r>
        <w:rPr>
          <w:rFonts w:hint="eastAsia" w:ascii="宋体" w:hAnsi="宋体" w:cs="宋体"/>
          <w:szCs w:val="21"/>
        </w:rPr>
        <w:t>（5）属于同级政府采购监督管理部门管辖；</w:t>
      </w:r>
    </w:p>
    <w:p w14:paraId="10D3BCA6">
      <w:pPr>
        <w:tabs>
          <w:tab w:val="left" w:pos="2190"/>
        </w:tabs>
        <w:spacing w:line="360" w:lineRule="auto"/>
        <w:ind w:firstLine="435"/>
        <w:rPr>
          <w:rFonts w:ascii="宋体" w:hAnsi="宋体" w:cs="宋体"/>
          <w:szCs w:val="21"/>
        </w:rPr>
      </w:pPr>
      <w:r>
        <w:rPr>
          <w:rFonts w:hint="eastAsia" w:ascii="宋体" w:hAnsi="宋体" w:cs="宋体"/>
          <w:szCs w:val="21"/>
        </w:rPr>
        <w:t>（6）同一投诉事项未经同级政府采购监督管理部门投诉处理；</w:t>
      </w:r>
    </w:p>
    <w:p w14:paraId="727EC950">
      <w:pPr>
        <w:tabs>
          <w:tab w:val="left" w:pos="2190"/>
        </w:tabs>
        <w:spacing w:line="360" w:lineRule="auto"/>
        <w:ind w:firstLine="435"/>
        <w:rPr>
          <w:rFonts w:ascii="宋体" w:hAnsi="宋体" w:cs="宋体"/>
          <w:szCs w:val="21"/>
        </w:rPr>
      </w:pPr>
      <w:r>
        <w:rPr>
          <w:rFonts w:hint="eastAsia" w:ascii="宋体" w:hAnsi="宋体" w:cs="宋体"/>
          <w:szCs w:val="21"/>
        </w:rPr>
        <w:t>（7）国务院财政部门规定的其他条件。</w:t>
      </w:r>
    </w:p>
    <w:p w14:paraId="3DD1D96A">
      <w:pPr>
        <w:tabs>
          <w:tab w:val="left" w:pos="2190"/>
        </w:tabs>
        <w:spacing w:line="360" w:lineRule="auto"/>
        <w:ind w:firstLine="435"/>
        <w:rPr>
          <w:rFonts w:ascii="宋体" w:hAnsi="宋体" w:cs="宋体"/>
          <w:szCs w:val="21"/>
        </w:rPr>
      </w:pPr>
      <w:r>
        <w:rPr>
          <w:rFonts w:hint="eastAsia" w:ascii="宋体" w:hAnsi="宋体" w:cs="宋体"/>
          <w:szCs w:val="21"/>
        </w:rPr>
        <w:t>6.2.5同级政府采购监督管理部门自受理投诉之日起三十个工作日内，对投诉事项作出处理决定，并以书面形式通知投诉人、被投诉人及其他与投诉处理结果有利害关系的政府采购当事人。</w:t>
      </w:r>
    </w:p>
    <w:p w14:paraId="66EF1C6F">
      <w:pPr>
        <w:tabs>
          <w:tab w:val="left" w:pos="2190"/>
        </w:tabs>
        <w:spacing w:line="360" w:lineRule="auto"/>
        <w:ind w:firstLine="435"/>
        <w:rPr>
          <w:rFonts w:ascii="宋体" w:hAnsi="宋体" w:cs="宋体"/>
          <w:szCs w:val="21"/>
        </w:rPr>
      </w:pPr>
      <w:r>
        <w:rPr>
          <w:rFonts w:hint="eastAsia" w:ascii="宋体" w:hAnsi="宋体" w:cs="宋体"/>
          <w:szCs w:val="21"/>
        </w:rPr>
        <w:t>6.2.6政府采购监督管理部门在处理投诉事项期间，可以视具体情况暂停采购活动</w:t>
      </w:r>
    </w:p>
    <w:p w14:paraId="0AE8BD0A">
      <w:pPr>
        <w:pStyle w:val="5"/>
        <w:spacing w:before="0" w:after="0" w:line="360" w:lineRule="auto"/>
        <w:rPr>
          <w:rFonts w:ascii="宋体" w:hAnsi="宋体" w:cs="宋体"/>
          <w:sz w:val="21"/>
          <w:szCs w:val="21"/>
        </w:rPr>
      </w:pPr>
      <w:bookmarkStart w:id="100" w:name="_Toc15914"/>
      <w:bookmarkStart w:id="101" w:name="_Toc21930"/>
      <w:bookmarkStart w:id="102" w:name="_Toc29206"/>
      <w:bookmarkStart w:id="103" w:name="_Toc22763"/>
      <w:bookmarkStart w:id="104" w:name="_Toc16230"/>
      <w:r>
        <w:rPr>
          <w:rFonts w:hint="eastAsia" w:ascii="宋体" w:hAnsi="宋体" w:cs="宋体"/>
          <w:sz w:val="21"/>
          <w:szCs w:val="21"/>
        </w:rPr>
        <w:t>7.转包与分包</w:t>
      </w:r>
      <w:bookmarkEnd w:id="97"/>
      <w:bookmarkEnd w:id="98"/>
      <w:bookmarkEnd w:id="99"/>
      <w:bookmarkEnd w:id="100"/>
      <w:bookmarkEnd w:id="101"/>
      <w:bookmarkEnd w:id="102"/>
      <w:bookmarkEnd w:id="103"/>
      <w:bookmarkEnd w:id="104"/>
    </w:p>
    <w:p w14:paraId="566E8161">
      <w:pPr>
        <w:tabs>
          <w:tab w:val="left" w:pos="2190"/>
        </w:tabs>
        <w:spacing w:line="360" w:lineRule="auto"/>
        <w:ind w:firstLine="435"/>
        <w:rPr>
          <w:rFonts w:ascii="宋体" w:hAnsi="宋体" w:cs="宋体"/>
          <w:szCs w:val="21"/>
        </w:rPr>
      </w:pPr>
      <w:r>
        <w:rPr>
          <w:rFonts w:hint="eastAsia" w:ascii="宋体" w:hAnsi="宋体" w:cs="宋体"/>
          <w:szCs w:val="21"/>
        </w:rPr>
        <w:t>7.1 本项目不允许转包。</w:t>
      </w:r>
    </w:p>
    <w:p w14:paraId="45914995">
      <w:pPr>
        <w:tabs>
          <w:tab w:val="left" w:pos="2190"/>
        </w:tabs>
        <w:spacing w:line="360" w:lineRule="auto"/>
        <w:ind w:firstLine="435"/>
        <w:rPr>
          <w:rFonts w:ascii="宋体" w:hAnsi="宋体" w:cs="宋体"/>
          <w:szCs w:val="21"/>
        </w:rPr>
      </w:pPr>
      <w:r>
        <w:rPr>
          <w:rFonts w:hint="eastAsia" w:ascii="宋体" w:hAnsi="宋体" w:cs="宋体"/>
          <w:szCs w:val="21"/>
        </w:rPr>
        <w:t>7.2 本项目不可以分包</w:t>
      </w:r>
    </w:p>
    <w:p w14:paraId="56B5EAF9">
      <w:pPr>
        <w:pStyle w:val="5"/>
        <w:spacing w:before="0" w:after="0" w:line="360" w:lineRule="auto"/>
        <w:rPr>
          <w:rFonts w:ascii="宋体" w:hAnsi="宋体" w:cs="宋体"/>
          <w:sz w:val="21"/>
          <w:szCs w:val="21"/>
        </w:rPr>
      </w:pPr>
      <w:bookmarkStart w:id="105" w:name="_Toc532465852"/>
      <w:bookmarkStart w:id="106" w:name="_Toc21401"/>
      <w:bookmarkStart w:id="107" w:name="_Toc1637878"/>
      <w:bookmarkStart w:id="108" w:name="_Toc503883796"/>
      <w:r>
        <w:rPr>
          <w:rFonts w:hint="eastAsia" w:ascii="宋体" w:hAnsi="宋体" w:cs="宋体"/>
          <w:sz w:val="21"/>
          <w:szCs w:val="21"/>
        </w:rPr>
        <w:t>8.关联供应商不得参加同一合同项下政府采购活动，否则响应文件将被视为无效：</w:t>
      </w:r>
    </w:p>
    <w:p w14:paraId="701AEF24">
      <w:pPr>
        <w:tabs>
          <w:tab w:val="left" w:pos="1635"/>
        </w:tabs>
        <w:spacing w:line="360" w:lineRule="auto"/>
        <w:ind w:firstLine="359" w:firstLineChars="171"/>
        <w:rPr>
          <w:rFonts w:ascii="宋体" w:hAnsi="宋体" w:cs="宋体"/>
          <w:szCs w:val="21"/>
        </w:rPr>
      </w:pPr>
      <w:r>
        <w:rPr>
          <w:rFonts w:hint="eastAsia" w:ascii="宋体" w:hAnsi="宋体" w:cs="宋体"/>
          <w:szCs w:val="21"/>
        </w:rPr>
        <w:t>8.1单位负责人为同一人或者存在直接控股、管理关系的，不得参加同一合同项下的政府采购活动。</w:t>
      </w:r>
    </w:p>
    <w:p w14:paraId="2814F96E">
      <w:pPr>
        <w:pStyle w:val="20"/>
        <w:tabs>
          <w:tab w:val="left" w:pos="3360"/>
        </w:tabs>
        <w:snapToGrid w:val="0"/>
        <w:spacing w:after="0" w:line="360" w:lineRule="auto"/>
        <w:ind w:left="2" w:leftChars="1" w:firstLine="359" w:firstLineChars="171"/>
        <w:rPr>
          <w:rFonts w:ascii="宋体" w:hAnsi="宋体" w:cs="宋体"/>
          <w:sz w:val="21"/>
          <w:szCs w:val="21"/>
        </w:rPr>
      </w:pPr>
      <w:r>
        <w:rPr>
          <w:rFonts w:hint="eastAsia" w:ascii="宋体" w:hAnsi="宋体" w:cs="宋体"/>
          <w:sz w:val="21"/>
          <w:szCs w:val="21"/>
        </w:rPr>
        <w:t>8.2供应商应仔细阅</w:t>
      </w:r>
      <w:r>
        <w:rPr>
          <w:rFonts w:hint="eastAsia" w:ascii="宋体" w:hAnsi="宋体" w:cs="宋体"/>
          <w:kern w:val="2"/>
          <w:sz w:val="21"/>
          <w:szCs w:val="21"/>
        </w:rPr>
        <w:t>读竞争性磋商文件的所有内容，按照竞争性磋商文件的要求提交</w:t>
      </w:r>
      <w:r>
        <w:rPr>
          <w:rFonts w:hint="eastAsia" w:ascii="宋体" w:hAnsi="宋体" w:cs="宋体"/>
          <w:sz w:val="21"/>
          <w:szCs w:val="21"/>
        </w:rPr>
        <w:t>响应文件，并对所提供的全部资料的真实性承担法律责任。</w:t>
      </w:r>
    </w:p>
    <w:p w14:paraId="402F08F8">
      <w:pPr>
        <w:tabs>
          <w:tab w:val="left" w:pos="1635"/>
        </w:tabs>
        <w:spacing w:line="360" w:lineRule="auto"/>
        <w:ind w:firstLine="359" w:firstLineChars="171"/>
        <w:rPr>
          <w:rFonts w:ascii="宋体" w:hAnsi="宋体" w:cs="宋体"/>
          <w:szCs w:val="21"/>
        </w:rPr>
      </w:pPr>
      <w:r>
        <w:rPr>
          <w:rFonts w:hint="eastAsia" w:ascii="宋体" w:hAnsi="宋体" w:cs="宋体"/>
          <w:szCs w:val="21"/>
        </w:rPr>
        <w:t>8.3供应商在磋商活动中提供任何虚假材料，其响应文件无效，并报监管部门查处；成交后发现的，成交人须依照《中华人民共和国消费者权益保护法》第49条之规定双倍赔偿采购人，且民事赔偿并不免除违法供应商的行政与刑事责任。</w:t>
      </w:r>
    </w:p>
    <w:p w14:paraId="20BA5CD2">
      <w:pPr>
        <w:pStyle w:val="4"/>
        <w:spacing w:before="0" w:after="0" w:line="360" w:lineRule="auto"/>
        <w:jc w:val="center"/>
        <w:rPr>
          <w:rFonts w:ascii="宋体" w:hAnsi="宋体" w:cs="宋体"/>
          <w:sz w:val="21"/>
          <w:szCs w:val="21"/>
        </w:rPr>
      </w:pPr>
      <w:bookmarkStart w:id="109" w:name="_Toc31642"/>
      <w:bookmarkStart w:id="110" w:name="_Toc9385"/>
      <w:bookmarkStart w:id="111" w:name="_Toc26917"/>
      <w:bookmarkStart w:id="112" w:name="_Toc28142"/>
      <w:bookmarkStart w:id="113" w:name="_Toc15140"/>
      <w:r>
        <w:rPr>
          <w:rFonts w:hint="eastAsia" w:ascii="宋体" w:hAnsi="宋体" w:cs="宋体"/>
          <w:sz w:val="21"/>
          <w:szCs w:val="21"/>
        </w:rPr>
        <w:t>二、磋商文</w:t>
      </w:r>
      <w:bookmarkEnd w:id="105"/>
      <w:bookmarkEnd w:id="106"/>
      <w:bookmarkEnd w:id="107"/>
      <w:bookmarkEnd w:id="108"/>
      <w:r>
        <w:rPr>
          <w:rFonts w:hint="eastAsia" w:ascii="宋体" w:hAnsi="宋体" w:cs="宋体"/>
          <w:sz w:val="21"/>
          <w:szCs w:val="21"/>
        </w:rPr>
        <w:t>件</w:t>
      </w:r>
      <w:bookmarkEnd w:id="109"/>
      <w:bookmarkEnd w:id="110"/>
      <w:bookmarkEnd w:id="111"/>
      <w:bookmarkEnd w:id="112"/>
      <w:bookmarkEnd w:id="113"/>
    </w:p>
    <w:p w14:paraId="65530069">
      <w:pPr>
        <w:pStyle w:val="5"/>
        <w:spacing w:before="0" w:after="0" w:line="360" w:lineRule="auto"/>
        <w:rPr>
          <w:rFonts w:ascii="宋体" w:hAnsi="宋体" w:cs="宋体"/>
          <w:sz w:val="21"/>
          <w:szCs w:val="21"/>
        </w:rPr>
      </w:pPr>
      <w:bookmarkStart w:id="114" w:name="_Toc6808"/>
      <w:bookmarkStart w:id="115" w:name="_Toc3893"/>
      <w:bookmarkStart w:id="116" w:name="_Toc532465853"/>
      <w:bookmarkStart w:id="117" w:name="_Toc20300"/>
      <w:bookmarkStart w:id="118" w:name="_Toc1637879"/>
      <w:bookmarkStart w:id="119" w:name="_Toc10187"/>
      <w:bookmarkStart w:id="120" w:name="_Toc22521"/>
      <w:bookmarkStart w:id="121" w:name="_Toc3937"/>
      <w:r>
        <w:rPr>
          <w:rFonts w:hint="eastAsia" w:ascii="宋体" w:hAnsi="宋体" w:cs="宋体"/>
          <w:sz w:val="21"/>
          <w:szCs w:val="21"/>
        </w:rPr>
        <w:t>9.磋商文件的构成</w:t>
      </w:r>
      <w:bookmarkEnd w:id="114"/>
      <w:bookmarkEnd w:id="115"/>
      <w:bookmarkEnd w:id="116"/>
      <w:bookmarkEnd w:id="117"/>
      <w:bookmarkEnd w:id="118"/>
      <w:bookmarkEnd w:id="119"/>
      <w:bookmarkEnd w:id="120"/>
      <w:bookmarkEnd w:id="121"/>
    </w:p>
    <w:p w14:paraId="5193F2A7">
      <w:pPr>
        <w:tabs>
          <w:tab w:val="left" w:pos="1140"/>
        </w:tabs>
        <w:spacing w:line="360" w:lineRule="auto"/>
        <w:ind w:firstLine="420" w:firstLineChars="200"/>
        <w:rPr>
          <w:rFonts w:ascii="宋体" w:hAnsi="宋体" w:cs="宋体"/>
          <w:szCs w:val="21"/>
        </w:rPr>
      </w:pPr>
      <w:r>
        <w:rPr>
          <w:rFonts w:hint="eastAsia" w:ascii="宋体" w:hAnsi="宋体" w:cs="宋体"/>
          <w:szCs w:val="21"/>
        </w:rPr>
        <w:t>（1）竞争性磋商公告；</w:t>
      </w:r>
    </w:p>
    <w:p w14:paraId="0ACC9664">
      <w:pPr>
        <w:tabs>
          <w:tab w:val="left" w:pos="1140"/>
        </w:tabs>
        <w:spacing w:line="360" w:lineRule="auto"/>
        <w:ind w:firstLine="420" w:firstLineChars="200"/>
        <w:rPr>
          <w:rFonts w:ascii="宋体" w:hAnsi="宋体" w:cs="宋体"/>
          <w:szCs w:val="21"/>
        </w:rPr>
      </w:pPr>
      <w:r>
        <w:rPr>
          <w:rFonts w:hint="eastAsia" w:ascii="宋体" w:hAnsi="宋体" w:cs="宋体"/>
          <w:szCs w:val="21"/>
        </w:rPr>
        <w:t>（2）供应商须知；</w:t>
      </w:r>
    </w:p>
    <w:p w14:paraId="596C1A72">
      <w:pPr>
        <w:tabs>
          <w:tab w:val="left" w:pos="1140"/>
        </w:tabs>
        <w:spacing w:line="360" w:lineRule="auto"/>
        <w:ind w:firstLine="420" w:firstLineChars="200"/>
        <w:rPr>
          <w:rFonts w:ascii="宋体" w:hAnsi="宋体" w:cs="宋体"/>
          <w:szCs w:val="21"/>
        </w:rPr>
      </w:pPr>
      <w:r>
        <w:rPr>
          <w:rFonts w:hint="eastAsia" w:ascii="宋体" w:hAnsi="宋体" w:cs="宋体"/>
          <w:szCs w:val="21"/>
        </w:rPr>
        <w:t>（3）工程量清单</w:t>
      </w:r>
    </w:p>
    <w:p w14:paraId="12439152">
      <w:pPr>
        <w:tabs>
          <w:tab w:val="left" w:pos="1140"/>
        </w:tabs>
        <w:spacing w:line="360" w:lineRule="auto"/>
        <w:ind w:firstLine="420" w:firstLineChars="200"/>
        <w:rPr>
          <w:rFonts w:ascii="宋体" w:hAnsi="宋体" w:cs="宋体"/>
          <w:szCs w:val="21"/>
        </w:rPr>
      </w:pPr>
      <w:r>
        <w:rPr>
          <w:rFonts w:hint="eastAsia" w:ascii="宋体" w:hAnsi="宋体" w:cs="宋体"/>
          <w:szCs w:val="21"/>
        </w:rPr>
        <w:t>（4）评审办法；</w:t>
      </w:r>
    </w:p>
    <w:p w14:paraId="6085034C">
      <w:pPr>
        <w:tabs>
          <w:tab w:val="left" w:pos="1140"/>
        </w:tabs>
        <w:spacing w:line="360" w:lineRule="auto"/>
        <w:ind w:firstLine="420" w:firstLineChars="200"/>
        <w:rPr>
          <w:rFonts w:ascii="宋体" w:hAnsi="宋体" w:cs="宋体"/>
          <w:szCs w:val="21"/>
        </w:rPr>
      </w:pPr>
      <w:r>
        <w:rPr>
          <w:rFonts w:hint="eastAsia" w:ascii="宋体" w:hAnsi="宋体" w:cs="宋体"/>
          <w:szCs w:val="21"/>
        </w:rPr>
        <w:t>（5）合同主要条款及格式；</w:t>
      </w:r>
    </w:p>
    <w:p w14:paraId="4D4F6451">
      <w:pPr>
        <w:tabs>
          <w:tab w:val="left" w:pos="1140"/>
        </w:tabs>
        <w:spacing w:line="360" w:lineRule="auto"/>
        <w:ind w:firstLine="420" w:firstLineChars="200"/>
        <w:rPr>
          <w:rFonts w:ascii="宋体" w:hAnsi="宋体" w:cs="宋体"/>
          <w:szCs w:val="21"/>
        </w:rPr>
      </w:pPr>
      <w:r>
        <w:rPr>
          <w:rFonts w:hint="eastAsia" w:ascii="宋体" w:hAnsi="宋体" w:cs="宋体"/>
          <w:szCs w:val="21"/>
        </w:rPr>
        <w:t>（6）响应文件（格式）；</w:t>
      </w:r>
    </w:p>
    <w:p w14:paraId="01315FDE">
      <w:pPr>
        <w:tabs>
          <w:tab w:val="left" w:pos="1140"/>
        </w:tabs>
        <w:spacing w:line="360" w:lineRule="auto"/>
        <w:ind w:firstLine="420" w:firstLineChars="200"/>
        <w:rPr>
          <w:rFonts w:ascii="宋体" w:hAnsi="宋体" w:cs="宋体"/>
          <w:szCs w:val="21"/>
        </w:rPr>
      </w:pPr>
      <w:r>
        <w:rPr>
          <w:rFonts w:hint="eastAsia" w:ascii="宋体" w:hAnsi="宋体" w:cs="宋体"/>
          <w:szCs w:val="21"/>
        </w:rPr>
        <w:t>（7）图纸。</w:t>
      </w:r>
    </w:p>
    <w:p w14:paraId="465D87DE">
      <w:pPr>
        <w:pStyle w:val="5"/>
        <w:spacing w:before="0" w:after="0" w:line="360" w:lineRule="auto"/>
        <w:rPr>
          <w:rFonts w:ascii="宋体" w:hAnsi="宋体" w:cs="宋体"/>
          <w:sz w:val="21"/>
          <w:szCs w:val="21"/>
        </w:rPr>
      </w:pPr>
      <w:bookmarkStart w:id="122" w:name="_Toc16848"/>
      <w:bookmarkStart w:id="123" w:name="_Toc1637880"/>
      <w:bookmarkStart w:id="124" w:name="_Toc14698"/>
      <w:bookmarkStart w:id="125" w:name="_Toc24944"/>
      <w:bookmarkStart w:id="126" w:name="_Toc532465854"/>
      <w:bookmarkStart w:id="127" w:name="_Toc17386"/>
      <w:bookmarkStart w:id="128" w:name="_Toc5892"/>
      <w:bookmarkStart w:id="129" w:name="_Toc31424"/>
      <w:r>
        <w:rPr>
          <w:rFonts w:hint="eastAsia" w:ascii="宋体" w:hAnsi="宋体" w:cs="宋体"/>
          <w:sz w:val="21"/>
          <w:szCs w:val="21"/>
        </w:rPr>
        <w:t>10.磋商文件的澄清与修改</w:t>
      </w:r>
      <w:bookmarkEnd w:id="122"/>
      <w:bookmarkEnd w:id="123"/>
      <w:bookmarkEnd w:id="124"/>
      <w:bookmarkEnd w:id="125"/>
      <w:bookmarkEnd w:id="126"/>
      <w:bookmarkEnd w:id="127"/>
      <w:bookmarkEnd w:id="128"/>
      <w:bookmarkEnd w:id="129"/>
    </w:p>
    <w:p w14:paraId="3C827C30">
      <w:pPr>
        <w:tabs>
          <w:tab w:val="left" w:pos="1140"/>
        </w:tabs>
        <w:spacing w:line="360" w:lineRule="auto"/>
        <w:ind w:firstLine="420" w:firstLineChars="200"/>
        <w:rPr>
          <w:rFonts w:ascii="宋体" w:hAnsi="宋体" w:cs="宋体"/>
          <w:szCs w:val="21"/>
        </w:rPr>
      </w:pPr>
      <w:r>
        <w:rPr>
          <w:rFonts w:hint="eastAsia" w:ascii="宋体" w:hAnsi="宋体" w:cs="宋体"/>
          <w:szCs w:val="21"/>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14:paraId="3F0F8480">
      <w:pPr>
        <w:tabs>
          <w:tab w:val="left" w:pos="2190"/>
        </w:tabs>
        <w:spacing w:line="360" w:lineRule="auto"/>
        <w:ind w:firstLine="435"/>
        <w:rPr>
          <w:rFonts w:ascii="宋体" w:hAnsi="宋体" w:cs="宋体"/>
          <w:szCs w:val="21"/>
        </w:rPr>
      </w:pPr>
      <w:r>
        <w:rPr>
          <w:rFonts w:hint="eastAsia" w:ascii="宋体" w:hAnsi="宋体" w:cs="宋体"/>
          <w:szCs w:val="21"/>
        </w:rPr>
        <w:t>10.2供应商购买竞争性磋商文件后必须实时关注相关网站了解澄清、修改等与项目有关的内容，如因供应商未及时登录相关网站了解澄清、修改等与项目有关的内容，从而导致响应文件无效的，由供应商自行承担责任。</w:t>
      </w:r>
    </w:p>
    <w:p w14:paraId="05321EF7">
      <w:pPr>
        <w:tabs>
          <w:tab w:val="left" w:pos="2190"/>
        </w:tabs>
        <w:spacing w:line="360" w:lineRule="auto"/>
        <w:ind w:firstLine="435"/>
        <w:rPr>
          <w:rFonts w:ascii="宋体" w:hAnsi="宋体" w:cs="宋体"/>
          <w:szCs w:val="21"/>
        </w:rPr>
      </w:pPr>
      <w:r>
        <w:rPr>
          <w:rFonts w:hint="eastAsia" w:ascii="宋体" w:hAnsi="宋体" w:cs="宋体"/>
          <w:szCs w:val="21"/>
        </w:rPr>
        <w:t>10.3澄清或者修改的内容为磋商文件的组成部分。当澄清或者修改通知就同一内容的表述不一致时，以最后发出的书面文件为准。</w:t>
      </w:r>
    </w:p>
    <w:p w14:paraId="16CE3D12">
      <w:pPr>
        <w:tabs>
          <w:tab w:val="left" w:pos="2190"/>
        </w:tabs>
        <w:spacing w:line="360" w:lineRule="auto"/>
        <w:ind w:firstLine="435"/>
        <w:rPr>
          <w:rFonts w:ascii="宋体" w:hAnsi="宋体" w:cs="宋体"/>
          <w:szCs w:val="21"/>
        </w:rPr>
      </w:pPr>
      <w:r>
        <w:rPr>
          <w:rFonts w:hint="eastAsia" w:ascii="宋体" w:hAnsi="宋体" w:cs="宋体"/>
          <w:szCs w:val="21"/>
        </w:rPr>
        <w:t>10.4磋商文件的澄清或者修改都应该通过本项目采购代理机构以法定形式发布，采购人非通过本机构，不得擅自澄清、答复、修改或补充磋商文件。</w:t>
      </w:r>
    </w:p>
    <w:p w14:paraId="64981D04">
      <w:pPr>
        <w:tabs>
          <w:tab w:val="left" w:pos="2190"/>
        </w:tabs>
        <w:spacing w:line="360" w:lineRule="auto"/>
        <w:ind w:firstLine="435"/>
        <w:rPr>
          <w:rFonts w:ascii="宋体" w:hAnsi="宋体" w:cs="宋体"/>
          <w:szCs w:val="21"/>
        </w:rPr>
      </w:pPr>
      <w:r>
        <w:rPr>
          <w:rFonts w:hint="eastAsia" w:ascii="宋体" w:hAnsi="宋体" w:cs="宋体"/>
          <w:szCs w:val="21"/>
        </w:rPr>
        <w:t>10.5采购代理机构可以视采购具体情况，延长响应文件递交截止时间和磋商时间，并在本项目竞争性磋商公告发布的同一媒体上发布变更公告。</w:t>
      </w:r>
    </w:p>
    <w:p w14:paraId="1674D4A1">
      <w:pPr>
        <w:pStyle w:val="4"/>
        <w:spacing w:before="0" w:after="0" w:line="360" w:lineRule="auto"/>
        <w:jc w:val="center"/>
        <w:rPr>
          <w:rFonts w:ascii="宋体" w:hAnsi="宋体" w:cs="宋体"/>
          <w:sz w:val="21"/>
          <w:szCs w:val="21"/>
        </w:rPr>
      </w:pPr>
      <w:bookmarkStart w:id="130" w:name="_Toc11102"/>
      <w:bookmarkStart w:id="131" w:name="_Toc532465855"/>
      <w:bookmarkStart w:id="132" w:name="_Toc503883797"/>
      <w:bookmarkStart w:id="133" w:name="_Toc1637881"/>
      <w:bookmarkStart w:id="134" w:name="_Toc28791"/>
      <w:bookmarkStart w:id="135" w:name="_Toc6814"/>
      <w:bookmarkStart w:id="136" w:name="_Toc15225"/>
      <w:bookmarkStart w:id="137" w:name="_Toc18978"/>
      <w:bookmarkStart w:id="138" w:name="_Toc8710"/>
      <w:r>
        <w:rPr>
          <w:rFonts w:hint="eastAsia" w:ascii="宋体" w:hAnsi="宋体" w:cs="宋体"/>
          <w:sz w:val="21"/>
          <w:szCs w:val="21"/>
        </w:rPr>
        <w:t>三、竞争性磋商响应文件的</w:t>
      </w:r>
      <w:bookmarkEnd w:id="130"/>
      <w:bookmarkEnd w:id="131"/>
      <w:bookmarkEnd w:id="132"/>
      <w:bookmarkEnd w:id="133"/>
      <w:r>
        <w:rPr>
          <w:rFonts w:hint="eastAsia" w:ascii="宋体" w:hAnsi="宋体" w:cs="宋体"/>
          <w:sz w:val="21"/>
          <w:szCs w:val="21"/>
        </w:rPr>
        <w:t>编制</w:t>
      </w:r>
      <w:bookmarkEnd w:id="134"/>
      <w:bookmarkEnd w:id="135"/>
      <w:bookmarkEnd w:id="136"/>
      <w:bookmarkEnd w:id="137"/>
      <w:bookmarkEnd w:id="138"/>
    </w:p>
    <w:p w14:paraId="4ABD799D">
      <w:pPr>
        <w:spacing w:line="360" w:lineRule="auto"/>
        <w:ind w:firstLine="420" w:firstLineChars="200"/>
        <w:rPr>
          <w:rFonts w:ascii="宋体" w:hAnsi="宋体" w:cs="宋体"/>
          <w:szCs w:val="21"/>
        </w:rPr>
      </w:pPr>
      <w:bookmarkStart w:id="139" w:name="_Toc29422"/>
      <w:bookmarkStart w:id="140" w:name="_Toc11718"/>
      <w:bookmarkStart w:id="141" w:name="_Toc30883"/>
      <w:bookmarkStart w:id="142" w:name="_Toc1637882"/>
      <w:bookmarkStart w:id="143" w:name="_Toc20955"/>
      <w:bookmarkStart w:id="144" w:name="_Toc9742"/>
      <w:bookmarkStart w:id="145" w:name="_Toc6125"/>
      <w:bookmarkStart w:id="146" w:name="_Toc532465856"/>
      <w:r>
        <w:rPr>
          <w:rFonts w:hint="eastAsia" w:ascii="宋体" w:hAnsi="宋体" w:cs="宋体"/>
          <w:szCs w:val="21"/>
        </w:rPr>
        <w:t>11.</w:t>
      </w:r>
      <w:bookmarkEnd w:id="139"/>
      <w:bookmarkEnd w:id="140"/>
      <w:bookmarkEnd w:id="141"/>
      <w:bookmarkEnd w:id="142"/>
      <w:bookmarkEnd w:id="143"/>
      <w:bookmarkEnd w:id="144"/>
      <w:bookmarkEnd w:id="145"/>
      <w:bookmarkEnd w:id="146"/>
      <w:r>
        <w:rPr>
          <w:rFonts w:hint="eastAsia" w:ascii="宋体" w:hAnsi="宋体" w:cs="宋体"/>
          <w:szCs w:val="21"/>
        </w:rPr>
        <w:t>竞争性磋商响应文件编制基本要求</w:t>
      </w:r>
    </w:p>
    <w:p w14:paraId="402AC534">
      <w:pPr>
        <w:spacing w:line="360" w:lineRule="auto"/>
        <w:ind w:firstLine="420" w:firstLineChars="200"/>
        <w:rPr>
          <w:rFonts w:ascii="宋体" w:hAnsi="宋体" w:cs="宋体"/>
          <w:szCs w:val="21"/>
        </w:rPr>
      </w:pPr>
      <w:r>
        <w:rPr>
          <w:rFonts w:hint="eastAsia" w:ascii="宋体" w:hAnsi="宋体" w:cs="宋体"/>
          <w:szCs w:val="21"/>
        </w:rPr>
        <w:t>11.1 本项目实行电子响应，供应商应准备电子磋商响应文件：</w:t>
      </w:r>
    </w:p>
    <w:p w14:paraId="556419F0">
      <w:pPr>
        <w:spacing w:line="360" w:lineRule="auto"/>
        <w:ind w:firstLine="420" w:firstLineChars="200"/>
        <w:rPr>
          <w:rFonts w:ascii="宋体" w:hAnsi="宋体" w:cs="宋体"/>
          <w:szCs w:val="21"/>
        </w:rPr>
      </w:pPr>
      <w:r>
        <w:rPr>
          <w:rFonts w:hint="eastAsia" w:ascii="宋体" w:hAnsi="宋体" w:cs="宋体"/>
          <w:szCs w:val="21"/>
        </w:rPr>
        <w:t>11.1.1 电子响应文件按广西政府采购云平台要求及本磋商文件要求制作、加密并递交。具体操作流程可参考《政府采购项目电子交易管理操作指南-供应商》，指南可在“http://www.ccgp-guangxi.gov.cn/</w:t>
      </w:r>
    </w:p>
    <w:p w14:paraId="01947D58">
      <w:pPr>
        <w:spacing w:line="360" w:lineRule="auto"/>
        <w:ind w:firstLine="420" w:firstLineChars="200"/>
        <w:rPr>
          <w:rFonts w:ascii="宋体" w:hAnsi="宋体" w:cs="宋体"/>
          <w:szCs w:val="21"/>
        </w:rPr>
      </w:pPr>
      <w:r>
        <w:rPr>
          <w:rFonts w:hint="eastAsia" w:ascii="宋体" w:hAnsi="宋体" w:cs="宋体"/>
          <w:szCs w:val="21"/>
        </w:rPr>
        <w:t xml:space="preserve">PurchaseAdvisory/ImportantNotice/2866753.html”下载。 </w:t>
      </w:r>
    </w:p>
    <w:p w14:paraId="0C632BEF">
      <w:pPr>
        <w:spacing w:line="360" w:lineRule="auto"/>
        <w:ind w:firstLine="420" w:firstLineChars="200"/>
        <w:rPr>
          <w:rFonts w:ascii="宋体" w:hAnsi="宋体" w:cs="宋体"/>
          <w:szCs w:val="21"/>
        </w:rPr>
      </w:pPr>
      <w:r>
        <w:rPr>
          <w:rFonts w:hint="eastAsia" w:ascii="宋体" w:hAnsi="宋体" w:cs="宋体"/>
          <w:szCs w:val="21"/>
        </w:rPr>
        <w:t>11.2竞争性磋商响应文件（以下简称响应文件）的组成及要求</w:t>
      </w:r>
    </w:p>
    <w:p w14:paraId="1E96C784">
      <w:pPr>
        <w:spacing w:line="360" w:lineRule="auto"/>
        <w:ind w:firstLine="420" w:firstLineChars="200"/>
        <w:rPr>
          <w:rFonts w:ascii="宋体" w:hAnsi="宋体" w:cs="宋体"/>
          <w:szCs w:val="21"/>
        </w:rPr>
      </w:pPr>
      <w:r>
        <w:rPr>
          <w:rFonts w:hint="eastAsia" w:ascii="宋体" w:hAnsi="宋体" w:cs="宋体"/>
          <w:szCs w:val="21"/>
        </w:rPr>
        <w:t>11.2.1响应文件组成【格式见第六章“响应文件（格式）”】</w:t>
      </w:r>
    </w:p>
    <w:p w14:paraId="64E7D428">
      <w:pPr>
        <w:spacing w:line="360" w:lineRule="auto"/>
        <w:ind w:firstLine="420" w:firstLineChars="200"/>
        <w:rPr>
          <w:rFonts w:ascii="宋体" w:hAnsi="宋体" w:cs="宋体"/>
          <w:szCs w:val="21"/>
        </w:rPr>
      </w:pPr>
      <w:r>
        <w:rPr>
          <w:rFonts w:hint="eastAsia" w:ascii="宋体" w:hAnsi="宋体" w:cs="宋体"/>
          <w:szCs w:val="21"/>
        </w:rPr>
        <w:t>11.2.1.1、资格性响应证明材料（下列文件加盖公章，必须提供，否则竞标无效）</w:t>
      </w:r>
    </w:p>
    <w:p w14:paraId="10E4A239">
      <w:pPr>
        <w:spacing w:line="360" w:lineRule="auto"/>
        <w:ind w:firstLine="420" w:firstLineChars="200"/>
        <w:rPr>
          <w:rFonts w:ascii="宋体" w:hAnsi="宋体" w:cs="宋体"/>
          <w:szCs w:val="21"/>
        </w:rPr>
      </w:pPr>
      <w:r>
        <w:rPr>
          <w:rFonts w:hint="eastAsia" w:ascii="宋体" w:hAnsi="宋体" w:cs="宋体"/>
          <w:szCs w:val="21"/>
        </w:rPr>
        <w:t>（1）供应商相应的法定代表人、负责人、自然人身份证正反两面复印件</w:t>
      </w:r>
      <w:r>
        <w:rPr>
          <w:rFonts w:hint="eastAsia" w:ascii="宋体" w:hAnsi="宋体" w:cs="宋体"/>
          <w:b/>
          <w:bCs/>
          <w:szCs w:val="21"/>
        </w:rPr>
        <w:t>（必须提供）</w:t>
      </w:r>
      <w:r>
        <w:rPr>
          <w:rFonts w:hint="eastAsia" w:ascii="宋体" w:hAnsi="宋体" w:cs="宋体"/>
          <w:szCs w:val="21"/>
        </w:rPr>
        <w:t>；</w:t>
      </w:r>
    </w:p>
    <w:p w14:paraId="028A7BF0">
      <w:pPr>
        <w:spacing w:line="360" w:lineRule="auto"/>
        <w:ind w:firstLine="420" w:firstLineChars="200"/>
        <w:rPr>
          <w:rFonts w:ascii="宋体" w:hAnsi="宋体" w:cs="宋体"/>
          <w:szCs w:val="21"/>
        </w:rPr>
      </w:pPr>
      <w:r>
        <w:rPr>
          <w:rFonts w:hint="eastAsia" w:ascii="宋体" w:hAnsi="宋体" w:cs="宋体"/>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cs="宋体"/>
          <w:b/>
          <w:bCs/>
          <w:szCs w:val="21"/>
        </w:rPr>
        <w:t>（委托代理时必须提供）。</w:t>
      </w:r>
      <w:r>
        <w:rPr>
          <w:rFonts w:hint="eastAsia" w:ascii="宋体" w:hAnsi="宋体" w:cs="宋体"/>
          <w:szCs w:val="21"/>
        </w:rPr>
        <w:t>除供应商为以下三种情形的：</w:t>
      </w:r>
    </w:p>
    <w:p w14:paraId="206A45B4">
      <w:pPr>
        <w:spacing w:line="360" w:lineRule="auto"/>
        <w:ind w:firstLine="420" w:firstLineChars="200"/>
        <w:rPr>
          <w:rFonts w:ascii="宋体" w:hAnsi="宋体" w:cs="宋体"/>
          <w:szCs w:val="21"/>
        </w:rPr>
      </w:pPr>
      <w:r>
        <w:rPr>
          <w:rFonts w:hint="eastAsia" w:ascii="宋体" w:hAnsi="宋体" w:cs="宋体"/>
          <w:szCs w:val="21"/>
        </w:rPr>
        <w:t>①如供应商为截标时间前60日以内成立的公司，可以提供供应商与委托代理人签订的劳动合同复印件代替社保证明复印件；</w:t>
      </w:r>
    </w:p>
    <w:p w14:paraId="7193847E">
      <w:pPr>
        <w:spacing w:line="360" w:lineRule="auto"/>
        <w:ind w:firstLine="420" w:firstLineChars="200"/>
        <w:rPr>
          <w:rFonts w:ascii="宋体" w:hAnsi="宋体" w:cs="宋体"/>
          <w:szCs w:val="21"/>
        </w:rPr>
      </w:pPr>
      <w:r>
        <w:rPr>
          <w:rFonts w:hint="eastAsia" w:ascii="宋体" w:hAnsi="宋体" w:cs="宋体"/>
          <w:szCs w:val="21"/>
        </w:rPr>
        <w:t>②如供应商为事业单位，可以提供事业单位机构编制管理证复印件或事业单位机构为其发放工资的工资条复印件代替社保证明复印件；</w:t>
      </w:r>
    </w:p>
    <w:p w14:paraId="10A44AFF">
      <w:pPr>
        <w:spacing w:line="360" w:lineRule="auto"/>
        <w:ind w:firstLine="420" w:firstLineChars="200"/>
        <w:rPr>
          <w:rFonts w:ascii="宋体" w:hAnsi="宋体" w:cs="宋体"/>
          <w:szCs w:val="21"/>
        </w:rPr>
      </w:pPr>
      <w:r>
        <w:rPr>
          <w:rFonts w:hint="eastAsia" w:ascii="宋体" w:hAnsi="宋体" w:cs="宋体"/>
          <w:szCs w:val="21"/>
        </w:rPr>
        <w:t>③如委托代理人为免缴纳社保人员，提供免缴纳社保的证明材料复印件及供应商与委托代理人签订的劳动合同复印件代替社保证明复印件。</w:t>
      </w:r>
    </w:p>
    <w:p w14:paraId="75363905">
      <w:pPr>
        <w:spacing w:line="360" w:lineRule="auto"/>
        <w:ind w:firstLine="422" w:firstLineChars="200"/>
        <w:rPr>
          <w:rFonts w:ascii="宋体" w:hAnsi="宋体" w:cs="宋体"/>
          <w:b/>
          <w:bCs/>
          <w:szCs w:val="21"/>
        </w:rPr>
      </w:pPr>
      <w:r>
        <w:rPr>
          <w:rFonts w:hint="eastAsia" w:ascii="宋体" w:hAnsi="宋体" w:cs="宋体"/>
          <w:b/>
          <w:bCs/>
          <w:szCs w:val="21"/>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cs="宋体"/>
          <w:szCs w:val="21"/>
        </w:rPr>
        <w:t>】</w:t>
      </w:r>
      <w:r>
        <w:rPr>
          <w:rFonts w:hint="eastAsia" w:ascii="宋体" w:hAnsi="宋体" w:cs="宋体"/>
          <w:b/>
          <w:bCs/>
          <w:szCs w:val="21"/>
        </w:rPr>
        <w:t>（委托代理时必须提供）</w:t>
      </w:r>
    </w:p>
    <w:p w14:paraId="7B433B00">
      <w:pPr>
        <w:spacing w:line="360" w:lineRule="auto"/>
        <w:ind w:firstLine="420" w:firstLineChars="200"/>
        <w:rPr>
          <w:rFonts w:ascii="宋体" w:hAnsi="宋体" w:cs="宋体"/>
          <w:szCs w:val="21"/>
        </w:rPr>
      </w:pPr>
      <w:r>
        <w:rPr>
          <w:rFonts w:hint="eastAsia" w:ascii="宋体" w:hAnsi="宋体" w:cs="宋体"/>
          <w:szCs w:val="21"/>
        </w:rPr>
        <w:t>（3）供应商参加政府采购活动前3年内在经营活动中没有重大违法记录及有关信用信息的书面声明</w:t>
      </w:r>
      <w:r>
        <w:rPr>
          <w:rFonts w:hint="eastAsia" w:ascii="宋体" w:hAnsi="宋体" w:cs="宋体"/>
          <w:b/>
          <w:bCs/>
          <w:szCs w:val="21"/>
        </w:rPr>
        <w:t>（必须提供）；</w:t>
      </w:r>
    </w:p>
    <w:p w14:paraId="1153D990">
      <w:pPr>
        <w:numPr>
          <w:ilvl w:val="0"/>
          <w:numId w:val="3"/>
        </w:numPr>
        <w:spacing w:line="360" w:lineRule="auto"/>
        <w:ind w:firstLine="420"/>
        <w:rPr>
          <w:rFonts w:ascii="宋体" w:hAnsi="宋体" w:cs="宋体"/>
          <w:szCs w:val="21"/>
        </w:rPr>
      </w:pPr>
      <w:r>
        <w:rPr>
          <w:rFonts w:hint="eastAsia" w:ascii="宋体" w:hAnsi="宋体" w:cs="宋体"/>
          <w:szCs w:val="21"/>
        </w:rPr>
        <w:t>供应商的法人或者其他组织营业执照等证明文件复印件</w:t>
      </w:r>
      <w:r>
        <w:rPr>
          <w:rFonts w:hint="eastAsia" w:ascii="宋体" w:hAnsi="宋体" w:cs="宋体"/>
          <w:b/>
          <w:bCs/>
          <w:szCs w:val="21"/>
        </w:rPr>
        <w:t>（必须提供，自然人除外）；</w:t>
      </w:r>
    </w:p>
    <w:p w14:paraId="0314783B">
      <w:pPr>
        <w:spacing w:line="360" w:lineRule="auto"/>
        <w:ind w:firstLine="422" w:firstLineChars="200"/>
        <w:rPr>
          <w:rFonts w:ascii="宋体" w:hAnsi="宋体" w:cs="宋体"/>
          <w:b/>
          <w:bCs/>
          <w:szCs w:val="21"/>
        </w:rPr>
      </w:pPr>
      <w:r>
        <w:rPr>
          <w:rFonts w:hint="eastAsia" w:ascii="宋体" w:hAnsi="宋体" w:cs="宋体"/>
          <w:b/>
          <w:bCs/>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58F3A1">
      <w:pPr>
        <w:spacing w:line="360" w:lineRule="auto"/>
        <w:ind w:left="420"/>
        <w:rPr>
          <w:rFonts w:ascii="宋体" w:hAnsi="宋体" w:cs="宋体"/>
          <w:b/>
          <w:bCs/>
          <w:szCs w:val="21"/>
        </w:rPr>
      </w:pPr>
      <w:r>
        <w:rPr>
          <w:rFonts w:hint="eastAsia" w:ascii="宋体" w:hAnsi="宋体" w:cs="宋体"/>
          <w:szCs w:val="21"/>
        </w:rPr>
        <w:t>（5）供应商有效的资质证书复印件</w:t>
      </w:r>
      <w:r>
        <w:rPr>
          <w:rFonts w:hint="eastAsia" w:ascii="宋体" w:hAnsi="宋体" w:cs="宋体"/>
          <w:b/>
          <w:bCs/>
          <w:szCs w:val="21"/>
        </w:rPr>
        <w:t>（必须提供）；</w:t>
      </w:r>
    </w:p>
    <w:p w14:paraId="77919EB6">
      <w:pPr>
        <w:spacing w:line="360" w:lineRule="exact"/>
        <w:ind w:firstLine="420" w:firstLineChars="200"/>
        <w:rPr>
          <w:rFonts w:ascii="宋体" w:hAnsi="宋体" w:cs="宋体"/>
          <w:szCs w:val="21"/>
        </w:rPr>
      </w:pPr>
      <w:r>
        <w:rPr>
          <w:rFonts w:hint="eastAsia" w:ascii="宋体" w:hAnsi="宋体" w:cs="宋体"/>
          <w:bCs/>
          <w:kern w:val="0"/>
          <w:szCs w:val="21"/>
        </w:rPr>
        <w:t>（6）</w:t>
      </w:r>
      <w:r>
        <w:rPr>
          <w:rFonts w:hint="eastAsia" w:ascii="宋体" w:hAnsi="宋体" w:cs="宋体"/>
          <w:szCs w:val="21"/>
        </w:rPr>
        <w:t>供应商有效的安全生产许可证书复印件</w:t>
      </w:r>
      <w:r>
        <w:rPr>
          <w:rFonts w:hint="eastAsia" w:ascii="宋体" w:hAnsi="宋体" w:cs="宋体"/>
          <w:b/>
          <w:bCs/>
          <w:szCs w:val="21"/>
        </w:rPr>
        <w:t>（必须提供）；</w:t>
      </w:r>
    </w:p>
    <w:p w14:paraId="457292F7">
      <w:pPr>
        <w:spacing w:line="360" w:lineRule="exact"/>
        <w:ind w:firstLine="420" w:firstLineChars="200"/>
        <w:jc w:val="left"/>
        <w:rPr>
          <w:rFonts w:ascii="宋体" w:hAnsi="宋体" w:cs="宋体"/>
          <w:b/>
          <w:bCs/>
          <w:szCs w:val="21"/>
        </w:rPr>
      </w:pPr>
      <w:r>
        <w:rPr>
          <w:rFonts w:hint="eastAsia" w:ascii="宋体" w:hAnsi="宋体" w:cs="宋体"/>
          <w:szCs w:val="21"/>
        </w:rPr>
        <w:t>（7）项目管理机构；</w:t>
      </w:r>
      <w:r>
        <w:rPr>
          <w:rFonts w:hint="eastAsia" w:ascii="宋体" w:hAnsi="宋体" w:cs="宋体"/>
          <w:b/>
          <w:bCs/>
          <w:szCs w:val="21"/>
        </w:rPr>
        <w:t>（必须提供）；</w:t>
      </w:r>
    </w:p>
    <w:p w14:paraId="220FA622">
      <w:pPr>
        <w:spacing w:line="360" w:lineRule="exact"/>
        <w:ind w:firstLine="420" w:firstLineChars="200"/>
        <w:rPr>
          <w:rFonts w:ascii="宋体" w:hAnsi="宋体" w:cs="宋体"/>
          <w:szCs w:val="21"/>
        </w:rPr>
      </w:pPr>
      <w:r>
        <w:rPr>
          <w:rFonts w:hint="eastAsia" w:ascii="宋体" w:hAnsi="宋体" w:cs="宋体"/>
          <w:szCs w:val="21"/>
        </w:rPr>
        <w:t>（8）供应商2020年、2021年及2022年的年度财务报表复印件（新成立的公司应提供公司成</w:t>
      </w:r>
    </w:p>
    <w:p w14:paraId="3446AD50">
      <w:pPr>
        <w:spacing w:line="360" w:lineRule="exact"/>
        <w:rPr>
          <w:rFonts w:ascii="宋体" w:hAnsi="宋体" w:cs="宋体"/>
          <w:color w:val="auto"/>
          <w:szCs w:val="21"/>
        </w:rPr>
      </w:pPr>
      <w:r>
        <w:rPr>
          <w:rFonts w:hint="eastAsia" w:ascii="宋体" w:hAnsi="宋体" w:cs="宋体"/>
          <w:szCs w:val="21"/>
        </w:rPr>
        <w:t>立日之后的财务报表复印</w:t>
      </w:r>
      <w:r>
        <w:rPr>
          <w:rFonts w:hint="eastAsia" w:ascii="宋体" w:hAnsi="宋体" w:cs="宋体"/>
          <w:color w:val="auto"/>
          <w:szCs w:val="21"/>
        </w:rPr>
        <w:t>件）或供应商基本开户银行出具的资信证明复印件</w:t>
      </w:r>
      <w:r>
        <w:rPr>
          <w:rFonts w:hint="eastAsia" w:ascii="宋体" w:hAnsi="宋体" w:cs="宋体"/>
          <w:b/>
          <w:bCs/>
          <w:color w:val="auto"/>
          <w:szCs w:val="21"/>
        </w:rPr>
        <w:t>（必须提供）</w:t>
      </w:r>
      <w:r>
        <w:rPr>
          <w:rFonts w:hint="eastAsia" w:ascii="宋体" w:hAnsi="宋体" w:cs="宋体"/>
          <w:color w:val="auto"/>
          <w:szCs w:val="21"/>
        </w:rPr>
        <w:t>；</w:t>
      </w:r>
    </w:p>
    <w:p w14:paraId="52993EB5">
      <w:pPr>
        <w:tabs>
          <w:tab w:val="left" w:pos="1305"/>
        </w:tabs>
        <w:spacing w:line="360" w:lineRule="exact"/>
        <w:ind w:firstLine="420" w:firstLineChars="200"/>
        <w:rPr>
          <w:rFonts w:ascii="宋体" w:hAnsi="宋体" w:cs="宋体"/>
          <w:b/>
          <w:color w:val="auto"/>
          <w:szCs w:val="21"/>
        </w:rPr>
      </w:pPr>
      <w:r>
        <w:rPr>
          <w:rFonts w:hint="eastAsia" w:ascii="宋体" w:hAnsi="宋体" w:cs="宋体"/>
          <w:color w:val="auto"/>
          <w:szCs w:val="21"/>
        </w:rPr>
        <w:t>（9）供应商为符合政策要求的</w:t>
      </w:r>
      <w:r>
        <w:rPr>
          <w:rFonts w:hint="eastAsia" w:ascii="宋体" w:hAnsi="宋体" w:cs="宋体"/>
          <w:color w:val="auto"/>
          <w:szCs w:val="21"/>
          <w:lang w:val="en-US" w:eastAsia="zh-CN"/>
        </w:rPr>
        <w:t>小微</w:t>
      </w:r>
      <w:r>
        <w:rPr>
          <w:rFonts w:hint="eastAsia" w:ascii="宋体" w:hAnsi="宋体" w:cs="宋体"/>
          <w:color w:val="auto"/>
          <w:szCs w:val="21"/>
        </w:rPr>
        <w:t>企业，响应文件中提供《中小企业声明函》。</w:t>
      </w:r>
      <w:r>
        <w:rPr>
          <w:rFonts w:hint="eastAsia" w:ascii="宋体" w:hAnsi="宋体" w:cs="宋体"/>
          <w:b/>
          <w:color w:val="auto"/>
          <w:szCs w:val="21"/>
        </w:rPr>
        <w:t>（必须提供）。</w:t>
      </w:r>
    </w:p>
    <w:p w14:paraId="4BDC80E0">
      <w:pPr>
        <w:spacing w:line="360" w:lineRule="exact"/>
        <w:ind w:firstLine="420" w:firstLineChars="200"/>
        <w:rPr>
          <w:rFonts w:ascii="宋体" w:hAnsi="宋体" w:cs="宋体"/>
          <w:szCs w:val="21"/>
        </w:rPr>
      </w:pPr>
      <w:r>
        <w:rPr>
          <w:rFonts w:hint="eastAsia" w:ascii="宋体" w:hAnsi="宋体" w:cs="宋体"/>
          <w:color w:val="auto"/>
          <w:szCs w:val="21"/>
        </w:rPr>
        <w:t>（10）供应商在最近5年中（所完成项目的交竣工日期在2019年</w:t>
      </w:r>
      <w:r>
        <w:rPr>
          <w:rFonts w:hint="eastAsia" w:ascii="宋体" w:hAnsi="宋体" w:cs="宋体"/>
          <w:color w:val="auto"/>
          <w:szCs w:val="21"/>
          <w:lang w:val="en-US" w:eastAsia="zh-CN"/>
        </w:rPr>
        <w:t>7</w:t>
      </w:r>
      <w:r>
        <w:rPr>
          <w:rFonts w:hint="eastAsia" w:ascii="宋体" w:hAnsi="宋体" w:cs="宋体"/>
          <w:color w:val="auto"/>
          <w:szCs w:val="21"/>
        </w:rPr>
        <w:t>月1日之后）按单个合同段成功完成过危旧桥加固改造工程（或新建桥梁）施工，或累计成功完成过1座（或以</w:t>
      </w:r>
      <w:r>
        <w:rPr>
          <w:rFonts w:hint="eastAsia" w:ascii="宋体" w:hAnsi="宋体" w:cs="宋体"/>
          <w:szCs w:val="21"/>
        </w:rPr>
        <w:t>上）的危旧桥加固改造工程（或新建桥梁）施工，或成功完成过2座10米（或以上）长度（或跨径）大（或中、小桥）的危旧桥加固改造工程（或新建桥梁）施工。</w:t>
      </w:r>
      <w:r>
        <w:rPr>
          <w:rFonts w:hint="eastAsia" w:ascii="宋体" w:hAnsi="宋体" w:cs="宋体"/>
          <w:b/>
          <w:szCs w:val="21"/>
        </w:rPr>
        <w:t>（必须提供）。</w:t>
      </w:r>
    </w:p>
    <w:p w14:paraId="294340B2">
      <w:pPr>
        <w:tabs>
          <w:tab w:val="left" w:pos="1305"/>
        </w:tabs>
        <w:spacing w:line="360" w:lineRule="exact"/>
        <w:ind w:firstLine="420" w:firstLineChars="200"/>
        <w:rPr>
          <w:rFonts w:ascii="宋体" w:hAnsi="宋体" w:cs="宋体"/>
          <w:b/>
          <w:szCs w:val="21"/>
        </w:rPr>
      </w:pPr>
      <w:r>
        <w:rPr>
          <w:rFonts w:hint="eastAsia" w:ascii="宋体" w:hAnsi="宋体" w:cs="宋体"/>
          <w:szCs w:val="21"/>
        </w:rPr>
        <w:t>（注：业绩规模应与项目规模类似，且业绩桥梁分类应与项目桥梁分类类似。成功完成是指工程按《公路工程竣（交）工验收办法》交工验收或竣工验收通过）。</w:t>
      </w:r>
    </w:p>
    <w:p w14:paraId="1B3A0218">
      <w:pPr>
        <w:tabs>
          <w:tab w:val="left" w:pos="1305"/>
        </w:tabs>
        <w:spacing w:line="360" w:lineRule="auto"/>
        <w:ind w:firstLine="422" w:firstLineChars="200"/>
        <w:rPr>
          <w:rFonts w:ascii="宋体" w:hAnsi="宋体" w:cs="宋体"/>
          <w:b/>
          <w:bCs/>
          <w:szCs w:val="21"/>
        </w:rPr>
      </w:pPr>
      <w:r>
        <w:rPr>
          <w:rFonts w:hint="eastAsia" w:ascii="宋体" w:hAnsi="宋体" w:cs="宋体"/>
          <w:b/>
          <w:bCs/>
          <w:szCs w:val="21"/>
        </w:rPr>
        <w:t>11.2.1.2符合性审查资料</w:t>
      </w:r>
    </w:p>
    <w:p w14:paraId="0C8F5982">
      <w:pPr>
        <w:pStyle w:val="22"/>
        <w:ind w:left="0" w:firstLine="420" w:firstLineChars="200"/>
        <w:rPr>
          <w:rFonts w:ascii="宋体" w:hAnsi="宋体" w:cs="宋体"/>
          <w:sz w:val="21"/>
          <w:szCs w:val="21"/>
        </w:rPr>
      </w:pPr>
      <w:r>
        <w:rPr>
          <w:rFonts w:hint="eastAsia" w:ascii="宋体" w:hAnsi="宋体" w:cs="宋体"/>
          <w:kern w:val="2"/>
          <w:sz w:val="21"/>
          <w:szCs w:val="21"/>
        </w:rPr>
        <w:t>（1）响应函及响应函附录；</w:t>
      </w:r>
      <w:r>
        <w:rPr>
          <w:rFonts w:hint="eastAsia" w:ascii="宋体" w:hAnsi="宋体" w:cs="宋体"/>
          <w:b/>
          <w:kern w:val="2"/>
          <w:sz w:val="21"/>
          <w:szCs w:val="21"/>
        </w:rPr>
        <w:t>（必须提供）</w:t>
      </w:r>
    </w:p>
    <w:p w14:paraId="77C4DF9C">
      <w:pPr>
        <w:tabs>
          <w:tab w:val="left" w:pos="1305"/>
        </w:tabs>
        <w:spacing w:line="360" w:lineRule="auto"/>
        <w:ind w:firstLine="420" w:firstLineChars="200"/>
        <w:rPr>
          <w:rFonts w:ascii="宋体" w:hAnsi="宋体" w:cs="宋体"/>
          <w:b/>
          <w:szCs w:val="21"/>
        </w:rPr>
      </w:pPr>
      <w:r>
        <w:rPr>
          <w:rFonts w:hint="eastAsia" w:ascii="宋体" w:hAnsi="宋体" w:cs="宋体"/>
          <w:szCs w:val="21"/>
        </w:rPr>
        <w:t>（2）已标价的工程量清单；</w:t>
      </w:r>
      <w:r>
        <w:rPr>
          <w:rFonts w:hint="eastAsia" w:ascii="宋体" w:hAnsi="宋体" w:cs="宋体"/>
          <w:b/>
          <w:szCs w:val="21"/>
        </w:rPr>
        <w:t>（必须提供）</w:t>
      </w:r>
    </w:p>
    <w:p w14:paraId="631AF70D">
      <w:pPr>
        <w:tabs>
          <w:tab w:val="left" w:pos="1305"/>
        </w:tabs>
        <w:spacing w:line="360" w:lineRule="auto"/>
        <w:ind w:firstLine="420" w:firstLineChars="200"/>
        <w:rPr>
          <w:rFonts w:ascii="宋体" w:hAnsi="宋体" w:cs="宋体"/>
          <w:b/>
          <w:szCs w:val="21"/>
        </w:rPr>
      </w:pPr>
      <w:r>
        <w:rPr>
          <w:rFonts w:hint="eastAsia" w:ascii="宋体" w:hAnsi="宋体" w:cs="宋体"/>
          <w:szCs w:val="21"/>
        </w:rPr>
        <w:t>（3）施工组织设计；</w:t>
      </w:r>
      <w:r>
        <w:rPr>
          <w:rFonts w:hint="eastAsia" w:ascii="宋体" w:hAnsi="宋体" w:cs="宋体"/>
          <w:b/>
          <w:szCs w:val="21"/>
        </w:rPr>
        <w:t>（必须提供）</w:t>
      </w:r>
    </w:p>
    <w:p w14:paraId="6212F4A5">
      <w:pPr>
        <w:tabs>
          <w:tab w:val="left" w:pos="1305"/>
        </w:tabs>
        <w:spacing w:line="360" w:lineRule="auto"/>
        <w:ind w:firstLine="420" w:firstLineChars="200"/>
        <w:rPr>
          <w:rFonts w:ascii="宋体" w:hAnsi="宋体" w:cs="宋体"/>
          <w:b/>
          <w:szCs w:val="21"/>
        </w:rPr>
      </w:pPr>
      <w:r>
        <w:rPr>
          <w:rFonts w:hint="eastAsia" w:ascii="宋体" w:hAnsi="宋体" w:cs="宋体"/>
          <w:szCs w:val="21"/>
        </w:rPr>
        <w:t>（4）拟分包情况表；</w:t>
      </w:r>
      <w:r>
        <w:rPr>
          <w:rFonts w:hint="eastAsia" w:ascii="宋体" w:hAnsi="宋体" w:cs="宋体"/>
          <w:b/>
          <w:szCs w:val="21"/>
        </w:rPr>
        <w:t>（如有，则必须提供）</w:t>
      </w:r>
    </w:p>
    <w:p w14:paraId="34D68C99">
      <w:pPr>
        <w:tabs>
          <w:tab w:val="left" w:pos="1305"/>
        </w:tabs>
        <w:spacing w:line="360" w:lineRule="auto"/>
        <w:ind w:firstLine="420" w:firstLineChars="200"/>
        <w:rPr>
          <w:rFonts w:ascii="宋体" w:hAnsi="宋体" w:cs="宋体"/>
          <w:szCs w:val="21"/>
        </w:rPr>
      </w:pPr>
      <w:r>
        <w:rPr>
          <w:rFonts w:hint="eastAsia" w:ascii="宋体" w:hAnsi="宋体" w:cs="宋体"/>
          <w:szCs w:val="21"/>
        </w:rPr>
        <w:t>（5）供应商承诺函及农民工工资保证金承诺书（</w:t>
      </w:r>
      <w:r>
        <w:rPr>
          <w:rFonts w:hint="eastAsia" w:ascii="宋体" w:hAnsi="宋体" w:cs="宋体"/>
          <w:b/>
          <w:szCs w:val="21"/>
        </w:rPr>
        <w:t>必须提供</w:t>
      </w:r>
      <w:r>
        <w:rPr>
          <w:rFonts w:hint="eastAsia" w:ascii="宋体" w:hAnsi="宋体" w:cs="宋体"/>
          <w:szCs w:val="21"/>
        </w:rPr>
        <w:t>）</w:t>
      </w:r>
    </w:p>
    <w:p w14:paraId="137B7C35">
      <w:pPr>
        <w:spacing w:line="360" w:lineRule="auto"/>
        <w:ind w:firstLine="422" w:firstLineChars="200"/>
        <w:rPr>
          <w:rFonts w:ascii="宋体" w:hAnsi="宋体" w:cs="宋体"/>
          <w:b/>
          <w:bCs/>
          <w:szCs w:val="21"/>
        </w:rPr>
      </w:pPr>
      <w:r>
        <w:rPr>
          <w:rFonts w:hint="eastAsia" w:ascii="宋体" w:hAnsi="宋体" w:cs="宋体"/>
          <w:b/>
          <w:bCs/>
          <w:szCs w:val="21"/>
        </w:rPr>
        <w:t>11.2.1.3其他有效证明材料</w:t>
      </w:r>
    </w:p>
    <w:p w14:paraId="58A3424A">
      <w:pPr>
        <w:spacing w:line="360" w:lineRule="auto"/>
        <w:ind w:firstLine="420" w:firstLineChars="200"/>
        <w:rPr>
          <w:rFonts w:ascii="宋体" w:hAnsi="宋体" w:cs="宋体"/>
          <w:szCs w:val="21"/>
        </w:rPr>
      </w:pPr>
      <w:r>
        <w:rPr>
          <w:rFonts w:hint="eastAsia" w:ascii="宋体" w:hAnsi="宋体" w:cs="宋体"/>
          <w:szCs w:val="21"/>
        </w:rPr>
        <w:t>（1）如提供服务的供应商属于监狱企业的，应当提供由省级以上监狱管理局、戒毒管理局等（含新疆生产建设兵团）出具的属于监狱企业的证明文件</w:t>
      </w:r>
      <w:r>
        <w:rPr>
          <w:rFonts w:hint="eastAsia" w:ascii="宋体" w:hAnsi="宋体" w:cs="宋体"/>
          <w:b/>
          <w:bCs/>
          <w:szCs w:val="21"/>
        </w:rPr>
        <w:t>（如有，请提供）</w:t>
      </w:r>
      <w:r>
        <w:rPr>
          <w:rFonts w:hint="eastAsia" w:ascii="宋体" w:hAnsi="宋体" w:cs="宋体"/>
          <w:szCs w:val="21"/>
        </w:rPr>
        <w:t>；</w:t>
      </w:r>
    </w:p>
    <w:p w14:paraId="42E867AD">
      <w:pPr>
        <w:spacing w:line="360" w:lineRule="auto"/>
        <w:ind w:firstLine="420" w:firstLineChars="200"/>
        <w:rPr>
          <w:rFonts w:ascii="宋体" w:hAnsi="宋体" w:cs="宋体"/>
          <w:szCs w:val="21"/>
        </w:rPr>
      </w:pPr>
      <w:r>
        <w:rPr>
          <w:rFonts w:hint="eastAsia" w:ascii="宋体" w:hAnsi="宋体" w:cs="宋体"/>
          <w:szCs w:val="21"/>
        </w:rPr>
        <w:t>（2）符合条件的残疾人福利性单位在参加政府采购活动时，应当提供《残疾人福利性单位声明函》（见附件），并对声明的真实性负责；</w:t>
      </w:r>
      <w:r>
        <w:rPr>
          <w:rFonts w:hint="eastAsia" w:ascii="宋体" w:hAnsi="宋体" w:cs="宋体"/>
          <w:b/>
          <w:bCs/>
          <w:szCs w:val="21"/>
        </w:rPr>
        <w:t>（如有，请提供）</w:t>
      </w:r>
      <w:r>
        <w:rPr>
          <w:rFonts w:hint="eastAsia" w:ascii="宋体" w:hAnsi="宋体" w:cs="宋体"/>
          <w:szCs w:val="21"/>
        </w:rPr>
        <w:t>；</w:t>
      </w:r>
    </w:p>
    <w:p w14:paraId="7B468D6F">
      <w:pPr>
        <w:spacing w:line="360" w:lineRule="auto"/>
        <w:ind w:firstLine="420" w:firstLineChars="200"/>
        <w:rPr>
          <w:rFonts w:ascii="宋体" w:hAnsi="宋体" w:cs="宋体"/>
          <w:szCs w:val="21"/>
        </w:rPr>
      </w:pPr>
      <w:r>
        <w:rPr>
          <w:rFonts w:hint="eastAsia" w:ascii="宋体" w:hAnsi="宋体" w:cs="宋体"/>
          <w:szCs w:val="21"/>
        </w:rPr>
        <w:t>（3）对投标人信用等级的认定</w:t>
      </w:r>
    </w:p>
    <w:p w14:paraId="09D2E68B">
      <w:pPr>
        <w:pStyle w:val="22"/>
        <w:ind w:left="0" w:firstLine="420" w:firstLineChars="200"/>
      </w:pPr>
      <w:r>
        <w:rPr>
          <w:rFonts w:hint="eastAsia" w:ascii="宋体" w:hAnsi="宋体" w:cs="宋体"/>
          <w:sz w:val="21"/>
          <w:szCs w:val="21"/>
        </w:rPr>
        <w:t>（4）供应商可结合本项目的评审办法视自身情况自行提交其它相关证明材料。</w:t>
      </w:r>
    </w:p>
    <w:p w14:paraId="62467990">
      <w:pPr>
        <w:spacing w:line="360" w:lineRule="auto"/>
        <w:ind w:firstLine="420"/>
        <w:rPr>
          <w:rFonts w:ascii="宋体" w:hAnsi="宋体" w:cs="宋体"/>
          <w:kern w:val="0"/>
          <w:szCs w:val="21"/>
          <w:lang w:val="zh-CN"/>
        </w:rPr>
      </w:pPr>
      <w:r>
        <w:rPr>
          <w:rFonts w:hint="eastAsia" w:ascii="宋体" w:hAnsi="宋体" w:cs="宋体"/>
          <w:b/>
          <w:bCs/>
          <w:szCs w:val="21"/>
        </w:rPr>
        <w:t>供应商提供的以上相关证明材料应加盖磋商供应商CA签章，否则响应无效。</w:t>
      </w:r>
    </w:p>
    <w:p w14:paraId="5AAB9399">
      <w:pPr>
        <w:spacing w:line="360" w:lineRule="auto"/>
        <w:ind w:firstLine="420"/>
        <w:rPr>
          <w:rFonts w:ascii="宋体" w:hAnsi="宋体" w:cs="宋体"/>
          <w:szCs w:val="21"/>
        </w:rPr>
      </w:pPr>
      <w:r>
        <w:rPr>
          <w:rFonts w:hint="eastAsia" w:ascii="宋体" w:hAnsi="宋体" w:cs="宋体"/>
          <w:szCs w:val="21"/>
        </w:rPr>
        <w:t xml:space="preserve"> 11.3供应商应按竞争性磋商采购文件第六章“响应文件（格式）”编制响应文件。</w:t>
      </w:r>
    </w:p>
    <w:p w14:paraId="26054EF5">
      <w:pPr>
        <w:spacing w:line="360" w:lineRule="auto"/>
        <w:ind w:firstLine="420"/>
        <w:rPr>
          <w:rFonts w:ascii="宋体" w:hAnsi="宋体" w:cs="宋体"/>
          <w:b/>
          <w:bCs/>
          <w:szCs w:val="21"/>
        </w:rPr>
      </w:pPr>
      <w:r>
        <w:rPr>
          <w:rFonts w:hint="eastAsia" w:ascii="宋体" w:hAnsi="宋体" w:cs="宋体"/>
          <w:b/>
          <w:bCs/>
          <w:szCs w:val="21"/>
        </w:rPr>
        <w:t>特别说明：</w:t>
      </w:r>
    </w:p>
    <w:p w14:paraId="1869CF9D">
      <w:pPr>
        <w:spacing w:line="360" w:lineRule="auto"/>
        <w:ind w:firstLine="420"/>
        <w:rPr>
          <w:rFonts w:ascii="宋体" w:hAnsi="宋体" w:cs="宋体"/>
          <w:b/>
          <w:bCs/>
          <w:szCs w:val="21"/>
        </w:rPr>
      </w:pPr>
      <w:r>
        <w:rPr>
          <w:rFonts w:hint="eastAsia" w:ascii="宋体" w:hAnsi="宋体" w:cs="宋体"/>
          <w:b/>
          <w:bCs/>
          <w:szCs w:val="21"/>
        </w:rPr>
        <w:t>（1）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1D774390">
      <w:pPr>
        <w:ind w:firstLine="420"/>
        <w:rPr>
          <w:rFonts w:ascii="宋体" w:hAnsi="宋体" w:cs="宋体"/>
          <w:szCs w:val="21"/>
        </w:rPr>
      </w:pPr>
      <w:r>
        <w:rPr>
          <w:rFonts w:hint="eastAsia" w:ascii="宋体" w:hAnsi="宋体" w:cs="宋体"/>
          <w:b/>
          <w:bCs/>
          <w:szCs w:val="21"/>
        </w:rPr>
        <w:t>（2）磋商文件要求法定代表人（负责人）或委托代理人签字的部分必须签字然后扫描或者拍照做成 pdf 格式上传（或加盖个人CA签章），无签字的视为响应无效。</w:t>
      </w:r>
      <w:bookmarkStart w:id="147" w:name="_Toc4599"/>
      <w:bookmarkStart w:id="148" w:name="_Toc23000"/>
      <w:bookmarkStart w:id="149" w:name="_Toc532465857"/>
      <w:bookmarkStart w:id="150" w:name="_Toc1637883"/>
      <w:bookmarkStart w:id="151" w:name="_Toc11575"/>
      <w:bookmarkStart w:id="152" w:name="_Toc2089"/>
      <w:bookmarkStart w:id="153" w:name="_Toc3738"/>
      <w:bookmarkStart w:id="154" w:name="_Toc18454"/>
    </w:p>
    <w:p w14:paraId="73C4ADF8">
      <w:pPr>
        <w:pStyle w:val="5"/>
        <w:spacing w:before="0" w:after="0" w:line="360" w:lineRule="auto"/>
        <w:rPr>
          <w:rFonts w:ascii="宋体" w:hAnsi="宋体" w:cs="宋体"/>
          <w:sz w:val="21"/>
          <w:szCs w:val="21"/>
        </w:rPr>
      </w:pPr>
    </w:p>
    <w:p w14:paraId="05C0864C">
      <w:pPr>
        <w:pStyle w:val="5"/>
        <w:spacing w:before="0" w:after="0" w:line="360" w:lineRule="auto"/>
        <w:rPr>
          <w:rFonts w:ascii="宋体" w:hAnsi="宋体" w:cs="宋体"/>
          <w:sz w:val="21"/>
          <w:szCs w:val="21"/>
        </w:rPr>
      </w:pPr>
      <w:r>
        <w:rPr>
          <w:rFonts w:hint="eastAsia" w:ascii="宋体" w:hAnsi="宋体" w:cs="宋体"/>
          <w:sz w:val="21"/>
          <w:szCs w:val="21"/>
        </w:rPr>
        <w:t>12.响应文件的语言及计量</w:t>
      </w:r>
      <w:bookmarkEnd w:id="147"/>
      <w:bookmarkEnd w:id="148"/>
      <w:bookmarkEnd w:id="149"/>
      <w:bookmarkEnd w:id="150"/>
      <w:bookmarkEnd w:id="151"/>
      <w:bookmarkEnd w:id="152"/>
      <w:bookmarkEnd w:id="153"/>
      <w:bookmarkEnd w:id="154"/>
    </w:p>
    <w:p w14:paraId="02014C43">
      <w:pPr>
        <w:tabs>
          <w:tab w:val="left" w:pos="1305"/>
        </w:tabs>
        <w:spacing w:line="360" w:lineRule="auto"/>
        <w:ind w:firstLine="420" w:firstLineChars="200"/>
        <w:rPr>
          <w:rFonts w:ascii="宋体" w:hAnsi="宋体" w:cs="宋体"/>
          <w:szCs w:val="21"/>
        </w:rPr>
      </w:pPr>
      <w:r>
        <w:rPr>
          <w:rFonts w:hint="eastAsia" w:ascii="宋体" w:hAnsi="宋体" w:cs="宋体"/>
          <w:szCs w:val="21"/>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14:paraId="575A8D11">
      <w:pPr>
        <w:tabs>
          <w:tab w:val="left" w:pos="1305"/>
        </w:tabs>
        <w:spacing w:line="360" w:lineRule="auto"/>
        <w:ind w:firstLine="420" w:firstLineChars="200"/>
        <w:rPr>
          <w:rFonts w:ascii="宋体" w:hAnsi="宋体" w:cs="宋体"/>
          <w:szCs w:val="21"/>
        </w:rPr>
      </w:pPr>
      <w:r>
        <w:rPr>
          <w:rFonts w:hint="eastAsia" w:ascii="宋体" w:hAnsi="宋体" w:cs="宋体"/>
          <w:szCs w:val="21"/>
        </w:rPr>
        <w:t>12.2 响应计量单位，磋商文件已有明确规定的，使用磋商文件规定的计量单位；磋商文件没有规定的，应采用中华人民共和国法定计量单位（货币单位：人民币元），否则视同未响应采购文件。</w:t>
      </w:r>
    </w:p>
    <w:p w14:paraId="26B73DFC">
      <w:pPr>
        <w:pStyle w:val="5"/>
        <w:spacing w:before="0" w:after="0" w:line="360" w:lineRule="auto"/>
        <w:rPr>
          <w:rFonts w:ascii="宋体" w:hAnsi="宋体" w:cs="宋体"/>
          <w:color w:val="000000" w:themeColor="text1"/>
          <w:sz w:val="21"/>
          <w:szCs w:val="21"/>
          <w14:textFill>
            <w14:solidFill>
              <w14:schemeClr w14:val="tx1"/>
            </w14:solidFill>
          </w14:textFill>
        </w:rPr>
      </w:pPr>
      <w:bookmarkStart w:id="155" w:name="_Toc532465858"/>
      <w:bookmarkStart w:id="156" w:name="_Toc2549"/>
      <w:bookmarkStart w:id="157" w:name="_Toc17068"/>
      <w:bookmarkStart w:id="158" w:name="_Toc30899"/>
      <w:bookmarkStart w:id="159" w:name="_Toc8727"/>
      <w:bookmarkStart w:id="160" w:name="_Toc23483"/>
      <w:bookmarkStart w:id="161" w:name="_Toc26618"/>
      <w:bookmarkStart w:id="162" w:name="_Toc1637884"/>
      <w:r>
        <w:rPr>
          <w:rFonts w:hint="eastAsia" w:ascii="宋体" w:hAnsi="宋体" w:cs="宋体"/>
          <w:color w:val="000000" w:themeColor="text1"/>
          <w:sz w:val="21"/>
          <w:szCs w:val="21"/>
          <w14:textFill>
            <w14:solidFill>
              <w14:schemeClr w14:val="tx1"/>
            </w14:solidFill>
          </w14:textFill>
        </w:rPr>
        <w:t>13.磋商报价</w:t>
      </w:r>
      <w:bookmarkEnd w:id="155"/>
      <w:bookmarkEnd w:id="156"/>
      <w:bookmarkEnd w:id="157"/>
      <w:bookmarkEnd w:id="158"/>
      <w:bookmarkEnd w:id="159"/>
      <w:bookmarkEnd w:id="160"/>
      <w:bookmarkEnd w:id="161"/>
      <w:bookmarkEnd w:id="162"/>
    </w:p>
    <w:p w14:paraId="668D25FC">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13.1</w:t>
      </w:r>
      <w:r>
        <w:rPr>
          <w:rFonts w:hint="eastAsia" w:ascii="宋体" w:hAnsi="宋体" w:cs="宋体"/>
          <w:color w:val="000000" w:themeColor="text1"/>
          <w:kern w:val="0"/>
          <w:szCs w:val="21"/>
          <w:lang w:val="zh-CN"/>
          <w14:textFill>
            <w14:solidFill>
              <w14:schemeClr w14:val="tx1"/>
            </w14:solidFill>
          </w14:textFill>
        </w:rPr>
        <w:t>磋商报价应包括国家规定的增值税税金，除供应商须知前附表另有规定外，增值税税金按一般计税方法计算。供应商应按第六章“响应文件格式”的要求在投标函中进行报价并填写工程量清单相应表格。</w:t>
      </w:r>
    </w:p>
    <w:p w14:paraId="3F83CF4B">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供应商按照采购人提供的工程量清单（电子版）填写本合同各工程子目的单价、合价和总额价。</w:t>
      </w:r>
    </w:p>
    <w:p w14:paraId="0CDFD8B0">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13.2</w:t>
      </w:r>
      <w:r>
        <w:rPr>
          <w:rFonts w:hint="eastAsia" w:ascii="宋体" w:hAnsi="宋体" w:cs="宋体"/>
          <w:color w:val="000000" w:themeColor="text1"/>
          <w:kern w:val="0"/>
          <w:szCs w:val="21"/>
          <w:lang w:val="zh-CN"/>
          <w14:textFill>
            <w14:solidFill>
              <w14:schemeClr w14:val="tx1"/>
            </w14:solidFill>
          </w14:textFill>
        </w:rPr>
        <w:t>供应商应充分了解该项目的总体情况以及影响磋商报价的其他要素。</w:t>
      </w:r>
    </w:p>
    <w:p w14:paraId="07F0BF26">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3本项目的报价方式见供应商须知前附表。供应商在投标截止时间前修改投标函中的投标总报价，应同时修改第三章“工程量清单”中的相应报价。</w:t>
      </w:r>
    </w:p>
    <w:p w14:paraId="52C99E6C">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4供应商如果发现工程量清单中的数量与图纸中数量不一致时，应立即通知采购人核查，除非采购人以书面方式予以更正，否则，应以工程量清单中列出的数量为准。</w:t>
      </w:r>
    </w:p>
    <w:p w14:paraId="0D3CA984">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5供应商应根据《公路水运工程安全生产监督管理办法》，在磋商总价中计入安全生产费用，</w:t>
      </w:r>
      <w:r>
        <w:rPr>
          <w:rFonts w:hint="eastAsia" w:ascii="宋体" w:hAnsi="宋体" w:cs="宋体"/>
          <w:color w:val="000000" w:themeColor="text1"/>
          <w:szCs w:val="21"/>
          <w14:textFill>
            <w14:solidFill>
              <w14:schemeClr w14:val="tx1"/>
            </w14:solidFill>
          </w14:textFill>
        </w:rPr>
        <w:t>除项目专用合同条款另有约定外，安全生产费用应为投标价（不含安全生产费及建筑工程一切险及第三者责任险的保险费</w:t>
      </w:r>
      <w:r>
        <w:rPr>
          <w:rFonts w:hint="eastAsia" w:ascii="宋体" w:hAnsi="宋体" w:cs="宋体"/>
          <w:color w:val="000000" w:themeColor="text1"/>
          <w:spacing w:val="-22"/>
          <w:szCs w:val="21"/>
          <w14:textFill>
            <w14:solidFill>
              <w14:schemeClr w14:val="tx1"/>
            </w14:solidFill>
          </w14:textFill>
        </w:rPr>
        <w:t>）</w:t>
      </w:r>
      <w:r>
        <w:rPr>
          <w:rFonts w:hint="eastAsia" w:ascii="宋体" w:hAnsi="宋体" w:cs="宋体"/>
          <w:color w:val="000000" w:themeColor="text1"/>
          <w:spacing w:val="-30"/>
          <w:szCs w:val="21"/>
          <w14:textFill>
            <w14:solidFill>
              <w14:schemeClr w14:val="tx1"/>
            </w14:solidFill>
          </w14:textFill>
        </w:rPr>
        <w:t xml:space="preserve">的 </w:t>
      </w:r>
      <w:r>
        <w:rPr>
          <w:rFonts w:hint="eastAsia" w:ascii="宋体" w:hAnsi="宋体" w:cs="宋体"/>
          <w:color w:val="000000" w:themeColor="text1"/>
          <w:spacing w:val="-5"/>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若发包人公布了最高投标限价时，按最高投标限价的 1.5%计</w:t>
      </w:r>
      <w:r>
        <w:rPr>
          <w:rFonts w:hint="eastAsia" w:ascii="宋体" w:hAnsi="宋体" w:cs="宋体"/>
          <w:color w:val="000000" w:themeColor="text1"/>
          <w:spacing w:val="-120"/>
          <w:szCs w:val="21"/>
          <w14:textFill>
            <w14:solidFill>
              <w14:schemeClr w14:val="tx1"/>
            </w14:solidFill>
          </w14:textFill>
        </w:rPr>
        <w:t>）</w:t>
      </w:r>
      <w:r>
        <w:rPr>
          <w:rFonts w:hint="eastAsia" w:ascii="宋体" w:hAnsi="宋体" w:cs="宋体"/>
          <w:color w:val="000000" w:themeColor="text1"/>
          <w:kern w:val="0"/>
          <w:szCs w:val="21"/>
          <w:lang w:val="zh-CN"/>
          <w14:textFill>
            <w14:solidFill>
              <w14:schemeClr w14:val="tx1"/>
            </w14:solidFill>
          </w14:textFill>
        </w:rPr>
        <w:t>）。工程量清单100章内列有上述安全生产费的支付子目，由供应商按采购文件的规定填写总额价。</w:t>
      </w:r>
    </w:p>
    <w:p w14:paraId="01E7A5FE">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6除供应商须知前附表另有规定外，采购人不接受调价函。若采购人接受调价函，则应在采购文件中给出调价函的格式。供应商若有调价函则应遵循如下规定：</w:t>
      </w:r>
    </w:p>
    <w:p w14:paraId="220D31EB">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（1）调价函必须采用采购文件规定的格式；调价函应说明调价后的最终报价，并以最终报价为准，而且供应商只能有一次调价的机会；</w:t>
      </w:r>
    </w:p>
    <w:p w14:paraId="6CD5FEE5">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（2）工程量清单中采购人指定的报价不允许调价；</w:t>
      </w:r>
    </w:p>
    <w:p w14:paraId="79A1FE93">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（3）调价函必须附有调价后的工程量清单；</w:t>
      </w:r>
    </w:p>
    <w:p w14:paraId="3D2CE7E9">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若供应商未提交调价后的工程量清单，或调价函未装在响应文件首页，调价函均视为无效，仍以原报价作为最终报价。若供应商提交的调价函多于一个，或对不允许调价的内容进行了调价，或调价函有附加条件，其投标将被否决。</w:t>
      </w:r>
    </w:p>
    <w:p w14:paraId="17D91500">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lang w:val="zh-CN"/>
          <w14:textFill>
            <w14:solidFill>
              <w14:schemeClr w14:val="tx1"/>
            </w14:solidFill>
          </w14:textFill>
        </w:rPr>
        <w:t>（4）若采购人接受调价函，供应商调价后的工程量清单和有效调价函的大写金额报价应保持一致，如果报价金额出现差异时，则以有效调价函的大写金额报价为准。</w:t>
      </w:r>
    </w:p>
    <w:p w14:paraId="2AC13032">
      <w:pPr>
        <w:spacing w:line="360" w:lineRule="auto"/>
        <w:ind w:firstLine="420"/>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7在合同实施期间，供应商填写的单价、合价和总额价是否由于物价波动进行价格调整按照合同条款第16.1款的规定处理。如果按照合同条款第16.1.1项的规定采用价格调整公式进行价格调整，由采购人根据项目实际情况测算确定价格调整公式中的变值权重范围，并在投标函附录价格指数和权重表中约定范围；供应商在此范围内填写各可调因子的权重，合同实施期间将按此权重进行调价。</w:t>
      </w:r>
    </w:p>
    <w:p w14:paraId="2E6EE83B">
      <w:pPr>
        <w:spacing w:line="360" w:lineRule="auto"/>
        <w:ind w:firstLine="420"/>
        <w:jc w:val="left"/>
        <w:rPr>
          <w:rFonts w:ascii="宋体" w:hAnsi="宋体" w:cs="宋体"/>
          <w:color w:val="000000" w:themeColor="text1"/>
          <w:kern w:val="0"/>
          <w:szCs w:val="21"/>
          <w:lang w:val="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8采购人设有最高投标限价的，供应商的投标报价不得超过最高投标限价，最高投标限价在供应商须知前附表中载明。</w:t>
      </w:r>
    </w:p>
    <w:p w14:paraId="6F4AEFB4">
      <w:pPr>
        <w:tabs>
          <w:tab w:val="left" w:pos="130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w:t>
      </w:r>
      <w:r>
        <w:rPr>
          <w:rFonts w:hint="eastAsia" w:ascii="宋体" w:hAnsi="宋体" w:cs="宋体"/>
          <w:color w:val="000000" w:themeColor="text1"/>
          <w:kern w:val="0"/>
          <w:szCs w:val="21"/>
          <w:lang w:val="zh-CN"/>
          <w14:textFill>
            <w14:solidFill>
              <w14:schemeClr w14:val="tx1"/>
            </w14:solidFill>
          </w14:textFill>
        </w:rPr>
        <w:t>9磋商报价的其他要求见供应商须知前附表。</w:t>
      </w:r>
    </w:p>
    <w:p w14:paraId="3315C2A7">
      <w:pPr>
        <w:spacing w:line="360" w:lineRule="auto"/>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13.10磋商报价及采购控制价参考依据： </w:t>
      </w:r>
    </w:p>
    <w:p w14:paraId="79E3B88C">
      <w:pPr>
        <w:spacing w:line="360" w:lineRule="auto"/>
        <w:ind w:firstLine="411" w:firstLineChars="196"/>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广西壮族自治区市场监督管理局发布《公路养护预算编制办法及定额 第 1 部分：公路养护工程预算编制办法及定额》（DB 45/T 2228.1-2020）(以下简称《编制办法》)、广西壮族自治区公路发展中心 2022年4月发布《广西壮族自治区公路发展中心普通国省干线公路危旧桥加固改造设计技术要求》、桂路养发[2021]172 号广西壮族自治区公路发展中心关于印发《广西普通国省干线公路养护工程（路面部分）施工图设计及预算编制指导意见的通知》、交通部交公路发[2018]第 86 号发布的《公路工程基本建设项目概算预算编制办法》（JTG 3830－2018）、交通部交公路发[2018]第 86 号发布的《公路工程预算定额》（JTG/T3832－2018）、交通部交公路发[2018]第 86 号发布的《公路工程机械台班费用定额》（JTG/T 3833－2018）、桂交监造价发[2016]1 号《广西壮族自治区交通工程造价管理站关于印发广西公路工程材料价格“营改增”调整方案的通知》、交办公路[2016]66 号交通运输部办公厅关于印发《公路工程营业税改增值税计价依据调整方案》的通知、中华人民共和国交通运输部公告第 26 号交通运输部关于调整《公路工程建设项目投资估算编制办法》（JTG3820-2018）和《公路工程建设项目概算预算编制办法》（JTG3830-2018）中“税金”有关规定的公告、桂交建管发[2019]39 号《广西壮族自治区交通厅关于印发公路工程建设项目估算概算预算编制办法广西补充规定的通知》。采购人提供的设计图等有关资料；工程量清单描述不详之处以图纸及国家规范为准。</w:t>
      </w:r>
    </w:p>
    <w:p w14:paraId="1EEAE894">
      <w:pPr>
        <w:pStyle w:val="5"/>
        <w:spacing w:before="0" w:after="0" w:line="360" w:lineRule="auto"/>
        <w:rPr>
          <w:rFonts w:ascii="宋体" w:hAnsi="宋体" w:cs="宋体"/>
          <w:color w:val="000000" w:themeColor="text1"/>
          <w:sz w:val="21"/>
          <w:szCs w:val="21"/>
          <w14:textFill>
            <w14:solidFill>
              <w14:schemeClr w14:val="tx1"/>
            </w14:solidFill>
          </w14:textFill>
        </w:rPr>
      </w:pPr>
      <w:bookmarkStart w:id="163" w:name="_Toc2951"/>
      <w:bookmarkStart w:id="164" w:name="_Toc532465859"/>
      <w:bookmarkStart w:id="165" w:name="_Toc11917"/>
      <w:bookmarkStart w:id="166" w:name="_Toc11865"/>
      <w:bookmarkStart w:id="167" w:name="_Toc31857"/>
      <w:bookmarkStart w:id="168" w:name="_Toc14992"/>
      <w:bookmarkStart w:id="169" w:name="_Toc1637885"/>
      <w:bookmarkStart w:id="170" w:name="_Toc1497"/>
      <w:r>
        <w:rPr>
          <w:rFonts w:hint="eastAsia" w:ascii="宋体" w:hAnsi="宋体" w:cs="宋体"/>
          <w:color w:val="000000" w:themeColor="text1"/>
          <w:sz w:val="21"/>
          <w:szCs w:val="21"/>
          <w14:textFill>
            <w14:solidFill>
              <w14:schemeClr w14:val="tx1"/>
            </w14:solidFill>
          </w14:textFill>
        </w:rPr>
        <w:t>14.响应文件有效期</w:t>
      </w:r>
      <w:bookmarkEnd w:id="163"/>
      <w:bookmarkEnd w:id="164"/>
      <w:bookmarkEnd w:id="165"/>
      <w:bookmarkEnd w:id="166"/>
      <w:bookmarkEnd w:id="167"/>
      <w:bookmarkEnd w:id="168"/>
      <w:bookmarkEnd w:id="169"/>
      <w:bookmarkEnd w:id="170"/>
    </w:p>
    <w:p w14:paraId="3A5EC0CB">
      <w:pPr>
        <w:tabs>
          <w:tab w:val="left" w:pos="130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14.1响应文件有效期：详见供应商须知前附表</w:t>
      </w:r>
      <w:r>
        <w:rPr>
          <w:rStyle w:val="64"/>
          <w:rFonts w:hint="eastAsia" w:ascii="宋体" w:hAnsi="宋体" w:cs="宋体"/>
          <w:color w:val="000000" w:themeColor="text1"/>
          <w14:textFill>
            <w14:solidFill>
              <w14:schemeClr w14:val="tx1"/>
            </w14:solidFill>
          </w14:textFill>
        </w:rPr>
        <w:t>。</w:t>
      </w:r>
    </w:p>
    <w:p w14:paraId="12DF5D5C">
      <w:pPr>
        <w:tabs>
          <w:tab w:val="left" w:pos="1305"/>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14.2出现特殊情况下，需要延长响应有效期的，采购代理机构以书面形式通知供应商延长响应文件有效期。供应商同意延长的，应相应延长其磋商保证金的有效期，但不能修改响应文件。供应商拒绝延长的，其响应无效。</w:t>
      </w:r>
    </w:p>
    <w:p w14:paraId="02049575">
      <w:pPr>
        <w:pStyle w:val="5"/>
        <w:spacing w:before="0" w:after="0" w:line="360" w:lineRule="auto"/>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15.磋商保证金</w:t>
      </w:r>
    </w:p>
    <w:p w14:paraId="0DA8407B">
      <w:pPr>
        <w:tabs>
          <w:tab w:val="left" w:pos="1305"/>
        </w:tabs>
        <w:spacing w:line="360" w:lineRule="auto"/>
        <w:ind w:firstLine="420" w:firstLineChars="200"/>
        <w:rPr>
          <w:rFonts w:ascii="宋体" w:hAnsi="宋体" w:cs="宋体"/>
          <w:color w:val="000000" w:themeColor="text1"/>
          <w:position w:val="-2"/>
          <w:szCs w:val="21"/>
          <w14:textFill>
            <w14:solidFill>
              <w14:schemeClr w14:val="tx1"/>
            </w14:solidFill>
          </w14:textFill>
        </w:rPr>
      </w:pPr>
      <w:r>
        <w:rPr>
          <w:rFonts w:hint="eastAsia" w:ascii="宋体" w:hAnsi="宋体" w:cs="宋体"/>
          <w:color w:val="000000" w:themeColor="text1"/>
          <w:position w:val="-2"/>
          <w:szCs w:val="21"/>
          <w14:textFill>
            <w14:solidFill>
              <w14:schemeClr w14:val="tx1"/>
            </w14:solidFill>
          </w14:textFill>
        </w:rPr>
        <w:t>本项目无需缴纳</w:t>
      </w:r>
      <w:r>
        <w:rPr>
          <w:rFonts w:hint="eastAsia" w:ascii="宋体" w:hAnsi="宋体" w:cs="宋体"/>
          <w:color w:val="000000" w:themeColor="text1"/>
          <w:position w:val="-2"/>
          <w:szCs w:val="21"/>
          <w:lang w:val="en-US" w:eastAsia="zh-CN"/>
          <w14:textFill>
            <w14:solidFill>
              <w14:schemeClr w14:val="tx1"/>
            </w14:solidFill>
          </w14:textFill>
        </w:rPr>
        <w:t>磋商</w:t>
      </w:r>
      <w:r>
        <w:rPr>
          <w:rFonts w:hint="eastAsia" w:ascii="宋体" w:hAnsi="宋体" w:cs="宋体"/>
          <w:color w:val="000000" w:themeColor="text1"/>
          <w:position w:val="-2"/>
          <w:szCs w:val="21"/>
          <w14:textFill>
            <w14:solidFill>
              <w14:schemeClr w14:val="tx1"/>
            </w14:solidFill>
          </w14:textFill>
        </w:rPr>
        <w:t>保证金</w:t>
      </w:r>
    </w:p>
    <w:p w14:paraId="4B09FEB4">
      <w:pPr>
        <w:pStyle w:val="5"/>
        <w:widowControl w:val="0"/>
        <w:spacing w:before="0" w:after="0" w:line="360" w:lineRule="auto"/>
        <w:rPr>
          <w:rFonts w:ascii="宋体" w:hAnsi="宋体" w:cs="宋体"/>
          <w:color w:val="000000" w:themeColor="text1"/>
          <w:sz w:val="21"/>
          <w:szCs w:val="21"/>
          <w14:textFill>
            <w14:solidFill>
              <w14:schemeClr w14:val="tx1"/>
            </w14:solidFill>
          </w14:textFill>
        </w:rPr>
      </w:pPr>
      <w:bookmarkStart w:id="171" w:name="_Toc387"/>
      <w:bookmarkStart w:id="172" w:name="_Toc30118"/>
      <w:r>
        <w:rPr>
          <w:rFonts w:hint="eastAsia" w:ascii="宋体" w:hAnsi="宋体" w:cs="宋体"/>
          <w:color w:val="000000" w:themeColor="text1"/>
          <w:sz w:val="21"/>
          <w:szCs w:val="21"/>
          <w14:textFill>
            <w14:solidFill>
              <w14:schemeClr w14:val="tx1"/>
            </w14:solidFill>
          </w14:textFill>
        </w:rPr>
        <w:t>16.竞争性磋商响应文件的</w:t>
      </w:r>
      <w:bookmarkEnd w:id="171"/>
      <w:r>
        <w:rPr>
          <w:rFonts w:hint="eastAsia" w:ascii="宋体" w:hAnsi="宋体" w:cs="宋体"/>
          <w:color w:val="000000" w:themeColor="text1"/>
          <w:sz w:val="21"/>
          <w:szCs w:val="21"/>
          <w14:textFill>
            <w14:solidFill>
              <w14:schemeClr w14:val="tx1"/>
            </w14:solidFill>
          </w14:textFill>
        </w:rPr>
        <w:t>制作</w:t>
      </w:r>
      <w:bookmarkEnd w:id="172"/>
    </w:p>
    <w:p w14:paraId="1167969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16.1 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3FAC830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16.2供应商法人（负责人）或授权代表持有广西政府采购云个人CA签章的，应在响应文件中涉及到签字的位置使用个人CA签章，没有办理广西政府采购云个人CA签章的可在响应文件中涉及到签字的位置手写签字后扫描或者拍照做成 PDF 的格式上传即可。</w:t>
      </w:r>
    </w:p>
    <w:p w14:paraId="30A3D31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16.3 磋商响应文件不得涂改，若有修改错漏处，须法定代表人（负责人）或授权委托人签字（或个人CA签章）。磋商响应文件因字迹潦草或表达不清所引起的后果由供应商负责。</w:t>
      </w:r>
    </w:p>
    <w:p w14:paraId="23EC355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16.4磋商前准备 </w:t>
      </w:r>
    </w:p>
    <w:p w14:paraId="6802D166">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16.4.1本项目实行在线磋商，采用电子磋商响应文件。若供应商参与磋商，自行承担磋商一切费用。 </w:t>
      </w:r>
    </w:p>
    <w:p w14:paraId="6AD9BB0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16.4.2各供应商应在截标前应确保成为广西政府采购云平台正式注册入库供应商，并完成 CA 数字证书申领。因未注册入库、未办理 CA 数字证书等原因造成无法磋商或磋商失败等后果由供应商自行承担。 </w:t>
      </w:r>
    </w:p>
    <w:p w14:paraId="551F4404">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16.4.3供应商将广西政府采购云电子交易客户端下载、安装完成后，可通过账号密码或 CA 登录客户端进行响应文件制作。客户端请至网站下载专区查看，如有问题可拨打广西政府采购云客户服务热线 95763 进行咨询。</w:t>
      </w:r>
    </w:p>
    <w:p w14:paraId="5E634360">
      <w:pPr>
        <w:pStyle w:val="5"/>
        <w:widowControl w:val="0"/>
        <w:spacing w:before="0" w:after="0" w:line="360" w:lineRule="auto"/>
        <w:rPr>
          <w:rFonts w:ascii="宋体" w:hAnsi="宋体" w:cs="宋体"/>
          <w:color w:val="000000" w:themeColor="text1"/>
          <w:sz w:val="21"/>
          <w:szCs w:val="21"/>
          <w14:textFill>
            <w14:solidFill>
              <w14:schemeClr w14:val="tx1"/>
            </w14:solidFill>
          </w14:textFill>
        </w:rPr>
      </w:pPr>
      <w:bookmarkStart w:id="173" w:name="_Toc9738"/>
      <w:r>
        <w:rPr>
          <w:rFonts w:hint="eastAsia" w:ascii="宋体" w:hAnsi="宋体" w:cs="宋体"/>
          <w:color w:val="000000" w:themeColor="text1"/>
          <w:sz w:val="21"/>
          <w:szCs w:val="21"/>
          <w14:textFill>
            <w14:solidFill>
              <w14:schemeClr w14:val="tx1"/>
            </w14:solidFill>
          </w14:textFill>
        </w:rPr>
        <w:t>17. 响应文件的修改和撤回</w:t>
      </w:r>
      <w:bookmarkEnd w:id="173"/>
    </w:p>
    <w:p w14:paraId="74DC2743">
      <w:pPr>
        <w:spacing w:line="360" w:lineRule="auto"/>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17.1 响应文件递交截止时间前可以撤回电子磋商响应文件。补充或者修改电子磋商响应文件的，应当先行撤回原文件</w:t>
      </w:r>
      <w:r>
        <w:rPr>
          <w:rFonts w:hint="eastAsia" w:ascii="宋体" w:hAnsi="宋体" w:cs="宋体"/>
          <w:szCs w:val="21"/>
        </w:rPr>
        <w:t>，补充、修改后重新传输递交，磋商响应文件递交截止时间前未完成传输的，视为撤回磋商响应文件。</w:t>
      </w:r>
    </w:p>
    <w:p w14:paraId="507D6B88">
      <w:pPr>
        <w:spacing w:line="360" w:lineRule="auto"/>
        <w:ind w:firstLine="420" w:firstLineChars="200"/>
        <w:rPr>
          <w:rFonts w:ascii="宋体" w:hAnsi="宋体" w:cs="宋体"/>
          <w:szCs w:val="21"/>
        </w:rPr>
      </w:pPr>
      <w:r>
        <w:rPr>
          <w:rFonts w:hint="eastAsia" w:ascii="宋体" w:hAnsi="宋体" w:cs="宋体"/>
          <w:szCs w:val="21"/>
        </w:rPr>
        <w:t>17.2 在响应文件递交截止时间后的响应文件有效期内，供应商不得撤回其响应文件。</w:t>
      </w:r>
    </w:p>
    <w:p w14:paraId="62020B65">
      <w:pPr>
        <w:pStyle w:val="5"/>
        <w:widowControl w:val="0"/>
        <w:spacing w:before="0" w:after="0" w:line="360" w:lineRule="auto"/>
        <w:rPr>
          <w:rFonts w:ascii="宋体" w:hAnsi="宋体" w:cs="宋体"/>
          <w:sz w:val="21"/>
          <w:szCs w:val="21"/>
        </w:rPr>
      </w:pPr>
      <w:bookmarkStart w:id="174" w:name="_Toc24690"/>
      <w:bookmarkStart w:id="175" w:name="_Toc30156"/>
      <w:r>
        <w:rPr>
          <w:rFonts w:hint="eastAsia" w:ascii="宋体" w:hAnsi="宋体" w:cs="宋体"/>
          <w:sz w:val="21"/>
          <w:szCs w:val="21"/>
        </w:rPr>
        <w:t>18. 响应文件的递交和解密</w:t>
      </w:r>
      <w:bookmarkEnd w:id="174"/>
      <w:bookmarkEnd w:id="175"/>
    </w:p>
    <w:p w14:paraId="51AA2C9B">
      <w:pPr>
        <w:spacing w:line="360" w:lineRule="auto"/>
        <w:ind w:firstLine="420" w:firstLineChars="200"/>
        <w:rPr>
          <w:rFonts w:ascii="宋体" w:hAnsi="宋体" w:cs="宋体"/>
          <w:color w:val="auto"/>
          <w:szCs w:val="21"/>
        </w:rPr>
      </w:pPr>
      <w:r>
        <w:rPr>
          <w:rFonts w:hint="eastAsia" w:ascii="宋体" w:hAnsi="宋体" w:cs="宋体"/>
          <w:szCs w:val="21"/>
        </w:rPr>
        <w:t>18.1响应文件递交截止时间：于</w:t>
      </w:r>
      <w:r>
        <w:rPr>
          <w:rFonts w:hint="eastAsia" w:ascii="宋体" w:hAnsi="宋体" w:cs="宋体"/>
          <w:szCs w:val="21"/>
          <w:u w:val="single"/>
        </w:rPr>
        <w:t>2024</w:t>
      </w:r>
      <w:r>
        <w:rPr>
          <w:rFonts w:hint="eastAsia" w:ascii="宋体" w:hAnsi="宋体" w:cs="宋体"/>
          <w:color w:val="auto"/>
          <w:szCs w:val="21"/>
          <w:u w:val="single"/>
        </w:rPr>
        <w:t>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日9时30分</w:t>
      </w:r>
      <w:r>
        <w:rPr>
          <w:rFonts w:hint="eastAsia" w:ascii="宋体" w:hAnsi="宋体" w:cs="宋体"/>
          <w:color w:val="auto"/>
          <w:szCs w:val="21"/>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p>
    <w:p w14:paraId="231CD031">
      <w:pPr>
        <w:spacing w:line="360" w:lineRule="auto"/>
        <w:ind w:firstLine="420" w:firstLineChars="200"/>
        <w:rPr>
          <w:rFonts w:ascii="宋体" w:hAnsi="宋体" w:cs="宋体"/>
          <w:szCs w:val="21"/>
        </w:rPr>
      </w:pPr>
      <w:r>
        <w:rPr>
          <w:rFonts w:hint="eastAsia" w:ascii="宋体" w:hAnsi="宋体" w:cs="宋体"/>
          <w:color w:val="auto"/>
          <w:szCs w:val="21"/>
        </w:rPr>
        <w:t>18.2磋商响应文件解密时间：磋商响应文件解密时间：截标时间后</w:t>
      </w:r>
      <w:r>
        <w:rPr>
          <w:rFonts w:hint="eastAsia" w:ascii="宋体" w:hAnsi="宋体" w:cs="宋体"/>
          <w:color w:val="auto"/>
          <w:szCs w:val="21"/>
          <w:u w:val="single"/>
        </w:rPr>
        <w:t>30</w:t>
      </w:r>
      <w:r>
        <w:rPr>
          <w:rFonts w:hint="eastAsia" w:ascii="宋体" w:hAnsi="宋体" w:cs="宋体"/>
          <w:color w:val="auto"/>
          <w:szCs w:val="21"/>
        </w:rPr>
        <w:t>分钟内（</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7</w:t>
      </w:r>
      <w:r>
        <w:rPr>
          <w:rFonts w:hint="eastAsia" w:ascii="宋体" w:hAnsi="宋体" w:cs="宋体"/>
          <w:color w:val="auto"/>
          <w:szCs w:val="21"/>
          <w:u w:val="single"/>
        </w:rPr>
        <w:t>月</w:t>
      </w:r>
      <w:r>
        <w:rPr>
          <w:rFonts w:hint="eastAsia" w:ascii="宋体" w:hAnsi="宋体" w:cs="宋体"/>
          <w:color w:val="auto"/>
          <w:szCs w:val="21"/>
          <w:u w:val="single"/>
          <w:lang w:val="en-US" w:eastAsia="zh-CN"/>
        </w:rPr>
        <w:t>29</w:t>
      </w:r>
      <w:r>
        <w:rPr>
          <w:rFonts w:hint="eastAsia" w:ascii="宋体" w:hAnsi="宋体" w:cs="宋体"/>
          <w:color w:val="auto"/>
          <w:szCs w:val="21"/>
          <w:u w:val="single"/>
        </w:rPr>
        <w:t>日上午9时30分至10时00分</w:t>
      </w:r>
      <w:r>
        <w:rPr>
          <w:rFonts w:hint="eastAsia" w:ascii="宋体" w:hAnsi="宋体" w:cs="宋体"/>
          <w:color w:val="auto"/>
          <w:szCs w:val="21"/>
        </w:rPr>
        <w:t>)磋商供应商可以登录广西政府采购云平台，用“项目采购-开标评标”功能进行解密电子磋商响应文件。</w:t>
      </w:r>
      <w:r>
        <w:rPr>
          <w:rFonts w:hint="eastAsia" w:ascii="宋体" w:hAnsi="宋体" w:cs="宋体"/>
          <w:color w:val="auto"/>
        </w:rPr>
        <w:t>若磋商供应商在规定时间内无</w:t>
      </w:r>
      <w:r>
        <w:rPr>
          <w:rFonts w:hint="eastAsia" w:ascii="宋体" w:hAnsi="宋体" w:cs="宋体"/>
        </w:rPr>
        <w:t>法解密或解密失败，视为无效响应。</w:t>
      </w:r>
    </w:p>
    <w:p w14:paraId="7BAA7339">
      <w:pPr>
        <w:spacing w:line="360" w:lineRule="auto"/>
        <w:ind w:firstLine="420" w:firstLineChars="200"/>
        <w:rPr>
          <w:rFonts w:ascii="宋体" w:hAnsi="宋体" w:cs="宋体"/>
          <w:szCs w:val="21"/>
        </w:rPr>
      </w:pPr>
      <w:r>
        <w:rPr>
          <w:rFonts w:hint="eastAsia" w:ascii="宋体" w:hAnsi="宋体" w:cs="宋体"/>
          <w:szCs w:val="21"/>
        </w:rPr>
        <w:t>18.3 除竞争性磋商文件另有规定外，供应商所递交的响应文件不予退还。</w:t>
      </w:r>
    </w:p>
    <w:p w14:paraId="09BDEA71">
      <w:pPr>
        <w:spacing w:line="360" w:lineRule="auto"/>
        <w:ind w:firstLine="420" w:firstLineChars="200"/>
        <w:rPr>
          <w:rFonts w:ascii="宋体" w:hAnsi="宋体" w:cs="宋体"/>
          <w:szCs w:val="21"/>
        </w:rPr>
      </w:pPr>
      <w:r>
        <w:rPr>
          <w:rFonts w:hint="eastAsia" w:ascii="宋体" w:hAnsi="宋体" w:cs="宋体"/>
          <w:szCs w:val="21"/>
        </w:rPr>
        <w:t>18.4 电子响应文件的相关说明</w:t>
      </w:r>
    </w:p>
    <w:p w14:paraId="46201A63">
      <w:pPr>
        <w:spacing w:line="360" w:lineRule="auto"/>
        <w:ind w:firstLine="420" w:firstLineChars="200"/>
        <w:rPr>
          <w:rFonts w:ascii="宋体" w:hAnsi="宋体" w:cs="宋体"/>
          <w:szCs w:val="21"/>
        </w:rPr>
      </w:pPr>
      <w:r>
        <w:rPr>
          <w:rFonts w:hint="eastAsia" w:ascii="宋体" w:hAnsi="宋体" w:cs="宋体"/>
          <w:szCs w:val="21"/>
        </w:rPr>
        <w:t xml:space="preserve">（1）供应商进行电子响应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36972A52">
      <w:pPr>
        <w:spacing w:line="360" w:lineRule="auto"/>
        <w:ind w:firstLine="435"/>
        <w:rPr>
          <w:rFonts w:ascii="宋体" w:hAnsi="宋体" w:cs="宋体"/>
          <w:szCs w:val="21"/>
        </w:rPr>
      </w:pPr>
      <w:r>
        <w:rPr>
          <w:rFonts w:hint="eastAsia" w:ascii="宋体" w:hAnsi="宋体" w:cs="宋体"/>
          <w:szCs w:val="21"/>
        </w:rPr>
        <w:t>（2）如有特殊情况，采购代理机构延长截止时间和开标时间，采购代理机构和供应商的权利和义务将受到新的截止时间和开标时间的约束。</w:t>
      </w:r>
    </w:p>
    <w:p w14:paraId="2326D22A">
      <w:pPr>
        <w:pStyle w:val="4"/>
        <w:spacing w:before="0" w:after="0" w:line="360" w:lineRule="auto"/>
        <w:jc w:val="center"/>
        <w:rPr>
          <w:rFonts w:ascii="宋体" w:hAnsi="宋体" w:cs="宋体"/>
          <w:sz w:val="21"/>
          <w:szCs w:val="21"/>
        </w:rPr>
      </w:pPr>
      <w:bookmarkStart w:id="176" w:name="_Toc1637890"/>
      <w:bookmarkStart w:id="177" w:name="_Toc532465864"/>
      <w:bookmarkStart w:id="178" w:name="_Toc2954"/>
      <w:bookmarkStart w:id="179" w:name="_Toc503883798"/>
      <w:bookmarkStart w:id="180" w:name="_Toc21931"/>
      <w:bookmarkStart w:id="181" w:name="_Toc29536"/>
      <w:bookmarkStart w:id="182" w:name="_Toc15268"/>
      <w:bookmarkStart w:id="183" w:name="_Toc1048"/>
      <w:bookmarkStart w:id="184" w:name="_Toc3444"/>
      <w:r>
        <w:rPr>
          <w:rFonts w:hint="eastAsia" w:ascii="宋体" w:hAnsi="宋体" w:cs="宋体"/>
          <w:sz w:val="21"/>
          <w:szCs w:val="21"/>
        </w:rPr>
        <w:t>四、竞争性磋商（简称磋商）与评</w:t>
      </w:r>
      <w:bookmarkEnd w:id="176"/>
      <w:bookmarkEnd w:id="177"/>
      <w:bookmarkEnd w:id="178"/>
      <w:bookmarkEnd w:id="179"/>
      <w:r>
        <w:rPr>
          <w:rFonts w:hint="eastAsia" w:ascii="宋体" w:hAnsi="宋体" w:cs="宋体"/>
          <w:sz w:val="21"/>
          <w:szCs w:val="21"/>
        </w:rPr>
        <w:t>标</w:t>
      </w:r>
      <w:bookmarkEnd w:id="180"/>
      <w:bookmarkEnd w:id="181"/>
      <w:bookmarkEnd w:id="182"/>
      <w:bookmarkEnd w:id="183"/>
      <w:bookmarkEnd w:id="184"/>
    </w:p>
    <w:p w14:paraId="7AC9A095">
      <w:pPr>
        <w:pStyle w:val="5"/>
        <w:spacing w:before="0" w:after="0" w:line="360" w:lineRule="auto"/>
        <w:rPr>
          <w:rFonts w:ascii="宋体" w:hAnsi="宋体" w:cs="宋体"/>
          <w:sz w:val="21"/>
          <w:szCs w:val="21"/>
        </w:rPr>
      </w:pPr>
      <w:bookmarkStart w:id="185" w:name="_Toc11021"/>
      <w:bookmarkStart w:id="186" w:name="_Toc31588"/>
      <w:bookmarkStart w:id="187" w:name="_Toc23485"/>
      <w:bookmarkStart w:id="188" w:name="_Toc19129"/>
      <w:bookmarkStart w:id="189" w:name="_Toc10510"/>
      <w:bookmarkStart w:id="190" w:name="_Toc532465867"/>
      <w:bookmarkStart w:id="191" w:name="_Toc21246"/>
      <w:bookmarkStart w:id="192" w:name="_Toc1637893"/>
      <w:bookmarkStart w:id="193" w:name="_Toc20399"/>
      <w:bookmarkStart w:id="194" w:name="_Toc11738"/>
      <w:r>
        <w:rPr>
          <w:rFonts w:hint="eastAsia" w:ascii="宋体" w:hAnsi="宋体" w:cs="宋体"/>
          <w:sz w:val="21"/>
          <w:szCs w:val="21"/>
        </w:rPr>
        <w:t>19. 磋商小组组成及磋商时间、地点、人员</w:t>
      </w:r>
      <w:bookmarkEnd w:id="185"/>
      <w:bookmarkEnd w:id="186"/>
    </w:p>
    <w:p w14:paraId="2090E3A4">
      <w:pPr>
        <w:spacing w:line="360" w:lineRule="auto"/>
        <w:ind w:firstLine="420" w:firstLineChars="200"/>
        <w:rPr>
          <w:rFonts w:ascii="宋体" w:hAnsi="宋体" w:cs="宋体"/>
          <w:szCs w:val="21"/>
        </w:rPr>
      </w:pPr>
      <w:r>
        <w:rPr>
          <w:rFonts w:hint="eastAsia" w:ascii="宋体" w:hAnsi="宋体" w:cs="宋体"/>
          <w:szCs w:val="21"/>
        </w:rPr>
        <w:t>19.1 磋商小组组成：磋商及评审工作由采购代理机构负责组织，具体磋商、评审工作由依法组建的磋商小组负责，磋商小组由有关</w:t>
      </w:r>
      <w:r>
        <w:rPr>
          <w:rFonts w:hint="eastAsia" w:ascii="宋体" w:hAnsi="宋体" w:cs="宋体"/>
          <w:color w:val="000000"/>
          <w:szCs w:val="21"/>
        </w:rPr>
        <w:t>技术、经济等</w:t>
      </w:r>
      <w:r>
        <w:rPr>
          <w:rFonts w:hint="eastAsia" w:ascii="宋体" w:hAnsi="宋体" w:cs="宋体"/>
          <w:szCs w:val="21"/>
        </w:rPr>
        <w:t>方面的专家组成。磋商小组的构成：</w:t>
      </w:r>
      <w:bookmarkStart w:id="371" w:name="_GoBack"/>
      <w:r>
        <w:rPr>
          <w:rFonts w:hint="eastAsia" w:ascii="宋体" w:hAnsi="宋体" w:cs="宋体"/>
          <w:color w:val="auto"/>
          <w:szCs w:val="21"/>
        </w:rPr>
        <w:t xml:space="preserve"> 3 人。</w:t>
      </w:r>
      <w:bookmarkEnd w:id="371"/>
    </w:p>
    <w:p w14:paraId="19FFC073">
      <w:pPr>
        <w:spacing w:line="360" w:lineRule="auto"/>
        <w:ind w:firstLine="420" w:firstLineChars="200"/>
        <w:rPr>
          <w:rFonts w:ascii="宋体" w:hAnsi="宋体" w:cs="宋体"/>
          <w:szCs w:val="21"/>
        </w:rPr>
      </w:pPr>
      <w:r>
        <w:rPr>
          <w:rFonts w:hint="eastAsia" w:ascii="宋体" w:hAnsi="宋体" w:cs="宋体"/>
          <w:szCs w:val="21"/>
        </w:rPr>
        <w:t>19.2 磋商时间、地点、人员：</w:t>
      </w:r>
    </w:p>
    <w:p w14:paraId="389FA62B">
      <w:pPr>
        <w:spacing w:line="360" w:lineRule="auto"/>
        <w:ind w:firstLine="420" w:firstLineChars="200"/>
        <w:rPr>
          <w:rFonts w:ascii="宋体" w:hAnsi="宋体" w:cs="宋体"/>
          <w:szCs w:val="21"/>
        </w:rPr>
      </w:pPr>
      <w:bookmarkStart w:id="195" w:name="_Toc9878"/>
      <w:r>
        <w:rPr>
          <w:rFonts w:hint="eastAsia" w:ascii="宋体" w:hAnsi="宋体" w:cs="宋体"/>
          <w:szCs w:val="21"/>
        </w:rPr>
        <w:t>19.2.1磋商时间：响应文件递交截止时间后。</w:t>
      </w:r>
      <w:bookmarkEnd w:id="195"/>
    </w:p>
    <w:p w14:paraId="38B2B476">
      <w:pPr>
        <w:spacing w:line="360" w:lineRule="auto"/>
        <w:ind w:firstLine="420" w:firstLineChars="200"/>
        <w:rPr>
          <w:rFonts w:ascii="宋体" w:hAnsi="宋体" w:cs="宋体"/>
          <w:szCs w:val="21"/>
        </w:rPr>
      </w:pPr>
      <w:bookmarkStart w:id="196" w:name="_Toc29268"/>
      <w:r>
        <w:rPr>
          <w:rFonts w:hint="eastAsia" w:ascii="宋体" w:hAnsi="宋体" w:cs="宋体"/>
          <w:szCs w:val="21"/>
        </w:rPr>
        <w:t>19.2.2磋商地点：</w:t>
      </w:r>
      <w:bookmarkEnd w:id="196"/>
      <w:r>
        <w:rPr>
          <w:rFonts w:hint="eastAsia" w:ascii="宋体" w:hAnsi="宋体" w:cs="宋体"/>
          <w:szCs w:val="21"/>
        </w:rPr>
        <w:t>本项目需要磋商供应商代表在截标当天截标后，按磋商小组要求及时登陆广西政府采购云平台等候在线磋商。</w:t>
      </w:r>
    </w:p>
    <w:p w14:paraId="09AF2B83">
      <w:pPr>
        <w:spacing w:line="360" w:lineRule="auto"/>
        <w:ind w:firstLine="420" w:firstLineChars="200"/>
        <w:rPr>
          <w:rFonts w:ascii="宋体" w:hAnsi="宋体" w:cs="宋体"/>
          <w:szCs w:val="21"/>
        </w:rPr>
      </w:pPr>
      <w:bookmarkStart w:id="197" w:name="_Toc21307"/>
      <w:r>
        <w:rPr>
          <w:rFonts w:hint="eastAsia" w:ascii="宋体" w:hAnsi="宋体" w:cs="宋体"/>
          <w:szCs w:val="21"/>
        </w:rPr>
        <w:t>19.2.3磋商参加人员：供应商广西政府采购云平台CA数字证书参加磋商。请供应商按时等候磋商。</w:t>
      </w:r>
      <w:bookmarkEnd w:id="197"/>
    </w:p>
    <w:p w14:paraId="3AB79F6B">
      <w:pPr>
        <w:spacing w:line="360" w:lineRule="auto"/>
        <w:ind w:firstLine="420" w:firstLineChars="200"/>
        <w:rPr>
          <w:rFonts w:ascii="宋体" w:hAnsi="宋体" w:cs="宋体"/>
          <w:szCs w:val="21"/>
        </w:rPr>
      </w:pPr>
      <w:bookmarkStart w:id="198" w:name="_Toc6288"/>
      <w:r>
        <w:rPr>
          <w:rFonts w:hint="eastAsia" w:ascii="宋体" w:hAnsi="宋体" w:cs="宋体"/>
          <w:szCs w:val="21"/>
        </w:rPr>
        <w:t>19.2.4响应文件递交截止时间后，由磋商小组在广西政府采购云线上开启响应文件。</w:t>
      </w:r>
      <w:bookmarkEnd w:id="198"/>
    </w:p>
    <w:bookmarkEnd w:id="187"/>
    <w:bookmarkEnd w:id="188"/>
    <w:bookmarkEnd w:id="189"/>
    <w:bookmarkEnd w:id="190"/>
    <w:bookmarkEnd w:id="191"/>
    <w:bookmarkEnd w:id="192"/>
    <w:bookmarkEnd w:id="193"/>
    <w:bookmarkEnd w:id="194"/>
    <w:p w14:paraId="67D30DD5">
      <w:pPr>
        <w:pStyle w:val="5"/>
        <w:widowControl w:val="0"/>
        <w:spacing w:before="0" w:after="0" w:line="360" w:lineRule="auto"/>
        <w:rPr>
          <w:rFonts w:ascii="宋体" w:hAnsi="宋体" w:cs="宋体"/>
          <w:sz w:val="21"/>
          <w:szCs w:val="21"/>
        </w:rPr>
      </w:pPr>
      <w:bookmarkStart w:id="199" w:name="_Toc25258"/>
      <w:bookmarkStart w:id="200" w:name="_Toc21088"/>
      <w:r>
        <w:rPr>
          <w:rFonts w:hint="eastAsia" w:ascii="宋体" w:hAnsi="宋体" w:cs="宋体"/>
          <w:sz w:val="21"/>
          <w:szCs w:val="21"/>
        </w:rPr>
        <w:t>20. 评审原则</w:t>
      </w:r>
      <w:bookmarkEnd w:id="199"/>
      <w:bookmarkEnd w:id="200"/>
    </w:p>
    <w:p w14:paraId="20D134F8">
      <w:pPr>
        <w:spacing w:line="360" w:lineRule="auto"/>
        <w:ind w:firstLine="420" w:firstLineChars="200"/>
        <w:rPr>
          <w:rFonts w:ascii="宋体" w:hAnsi="宋体" w:cs="宋体"/>
          <w:szCs w:val="21"/>
        </w:rPr>
      </w:pPr>
      <w:r>
        <w:rPr>
          <w:rFonts w:hint="eastAsia" w:ascii="宋体" w:hAnsi="宋体" w:cs="宋体"/>
          <w:szCs w:val="21"/>
        </w:rPr>
        <w:t>20.1 磋商小组必须坚持公平、公正、科学和择优的原则。</w:t>
      </w:r>
    </w:p>
    <w:p w14:paraId="6C8AD566">
      <w:pPr>
        <w:spacing w:line="360" w:lineRule="auto"/>
        <w:ind w:firstLine="420" w:firstLineChars="200"/>
        <w:rPr>
          <w:rFonts w:ascii="宋体" w:hAnsi="宋体" w:cs="宋体"/>
          <w:szCs w:val="21"/>
        </w:rPr>
      </w:pPr>
      <w:r>
        <w:rPr>
          <w:rFonts w:hint="eastAsia" w:ascii="宋体" w:hAnsi="宋体" w:cs="宋体"/>
          <w:szCs w:val="21"/>
        </w:rPr>
        <w:t>20.2 评审办法：综合评分法，具体详见第四章评审办法。</w:t>
      </w:r>
    </w:p>
    <w:p w14:paraId="1C2BF41E">
      <w:pPr>
        <w:spacing w:line="360" w:lineRule="auto"/>
        <w:ind w:firstLine="420" w:firstLineChars="200"/>
        <w:rPr>
          <w:rFonts w:ascii="宋体" w:hAnsi="宋体" w:cs="宋体"/>
          <w:szCs w:val="21"/>
        </w:rPr>
      </w:pPr>
      <w:r>
        <w:rPr>
          <w:rFonts w:hint="eastAsia" w:ascii="宋体" w:hAnsi="宋体" w:cs="宋体"/>
          <w:szCs w:val="21"/>
        </w:rPr>
        <w:t>20.3 磋商小组应按磋商文件进行评审，不得擅自更改评审办法。</w:t>
      </w:r>
    </w:p>
    <w:p w14:paraId="0212C14F">
      <w:pPr>
        <w:spacing w:line="360" w:lineRule="auto"/>
        <w:ind w:firstLine="420" w:firstLineChars="200"/>
        <w:rPr>
          <w:rFonts w:ascii="宋体" w:hAnsi="宋体" w:cs="宋体"/>
          <w:szCs w:val="21"/>
        </w:rPr>
      </w:pPr>
      <w:r>
        <w:rPr>
          <w:rFonts w:hint="eastAsia" w:ascii="宋体" w:hAnsi="宋体" w:cs="宋体"/>
          <w:szCs w:val="21"/>
        </w:rPr>
        <w:t>20.4 在评审过程中，磋商小组任何人不得对某个供应商发表任何倾向性意见，不得向其他磋商小组成员明示或者暗示自己的评审意见。</w:t>
      </w:r>
    </w:p>
    <w:p w14:paraId="36FCD130">
      <w:pPr>
        <w:spacing w:line="360" w:lineRule="auto"/>
        <w:ind w:firstLine="420" w:firstLineChars="200"/>
        <w:jc w:val="left"/>
        <w:rPr>
          <w:rFonts w:ascii="宋体" w:hAnsi="宋体" w:cs="宋体"/>
          <w:szCs w:val="21"/>
        </w:rPr>
      </w:pPr>
      <w:r>
        <w:rPr>
          <w:rFonts w:hint="eastAsia" w:ascii="宋体" w:hAnsi="宋体" w:cs="宋体"/>
          <w:szCs w:val="21"/>
        </w:rPr>
        <w:t>20.5 磋商小组成员对需要共同认定的事项存在争议的，按照少数服从多数的原则作出结论。持不同意见的磋商小组成员应当在评审报告上签署不同意见并说明理由，否则视为同意。</w:t>
      </w:r>
    </w:p>
    <w:p w14:paraId="6D0403FE">
      <w:pPr>
        <w:spacing w:line="360" w:lineRule="auto"/>
        <w:ind w:firstLine="420" w:firstLineChars="200"/>
        <w:rPr>
          <w:rFonts w:ascii="宋体" w:hAnsi="宋体" w:cs="宋体"/>
          <w:szCs w:val="21"/>
        </w:rPr>
      </w:pPr>
      <w:r>
        <w:rPr>
          <w:rFonts w:hint="eastAsia" w:ascii="宋体" w:hAnsi="宋体" w:cs="宋体"/>
          <w:szCs w:val="21"/>
        </w:rPr>
        <w:t>20.6 响应文件最后报价出现前后不一致的，除竞争性磋商文件另有规定外，按照下列规定修正：</w:t>
      </w:r>
    </w:p>
    <w:p w14:paraId="508895BF">
      <w:pPr>
        <w:spacing w:line="360" w:lineRule="auto"/>
        <w:ind w:firstLine="420" w:firstLineChars="200"/>
        <w:rPr>
          <w:rFonts w:ascii="宋体" w:hAnsi="宋体" w:cs="宋体"/>
          <w:szCs w:val="21"/>
        </w:rPr>
      </w:pPr>
      <w:r>
        <w:rPr>
          <w:rFonts w:hint="eastAsia" w:ascii="宋体" w:hAnsi="宋体" w:cs="宋体"/>
          <w:szCs w:val="21"/>
        </w:rPr>
        <w:t>(1) 响应文件中磋商报价表内容与响应文件中相应内容不一致的，以最后磋商报价表为准；</w:t>
      </w:r>
    </w:p>
    <w:p w14:paraId="6C900DCF">
      <w:pPr>
        <w:spacing w:line="360" w:lineRule="auto"/>
        <w:ind w:firstLine="420" w:firstLineChars="200"/>
        <w:rPr>
          <w:rFonts w:ascii="宋体" w:hAnsi="宋体" w:cs="宋体"/>
          <w:szCs w:val="21"/>
        </w:rPr>
      </w:pPr>
      <w:r>
        <w:rPr>
          <w:rFonts w:hint="eastAsia" w:ascii="宋体" w:hAnsi="宋体" w:cs="宋体"/>
          <w:szCs w:val="21"/>
        </w:rPr>
        <w:t>(2) 大写金额和小写金额不一致的，以大写金额为准；</w:t>
      </w:r>
    </w:p>
    <w:p w14:paraId="08C5A3BA">
      <w:pPr>
        <w:spacing w:line="360" w:lineRule="auto"/>
        <w:ind w:firstLine="420" w:firstLineChars="200"/>
        <w:rPr>
          <w:rFonts w:ascii="宋体" w:hAnsi="宋体" w:cs="宋体"/>
          <w:szCs w:val="21"/>
        </w:rPr>
      </w:pPr>
      <w:r>
        <w:rPr>
          <w:rFonts w:hint="eastAsia" w:ascii="宋体" w:hAnsi="宋体" w:cs="宋体"/>
          <w:szCs w:val="21"/>
        </w:rPr>
        <w:t>(3) 单价金额小数点或者百分比有明显错位的，以报价表的总价为准，并修改单价；</w:t>
      </w:r>
    </w:p>
    <w:p w14:paraId="3240B724">
      <w:pPr>
        <w:spacing w:line="360" w:lineRule="auto"/>
        <w:ind w:firstLine="420" w:firstLineChars="200"/>
        <w:rPr>
          <w:rFonts w:ascii="宋体" w:hAnsi="宋体" w:cs="宋体"/>
          <w:szCs w:val="21"/>
        </w:rPr>
      </w:pPr>
      <w:r>
        <w:rPr>
          <w:rFonts w:hint="eastAsia" w:ascii="宋体" w:hAnsi="宋体" w:cs="宋体"/>
          <w:szCs w:val="21"/>
        </w:rPr>
        <w:t>(4) 总价金额与按单价汇总金额不一致的，以单价金额计算结果为准。</w:t>
      </w:r>
    </w:p>
    <w:p w14:paraId="50531EDA">
      <w:pPr>
        <w:spacing w:line="360" w:lineRule="auto"/>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1E1FBA51">
      <w:pPr>
        <w:pStyle w:val="5"/>
        <w:widowControl w:val="0"/>
        <w:spacing w:before="0" w:after="0" w:line="360" w:lineRule="auto"/>
        <w:rPr>
          <w:rFonts w:ascii="宋体" w:hAnsi="宋体" w:cs="宋体"/>
          <w:sz w:val="21"/>
          <w:szCs w:val="21"/>
        </w:rPr>
      </w:pPr>
      <w:bookmarkStart w:id="201" w:name="_Toc21012"/>
      <w:bookmarkStart w:id="202" w:name="_Toc27193"/>
      <w:r>
        <w:rPr>
          <w:rFonts w:hint="eastAsia" w:ascii="宋体" w:hAnsi="宋体" w:cs="宋体"/>
          <w:sz w:val="21"/>
          <w:szCs w:val="21"/>
        </w:rPr>
        <w:t>21. 评审程序及磋商要求</w:t>
      </w:r>
      <w:bookmarkEnd w:id="201"/>
      <w:bookmarkEnd w:id="202"/>
    </w:p>
    <w:p w14:paraId="03F62818">
      <w:pPr>
        <w:spacing w:line="360" w:lineRule="auto"/>
        <w:ind w:firstLine="420" w:firstLineChars="200"/>
        <w:rPr>
          <w:rFonts w:ascii="宋体" w:hAnsi="宋体" w:cs="宋体"/>
          <w:szCs w:val="21"/>
        </w:rPr>
      </w:pPr>
      <w:r>
        <w:rPr>
          <w:rFonts w:hint="eastAsia" w:ascii="宋体" w:hAnsi="宋体" w:cs="宋体"/>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165614EA">
      <w:pPr>
        <w:spacing w:line="360" w:lineRule="auto"/>
        <w:ind w:firstLine="420" w:firstLineChars="200"/>
        <w:rPr>
          <w:rFonts w:ascii="宋体" w:hAnsi="宋体" w:cs="宋体"/>
          <w:szCs w:val="21"/>
        </w:rPr>
      </w:pPr>
      <w:r>
        <w:rPr>
          <w:rFonts w:hint="eastAsia" w:ascii="宋体" w:hAnsi="宋体" w:cs="宋体"/>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57B03D22">
      <w:pPr>
        <w:spacing w:line="360" w:lineRule="auto"/>
        <w:ind w:firstLine="420" w:firstLineChars="200"/>
        <w:rPr>
          <w:rFonts w:ascii="宋体" w:hAnsi="宋体" w:cs="宋体"/>
          <w:szCs w:val="21"/>
        </w:rPr>
      </w:pPr>
      <w:r>
        <w:rPr>
          <w:rFonts w:hint="eastAsia" w:ascii="宋体" w:hAnsi="宋体" w:cs="宋体"/>
          <w:szCs w:val="21"/>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647A6721">
      <w:pPr>
        <w:spacing w:line="360" w:lineRule="auto"/>
        <w:ind w:firstLine="422" w:firstLineChars="200"/>
        <w:rPr>
          <w:rFonts w:ascii="宋体" w:hAnsi="宋体" w:cs="宋体"/>
          <w:b/>
          <w:bCs/>
          <w:szCs w:val="21"/>
        </w:rPr>
      </w:pPr>
      <w:r>
        <w:rPr>
          <w:rFonts w:hint="eastAsia" w:ascii="宋体" w:hAnsi="宋体" w:cs="宋体"/>
          <w:b/>
          <w:bCs/>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w:t>
      </w:r>
    </w:p>
    <w:p w14:paraId="3F08AD0A">
      <w:pPr>
        <w:spacing w:line="360" w:lineRule="auto"/>
        <w:ind w:firstLine="420" w:firstLineChars="200"/>
        <w:rPr>
          <w:rFonts w:ascii="宋体" w:hAnsi="宋体" w:cs="宋体"/>
          <w:szCs w:val="21"/>
        </w:rPr>
      </w:pPr>
      <w:r>
        <w:rPr>
          <w:rFonts w:hint="eastAsia" w:ascii="宋体" w:hAnsi="宋体" w:cs="宋体"/>
          <w:szCs w:val="21"/>
        </w:rPr>
        <w:t>21.4.1 查询渠道：《国家企业信用信息公示系统》（网址：www.gsxt.gov.cn/index.html）</w:t>
      </w:r>
    </w:p>
    <w:p w14:paraId="0A176799">
      <w:pPr>
        <w:spacing w:line="360" w:lineRule="auto"/>
        <w:ind w:firstLine="420" w:firstLineChars="200"/>
        <w:rPr>
          <w:rFonts w:ascii="宋体" w:hAnsi="宋体" w:cs="宋体"/>
          <w:szCs w:val="21"/>
        </w:rPr>
      </w:pPr>
      <w:r>
        <w:rPr>
          <w:rFonts w:hint="eastAsia" w:ascii="宋体" w:hAnsi="宋体" w:cs="宋体"/>
          <w:szCs w:val="21"/>
        </w:rPr>
        <w:t>21.4.2 审查流程：</w:t>
      </w:r>
    </w:p>
    <w:p w14:paraId="0A4A1238">
      <w:pPr>
        <w:spacing w:line="360" w:lineRule="auto"/>
        <w:ind w:firstLine="420" w:firstLineChars="200"/>
        <w:rPr>
          <w:rFonts w:ascii="宋体" w:hAnsi="宋体" w:cs="宋体"/>
          <w:szCs w:val="21"/>
        </w:rPr>
      </w:pPr>
      <w:r>
        <w:rPr>
          <w:rFonts w:hint="eastAsia" w:ascii="宋体" w:hAnsi="宋体" w:cs="宋体"/>
          <w:szCs w:val="21"/>
        </w:rPr>
        <w:t>（1）进入《国家企业信用信息公示系统》（网址：www.gsxt.gov.cn/index.html），输入企业名称，进入企业信息主页面；</w:t>
      </w:r>
    </w:p>
    <w:p w14:paraId="761B2EA4">
      <w:pPr>
        <w:spacing w:line="360" w:lineRule="auto"/>
        <w:ind w:firstLine="420" w:firstLineChars="200"/>
        <w:rPr>
          <w:rFonts w:ascii="宋体" w:hAnsi="宋体" w:cs="宋体"/>
          <w:szCs w:val="21"/>
        </w:rPr>
      </w:pPr>
      <w:r>
        <w:rPr>
          <w:rFonts w:hint="eastAsia" w:ascii="宋体" w:hAnsi="宋体" w:cs="宋体"/>
          <w:szCs w:val="21"/>
        </w:rPr>
        <w:t>（2）查看主页“股东及出资信息”栏，或年报中的“股东及出资信息”栏信息；</w:t>
      </w:r>
    </w:p>
    <w:p w14:paraId="41F32420">
      <w:pPr>
        <w:spacing w:line="360" w:lineRule="auto"/>
        <w:ind w:firstLine="420" w:firstLineChars="200"/>
        <w:rPr>
          <w:rFonts w:ascii="宋体" w:hAnsi="宋体" w:cs="宋体"/>
          <w:szCs w:val="21"/>
        </w:rPr>
      </w:pPr>
      <w:r>
        <w:rPr>
          <w:rFonts w:hint="eastAsia" w:ascii="宋体" w:hAnsi="宋体" w:cs="宋体"/>
          <w:szCs w:val="21"/>
        </w:rPr>
        <w:t>（3）将各供应商的股东及出资信息进行比对，得出审查结论；</w:t>
      </w:r>
    </w:p>
    <w:p w14:paraId="136727A1">
      <w:pPr>
        <w:spacing w:line="360" w:lineRule="auto"/>
        <w:ind w:firstLine="420" w:firstLineChars="200"/>
        <w:rPr>
          <w:rFonts w:ascii="宋体" w:hAnsi="宋体" w:cs="宋体"/>
          <w:szCs w:val="21"/>
        </w:rPr>
      </w:pPr>
      <w:r>
        <w:rPr>
          <w:rFonts w:hint="eastAsia" w:ascii="宋体" w:hAnsi="宋体" w:cs="宋体"/>
          <w:szCs w:val="21"/>
        </w:rPr>
        <w:t>（4）将相关资料作为评审资料打印存档。</w:t>
      </w:r>
    </w:p>
    <w:p w14:paraId="5A561427">
      <w:pPr>
        <w:spacing w:line="360" w:lineRule="auto"/>
        <w:ind w:firstLine="422" w:firstLineChars="200"/>
        <w:rPr>
          <w:rFonts w:ascii="宋体" w:hAnsi="宋体" w:cs="宋体"/>
          <w:b/>
          <w:bCs/>
          <w:szCs w:val="21"/>
        </w:rPr>
      </w:pPr>
      <w:r>
        <w:rPr>
          <w:rFonts w:hint="eastAsia" w:ascii="宋体" w:hAnsi="宋体" w:cs="宋体"/>
          <w:b/>
          <w:bCs/>
          <w:szCs w:val="21"/>
        </w:rPr>
        <w:t>21.5 磋商小组如发现供应商提供的证明文件不齐全或不符合规定格式的，应一次性告知供应商，供应商应在规定的时间内线上补正或更正。</w:t>
      </w:r>
    </w:p>
    <w:p w14:paraId="242DF722">
      <w:pPr>
        <w:spacing w:line="360" w:lineRule="auto"/>
        <w:ind w:firstLine="420" w:firstLineChars="200"/>
        <w:rPr>
          <w:rFonts w:ascii="宋体" w:hAnsi="宋体" w:cs="宋体"/>
          <w:szCs w:val="21"/>
        </w:rPr>
      </w:pPr>
      <w:r>
        <w:rPr>
          <w:rFonts w:hint="eastAsia" w:ascii="宋体" w:hAnsi="宋体" w:cs="宋体"/>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CA签章)或者加盖供应商公章(CA签章)。</w:t>
      </w:r>
    </w:p>
    <w:p w14:paraId="451321D6">
      <w:pPr>
        <w:spacing w:line="360" w:lineRule="auto"/>
        <w:ind w:firstLine="420" w:firstLineChars="200"/>
        <w:rPr>
          <w:rFonts w:ascii="宋体" w:hAnsi="宋体" w:cs="宋体"/>
          <w:szCs w:val="21"/>
        </w:rPr>
      </w:pPr>
      <w:r>
        <w:rPr>
          <w:rFonts w:hint="eastAsia" w:ascii="宋体" w:hAnsi="宋体" w:cs="宋体"/>
          <w:szCs w:val="21"/>
        </w:rPr>
        <w:t xml:space="preserve">根据磋商文件规定的程序、评定成交的标准等事项与实质性响应竞争性磋商文件要求的供应商进行磋商。 </w:t>
      </w:r>
    </w:p>
    <w:p w14:paraId="517064E0">
      <w:pPr>
        <w:spacing w:line="360" w:lineRule="auto"/>
        <w:ind w:firstLine="420" w:firstLineChars="200"/>
        <w:rPr>
          <w:rFonts w:ascii="宋体" w:hAnsi="宋体" w:cs="宋体"/>
          <w:szCs w:val="21"/>
        </w:rPr>
      </w:pPr>
      <w:r>
        <w:rPr>
          <w:rFonts w:hint="eastAsia" w:ascii="宋体" w:hAnsi="宋体" w:cs="宋体"/>
          <w:szCs w:val="21"/>
        </w:rPr>
        <w:t xml:space="preserve">未实质性响应磋商文件的响应文件按无效处理，磋商小组应当告知有关供应商。 </w:t>
      </w:r>
    </w:p>
    <w:p w14:paraId="4391C310">
      <w:pPr>
        <w:spacing w:line="360" w:lineRule="auto"/>
        <w:ind w:firstLine="420" w:firstLineChars="200"/>
        <w:rPr>
          <w:rFonts w:ascii="宋体" w:hAnsi="宋体" w:cs="宋体"/>
          <w:szCs w:val="21"/>
        </w:rPr>
      </w:pPr>
      <w:r>
        <w:rPr>
          <w:rFonts w:hint="eastAsia" w:ascii="宋体" w:hAnsi="宋体" w:cs="宋体"/>
          <w:szCs w:val="21"/>
        </w:rPr>
        <w:t xml:space="preserve">磋商小组所有成员应当按已确定的磋商顺序集中与单一供应商分别进行磋商，并给予所有实质性响应竞争性磋商文件要求的供应商平等的磋商机会。 </w:t>
      </w:r>
    </w:p>
    <w:p w14:paraId="21F778A1">
      <w:pPr>
        <w:spacing w:line="360" w:lineRule="auto"/>
        <w:ind w:firstLine="420" w:firstLineChars="200"/>
        <w:rPr>
          <w:rFonts w:ascii="宋体" w:hAnsi="宋体" w:cs="宋体"/>
          <w:szCs w:val="21"/>
        </w:rPr>
      </w:pPr>
      <w:r>
        <w:rPr>
          <w:rFonts w:hint="eastAsia" w:ascii="宋体" w:hAnsi="宋体" w:cs="宋体"/>
          <w:szCs w:val="21"/>
        </w:rPr>
        <w:t xml:space="preserve">磋商中，磋商小组不得透露与磋商有关的其他供应商的技术资料、价格和其他信息。 </w:t>
      </w:r>
    </w:p>
    <w:p w14:paraId="1C5E93FC">
      <w:pPr>
        <w:spacing w:line="360" w:lineRule="auto"/>
        <w:ind w:firstLine="420" w:firstLineChars="200"/>
        <w:rPr>
          <w:rFonts w:ascii="宋体" w:hAnsi="宋体" w:cs="宋体"/>
          <w:szCs w:val="21"/>
        </w:rPr>
      </w:pPr>
      <w:r>
        <w:rPr>
          <w:rFonts w:hint="eastAsia" w:ascii="宋体" w:hAnsi="宋体" w:cs="宋体"/>
          <w:szCs w:val="21"/>
        </w:rPr>
        <w:t xml:space="preserve">磋商小组对磋商过程和重要磋商内容进行记录，磋商双方在记录上签字确认。 </w:t>
      </w:r>
    </w:p>
    <w:p w14:paraId="0065F814">
      <w:pPr>
        <w:spacing w:line="360" w:lineRule="auto"/>
        <w:ind w:firstLine="420" w:firstLineChars="200"/>
        <w:rPr>
          <w:rFonts w:ascii="宋体" w:hAnsi="宋体" w:cs="宋体"/>
          <w:szCs w:val="21"/>
        </w:rPr>
      </w:pPr>
      <w:r>
        <w:rPr>
          <w:rFonts w:hint="eastAsia" w:ascii="宋体" w:hAnsi="宋体" w:cs="宋体"/>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1B97566A">
      <w:pPr>
        <w:spacing w:line="360" w:lineRule="auto"/>
        <w:ind w:firstLine="420" w:firstLineChars="200"/>
        <w:rPr>
          <w:rFonts w:ascii="宋体" w:hAnsi="宋体" w:cs="宋体"/>
          <w:szCs w:val="21"/>
        </w:rPr>
      </w:pPr>
      <w:r>
        <w:rPr>
          <w:rFonts w:hint="eastAsia" w:ascii="宋体" w:hAnsi="宋体" w:cs="宋体"/>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42F62AA2">
      <w:pPr>
        <w:spacing w:line="360" w:lineRule="auto"/>
        <w:ind w:firstLine="420" w:firstLineChars="200"/>
        <w:rPr>
          <w:rFonts w:ascii="宋体" w:hAnsi="宋体" w:cs="宋体"/>
          <w:szCs w:val="21"/>
        </w:rPr>
      </w:pPr>
      <w:r>
        <w:rPr>
          <w:rFonts w:hint="eastAsia" w:ascii="宋体" w:hAnsi="宋体" w:cs="宋体"/>
          <w:szCs w:val="21"/>
        </w:rPr>
        <w:t xml:space="preserve">对磋商文件作出的实质性变动是磋商文件的有效组成部分，磋商小组应当及时通过广西政府采购云平台同时通知所有参加磋商的供应商。 </w:t>
      </w:r>
    </w:p>
    <w:p w14:paraId="43F42565">
      <w:pPr>
        <w:spacing w:line="360" w:lineRule="auto"/>
        <w:ind w:firstLine="420" w:firstLineChars="200"/>
        <w:rPr>
          <w:rFonts w:ascii="宋体" w:hAnsi="宋体" w:cs="宋体"/>
          <w:szCs w:val="21"/>
        </w:rPr>
      </w:pPr>
      <w:r>
        <w:rPr>
          <w:rFonts w:hint="eastAsia" w:ascii="宋体" w:hAnsi="宋体" w:cs="宋体"/>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14:paraId="329787D4">
      <w:pPr>
        <w:spacing w:line="360" w:lineRule="auto"/>
        <w:ind w:firstLine="420" w:firstLineChars="200"/>
        <w:rPr>
          <w:rFonts w:ascii="宋体" w:hAnsi="宋体" w:cs="宋体"/>
          <w:szCs w:val="21"/>
        </w:rPr>
      </w:pPr>
      <w:r>
        <w:rPr>
          <w:rFonts w:hint="eastAsia" w:ascii="宋体" w:hAnsi="宋体" w:cs="宋体"/>
          <w:szCs w:val="21"/>
        </w:rPr>
        <w:t>21.9 第二轮磋商</w:t>
      </w:r>
    </w:p>
    <w:p w14:paraId="6FA2B742">
      <w:pPr>
        <w:spacing w:line="360" w:lineRule="auto"/>
        <w:ind w:firstLine="420" w:firstLineChars="200"/>
        <w:rPr>
          <w:rFonts w:ascii="宋体" w:hAnsi="宋体" w:cs="宋体"/>
          <w:szCs w:val="21"/>
        </w:rPr>
      </w:pPr>
      <w:r>
        <w:rPr>
          <w:rFonts w:hint="eastAsia" w:ascii="宋体" w:hAnsi="宋体" w:cs="宋体"/>
          <w:szCs w:val="21"/>
        </w:rPr>
        <w:t>磋商小组集中就重新提交的响应文件或磋商小组提出的磋商意见与单一响应供应商分别进行磋商。磋商小组对磋商过程和重要磋商内容进行记录，磋商双方在记录上签字确认（CA签章确认）。</w:t>
      </w:r>
    </w:p>
    <w:p w14:paraId="00B08F67">
      <w:pPr>
        <w:spacing w:line="360" w:lineRule="auto"/>
        <w:ind w:firstLine="420" w:firstLineChars="200"/>
        <w:rPr>
          <w:rFonts w:ascii="宋体" w:hAnsi="宋体" w:cs="宋体"/>
          <w:szCs w:val="21"/>
        </w:rPr>
      </w:pPr>
      <w:r>
        <w:rPr>
          <w:rFonts w:hint="eastAsia" w:ascii="宋体" w:hAnsi="宋体" w:cs="宋体"/>
          <w:szCs w:val="21"/>
        </w:rPr>
        <w:t>磋商后，供应商根据磋商小组统一整理的书面磋商记录要求做出书面承诺，并由其法定代表人或授权代表签字或者加盖公章（CA签章）后按时线上提交。</w:t>
      </w:r>
    </w:p>
    <w:p w14:paraId="21F2BFF2">
      <w:pPr>
        <w:spacing w:line="360" w:lineRule="auto"/>
        <w:ind w:firstLine="420" w:firstLineChars="200"/>
        <w:rPr>
          <w:rFonts w:ascii="宋体" w:hAnsi="宋体" w:cs="宋体"/>
          <w:szCs w:val="21"/>
        </w:rPr>
      </w:pPr>
      <w:r>
        <w:rPr>
          <w:rFonts w:hint="eastAsia" w:ascii="宋体" w:hAnsi="宋体" w:cs="宋体"/>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13F4163D">
      <w:pPr>
        <w:spacing w:line="360" w:lineRule="auto"/>
        <w:ind w:firstLine="420" w:firstLineChars="200"/>
        <w:rPr>
          <w:rFonts w:ascii="宋体" w:hAnsi="宋体" w:cs="宋体"/>
          <w:szCs w:val="21"/>
        </w:rPr>
      </w:pPr>
      <w:r>
        <w:rPr>
          <w:rFonts w:hint="eastAsia" w:ascii="宋体" w:hAnsi="宋体" w:cs="宋体"/>
          <w:szCs w:val="21"/>
        </w:rPr>
        <w:t xml:space="preserve">21.10 在采购过程中符合竞争要求的供应商或者报价未超过采购预算的供应商不足3家的，采购人或者采购代理机构应当终止竞争性磋商采购活动。 </w:t>
      </w:r>
    </w:p>
    <w:p w14:paraId="4D8F39E0">
      <w:pPr>
        <w:spacing w:line="360" w:lineRule="auto"/>
        <w:ind w:firstLine="420" w:firstLineChars="200"/>
        <w:rPr>
          <w:rFonts w:ascii="宋体" w:hAnsi="宋体" w:cs="宋体"/>
          <w:szCs w:val="21"/>
        </w:rPr>
      </w:pPr>
      <w:r>
        <w:rPr>
          <w:rFonts w:hint="eastAsia" w:ascii="宋体" w:hAnsi="宋体" w:cs="宋体"/>
          <w:szCs w:val="21"/>
        </w:rPr>
        <w:t xml:space="preserve">21.11 最后报价 </w:t>
      </w:r>
    </w:p>
    <w:p w14:paraId="0B8DF1FB">
      <w:pPr>
        <w:spacing w:line="360" w:lineRule="auto"/>
        <w:ind w:firstLine="420" w:firstLineChars="200"/>
        <w:rPr>
          <w:rFonts w:ascii="宋体" w:hAnsi="宋体" w:cs="宋体"/>
          <w:szCs w:val="21"/>
        </w:rPr>
      </w:pPr>
      <w:r>
        <w:rPr>
          <w:rFonts w:hint="eastAsia" w:ascii="宋体" w:hAnsi="宋体" w:cs="宋体"/>
          <w:szCs w:val="21"/>
        </w:rPr>
        <w:t xml:space="preserve">21.11.1 磋商文件能够详细列明采购标的的质量要求的，磋商结束后，磋商小组应当要求所有继续参加磋商的供应商在规定时间内线上提交最后报价，提交最后报价的供应商不得少于3家。 </w:t>
      </w:r>
    </w:p>
    <w:p w14:paraId="665CA6B9">
      <w:pPr>
        <w:spacing w:line="360" w:lineRule="auto"/>
        <w:ind w:firstLine="420" w:firstLineChars="200"/>
        <w:rPr>
          <w:rFonts w:ascii="宋体" w:hAnsi="宋体" w:cs="宋体"/>
          <w:szCs w:val="21"/>
        </w:rPr>
      </w:pPr>
      <w:r>
        <w:rPr>
          <w:rFonts w:hint="eastAsia" w:ascii="宋体" w:hAnsi="宋体" w:cs="宋体"/>
          <w:szCs w:val="21"/>
        </w:rPr>
        <w:t xml:space="preserve">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家）供应商的设计方案或者解决方案，并要求其在规定时间内线上提交最后报价。 </w:t>
      </w:r>
    </w:p>
    <w:p w14:paraId="1CAA63B2">
      <w:pPr>
        <w:spacing w:line="360" w:lineRule="auto"/>
        <w:ind w:firstLine="420" w:firstLineChars="200"/>
        <w:rPr>
          <w:rFonts w:ascii="宋体" w:hAnsi="宋体" w:cs="宋体"/>
          <w:szCs w:val="21"/>
        </w:rPr>
      </w:pPr>
      <w:r>
        <w:rPr>
          <w:rFonts w:hint="eastAsia" w:ascii="宋体" w:hAnsi="宋体" w:cs="宋体"/>
          <w:szCs w:val="21"/>
        </w:rPr>
        <w:t>21.11.3</w:t>
      </w:r>
      <w:r>
        <w:rPr>
          <w:rFonts w:hint="eastAsia" w:ascii="宋体" w:hAnsi="宋体" w:cs="宋体"/>
          <w:kern w:val="0"/>
          <w:szCs w:val="21"/>
        </w:rPr>
        <w:t>最后报价（应答文件）是供应商响应文件的有效组成部分：</w:t>
      </w:r>
      <w:r>
        <w:rPr>
          <w:rFonts w:hint="eastAsia" w:ascii="宋体" w:hAnsi="宋体" w:cs="宋体"/>
          <w:b/>
          <w:spacing w:val="-4"/>
          <w:szCs w:val="21"/>
        </w:rPr>
        <w:t>供应商做最终报价时，如供应商维持磋商报价不变，以原磋商报价作为供应商最后报价；供应商应预先准备好调整后的完整已标价的工程量清单。如供应商在磋商过程中，改变原报价且未按竞争性磋商文件要求提供调整后的磋商报价电子版的，其报价不予认可，视供应商维持原磋商报价不变</w:t>
      </w:r>
      <w:r>
        <w:rPr>
          <w:rFonts w:hint="eastAsia" w:ascii="宋体" w:hAnsi="宋体" w:cs="宋体"/>
          <w:b/>
          <w:szCs w:val="21"/>
        </w:rPr>
        <w:t>。</w:t>
      </w:r>
      <w:r>
        <w:rPr>
          <w:rFonts w:hint="eastAsia" w:ascii="宋体" w:hAnsi="宋体" w:cs="宋体"/>
          <w:spacing w:val="-4"/>
          <w:szCs w:val="21"/>
        </w:rPr>
        <w:t>必须由供应商</w:t>
      </w:r>
      <w:r>
        <w:rPr>
          <w:rFonts w:hint="eastAsia" w:ascii="宋体" w:hAnsi="宋体" w:cs="宋体"/>
          <w:szCs w:val="21"/>
        </w:rPr>
        <w:t>加盖公章（CA签章）</w:t>
      </w:r>
      <w:r>
        <w:rPr>
          <w:rFonts w:hint="eastAsia" w:ascii="宋体" w:hAnsi="宋体" w:cs="宋体"/>
          <w:spacing w:val="-4"/>
          <w:szCs w:val="21"/>
        </w:rPr>
        <w:t>。</w:t>
      </w:r>
    </w:p>
    <w:p w14:paraId="63FB16A8">
      <w:pPr>
        <w:spacing w:line="360" w:lineRule="auto"/>
        <w:ind w:firstLine="420" w:firstLineChars="200"/>
        <w:rPr>
          <w:rFonts w:ascii="宋体" w:hAnsi="宋体" w:cs="宋体"/>
          <w:szCs w:val="21"/>
        </w:rPr>
      </w:pPr>
      <w:r>
        <w:rPr>
          <w:rFonts w:hint="eastAsia" w:ascii="宋体" w:hAnsi="宋体" w:cs="宋体"/>
          <w:szCs w:val="21"/>
        </w:rPr>
        <w:t xml:space="preserve">21.12 已提交响应文件的供应商，在提交最后报价之前，可以根据磋商情况书面退出磋商。 </w:t>
      </w:r>
    </w:p>
    <w:p w14:paraId="5A027792">
      <w:pPr>
        <w:spacing w:line="360" w:lineRule="auto"/>
        <w:ind w:firstLine="420" w:firstLineChars="200"/>
        <w:rPr>
          <w:rFonts w:ascii="宋体" w:hAnsi="宋体" w:cs="宋体"/>
          <w:szCs w:val="21"/>
        </w:rPr>
      </w:pPr>
      <w:r>
        <w:rPr>
          <w:rFonts w:hint="eastAsia" w:ascii="宋体" w:hAnsi="宋体" w:cs="宋体"/>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14EF1A58">
      <w:pPr>
        <w:spacing w:line="360" w:lineRule="auto"/>
        <w:ind w:firstLine="420" w:firstLineChars="200"/>
        <w:rPr>
          <w:rFonts w:ascii="宋体" w:hAnsi="宋体" w:cs="宋体"/>
          <w:szCs w:val="21"/>
        </w:rPr>
      </w:pPr>
      <w:r>
        <w:rPr>
          <w:rFonts w:hint="eastAsia" w:ascii="宋体" w:hAnsi="宋体" w:cs="宋体"/>
          <w:szCs w:val="21"/>
        </w:rPr>
        <w:t xml:space="preserve">21.13 评审报告 </w:t>
      </w:r>
    </w:p>
    <w:p w14:paraId="360CF756">
      <w:pPr>
        <w:spacing w:line="360" w:lineRule="auto"/>
        <w:ind w:firstLine="420" w:firstLineChars="200"/>
        <w:rPr>
          <w:rFonts w:ascii="宋体" w:hAnsi="宋体" w:cs="宋体"/>
          <w:szCs w:val="21"/>
        </w:rPr>
      </w:pPr>
      <w:r>
        <w:rPr>
          <w:rFonts w:hint="eastAsia" w:ascii="宋体" w:hAnsi="宋体" w:cs="宋体"/>
          <w:szCs w:val="21"/>
        </w:rPr>
        <w:t>磋商小组应当从质量和服务均能满足磋商文件全部实质性响应要求的供应商中，按照最后综合得分由高到低的顺序提出 3 名以上（含 3 名）成交候选人，并编写评审报告。</w:t>
      </w:r>
    </w:p>
    <w:p w14:paraId="63D50BD7">
      <w:pPr>
        <w:spacing w:line="360" w:lineRule="auto"/>
        <w:ind w:firstLine="420" w:firstLineChars="200"/>
        <w:rPr>
          <w:rFonts w:ascii="宋体" w:hAnsi="宋体" w:cs="宋体"/>
          <w:szCs w:val="21"/>
        </w:rPr>
      </w:pPr>
      <w:r>
        <w:rPr>
          <w:rFonts w:hint="eastAsia" w:ascii="宋体" w:hAnsi="宋体" w:cs="宋体"/>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6A319A83">
      <w:pPr>
        <w:spacing w:line="360" w:lineRule="auto"/>
        <w:ind w:firstLine="420" w:firstLineChars="200"/>
        <w:rPr>
          <w:rFonts w:ascii="宋体" w:hAnsi="宋体" w:cs="宋体"/>
          <w:szCs w:val="21"/>
        </w:rPr>
      </w:pPr>
      <w:r>
        <w:rPr>
          <w:rFonts w:hint="eastAsia" w:ascii="宋体" w:hAnsi="宋体" w:cs="宋体"/>
          <w:szCs w:val="21"/>
        </w:rPr>
        <w:t>21.15 采购代理机构发现磋商小组有明显的违规倾向或歧视现象，或不按评审办法进行，或其他不正常行为的，应当及时制止。如制止无效，应及时向政府采购监督管理机构报告。</w:t>
      </w:r>
    </w:p>
    <w:p w14:paraId="36D938AE">
      <w:pPr>
        <w:spacing w:line="360" w:lineRule="auto"/>
        <w:ind w:firstLine="420" w:firstLineChars="200"/>
        <w:rPr>
          <w:rFonts w:ascii="宋体" w:hAnsi="宋体" w:cs="宋体"/>
          <w:szCs w:val="21"/>
        </w:rPr>
      </w:pPr>
      <w:r>
        <w:rPr>
          <w:rFonts w:hint="eastAsia" w:ascii="宋体" w:hAnsi="宋体" w:cs="宋体"/>
          <w:szCs w:val="21"/>
        </w:rPr>
        <w:t>21.16 本采购项目的评审依据为竞争性磋商文件和竞争性磋商响应文件，采用的评审方法为综合评分法。</w:t>
      </w:r>
    </w:p>
    <w:p w14:paraId="3DCFA688">
      <w:pPr>
        <w:pStyle w:val="5"/>
        <w:widowControl w:val="0"/>
        <w:spacing w:before="0" w:after="0" w:line="360" w:lineRule="auto"/>
        <w:rPr>
          <w:rFonts w:ascii="宋体" w:hAnsi="宋体" w:cs="宋体"/>
          <w:sz w:val="21"/>
          <w:szCs w:val="21"/>
        </w:rPr>
      </w:pPr>
      <w:bookmarkStart w:id="203" w:name="_Toc18722"/>
      <w:bookmarkStart w:id="204" w:name="_Toc32470"/>
      <w:r>
        <w:rPr>
          <w:rFonts w:hint="eastAsia" w:ascii="宋体" w:hAnsi="宋体" w:cs="宋体"/>
          <w:sz w:val="21"/>
          <w:szCs w:val="21"/>
        </w:rPr>
        <w:t>22. 确定成交供应商</w:t>
      </w:r>
      <w:bookmarkEnd w:id="203"/>
      <w:bookmarkEnd w:id="204"/>
    </w:p>
    <w:p w14:paraId="0BEC92DE">
      <w:pPr>
        <w:tabs>
          <w:tab w:val="left" w:pos="1305"/>
        </w:tabs>
        <w:spacing w:line="360" w:lineRule="auto"/>
        <w:ind w:firstLine="420" w:firstLineChars="200"/>
        <w:rPr>
          <w:rFonts w:ascii="宋体" w:hAnsi="宋体" w:cs="宋体"/>
          <w:szCs w:val="21"/>
        </w:rPr>
      </w:pPr>
      <w:r>
        <w:rPr>
          <w:rFonts w:hint="eastAsia" w:ascii="宋体" w:hAnsi="宋体" w:cs="宋体"/>
          <w:szCs w:val="21"/>
        </w:rPr>
        <w:t>22.1磋商小组应当根据综合得分情况，按照综合得分由高到低顺序推荐三名成交候选供应商，并编写评审报告。磋商小组根据综合得分由高到低排列次序；综合评分相等时，以最后一次报价低的优先；投标报价也相等的，招标人可采用被招标项目所在地省级交通主管部门评为较高信用等级的投标人优先或其他方法确定第一中标候选人。</w:t>
      </w:r>
    </w:p>
    <w:p w14:paraId="35BCB0B1">
      <w:pPr>
        <w:spacing w:line="360" w:lineRule="auto"/>
        <w:ind w:firstLine="420" w:firstLineChars="200"/>
        <w:rPr>
          <w:rFonts w:ascii="宋体" w:hAnsi="宋体" w:cs="宋体"/>
          <w:szCs w:val="21"/>
        </w:rPr>
      </w:pPr>
      <w:r>
        <w:rPr>
          <w:rFonts w:hint="eastAsia" w:ascii="宋体" w:hAnsi="宋体" w:cs="宋体"/>
          <w:szCs w:val="21"/>
        </w:rPr>
        <w:t>22.2采购单位应当确定磋商小组推荐排名第一的成交候选人为成交供应商。</w:t>
      </w:r>
    </w:p>
    <w:p w14:paraId="2F26AC82">
      <w:pPr>
        <w:spacing w:line="360" w:lineRule="auto"/>
        <w:ind w:firstLine="420" w:firstLineChars="200"/>
        <w:rPr>
          <w:rFonts w:ascii="宋体" w:hAnsi="宋体" w:cs="宋体"/>
          <w:szCs w:val="21"/>
        </w:rPr>
      </w:pPr>
      <w:r>
        <w:rPr>
          <w:rFonts w:hint="eastAsia" w:ascii="宋体" w:hAnsi="宋体" w:cs="宋体"/>
          <w:szCs w:val="21"/>
        </w:rPr>
        <w:t>22.3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6B5746B7">
      <w:pPr>
        <w:spacing w:line="360" w:lineRule="auto"/>
        <w:ind w:firstLine="420" w:firstLineChars="200"/>
        <w:rPr>
          <w:rFonts w:ascii="宋体" w:hAnsi="宋体" w:cs="宋体"/>
          <w:szCs w:val="21"/>
        </w:rPr>
      </w:pPr>
      <w:r>
        <w:rPr>
          <w:rFonts w:hint="eastAsia" w:ascii="宋体" w:hAnsi="宋体" w:cs="宋体"/>
          <w:szCs w:val="21"/>
        </w:rPr>
        <w:t>22.4排名第二的成交候选人因前款规定的同样原因不能签订合同的，采购单位可以确定排名第三的成交候选人为成交供应商，也可以重新开展政府采购活动。</w:t>
      </w:r>
    </w:p>
    <w:p w14:paraId="46384B16">
      <w:pPr>
        <w:pStyle w:val="5"/>
        <w:widowControl w:val="0"/>
        <w:spacing w:before="0" w:after="0" w:line="360" w:lineRule="auto"/>
        <w:rPr>
          <w:rFonts w:ascii="宋体" w:hAnsi="宋体" w:cs="宋体"/>
          <w:sz w:val="21"/>
          <w:szCs w:val="21"/>
        </w:rPr>
      </w:pPr>
      <w:bookmarkStart w:id="205" w:name="_Toc21715"/>
      <w:bookmarkStart w:id="206" w:name="_Toc15332"/>
      <w:r>
        <w:rPr>
          <w:rFonts w:hint="eastAsia" w:ascii="宋体" w:hAnsi="宋体" w:cs="宋体"/>
          <w:sz w:val="21"/>
          <w:szCs w:val="21"/>
        </w:rPr>
        <w:t>23. 属于下列情况之一者，响应文件无效</w:t>
      </w:r>
      <w:bookmarkEnd w:id="205"/>
      <w:bookmarkEnd w:id="206"/>
    </w:p>
    <w:p w14:paraId="6E95E4B3">
      <w:pPr>
        <w:spacing w:line="360" w:lineRule="auto"/>
        <w:ind w:firstLine="420" w:firstLineChars="200"/>
        <w:rPr>
          <w:rFonts w:ascii="宋体" w:hAnsi="宋体" w:cs="宋体"/>
          <w:szCs w:val="21"/>
        </w:rPr>
      </w:pPr>
      <w:r>
        <w:rPr>
          <w:rFonts w:hint="eastAsia" w:ascii="宋体" w:hAnsi="宋体" w:cs="宋体"/>
          <w:szCs w:val="21"/>
        </w:rPr>
        <w:t>（1）未按磋商文件规定完整线上提交响应文件或未按规定要求线上签字、签章的；</w:t>
      </w:r>
    </w:p>
    <w:p w14:paraId="1D19E7A8">
      <w:pPr>
        <w:spacing w:line="360" w:lineRule="auto"/>
        <w:ind w:firstLine="420" w:firstLineChars="200"/>
        <w:rPr>
          <w:rFonts w:ascii="宋体" w:hAnsi="宋体" w:cs="宋体"/>
          <w:szCs w:val="21"/>
        </w:rPr>
      </w:pPr>
      <w:r>
        <w:rPr>
          <w:rFonts w:hint="eastAsia" w:ascii="宋体" w:hAnsi="宋体" w:cs="宋体"/>
          <w:szCs w:val="21"/>
        </w:rPr>
        <w:t>（2）不具备磋商文件规定的资格要求的；</w:t>
      </w:r>
    </w:p>
    <w:p w14:paraId="3C242732">
      <w:pPr>
        <w:spacing w:line="360" w:lineRule="auto"/>
        <w:ind w:firstLine="420" w:firstLineChars="200"/>
        <w:rPr>
          <w:rFonts w:ascii="宋体" w:hAnsi="宋体" w:cs="宋体"/>
          <w:szCs w:val="21"/>
        </w:rPr>
      </w:pPr>
      <w:r>
        <w:rPr>
          <w:rFonts w:hint="eastAsia" w:ascii="宋体" w:hAnsi="宋体" w:cs="宋体"/>
          <w:szCs w:val="21"/>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14:paraId="6EACA60B">
      <w:pPr>
        <w:spacing w:line="360" w:lineRule="auto"/>
        <w:ind w:firstLine="420" w:firstLineChars="200"/>
        <w:rPr>
          <w:rFonts w:ascii="宋体" w:hAnsi="宋体" w:cs="宋体"/>
          <w:szCs w:val="21"/>
        </w:rPr>
      </w:pPr>
      <w:r>
        <w:rPr>
          <w:rFonts w:hint="eastAsia" w:ascii="宋体" w:hAnsi="宋体" w:cs="宋体"/>
          <w:szCs w:val="21"/>
        </w:rPr>
        <w:t>（4）响应文件未按磋商文件的内容和要求编制，或提供虚假材料的；</w:t>
      </w:r>
    </w:p>
    <w:p w14:paraId="1C71110B">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（5）响</w:t>
      </w:r>
      <w:r>
        <w:rPr>
          <w:rFonts w:hint="eastAsia" w:ascii="宋体" w:hAnsi="宋体" w:cs="宋体"/>
          <w:color w:val="000000" w:themeColor="text1"/>
          <w:szCs w:val="21"/>
          <w14:textFill>
            <w14:solidFill>
              <w14:schemeClr w14:val="tx1"/>
            </w14:solidFill>
          </w14:textFill>
        </w:rPr>
        <w:t>应文件有效期、质量要求、工期要求不能满足采购文件要求的；</w:t>
      </w:r>
    </w:p>
    <w:p w14:paraId="212E3020">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（6）供应商未就工程量清单中的所有内容作完整唯一报价的；</w:t>
      </w:r>
    </w:p>
    <w:p w14:paraId="47D84D8A">
      <w:pPr>
        <w:spacing w:line="360" w:lineRule="auto"/>
        <w:ind w:firstLine="420" w:firstLineChars="200"/>
        <w:rPr>
          <w:rFonts w:ascii="宋体" w:hAnsi="宋体" w:cs="宋体"/>
          <w:szCs w:val="21"/>
        </w:rPr>
      </w:pPr>
      <w:r>
        <w:rPr>
          <w:rFonts w:hint="eastAsia" w:ascii="宋体" w:hAnsi="宋体" w:cs="宋体"/>
          <w:szCs w:val="21"/>
        </w:rPr>
        <w:t>（7）未在磋商小组规定的时间内提交响应文件(包括最后报价)的；</w:t>
      </w:r>
    </w:p>
    <w:p w14:paraId="188795AB">
      <w:pPr>
        <w:spacing w:line="360" w:lineRule="auto"/>
        <w:ind w:firstLine="420" w:firstLineChars="200"/>
        <w:rPr>
          <w:rFonts w:ascii="宋体" w:hAnsi="宋体" w:cs="宋体"/>
          <w:szCs w:val="21"/>
        </w:rPr>
      </w:pPr>
      <w:r>
        <w:rPr>
          <w:rFonts w:hint="eastAsia" w:ascii="宋体" w:hAnsi="宋体" w:cs="宋体"/>
          <w:szCs w:val="21"/>
        </w:rPr>
        <w:t>（8）超越了按照法律法规规定必须获得行政许可或者行政审批的经营范围的；</w:t>
      </w:r>
    </w:p>
    <w:p w14:paraId="492BCC86">
      <w:pPr>
        <w:spacing w:line="360" w:lineRule="auto"/>
        <w:ind w:firstLine="420" w:firstLineChars="200"/>
        <w:rPr>
          <w:rFonts w:ascii="宋体" w:hAnsi="宋体" w:cs="宋体"/>
          <w:szCs w:val="21"/>
        </w:rPr>
      </w:pPr>
      <w:r>
        <w:rPr>
          <w:rFonts w:hint="eastAsia" w:ascii="宋体" w:hAnsi="宋体" w:cs="宋体"/>
          <w:szCs w:val="21"/>
        </w:rPr>
        <w:t>（9）未满足磋商文件实质性要求的或者响应文件有采购人不能接受的附加条件的；</w:t>
      </w:r>
    </w:p>
    <w:p w14:paraId="36AA21AD">
      <w:pPr>
        <w:spacing w:line="360" w:lineRule="auto"/>
        <w:ind w:firstLine="420" w:firstLineChars="200"/>
        <w:rPr>
          <w:rFonts w:ascii="宋体" w:hAnsi="宋体" w:cs="宋体"/>
          <w:szCs w:val="21"/>
        </w:rPr>
      </w:pPr>
      <w:r>
        <w:rPr>
          <w:rFonts w:hint="eastAsia" w:ascii="宋体" w:hAnsi="宋体" w:cs="宋体"/>
          <w:szCs w:val="21"/>
        </w:rPr>
        <w:t>（10）响应文件实质性要求未做变动，供应商最后报价高于第一次报价的；</w:t>
      </w:r>
    </w:p>
    <w:p w14:paraId="5456AD45">
      <w:pPr>
        <w:spacing w:line="360" w:lineRule="auto"/>
        <w:ind w:firstLine="420" w:firstLineChars="200"/>
        <w:rPr>
          <w:rFonts w:ascii="宋体" w:hAnsi="宋体" w:cs="宋体"/>
          <w:szCs w:val="21"/>
        </w:rPr>
      </w:pPr>
      <w:r>
        <w:rPr>
          <w:rFonts w:hint="eastAsia" w:ascii="宋体" w:hAnsi="宋体" w:cs="宋体"/>
          <w:szCs w:val="21"/>
        </w:rPr>
        <w:t>（11）不符合法律、法规和磋商文件规定的其他实质性要求和条件的。</w:t>
      </w:r>
    </w:p>
    <w:p w14:paraId="6A795CB1">
      <w:pPr>
        <w:spacing w:line="360" w:lineRule="auto"/>
        <w:ind w:firstLine="422" w:firstLineChars="200"/>
        <w:rPr>
          <w:rFonts w:ascii="宋体" w:hAnsi="宋体" w:cs="宋体"/>
          <w:b/>
          <w:bCs/>
          <w:szCs w:val="21"/>
        </w:rPr>
      </w:pPr>
      <w:r>
        <w:rPr>
          <w:rFonts w:hint="eastAsia" w:ascii="宋体" w:hAnsi="宋体" w:cs="宋体"/>
          <w:b/>
          <w:bCs/>
          <w:szCs w:val="21"/>
        </w:rPr>
        <w:t>供应商有下列情形之一的视为供应商相互串通磋商，响应文件将被视为无效。</w:t>
      </w:r>
    </w:p>
    <w:p w14:paraId="1C7DB872">
      <w:pPr>
        <w:spacing w:line="360" w:lineRule="auto"/>
        <w:ind w:firstLine="420" w:firstLineChars="200"/>
        <w:rPr>
          <w:rFonts w:ascii="宋体" w:hAnsi="宋体" w:cs="宋体"/>
          <w:szCs w:val="21"/>
        </w:rPr>
      </w:pPr>
      <w:r>
        <w:rPr>
          <w:rFonts w:hint="eastAsia" w:ascii="宋体" w:hAnsi="宋体" w:cs="宋体"/>
          <w:szCs w:val="21"/>
        </w:rPr>
        <w:t>（1）不同供应商的响应文件由同一单位或者个人编制；或不同供应商报名的IP地址一致的；</w:t>
      </w:r>
    </w:p>
    <w:p w14:paraId="0A43B4E5">
      <w:pPr>
        <w:spacing w:line="360" w:lineRule="auto"/>
        <w:ind w:firstLine="420" w:firstLineChars="200"/>
        <w:rPr>
          <w:rFonts w:ascii="宋体" w:hAnsi="宋体" w:cs="宋体"/>
          <w:szCs w:val="21"/>
        </w:rPr>
      </w:pPr>
      <w:r>
        <w:rPr>
          <w:rFonts w:hint="eastAsia" w:ascii="宋体" w:hAnsi="宋体" w:cs="宋体"/>
          <w:szCs w:val="21"/>
        </w:rPr>
        <w:t>（2）不同供应商委托同一单位或者个人办理磋商事宜；</w:t>
      </w:r>
    </w:p>
    <w:p w14:paraId="1817D345">
      <w:pPr>
        <w:spacing w:line="360" w:lineRule="auto"/>
        <w:ind w:firstLine="420" w:firstLineChars="200"/>
        <w:rPr>
          <w:rFonts w:ascii="宋体" w:hAnsi="宋体" w:cs="宋体"/>
          <w:szCs w:val="21"/>
        </w:rPr>
      </w:pPr>
      <w:r>
        <w:rPr>
          <w:rFonts w:hint="eastAsia" w:ascii="宋体" w:hAnsi="宋体" w:cs="宋体"/>
          <w:szCs w:val="21"/>
        </w:rPr>
        <w:t>（3）不同的供应商的响应文件载明的项目管理员为同一个人；</w:t>
      </w:r>
    </w:p>
    <w:p w14:paraId="5D8442BE">
      <w:pPr>
        <w:spacing w:line="360" w:lineRule="auto"/>
        <w:ind w:firstLine="420" w:firstLineChars="200"/>
        <w:rPr>
          <w:rFonts w:ascii="宋体" w:hAnsi="宋体" w:cs="宋体"/>
          <w:szCs w:val="21"/>
        </w:rPr>
      </w:pPr>
      <w:r>
        <w:rPr>
          <w:rFonts w:hint="eastAsia" w:ascii="宋体" w:hAnsi="宋体" w:cs="宋体"/>
          <w:szCs w:val="21"/>
        </w:rPr>
        <w:t>（4）不同供应商的响应文件异常一致或竞标报价呈规律性差异；</w:t>
      </w:r>
    </w:p>
    <w:p w14:paraId="7E3674C4">
      <w:pPr>
        <w:spacing w:line="360" w:lineRule="auto"/>
        <w:ind w:firstLine="420" w:firstLineChars="200"/>
        <w:rPr>
          <w:rFonts w:ascii="宋体" w:hAnsi="宋体" w:cs="宋体"/>
          <w:szCs w:val="21"/>
        </w:rPr>
      </w:pPr>
      <w:r>
        <w:rPr>
          <w:rFonts w:hint="eastAsia" w:ascii="宋体" w:hAnsi="宋体" w:cs="宋体"/>
          <w:szCs w:val="21"/>
        </w:rPr>
        <w:t>（5）不同供应商的响应文件相互混编。</w:t>
      </w:r>
    </w:p>
    <w:p w14:paraId="7207EE33">
      <w:pPr>
        <w:pStyle w:val="5"/>
        <w:widowControl w:val="0"/>
        <w:spacing w:before="0" w:after="0" w:line="360" w:lineRule="auto"/>
        <w:rPr>
          <w:rFonts w:ascii="宋体" w:hAnsi="宋体" w:cs="宋体"/>
          <w:sz w:val="21"/>
          <w:szCs w:val="21"/>
        </w:rPr>
      </w:pPr>
      <w:bookmarkStart w:id="207" w:name="_Toc27786"/>
      <w:bookmarkStart w:id="208" w:name="_Toc5714"/>
      <w:r>
        <w:rPr>
          <w:rFonts w:hint="eastAsia" w:ascii="宋体" w:hAnsi="宋体" w:cs="宋体"/>
          <w:sz w:val="21"/>
          <w:szCs w:val="21"/>
        </w:rPr>
        <w:t>24. 出现下列情形之一的，采购人或者采购代理机构应当终止竞争性磋商采购活动，发布项目终止公告并说明原因，重新开展采购活动</w:t>
      </w:r>
      <w:bookmarkEnd w:id="207"/>
      <w:bookmarkEnd w:id="208"/>
    </w:p>
    <w:p w14:paraId="5B04CB64">
      <w:pPr>
        <w:spacing w:line="360" w:lineRule="auto"/>
        <w:ind w:firstLine="420" w:firstLineChars="200"/>
        <w:rPr>
          <w:rFonts w:ascii="宋体" w:hAnsi="宋体" w:cs="宋体"/>
          <w:szCs w:val="21"/>
        </w:rPr>
      </w:pPr>
      <w:r>
        <w:rPr>
          <w:rFonts w:hint="eastAsia" w:ascii="宋体" w:hAnsi="宋体" w:cs="宋体"/>
          <w:szCs w:val="21"/>
        </w:rPr>
        <w:t>（1）因情况变化，不再符合规定的竞争性磋商采购方式适用情形的；</w:t>
      </w:r>
    </w:p>
    <w:p w14:paraId="44927D1A">
      <w:pPr>
        <w:spacing w:line="360" w:lineRule="auto"/>
        <w:ind w:firstLine="420" w:firstLineChars="200"/>
        <w:rPr>
          <w:rFonts w:ascii="宋体" w:hAnsi="宋体" w:cs="宋体"/>
          <w:szCs w:val="21"/>
        </w:rPr>
      </w:pPr>
      <w:r>
        <w:rPr>
          <w:rFonts w:hint="eastAsia" w:ascii="宋体" w:hAnsi="宋体" w:cs="宋体"/>
          <w:szCs w:val="21"/>
        </w:rPr>
        <w:t xml:space="preserve">（2）出现影响采购公正的违法、违规行为的； </w:t>
      </w:r>
    </w:p>
    <w:p w14:paraId="65E1F7B7">
      <w:pPr>
        <w:spacing w:line="360" w:lineRule="auto"/>
        <w:ind w:firstLine="420" w:firstLineChars="200"/>
        <w:rPr>
          <w:rFonts w:ascii="宋体" w:hAnsi="宋体" w:cs="宋体"/>
          <w:b/>
          <w:bCs/>
          <w:szCs w:val="21"/>
        </w:rPr>
      </w:pPr>
      <w:r>
        <w:rPr>
          <w:rFonts w:hint="eastAsia" w:ascii="宋体" w:hAnsi="宋体" w:cs="宋体"/>
          <w:szCs w:val="21"/>
        </w:rPr>
        <w:t>（3）在采购过程中符合竞争要求的供应商或者报价未超过采购预算的供应商不足3家的。（除财库〔2014〕214 号《政府采购竞争性磋商采购方式管理暂行办法》第二十一条第三款规定的情形外） 。</w:t>
      </w:r>
    </w:p>
    <w:p w14:paraId="555DAC97">
      <w:pPr>
        <w:pStyle w:val="5"/>
        <w:widowControl w:val="0"/>
        <w:spacing w:before="0" w:after="0" w:line="360" w:lineRule="auto"/>
        <w:rPr>
          <w:rFonts w:ascii="宋体" w:hAnsi="宋体" w:cs="宋体"/>
          <w:sz w:val="21"/>
          <w:szCs w:val="21"/>
        </w:rPr>
      </w:pPr>
      <w:bookmarkStart w:id="209" w:name="_Toc19105"/>
      <w:bookmarkStart w:id="210" w:name="_Toc19910"/>
      <w:r>
        <w:rPr>
          <w:rFonts w:hint="eastAsia" w:ascii="宋体" w:hAnsi="宋体" w:cs="宋体"/>
          <w:sz w:val="21"/>
          <w:szCs w:val="21"/>
        </w:rPr>
        <w:t>25. 磋商过程的监控</w:t>
      </w:r>
      <w:bookmarkEnd w:id="209"/>
      <w:bookmarkEnd w:id="210"/>
    </w:p>
    <w:p w14:paraId="34255773">
      <w:pPr>
        <w:spacing w:line="360" w:lineRule="auto"/>
        <w:ind w:firstLine="420" w:firstLineChars="200"/>
        <w:rPr>
          <w:rFonts w:ascii="宋体" w:hAnsi="宋体" w:cs="宋体"/>
          <w:szCs w:val="21"/>
        </w:rPr>
      </w:pPr>
      <w:r>
        <w:rPr>
          <w:rFonts w:hint="eastAsia" w:ascii="宋体" w:hAnsi="宋体" w:cs="宋体"/>
          <w:szCs w:val="21"/>
        </w:rPr>
        <w:t>本项目磋商过程实行全程录音、录像监控，供应商在磋商过程中所进行的试图影响磋商结果的不公正活动，可能导致其磋商被拒绝。</w:t>
      </w:r>
    </w:p>
    <w:p w14:paraId="40FB5D5D">
      <w:pPr>
        <w:pStyle w:val="5"/>
        <w:widowControl w:val="0"/>
        <w:spacing w:before="0" w:after="0" w:line="360" w:lineRule="auto"/>
        <w:rPr>
          <w:rFonts w:ascii="宋体" w:hAnsi="宋体" w:cs="宋体"/>
          <w:sz w:val="21"/>
          <w:szCs w:val="21"/>
        </w:rPr>
      </w:pPr>
      <w:bookmarkStart w:id="211" w:name="_Toc14787"/>
      <w:bookmarkStart w:id="212" w:name="_Toc26291"/>
      <w:r>
        <w:rPr>
          <w:rFonts w:hint="eastAsia" w:ascii="宋体" w:hAnsi="宋体" w:cs="宋体"/>
          <w:sz w:val="21"/>
          <w:szCs w:val="21"/>
        </w:rPr>
        <w:t>26.信用查询</w:t>
      </w:r>
      <w:bookmarkEnd w:id="211"/>
      <w:bookmarkEnd w:id="212"/>
    </w:p>
    <w:p w14:paraId="23394BE3">
      <w:pPr>
        <w:spacing w:line="360" w:lineRule="auto"/>
        <w:ind w:firstLine="420" w:firstLineChars="200"/>
        <w:rPr>
          <w:rFonts w:ascii="宋体" w:hAnsi="宋体" w:cs="宋体"/>
          <w:szCs w:val="21"/>
        </w:rPr>
      </w:pPr>
      <w:r>
        <w:rPr>
          <w:rFonts w:hint="eastAsia" w:ascii="宋体" w:hAnsi="宋体" w:cs="宋体"/>
          <w:szCs w:val="21"/>
        </w:rPr>
        <w:t>26.1根据《关于做好政府采购有关信用主体标识码登记及在政府采购活动中查询使用信用记录有关问题的通知》桂财采〔2016〕37号的通知，采购代理机构对成交人的成交资格进行信用查询：</w:t>
      </w:r>
    </w:p>
    <w:p w14:paraId="17D6373C">
      <w:pPr>
        <w:spacing w:line="360" w:lineRule="auto"/>
        <w:ind w:firstLine="210" w:firstLineChars="100"/>
        <w:rPr>
          <w:rFonts w:ascii="宋体" w:hAnsi="宋体" w:cs="宋体"/>
          <w:szCs w:val="21"/>
        </w:rPr>
      </w:pPr>
      <w:r>
        <w:rPr>
          <w:rFonts w:hint="eastAsia" w:ascii="宋体" w:hAnsi="宋体" w:cs="宋体"/>
          <w:szCs w:val="21"/>
        </w:rPr>
        <w:t>（1）查询渠道：“信用中国”网站(www.creditchina.gov.cn)、中国政府采购网(www.ccgp.gov.cn)等；</w:t>
      </w:r>
    </w:p>
    <w:p w14:paraId="5FCF8F36">
      <w:pPr>
        <w:spacing w:line="360" w:lineRule="auto"/>
        <w:ind w:firstLine="210" w:firstLineChars="100"/>
        <w:rPr>
          <w:rFonts w:ascii="宋体" w:hAnsi="宋体" w:cs="宋体"/>
          <w:szCs w:val="21"/>
        </w:rPr>
      </w:pPr>
      <w:r>
        <w:rPr>
          <w:rFonts w:hint="eastAsia" w:ascii="宋体" w:hAnsi="宋体" w:cs="宋体"/>
          <w:szCs w:val="21"/>
        </w:rPr>
        <w:t>（2）查询时间：成交通知书发出前；</w:t>
      </w:r>
    </w:p>
    <w:p w14:paraId="713ABCA8">
      <w:pPr>
        <w:spacing w:line="360" w:lineRule="auto"/>
        <w:ind w:firstLine="210" w:firstLineChars="100"/>
        <w:rPr>
          <w:rFonts w:ascii="宋体" w:hAnsi="宋体" w:cs="宋体"/>
          <w:szCs w:val="21"/>
        </w:rPr>
      </w:pPr>
      <w:r>
        <w:rPr>
          <w:rFonts w:hint="eastAsia" w:ascii="宋体" w:hAnsi="宋体" w:cs="宋体"/>
          <w:szCs w:val="21"/>
        </w:rPr>
        <w:t>（3）信用信息查询记录和证据留存方式：在查询网站中直接打印查询记录，打印材料作为采购活动资料保存。</w:t>
      </w:r>
    </w:p>
    <w:p w14:paraId="70440414">
      <w:pPr>
        <w:spacing w:line="360" w:lineRule="auto"/>
        <w:ind w:firstLine="210" w:firstLineChars="100"/>
        <w:rPr>
          <w:rFonts w:ascii="宋体" w:hAnsi="宋体" w:cs="宋体"/>
          <w:szCs w:val="21"/>
        </w:rPr>
      </w:pPr>
      <w:r>
        <w:rPr>
          <w:rFonts w:hint="eastAsia" w:ascii="宋体" w:hAnsi="宋体" w:cs="宋体"/>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2D29B444">
      <w:pPr>
        <w:pStyle w:val="5"/>
        <w:widowControl w:val="0"/>
        <w:spacing w:before="0" w:after="0" w:line="360" w:lineRule="auto"/>
        <w:rPr>
          <w:rFonts w:ascii="宋体" w:hAnsi="宋体" w:cs="宋体"/>
          <w:sz w:val="21"/>
          <w:szCs w:val="21"/>
        </w:rPr>
      </w:pPr>
      <w:bookmarkStart w:id="213" w:name="_Toc9438"/>
      <w:bookmarkStart w:id="214" w:name="_Toc25468"/>
      <w:r>
        <w:rPr>
          <w:rFonts w:hint="eastAsia" w:ascii="宋体" w:hAnsi="宋体" w:cs="宋体"/>
          <w:sz w:val="21"/>
          <w:szCs w:val="21"/>
        </w:rPr>
        <w:t>27. 成交结果公告及成交通知书</w:t>
      </w:r>
      <w:bookmarkEnd w:id="213"/>
      <w:bookmarkEnd w:id="214"/>
    </w:p>
    <w:p w14:paraId="73D91F51">
      <w:pPr>
        <w:spacing w:line="360" w:lineRule="auto"/>
        <w:ind w:firstLine="420" w:firstLineChars="200"/>
        <w:rPr>
          <w:rFonts w:ascii="宋体" w:hAnsi="宋体" w:cs="宋体"/>
          <w:szCs w:val="21"/>
        </w:rPr>
      </w:pPr>
      <w:r>
        <w:rPr>
          <w:rFonts w:hint="eastAsia" w:ascii="宋体" w:hAnsi="宋体" w:cs="宋体"/>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78AA6402">
      <w:pPr>
        <w:spacing w:line="360" w:lineRule="auto"/>
        <w:ind w:firstLine="420" w:firstLineChars="200"/>
        <w:rPr>
          <w:rFonts w:ascii="宋体" w:hAnsi="宋体" w:cs="宋体"/>
          <w:szCs w:val="21"/>
        </w:rPr>
      </w:pPr>
      <w:r>
        <w:rPr>
          <w:rFonts w:hint="eastAsia" w:ascii="宋体" w:hAnsi="宋体" w:cs="宋体"/>
          <w:szCs w:val="21"/>
        </w:rPr>
        <w:t>27.2 在发布成交公告的同时，采购代理机构向成交供应商发出成交通知书。成交供应商自接到通知之日起七个工作日内，办理成交通知书领取手续。</w:t>
      </w:r>
    </w:p>
    <w:p w14:paraId="01AACF15">
      <w:pPr>
        <w:spacing w:line="360" w:lineRule="auto"/>
        <w:ind w:firstLine="420" w:firstLineChars="200"/>
        <w:rPr>
          <w:rFonts w:ascii="宋体" w:hAnsi="宋体" w:cs="宋体"/>
          <w:szCs w:val="21"/>
        </w:rPr>
      </w:pPr>
      <w:r>
        <w:rPr>
          <w:rFonts w:hint="eastAsia" w:ascii="宋体" w:hAnsi="宋体" w:cs="宋体"/>
          <w:szCs w:val="21"/>
        </w:rPr>
        <w:t>27.3 采购代理机构无义务向未成交的供应商解释未成交原因和退还响应文件。</w:t>
      </w:r>
    </w:p>
    <w:p w14:paraId="3212D292">
      <w:pPr>
        <w:rPr>
          <w:rFonts w:ascii="宋体" w:hAnsi="宋体" w:cs="宋体"/>
          <w:szCs w:val="21"/>
        </w:rPr>
      </w:pPr>
      <w:bookmarkStart w:id="215" w:name="_Toc503883799"/>
      <w:bookmarkStart w:id="216" w:name="_Toc31745"/>
      <w:bookmarkStart w:id="217" w:name="_Toc1637900"/>
      <w:bookmarkStart w:id="218" w:name="_Toc532465874"/>
      <w:bookmarkStart w:id="219" w:name="_Toc1572"/>
      <w:bookmarkStart w:id="220" w:name="_Toc15465"/>
      <w:bookmarkStart w:id="221" w:name="_Toc16486"/>
      <w:bookmarkStart w:id="222" w:name="_Toc31465"/>
      <w:bookmarkStart w:id="223" w:name="_Toc7464"/>
    </w:p>
    <w:p w14:paraId="2E622420">
      <w:pPr>
        <w:pStyle w:val="4"/>
        <w:spacing w:before="0" w:after="0" w:line="360" w:lineRule="auto"/>
        <w:jc w:val="center"/>
        <w:rPr>
          <w:rFonts w:ascii="宋体" w:hAnsi="宋体" w:cs="宋体"/>
          <w:sz w:val="21"/>
          <w:szCs w:val="21"/>
        </w:rPr>
      </w:pPr>
      <w:r>
        <w:rPr>
          <w:rFonts w:hint="eastAsia" w:ascii="宋体" w:hAnsi="宋体" w:cs="宋体"/>
          <w:sz w:val="21"/>
          <w:szCs w:val="21"/>
        </w:rPr>
        <w:t>五、签订</w:t>
      </w:r>
      <w:bookmarkEnd w:id="215"/>
      <w:bookmarkEnd w:id="216"/>
      <w:bookmarkEnd w:id="217"/>
      <w:bookmarkEnd w:id="218"/>
      <w:r>
        <w:rPr>
          <w:rFonts w:hint="eastAsia" w:ascii="宋体" w:hAnsi="宋体" w:cs="宋体"/>
          <w:sz w:val="21"/>
          <w:szCs w:val="21"/>
        </w:rPr>
        <w:t>合同</w:t>
      </w:r>
      <w:bookmarkEnd w:id="219"/>
      <w:bookmarkEnd w:id="220"/>
      <w:bookmarkEnd w:id="221"/>
      <w:bookmarkEnd w:id="222"/>
      <w:bookmarkEnd w:id="223"/>
    </w:p>
    <w:p w14:paraId="7981BE3F">
      <w:pPr>
        <w:pStyle w:val="5"/>
        <w:widowControl w:val="0"/>
        <w:spacing w:before="0" w:after="0" w:line="360" w:lineRule="auto"/>
        <w:rPr>
          <w:rFonts w:ascii="宋体" w:hAnsi="宋体" w:cs="宋体"/>
          <w:sz w:val="21"/>
          <w:szCs w:val="21"/>
        </w:rPr>
      </w:pPr>
      <w:bookmarkStart w:id="224" w:name="_Toc1032"/>
      <w:bookmarkStart w:id="225" w:name="_Toc26520"/>
      <w:r>
        <w:rPr>
          <w:rFonts w:hint="eastAsia" w:ascii="宋体" w:hAnsi="宋体" w:cs="宋体"/>
          <w:sz w:val="21"/>
          <w:szCs w:val="21"/>
        </w:rPr>
        <w:t>28. 履约保证金</w:t>
      </w:r>
      <w:bookmarkEnd w:id="224"/>
      <w:bookmarkEnd w:id="225"/>
    </w:p>
    <w:p w14:paraId="04EAD36E">
      <w:pPr>
        <w:spacing w:line="360" w:lineRule="auto"/>
        <w:ind w:firstLine="420" w:firstLineChars="200"/>
        <w:rPr>
          <w:rFonts w:ascii="宋体" w:hAnsi="宋体" w:cs="宋体"/>
          <w:szCs w:val="21"/>
        </w:rPr>
      </w:pPr>
      <w:bookmarkStart w:id="226" w:name="_Toc4956"/>
      <w:bookmarkStart w:id="227" w:name="_Toc22004"/>
      <w:r>
        <w:rPr>
          <w:rFonts w:hint="eastAsia" w:ascii="宋体" w:hAnsi="宋体" w:cs="宋体"/>
          <w:szCs w:val="21"/>
        </w:rPr>
        <w:t>履约保证金金额按中标价的1%（人民币，四舍五入到元）缴纳，由成交供应商在与采购人签订合同前将履约保证金以支票、汇票、本票或者金融机构、担保机构出具的保函等非现金形式提交转入采购人履约保证金专户。</w:t>
      </w:r>
    </w:p>
    <w:p w14:paraId="62261E77">
      <w:pPr>
        <w:pStyle w:val="5"/>
        <w:widowControl w:val="0"/>
        <w:spacing w:before="0" w:after="0" w:line="360" w:lineRule="auto"/>
        <w:rPr>
          <w:rFonts w:ascii="宋体" w:hAnsi="宋体" w:cs="宋体"/>
          <w:sz w:val="21"/>
          <w:szCs w:val="21"/>
        </w:rPr>
      </w:pPr>
      <w:r>
        <w:rPr>
          <w:rFonts w:hint="eastAsia" w:ascii="宋体" w:hAnsi="宋体" w:cs="宋体"/>
          <w:sz w:val="21"/>
          <w:szCs w:val="21"/>
        </w:rPr>
        <w:t>29. 签订合同</w:t>
      </w:r>
      <w:bookmarkEnd w:id="226"/>
      <w:bookmarkEnd w:id="227"/>
    </w:p>
    <w:p w14:paraId="3572C804">
      <w:pPr>
        <w:spacing w:line="360" w:lineRule="auto"/>
        <w:ind w:firstLine="422" w:firstLineChars="200"/>
        <w:rPr>
          <w:rFonts w:ascii="宋体" w:hAnsi="宋体" w:cs="宋体"/>
          <w:b/>
          <w:bCs/>
          <w:szCs w:val="21"/>
        </w:rPr>
      </w:pPr>
      <w:r>
        <w:rPr>
          <w:rFonts w:hint="eastAsia" w:ascii="宋体" w:hAnsi="宋体" w:cs="宋体"/>
          <w:b/>
          <w:bCs/>
          <w:szCs w:val="21"/>
        </w:rPr>
        <w:t>29.1 签订合同时间：成交通知书发出之日</w:t>
      </w:r>
      <w:r>
        <w:rPr>
          <w:rFonts w:hint="eastAsia" w:ascii="宋体" w:hAnsi="宋体" w:cs="宋体"/>
          <w:b/>
          <w:bCs/>
          <w:color w:val="FF0000"/>
          <w:szCs w:val="21"/>
        </w:rPr>
        <w:t>起八个工作日内签订合同</w:t>
      </w:r>
      <w:r>
        <w:rPr>
          <w:rFonts w:hint="eastAsia" w:ascii="宋体" w:hAnsi="宋体" w:cs="宋体"/>
          <w:b/>
          <w:bCs/>
          <w:szCs w:val="21"/>
        </w:rPr>
        <w:t>。成交供应商领取成交通知书后，应按规定与采购人签订合同。</w:t>
      </w:r>
    </w:p>
    <w:p w14:paraId="005744AA">
      <w:pPr>
        <w:spacing w:line="360" w:lineRule="auto"/>
        <w:ind w:firstLine="420" w:firstLineChars="200"/>
        <w:rPr>
          <w:rFonts w:ascii="宋体" w:hAnsi="宋体" w:cs="宋体"/>
          <w:szCs w:val="21"/>
        </w:rPr>
      </w:pPr>
      <w:r>
        <w:rPr>
          <w:rFonts w:hint="eastAsia" w:ascii="宋体" w:hAnsi="宋体" w:cs="宋体"/>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707C23D0">
      <w:pPr>
        <w:spacing w:line="360" w:lineRule="auto"/>
        <w:ind w:firstLine="420" w:firstLineChars="200"/>
        <w:rPr>
          <w:rFonts w:ascii="宋体" w:hAnsi="宋体" w:cs="宋体"/>
          <w:szCs w:val="21"/>
        </w:rPr>
      </w:pPr>
      <w:r>
        <w:rPr>
          <w:rFonts w:hint="eastAsia" w:ascii="宋体" w:hAnsi="宋体" w:cs="宋体"/>
          <w:szCs w:val="21"/>
        </w:rPr>
        <w:t>（1）成交后不与采购人签订合同的（不可抗力除外）；</w:t>
      </w:r>
    </w:p>
    <w:p w14:paraId="13A7A4AD">
      <w:pPr>
        <w:spacing w:line="360" w:lineRule="auto"/>
        <w:ind w:firstLine="420" w:firstLineChars="200"/>
        <w:rPr>
          <w:rFonts w:ascii="宋体" w:hAnsi="宋体" w:cs="宋体"/>
          <w:szCs w:val="21"/>
        </w:rPr>
      </w:pPr>
      <w:r>
        <w:rPr>
          <w:rFonts w:hint="eastAsia" w:ascii="宋体" w:hAnsi="宋体" w:cs="宋体"/>
          <w:szCs w:val="21"/>
        </w:rPr>
        <w:t>（2）将成交项目转让给他人，或者在响应文件中未说明，且未经采购人同意，将成交项目分包给他人的；</w:t>
      </w:r>
    </w:p>
    <w:p w14:paraId="2DB4B089">
      <w:pPr>
        <w:spacing w:line="360" w:lineRule="auto"/>
        <w:ind w:firstLine="420" w:firstLineChars="200"/>
        <w:rPr>
          <w:rFonts w:ascii="宋体" w:hAnsi="宋体" w:cs="宋体"/>
          <w:szCs w:val="21"/>
        </w:rPr>
      </w:pPr>
      <w:r>
        <w:rPr>
          <w:rFonts w:hint="eastAsia" w:ascii="宋体" w:hAnsi="宋体" w:cs="宋体"/>
          <w:szCs w:val="21"/>
        </w:rPr>
        <w:t>（3）拒绝履行合同义务的。</w:t>
      </w:r>
    </w:p>
    <w:p w14:paraId="372E2AE3">
      <w:pPr>
        <w:spacing w:line="360" w:lineRule="auto"/>
        <w:ind w:firstLine="420" w:firstLineChars="200"/>
        <w:rPr>
          <w:rFonts w:ascii="宋体" w:hAnsi="宋体" w:cs="宋体"/>
          <w:szCs w:val="21"/>
        </w:rPr>
      </w:pPr>
      <w:r>
        <w:rPr>
          <w:rFonts w:hint="eastAsia" w:ascii="宋体" w:hAnsi="宋体" w:cs="宋体"/>
          <w:szCs w:val="21"/>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监督部门备案。</w:t>
      </w:r>
    </w:p>
    <w:p w14:paraId="3E8F7F37">
      <w:pPr>
        <w:rPr>
          <w:rFonts w:ascii="宋体" w:hAnsi="宋体" w:cs="宋体"/>
          <w:szCs w:val="21"/>
        </w:rPr>
      </w:pPr>
      <w:bookmarkStart w:id="228" w:name="_Toc12429"/>
      <w:bookmarkStart w:id="229" w:name="_Toc532465877"/>
      <w:bookmarkStart w:id="230" w:name="_Toc503883800"/>
      <w:bookmarkStart w:id="231" w:name="_Toc1637903"/>
      <w:bookmarkStart w:id="232" w:name="_Toc28620"/>
      <w:bookmarkStart w:id="233" w:name="_Toc18218"/>
      <w:bookmarkStart w:id="234" w:name="_Toc27781"/>
      <w:bookmarkStart w:id="235" w:name="_Toc21504"/>
      <w:bookmarkStart w:id="236" w:name="_Toc10623"/>
    </w:p>
    <w:p w14:paraId="3CD61670">
      <w:pPr>
        <w:pStyle w:val="4"/>
        <w:spacing w:before="0" w:after="0" w:line="360" w:lineRule="auto"/>
        <w:jc w:val="center"/>
        <w:rPr>
          <w:rFonts w:ascii="宋体" w:hAnsi="宋体" w:cs="宋体"/>
          <w:sz w:val="21"/>
          <w:szCs w:val="21"/>
        </w:rPr>
      </w:pPr>
      <w:r>
        <w:rPr>
          <w:rFonts w:hint="eastAsia" w:ascii="宋体" w:hAnsi="宋体" w:cs="宋体"/>
          <w:sz w:val="21"/>
          <w:szCs w:val="21"/>
        </w:rPr>
        <w:t>六、其他</w:t>
      </w:r>
      <w:bookmarkEnd w:id="228"/>
      <w:bookmarkEnd w:id="229"/>
      <w:bookmarkEnd w:id="230"/>
      <w:bookmarkEnd w:id="231"/>
      <w:r>
        <w:rPr>
          <w:rFonts w:hint="eastAsia" w:ascii="宋体" w:hAnsi="宋体" w:cs="宋体"/>
          <w:sz w:val="21"/>
          <w:szCs w:val="21"/>
        </w:rPr>
        <w:t>事宜</w:t>
      </w:r>
      <w:bookmarkEnd w:id="232"/>
      <w:bookmarkEnd w:id="233"/>
      <w:bookmarkEnd w:id="234"/>
      <w:bookmarkEnd w:id="235"/>
      <w:bookmarkEnd w:id="236"/>
    </w:p>
    <w:p w14:paraId="66ED72C3">
      <w:pPr>
        <w:pStyle w:val="5"/>
        <w:spacing w:before="0" w:after="0" w:line="360" w:lineRule="auto"/>
        <w:rPr>
          <w:rFonts w:ascii="宋体" w:hAnsi="宋体" w:cs="宋体"/>
          <w:sz w:val="21"/>
          <w:szCs w:val="21"/>
        </w:rPr>
      </w:pPr>
      <w:bookmarkStart w:id="237" w:name="_Toc5497"/>
      <w:bookmarkStart w:id="238" w:name="_Toc14199"/>
      <w:bookmarkStart w:id="239" w:name="_Toc16778"/>
      <w:bookmarkStart w:id="240" w:name="_Toc21002"/>
      <w:bookmarkStart w:id="241" w:name="_Toc1637904"/>
      <w:bookmarkStart w:id="242" w:name="_Toc9574"/>
      <w:bookmarkStart w:id="243" w:name="_Toc5993"/>
      <w:bookmarkStart w:id="244" w:name="_Toc532465878"/>
      <w:r>
        <w:rPr>
          <w:rFonts w:hint="eastAsia" w:ascii="宋体" w:hAnsi="宋体" w:cs="宋体"/>
          <w:sz w:val="21"/>
          <w:szCs w:val="21"/>
        </w:rPr>
        <w:t>30.采购代理服务费</w:t>
      </w:r>
      <w:bookmarkEnd w:id="237"/>
      <w:bookmarkEnd w:id="238"/>
      <w:bookmarkEnd w:id="239"/>
      <w:bookmarkEnd w:id="240"/>
      <w:bookmarkEnd w:id="241"/>
      <w:bookmarkEnd w:id="242"/>
      <w:bookmarkEnd w:id="243"/>
      <w:bookmarkEnd w:id="244"/>
    </w:p>
    <w:p w14:paraId="6BD30E5F">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本项目的采购代理服务费：本项目采购代理服务费由招标人支付。</w:t>
      </w:r>
    </w:p>
    <w:p w14:paraId="37E483DC">
      <w:pPr>
        <w:pStyle w:val="5"/>
        <w:spacing w:before="0" w:after="0" w:line="360" w:lineRule="auto"/>
        <w:rPr>
          <w:rFonts w:ascii="宋体" w:hAnsi="宋体" w:cs="宋体"/>
          <w:sz w:val="21"/>
          <w:szCs w:val="21"/>
        </w:rPr>
      </w:pPr>
      <w:bookmarkStart w:id="245" w:name="_Toc14581"/>
      <w:bookmarkStart w:id="246" w:name="_Toc4663"/>
      <w:bookmarkStart w:id="247" w:name="_Toc1991"/>
      <w:bookmarkStart w:id="248" w:name="_Toc8753"/>
      <w:bookmarkStart w:id="249" w:name="_Toc16666"/>
      <w:bookmarkStart w:id="250" w:name="_Toc532465879"/>
      <w:bookmarkStart w:id="251" w:name="_Toc1637905"/>
      <w:bookmarkStart w:id="252" w:name="_Toc10405"/>
      <w:r>
        <w:rPr>
          <w:rFonts w:hint="eastAsia" w:ascii="宋体" w:hAnsi="宋体" w:cs="宋体"/>
          <w:sz w:val="21"/>
          <w:szCs w:val="21"/>
        </w:rPr>
        <w:t>31.监督管理机构</w:t>
      </w:r>
      <w:bookmarkEnd w:id="245"/>
      <w:bookmarkEnd w:id="246"/>
      <w:bookmarkEnd w:id="247"/>
      <w:bookmarkEnd w:id="248"/>
      <w:bookmarkEnd w:id="249"/>
    </w:p>
    <w:p w14:paraId="54DA319F">
      <w:pPr>
        <w:spacing w:line="360" w:lineRule="auto"/>
        <w:ind w:firstLine="420" w:firstLineChars="200"/>
        <w:rPr>
          <w:rFonts w:ascii="宋体" w:hAnsi="宋体" w:cs="宋体"/>
          <w:szCs w:val="21"/>
        </w:rPr>
      </w:pPr>
      <w:r>
        <w:rPr>
          <w:rFonts w:hint="eastAsia" w:ascii="宋体" w:hAnsi="宋体" w:cs="宋体"/>
          <w:szCs w:val="21"/>
        </w:rPr>
        <w:t>详见供应商须知前附表</w:t>
      </w:r>
      <w:bookmarkEnd w:id="250"/>
      <w:bookmarkEnd w:id="251"/>
      <w:bookmarkEnd w:id="252"/>
      <w:r>
        <w:rPr>
          <w:rFonts w:hint="eastAsia" w:ascii="宋体" w:hAnsi="宋体" w:cs="宋体"/>
          <w:szCs w:val="21"/>
        </w:rPr>
        <w:t>。</w:t>
      </w:r>
    </w:p>
    <w:p w14:paraId="77D50CDC">
      <w:pPr>
        <w:pStyle w:val="5"/>
        <w:spacing w:before="0" w:after="0" w:line="360" w:lineRule="auto"/>
        <w:rPr>
          <w:rFonts w:ascii="宋体" w:hAnsi="宋体" w:cs="宋体"/>
          <w:sz w:val="21"/>
          <w:szCs w:val="21"/>
        </w:rPr>
      </w:pPr>
      <w:bookmarkStart w:id="253" w:name="_Toc532465880"/>
      <w:bookmarkStart w:id="254" w:name="_Toc29323"/>
      <w:bookmarkStart w:id="255" w:name="_Toc26203"/>
      <w:bookmarkStart w:id="256" w:name="_Toc1558"/>
      <w:bookmarkStart w:id="257" w:name="_Toc1637906"/>
      <w:bookmarkStart w:id="258" w:name="_Toc22330"/>
      <w:bookmarkStart w:id="259" w:name="_Toc5901"/>
      <w:bookmarkStart w:id="260" w:name="_Toc4521"/>
      <w:r>
        <w:rPr>
          <w:rFonts w:hint="eastAsia" w:ascii="宋体" w:hAnsi="宋体" w:cs="宋体"/>
          <w:sz w:val="21"/>
          <w:szCs w:val="21"/>
        </w:rPr>
        <w:t>32.解释权</w:t>
      </w:r>
      <w:bookmarkEnd w:id="253"/>
      <w:bookmarkEnd w:id="254"/>
      <w:bookmarkEnd w:id="255"/>
      <w:bookmarkEnd w:id="256"/>
      <w:bookmarkEnd w:id="257"/>
      <w:bookmarkEnd w:id="258"/>
      <w:bookmarkEnd w:id="259"/>
      <w:bookmarkEnd w:id="260"/>
    </w:p>
    <w:p w14:paraId="1B828922">
      <w:pPr>
        <w:spacing w:line="360" w:lineRule="auto"/>
        <w:ind w:firstLine="420" w:firstLineChars="200"/>
        <w:rPr>
          <w:rFonts w:ascii="宋体" w:hAnsi="宋体" w:cs="宋体"/>
          <w:szCs w:val="21"/>
        </w:rPr>
      </w:pPr>
      <w:r>
        <w:rPr>
          <w:rFonts w:hint="eastAsia" w:ascii="宋体" w:hAnsi="宋体" w:cs="宋体"/>
          <w:szCs w:val="21"/>
        </w:rPr>
        <w:t>本竞争性磋商采购文件是根据《中华人民共和国政府采购法》、《中华人民共和国政府采购法实施条例》</w:t>
      </w:r>
      <w:r>
        <w:rPr>
          <w:rFonts w:hint="eastAsia" w:ascii="宋体" w:hAnsi="宋体" w:cs="宋体"/>
          <w:kern w:val="0"/>
          <w:szCs w:val="21"/>
        </w:rPr>
        <w:t>、</w:t>
      </w:r>
      <w:r>
        <w:rPr>
          <w:rFonts w:hint="eastAsia" w:ascii="宋体" w:hAnsi="宋体" w:cs="宋体"/>
          <w:szCs w:val="21"/>
        </w:rPr>
        <w:t>《政府采购非招标采购方式管理办法》、《政府采购竞争性磋商采购方式管理暂行办法》和政府采购管理有关规定编制。</w:t>
      </w:r>
    </w:p>
    <w:p w14:paraId="2AC79A64">
      <w:pPr>
        <w:pStyle w:val="5"/>
        <w:spacing w:before="0" w:after="0" w:line="360" w:lineRule="auto"/>
        <w:rPr>
          <w:rFonts w:ascii="宋体" w:hAnsi="宋体" w:cs="宋体"/>
          <w:sz w:val="21"/>
          <w:szCs w:val="21"/>
        </w:rPr>
      </w:pPr>
      <w:bookmarkStart w:id="261" w:name="_Toc28388"/>
      <w:bookmarkStart w:id="262" w:name="_Toc29636"/>
      <w:bookmarkStart w:id="263" w:name="_Toc24966"/>
      <w:bookmarkStart w:id="264" w:name="_Toc4593"/>
      <w:bookmarkStart w:id="265" w:name="_Toc4658"/>
      <w:bookmarkStart w:id="266" w:name="_Toc3448"/>
      <w:r>
        <w:rPr>
          <w:rFonts w:hint="eastAsia" w:ascii="宋体" w:hAnsi="宋体" w:cs="宋体"/>
          <w:sz w:val="21"/>
          <w:szCs w:val="21"/>
        </w:rPr>
        <w:t>3</w:t>
      </w:r>
      <w:bookmarkEnd w:id="261"/>
      <w:r>
        <w:rPr>
          <w:rFonts w:hint="eastAsia" w:ascii="宋体" w:hAnsi="宋体" w:cs="宋体"/>
          <w:sz w:val="21"/>
          <w:szCs w:val="21"/>
        </w:rPr>
        <w:t>3.质疑接收方式：</w:t>
      </w:r>
      <w:bookmarkEnd w:id="262"/>
      <w:bookmarkEnd w:id="263"/>
      <w:bookmarkEnd w:id="264"/>
      <w:bookmarkEnd w:id="265"/>
      <w:bookmarkEnd w:id="266"/>
    </w:p>
    <w:p w14:paraId="460C78A1">
      <w:pPr>
        <w:spacing w:line="360" w:lineRule="auto"/>
        <w:ind w:firstLine="420" w:firstLineChars="200"/>
        <w:rPr>
          <w:rFonts w:ascii="宋体" w:hAnsi="宋体" w:cs="宋体"/>
          <w:szCs w:val="21"/>
        </w:rPr>
      </w:pPr>
      <w:r>
        <w:rPr>
          <w:rFonts w:hint="eastAsia" w:ascii="宋体" w:hAnsi="宋体" w:cs="宋体"/>
          <w:szCs w:val="21"/>
        </w:rPr>
        <w:t>详见供应商须知前附表。</w:t>
      </w:r>
    </w:p>
    <w:p w14:paraId="20DE91CE">
      <w:pPr>
        <w:spacing w:line="360" w:lineRule="auto"/>
        <w:rPr>
          <w:rFonts w:ascii="宋体" w:hAnsi="宋体" w:cs="宋体"/>
          <w:szCs w:val="21"/>
        </w:rPr>
      </w:pPr>
      <w:r>
        <w:rPr>
          <w:rFonts w:hint="eastAsia" w:ascii="宋体" w:hAnsi="宋体" w:cs="宋体"/>
          <w:b/>
          <w:bCs/>
          <w:szCs w:val="21"/>
        </w:rPr>
        <w:t>34.需要补充的其他内容</w:t>
      </w:r>
    </w:p>
    <w:p w14:paraId="7E3D1528">
      <w:pPr>
        <w:spacing w:line="360" w:lineRule="auto"/>
        <w:ind w:firstLine="420" w:firstLineChars="200"/>
        <w:rPr>
          <w:rFonts w:ascii="宋体" w:hAnsi="宋体" w:cs="宋体"/>
          <w:szCs w:val="21"/>
        </w:rPr>
      </w:pPr>
      <w:r>
        <w:rPr>
          <w:rFonts w:hint="eastAsia" w:ascii="宋体" w:hAnsi="宋体" w:cs="宋体"/>
          <w:szCs w:val="21"/>
        </w:rPr>
        <w:t>33.1自购买招标文件之日起，投标人应保证其提供的联系方式（电话、传真、电子邮件）一直有效，以便及时收到招标人发出的函件(招标文件的澄清、修改等)， 并应及时向招标人反馈信息，否则招标人不承担由此引起的一切后果。</w:t>
      </w:r>
    </w:p>
    <w:p w14:paraId="7933643B">
      <w:pPr>
        <w:spacing w:line="360" w:lineRule="auto"/>
        <w:ind w:firstLine="420" w:firstLineChars="200"/>
        <w:rPr>
          <w:rFonts w:ascii="宋体" w:hAnsi="宋体" w:cs="宋体"/>
          <w:szCs w:val="21"/>
        </w:rPr>
      </w:pPr>
      <w:r>
        <w:rPr>
          <w:rFonts w:hint="eastAsia" w:ascii="宋体" w:hAnsi="宋体" w:cs="宋体"/>
          <w:szCs w:val="21"/>
        </w:rPr>
        <w:t>需要补充的其他内容：见投标人须知前附表。</w:t>
      </w:r>
    </w:p>
    <w:p w14:paraId="3F0E80D9">
      <w:pPr>
        <w:pStyle w:val="3"/>
        <w:spacing w:line="400" w:lineRule="exact"/>
        <w:jc w:val="center"/>
      </w:pPr>
      <w:r>
        <w:br w:type="page"/>
      </w:r>
      <w:bookmarkStart w:id="267" w:name="_Toc30980"/>
      <w:bookmarkStart w:id="268" w:name="_Toc17302"/>
      <w:bookmarkStart w:id="269" w:name="_Toc13481"/>
      <w:bookmarkStart w:id="270" w:name="_Toc456863725"/>
      <w:bookmarkStart w:id="271" w:name="_Toc3702"/>
      <w:bookmarkStart w:id="272" w:name="_Toc23293"/>
      <w:r>
        <w:rPr>
          <w:rFonts w:hint="eastAsia"/>
        </w:rPr>
        <w:t>第三章</w:t>
      </w:r>
      <w:bookmarkEnd w:id="267"/>
      <w:bookmarkEnd w:id="268"/>
      <w:bookmarkEnd w:id="269"/>
      <w:bookmarkEnd w:id="270"/>
      <w:bookmarkEnd w:id="271"/>
      <w:bookmarkEnd w:id="272"/>
      <w:r>
        <w:rPr>
          <w:rFonts w:hint="eastAsia"/>
          <w:lang w:val="en-US" w:eastAsia="zh-CN"/>
        </w:rPr>
        <w:t xml:space="preserve"> </w:t>
      </w:r>
      <w:r>
        <w:rPr>
          <w:rFonts w:hint="eastAsia"/>
        </w:rPr>
        <w:t>工程量清单及其他要求</w:t>
      </w:r>
    </w:p>
    <w:p w14:paraId="7868691C">
      <w:pPr>
        <w:pStyle w:val="4"/>
        <w:spacing w:line="460" w:lineRule="exact"/>
        <w:rPr>
          <w:rFonts w:ascii="宋体" w:hAnsi="宋体" w:cs="宋体"/>
          <w:color w:val="000000" w:themeColor="text1"/>
          <w:kern w:val="2"/>
          <w:sz w:val="21"/>
          <w:szCs w:val="21"/>
          <w14:textFill>
            <w14:solidFill>
              <w14:schemeClr w14:val="tx1"/>
            </w14:solidFill>
          </w14:textFill>
        </w:rPr>
      </w:pPr>
      <w:bookmarkStart w:id="273" w:name="_Toc532465882"/>
      <w:bookmarkStart w:id="274" w:name="_Toc17300"/>
      <w:bookmarkStart w:id="275" w:name="_Toc398374519"/>
      <w:bookmarkStart w:id="276" w:name="_Toc19326"/>
      <w:bookmarkStart w:id="277" w:name="_Toc23874"/>
      <w:bookmarkStart w:id="278" w:name="_Toc23463"/>
      <w:bookmarkStart w:id="279" w:name="_Toc1637908"/>
      <w:bookmarkStart w:id="280" w:name="_Toc498955055"/>
      <w:bookmarkStart w:id="281" w:name="_Toc24227"/>
      <w:r>
        <w:rPr>
          <w:rFonts w:hint="eastAsia" w:ascii="宋体" w:hAnsi="宋体" w:cs="宋体"/>
          <w:color w:val="000000" w:themeColor="text1"/>
          <w:kern w:val="2"/>
          <w:sz w:val="21"/>
          <w:szCs w:val="21"/>
          <w14:textFill>
            <w14:solidFill>
              <w14:schemeClr w14:val="tx1"/>
            </w14:solidFill>
          </w14:textFill>
        </w:rPr>
        <w:t>一、项目概况：</w:t>
      </w:r>
    </w:p>
    <w:p w14:paraId="3EFBAD90">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工程概况：石山寨桥位于桂林市灌阳县境内G241线(呼和浩特-北海)K2814+890处，建成于1986年，所属路线等级为二级公路，全长7.80m，桥面全宽12.10m，上构采用1x5.4m整体现浇板，下构为重力式桥台;旧桥设计荷载:汽车-13级,现拆除重建桥梁，新建桥梁全长16.02m，桥面宽13m(0.5m墙式护栏+12.0m行车道+0.5m墙式护栏)，设计速度为40km/h，设计荷载等级为公路-I级，设计洪水频率为1/50，按度区抗震设防。</w:t>
      </w:r>
    </w:p>
    <w:p w14:paraId="5FCBD87A">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2.本工程招标范围：2024年普通国道危旧桥梁改造工程G241线K2814+890石山寨桥施工(具体内容详见工程量清单和施工图纸)。</w:t>
      </w:r>
    </w:p>
    <w:p w14:paraId="06F09E52">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3.质量要求：交工验收质量合格，竣工验收质量优良。</w:t>
      </w:r>
    </w:p>
    <w:p w14:paraId="3EB0044A">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lang w:bidi="zh-CN"/>
          <w14:textFill>
            <w14:solidFill>
              <w14:schemeClr w14:val="tx1"/>
            </w14:solidFill>
          </w14:textFill>
        </w:rPr>
        <w:t>安全目标</w:t>
      </w:r>
      <w:r>
        <w:rPr>
          <w:rFonts w:hint="eastAsia" w:ascii="宋体" w:hAnsi="宋体" w:cs="宋体"/>
          <w:color w:val="000000" w:themeColor="text1"/>
          <w:szCs w:val="21"/>
          <w14:textFill>
            <w14:solidFill>
              <w14:schemeClr w14:val="tx1"/>
            </w14:solidFill>
          </w14:textFill>
        </w:rPr>
        <w:t>：无安全生产责任事故。</w:t>
      </w:r>
    </w:p>
    <w:p w14:paraId="4EBB76A0">
      <w:pPr>
        <w:spacing w:line="46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5.工期要求：</w:t>
      </w:r>
      <w:r>
        <w:rPr>
          <w:rFonts w:hint="eastAsia" w:ascii="宋体" w:hAnsi="宋体" w:cs="宋体"/>
          <w:color w:val="000000" w:themeColor="text1"/>
          <w:szCs w:val="21"/>
          <w:u w:val="single"/>
          <w:lang w:val="en-US" w:eastAsia="zh-CN"/>
          <w14:textFill>
            <w14:solidFill>
              <w14:schemeClr w14:val="tx1"/>
            </w14:solidFill>
          </w14:textFill>
        </w:rPr>
        <w:t>150</w:t>
      </w:r>
      <w:r>
        <w:rPr>
          <w:rFonts w:hint="eastAsia" w:ascii="宋体" w:hAnsi="宋体" w:cs="宋体"/>
          <w:color w:val="000000" w:themeColor="text1"/>
          <w:szCs w:val="21"/>
          <w:u w:val="single"/>
          <w14:textFill>
            <w14:solidFill>
              <w14:schemeClr w14:val="tx1"/>
            </w14:solidFill>
          </w14:textFill>
        </w:rPr>
        <w:t>日历天（</w:t>
      </w:r>
      <w:r>
        <w:rPr>
          <w:rFonts w:hint="eastAsia" w:ascii="宋体" w:hAnsi="宋体" w:cs="宋体"/>
          <w:color w:val="000000" w:themeColor="text1"/>
          <w:szCs w:val="21"/>
          <w:u w:val="single"/>
          <w:lang w:val="en-US" w:eastAsia="zh-CN"/>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个月）</w:t>
      </w:r>
      <w:r>
        <w:rPr>
          <w:rFonts w:hint="eastAsia" w:ascii="宋体" w:hAnsi="宋体" w:cs="宋体"/>
          <w:color w:val="000000" w:themeColor="text1"/>
          <w:szCs w:val="21"/>
          <w14:textFill>
            <w14:solidFill>
              <w14:schemeClr w14:val="tx1"/>
            </w14:solidFill>
          </w14:textFill>
        </w:rPr>
        <w:t>。</w:t>
      </w:r>
    </w:p>
    <w:p w14:paraId="28F37F31">
      <w:pPr>
        <w:spacing w:line="460" w:lineRule="exact"/>
        <w:rPr>
          <w:rFonts w:ascii="宋体" w:hAnsi="宋体" w:cs="宋体"/>
          <w:b/>
          <w:color w:val="auto"/>
          <w:szCs w:val="21"/>
        </w:rPr>
      </w:pPr>
      <w:r>
        <w:rPr>
          <w:rFonts w:hint="eastAsia" w:ascii="宋体" w:hAnsi="宋体" w:cs="宋体"/>
          <w:b/>
          <w:color w:val="000000" w:themeColor="text1"/>
          <w:szCs w:val="21"/>
          <w14:textFill>
            <w14:solidFill>
              <w14:schemeClr w14:val="tx1"/>
            </w14:solidFill>
          </w14:textFill>
        </w:rPr>
        <w:t>二、</w:t>
      </w:r>
      <w:r>
        <w:rPr>
          <w:rFonts w:hint="eastAsia" w:ascii="宋体" w:hAnsi="宋体" w:cs="宋体"/>
          <w:b/>
          <w:color w:val="auto"/>
          <w:szCs w:val="21"/>
        </w:rPr>
        <w:t>编制原则与依据：</w:t>
      </w:r>
    </w:p>
    <w:p w14:paraId="5289F167">
      <w:pPr>
        <w:spacing w:line="460" w:lineRule="exact"/>
        <w:ind w:left="2" w:firstLine="420" w:firstLineChars="200"/>
        <w:rPr>
          <w:rFonts w:hint="eastAsia" w:ascii="宋体" w:hAnsi="宋体"/>
          <w:color w:val="auto"/>
          <w:szCs w:val="21"/>
        </w:rPr>
      </w:pPr>
      <w:r>
        <w:rPr>
          <w:rFonts w:hint="eastAsia" w:ascii="宋体" w:hAnsi="宋体"/>
          <w:color w:val="auto"/>
          <w:szCs w:val="21"/>
        </w:rPr>
        <w:t>1、广西壮族自治区市场监督管理局发布《公路养护预算编制办法及定额 第 1 部分：公路养护工程预算编制办法及定额》（DB 45/T 2228.1-2020）(以下简称《编制办法》)。</w:t>
      </w:r>
    </w:p>
    <w:p w14:paraId="66EFE9D6">
      <w:pPr>
        <w:spacing w:line="460" w:lineRule="exact"/>
        <w:ind w:left="2" w:firstLine="420" w:firstLineChars="200"/>
        <w:rPr>
          <w:rFonts w:hint="eastAsia" w:ascii="宋体" w:hAnsi="宋体"/>
          <w:color w:val="auto"/>
          <w:szCs w:val="21"/>
        </w:rPr>
      </w:pPr>
      <w:r>
        <w:rPr>
          <w:rFonts w:hint="eastAsia" w:ascii="宋体" w:hAnsi="宋体"/>
          <w:color w:val="auto"/>
          <w:szCs w:val="21"/>
        </w:rPr>
        <w:t>2、交通运输部《关于公路工程标准施工招标文件及公路工程标准施工招标资格预审文件 2018 版的公告》（2017年第51号）。</w:t>
      </w:r>
    </w:p>
    <w:p w14:paraId="4B8C5CCB">
      <w:pPr>
        <w:spacing w:line="460" w:lineRule="exact"/>
        <w:ind w:left="2" w:firstLine="420" w:firstLineChars="200"/>
        <w:rPr>
          <w:rFonts w:hint="eastAsia" w:ascii="宋体" w:hAnsi="宋体"/>
          <w:color w:val="auto"/>
          <w:szCs w:val="21"/>
        </w:rPr>
      </w:pPr>
      <w:r>
        <w:rPr>
          <w:rFonts w:hint="eastAsia" w:ascii="宋体" w:hAnsi="宋体"/>
          <w:color w:val="auto"/>
          <w:szCs w:val="21"/>
        </w:rPr>
        <w:t>3、交通部 JTG 3830-2018《公路工程建设项目概算预算编制办法》（以下简称编制办法）。</w:t>
      </w:r>
    </w:p>
    <w:p w14:paraId="16917735">
      <w:pPr>
        <w:spacing w:line="460" w:lineRule="exact"/>
        <w:ind w:left="2" w:firstLine="420" w:firstLineChars="200"/>
        <w:rPr>
          <w:rFonts w:hint="eastAsia" w:ascii="宋体" w:hAnsi="宋体"/>
          <w:color w:val="auto"/>
          <w:szCs w:val="21"/>
        </w:rPr>
      </w:pPr>
      <w:r>
        <w:rPr>
          <w:rFonts w:hint="eastAsia" w:ascii="宋体" w:hAnsi="宋体"/>
          <w:color w:val="auto"/>
          <w:szCs w:val="21"/>
        </w:rPr>
        <w:t>4、交通部 JTG/T 3831-2018《公路工程概算定额》、交通部 JTG/T 3832-2018《公路工程预算定额》、交通部 JTG/T 3833-2018《公路工程机械台班费用定额》。</w:t>
      </w:r>
    </w:p>
    <w:p w14:paraId="6C22C3CC">
      <w:pPr>
        <w:spacing w:line="460" w:lineRule="exact"/>
        <w:ind w:left="2" w:firstLine="420" w:firstLineChars="200"/>
        <w:rPr>
          <w:rFonts w:hint="eastAsia" w:ascii="宋体" w:hAnsi="宋体"/>
          <w:color w:val="auto"/>
          <w:szCs w:val="21"/>
        </w:rPr>
      </w:pPr>
      <w:r>
        <w:rPr>
          <w:rFonts w:hint="eastAsia" w:ascii="宋体" w:hAnsi="宋体"/>
          <w:color w:val="auto"/>
          <w:szCs w:val="21"/>
        </w:rPr>
        <w:t xml:space="preserve">5、桂交监造价发[2016]1 号《广西壮族自治区交通工程造价管理站关于印发广西公路工程材料价格“营改增”调整方案的通知》 </w:t>
      </w:r>
    </w:p>
    <w:p w14:paraId="53A6F04B">
      <w:pPr>
        <w:spacing w:line="460" w:lineRule="exact"/>
        <w:ind w:left="2" w:firstLine="420" w:firstLineChars="200"/>
        <w:rPr>
          <w:rFonts w:hint="eastAsia" w:ascii="宋体" w:hAnsi="宋体"/>
          <w:color w:val="auto"/>
          <w:szCs w:val="21"/>
        </w:rPr>
      </w:pPr>
      <w:r>
        <w:rPr>
          <w:rFonts w:hint="eastAsia" w:ascii="宋体" w:hAnsi="宋体"/>
          <w:color w:val="auto"/>
          <w:szCs w:val="21"/>
        </w:rPr>
        <w:t>6、交办公路[2016]66 号交通运输部办公厅关于印发《公路工程营业税改增值税计价依据调整方案》的通知。</w:t>
      </w:r>
    </w:p>
    <w:p w14:paraId="47CB44CF">
      <w:pPr>
        <w:spacing w:line="460" w:lineRule="exact"/>
        <w:ind w:left="2" w:firstLine="420" w:firstLineChars="200"/>
        <w:rPr>
          <w:rFonts w:hint="eastAsia" w:ascii="宋体" w:hAnsi="宋体"/>
          <w:color w:val="auto"/>
          <w:szCs w:val="21"/>
        </w:rPr>
      </w:pPr>
      <w:r>
        <w:rPr>
          <w:rFonts w:hint="eastAsia" w:ascii="宋体" w:hAnsi="宋体"/>
          <w:color w:val="auto"/>
          <w:szCs w:val="21"/>
        </w:rPr>
        <w:t>7、《广西壮族自治区交通运输厅关于印发公路工程建设项目估算概算预算编制广西补充规定的通知》桂交建管发[2019]39号。</w:t>
      </w:r>
    </w:p>
    <w:p w14:paraId="63DE0D8C">
      <w:pPr>
        <w:spacing w:line="460" w:lineRule="exact"/>
        <w:ind w:left="2" w:firstLine="420" w:firstLineChars="200"/>
        <w:rPr>
          <w:rFonts w:hint="eastAsia" w:ascii="宋体" w:hAnsi="宋体"/>
          <w:color w:val="auto"/>
          <w:szCs w:val="21"/>
        </w:rPr>
      </w:pPr>
      <w:r>
        <w:rPr>
          <w:rFonts w:hint="eastAsia" w:ascii="宋体" w:hAnsi="宋体"/>
          <w:color w:val="auto"/>
          <w:szCs w:val="21"/>
        </w:rPr>
        <w:t>8、交通部第26号《关于调整&lt;公路工程建设项目投资估算编制办法&gt;和&lt;公路工程建设项目概算预算编制办法&gt;中“税金”有关的公告》。</w:t>
      </w:r>
    </w:p>
    <w:p w14:paraId="5FEC62D5">
      <w:pPr>
        <w:spacing w:line="460" w:lineRule="exact"/>
        <w:ind w:left="2" w:firstLine="420" w:firstLineChars="200"/>
        <w:rPr>
          <w:rFonts w:hint="eastAsia" w:ascii="宋体" w:hAnsi="宋体"/>
          <w:color w:val="auto"/>
          <w:szCs w:val="21"/>
        </w:rPr>
      </w:pPr>
      <w:r>
        <w:rPr>
          <w:rFonts w:hint="eastAsia" w:ascii="宋体" w:hAnsi="宋体"/>
          <w:color w:val="auto"/>
          <w:szCs w:val="21"/>
        </w:rPr>
        <w:t>9、广西桂林市住房和城乡建设局网站，2024年第3期《桂林市建设工程造价信息》。</w:t>
      </w:r>
    </w:p>
    <w:p w14:paraId="2F1565C6">
      <w:pPr>
        <w:spacing w:line="460" w:lineRule="exact"/>
        <w:ind w:left="2" w:firstLine="420" w:firstLineChars="200"/>
        <w:rPr>
          <w:rFonts w:hint="eastAsia" w:ascii="宋体" w:hAnsi="宋体"/>
          <w:color w:val="auto"/>
          <w:szCs w:val="21"/>
        </w:rPr>
      </w:pPr>
      <w:r>
        <w:rPr>
          <w:rFonts w:hint="eastAsia" w:ascii="宋体" w:hAnsi="宋体"/>
          <w:color w:val="auto"/>
          <w:szCs w:val="21"/>
        </w:rPr>
        <w:t>10、广西壮族自治区交通运输工程造价事务中心《关于发布2024年2月份高速公路工程材料指导价格的通知》（桂交监造价函【2024】7号）</w:t>
      </w:r>
    </w:p>
    <w:p w14:paraId="70A5F6AA">
      <w:pPr>
        <w:spacing w:line="460" w:lineRule="exact"/>
        <w:ind w:left="2" w:firstLine="420" w:firstLineChars="200"/>
        <w:rPr>
          <w:rFonts w:hint="eastAsia" w:ascii="宋体" w:hAnsi="宋体"/>
          <w:color w:val="auto"/>
          <w:szCs w:val="21"/>
        </w:rPr>
      </w:pPr>
      <w:r>
        <w:rPr>
          <w:rFonts w:hint="eastAsia" w:ascii="宋体" w:hAnsi="宋体"/>
          <w:color w:val="auto"/>
          <w:szCs w:val="21"/>
        </w:rPr>
        <w:t>11、《2024年普通国道危旧桥梁改造工程G241线K2814+890石山寨桥》施工图设计图纸。</w:t>
      </w:r>
    </w:p>
    <w:p w14:paraId="742C0D44">
      <w:pPr>
        <w:spacing w:line="460" w:lineRule="exact"/>
        <w:ind w:left="2" w:firstLine="422" w:firstLineChars="200"/>
        <w:rPr>
          <w:rFonts w:hint="eastAsia" w:ascii="宋体" w:hAnsi="宋体"/>
          <w:color w:val="auto"/>
          <w:szCs w:val="21"/>
        </w:rPr>
      </w:pPr>
      <w:r>
        <w:rPr>
          <w:rFonts w:hint="eastAsia" w:ascii="宋体" w:hAnsi="宋体"/>
          <w:b/>
          <w:bCs/>
          <w:color w:val="auto"/>
          <w:szCs w:val="21"/>
        </w:rPr>
        <w:t>三、建筑安装工程费</w:t>
      </w:r>
    </w:p>
    <w:p w14:paraId="16963E61">
      <w:pPr>
        <w:spacing w:line="460" w:lineRule="exact"/>
        <w:ind w:left="2" w:firstLine="420" w:firstLineChars="200"/>
        <w:rPr>
          <w:rFonts w:hint="eastAsia" w:ascii="宋体" w:hAnsi="宋体"/>
          <w:color w:val="auto"/>
          <w:szCs w:val="21"/>
        </w:rPr>
      </w:pPr>
      <w:r>
        <w:rPr>
          <w:rFonts w:hint="eastAsia" w:ascii="宋体" w:hAnsi="宋体"/>
          <w:color w:val="auto"/>
          <w:szCs w:val="21"/>
        </w:rPr>
        <w:t>1、直接费：</w:t>
      </w:r>
    </w:p>
    <w:p w14:paraId="18A456B4">
      <w:pPr>
        <w:spacing w:line="460" w:lineRule="exact"/>
        <w:ind w:left="2" w:firstLine="420" w:firstLineChars="200"/>
        <w:rPr>
          <w:rFonts w:hint="eastAsia" w:ascii="宋体" w:hAnsi="宋体"/>
          <w:color w:val="auto"/>
          <w:szCs w:val="21"/>
        </w:rPr>
      </w:pPr>
      <w:r>
        <w:rPr>
          <w:rFonts w:hint="eastAsia" w:ascii="宋体" w:hAnsi="宋体"/>
          <w:color w:val="auto"/>
          <w:szCs w:val="21"/>
        </w:rPr>
        <w:t>1.1人工费：根据《广西壮族自治区交通运输厅关于印发公路工程建设项目估算概算预算编制广西补充规定的通知》桂交建管发[2019]39号，人工费单价（含机械人工）全区统一为101.25 元／工日。</w:t>
      </w:r>
    </w:p>
    <w:p w14:paraId="346E2F34">
      <w:pPr>
        <w:spacing w:line="460" w:lineRule="exact"/>
        <w:ind w:left="2" w:firstLine="420" w:firstLineChars="200"/>
        <w:rPr>
          <w:rFonts w:hint="eastAsia" w:ascii="宋体" w:hAnsi="宋体"/>
          <w:color w:val="auto"/>
          <w:szCs w:val="21"/>
        </w:rPr>
      </w:pPr>
      <w:r>
        <w:rPr>
          <w:rFonts w:hint="eastAsia" w:ascii="宋体" w:hAnsi="宋体"/>
          <w:color w:val="auto"/>
          <w:szCs w:val="21"/>
        </w:rPr>
        <w:t xml:space="preserve">1.2 材料预算单价：材料单价2024年第3期《桂林市建设工程造价信息》。计算。工程所需砂石料、钢材、水泥、木材等均从灌阳县城运至工地，运距18km。 </w:t>
      </w:r>
    </w:p>
    <w:p w14:paraId="01B8E46A">
      <w:pPr>
        <w:spacing w:line="460" w:lineRule="exact"/>
        <w:ind w:left="2" w:firstLine="420" w:firstLineChars="200"/>
        <w:rPr>
          <w:rFonts w:hint="eastAsia" w:ascii="宋体" w:hAnsi="宋体"/>
          <w:color w:val="auto"/>
          <w:szCs w:val="21"/>
        </w:rPr>
      </w:pPr>
      <w:r>
        <w:rPr>
          <w:rFonts w:hint="eastAsia" w:ascii="宋体" w:hAnsi="宋体"/>
          <w:color w:val="auto"/>
          <w:szCs w:val="21"/>
        </w:rPr>
        <w:t>1.3 机械台班费：根据《广西壮族自治区交通运输厅关于印发公路工程建设项目估算概算预算编制广西补充规定的通知》桂交建管发[2019]39号计算，其不变费用直接采用定额数；可变费用中人工按101.25 元/工日。</w:t>
      </w:r>
    </w:p>
    <w:p w14:paraId="6835DB05">
      <w:pPr>
        <w:spacing w:line="460" w:lineRule="exact"/>
        <w:ind w:left="2" w:firstLine="420" w:firstLineChars="200"/>
        <w:rPr>
          <w:rFonts w:hint="eastAsia" w:ascii="宋体" w:hAnsi="宋体"/>
          <w:color w:val="auto"/>
          <w:szCs w:val="21"/>
        </w:rPr>
      </w:pPr>
      <w:r>
        <w:rPr>
          <w:rFonts w:hint="eastAsia" w:ascii="宋体" w:hAnsi="宋体"/>
          <w:color w:val="auto"/>
          <w:szCs w:val="21"/>
        </w:rPr>
        <w:t>2、措施费：按《编制办法》及《补充规定》的规定计算。</w:t>
      </w:r>
    </w:p>
    <w:p w14:paraId="64884A79">
      <w:pPr>
        <w:spacing w:line="460" w:lineRule="exact"/>
        <w:ind w:left="2" w:firstLine="420" w:firstLineChars="200"/>
        <w:rPr>
          <w:rFonts w:hint="eastAsia" w:ascii="宋体" w:hAnsi="宋体"/>
          <w:color w:val="auto"/>
          <w:szCs w:val="21"/>
        </w:rPr>
      </w:pPr>
      <w:r>
        <w:rPr>
          <w:rFonts w:hint="eastAsia" w:ascii="宋体" w:hAnsi="宋体"/>
          <w:color w:val="auto"/>
          <w:szCs w:val="21"/>
        </w:rPr>
        <w:t>1.1 冬季施工增加费：不计。</w:t>
      </w:r>
    </w:p>
    <w:p w14:paraId="31BAF41F">
      <w:pPr>
        <w:spacing w:line="460" w:lineRule="exact"/>
        <w:ind w:left="2" w:firstLine="420" w:firstLineChars="200"/>
        <w:rPr>
          <w:rFonts w:hint="eastAsia" w:ascii="宋体" w:hAnsi="宋体"/>
          <w:color w:val="auto"/>
          <w:szCs w:val="21"/>
        </w:rPr>
      </w:pPr>
      <w:r>
        <w:rPr>
          <w:rFonts w:hint="eastAsia" w:ascii="宋体" w:hAnsi="宋体"/>
          <w:color w:val="auto"/>
          <w:szCs w:val="21"/>
        </w:rPr>
        <w:t>1.2 雨季施工增加费：Ⅱ区 6 个月。</w:t>
      </w:r>
    </w:p>
    <w:p w14:paraId="052A2EAE">
      <w:pPr>
        <w:spacing w:line="460" w:lineRule="exact"/>
        <w:ind w:left="2" w:firstLine="420" w:firstLineChars="200"/>
        <w:rPr>
          <w:rFonts w:hint="eastAsia" w:ascii="宋体" w:hAnsi="宋体"/>
          <w:color w:val="auto"/>
          <w:szCs w:val="21"/>
        </w:rPr>
      </w:pPr>
      <w:r>
        <w:rPr>
          <w:rFonts w:hint="eastAsia" w:ascii="宋体" w:hAnsi="宋体"/>
          <w:color w:val="auto"/>
          <w:szCs w:val="21"/>
        </w:rPr>
        <w:t>1.3 夜间施工增加费：计。</w:t>
      </w:r>
    </w:p>
    <w:p w14:paraId="3BF7F1E9">
      <w:pPr>
        <w:spacing w:line="460" w:lineRule="exact"/>
        <w:ind w:left="2" w:firstLine="420" w:firstLineChars="200"/>
        <w:rPr>
          <w:rFonts w:hint="eastAsia" w:ascii="宋体" w:hAnsi="宋体"/>
          <w:color w:val="auto"/>
          <w:szCs w:val="21"/>
        </w:rPr>
      </w:pPr>
      <w:r>
        <w:rPr>
          <w:rFonts w:hint="eastAsia" w:ascii="宋体" w:hAnsi="宋体"/>
          <w:color w:val="auto"/>
          <w:szCs w:val="21"/>
        </w:rPr>
        <w:t>1.4 施工辅助费：计。</w:t>
      </w:r>
    </w:p>
    <w:p w14:paraId="02FE1618">
      <w:pPr>
        <w:spacing w:line="460" w:lineRule="exact"/>
        <w:ind w:left="2" w:firstLine="420" w:firstLineChars="200"/>
        <w:rPr>
          <w:rFonts w:hint="eastAsia" w:ascii="宋体" w:hAnsi="宋体"/>
          <w:color w:val="auto"/>
          <w:szCs w:val="21"/>
        </w:rPr>
      </w:pPr>
      <w:r>
        <w:rPr>
          <w:rFonts w:hint="eastAsia" w:ascii="宋体" w:hAnsi="宋体"/>
          <w:color w:val="auto"/>
          <w:szCs w:val="21"/>
        </w:rPr>
        <w:t>1.5 工地转移费：按 130km 计。</w:t>
      </w:r>
    </w:p>
    <w:p w14:paraId="4D12CBD0">
      <w:pPr>
        <w:spacing w:line="460" w:lineRule="exact"/>
        <w:ind w:left="2" w:firstLine="420" w:firstLineChars="200"/>
        <w:rPr>
          <w:rFonts w:hint="eastAsia" w:ascii="宋体" w:hAnsi="宋体"/>
          <w:color w:val="auto"/>
          <w:szCs w:val="21"/>
        </w:rPr>
      </w:pPr>
      <w:r>
        <w:rPr>
          <w:rFonts w:hint="eastAsia" w:ascii="宋体" w:hAnsi="宋体"/>
          <w:color w:val="auto"/>
          <w:szCs w:val="21"/>
        </w:rPr>
        <w:t>1.6 行车干扰：按401-2000（二级及以下公路）。</w:t>
      </w:r>
    </w:p>
    <w:p w14:paraId="2BF86762">
      <w:pPr>
        <w:spacing w:line="460" w:lineRule="exact"/>
        <w:ind w:left="2" w:firstLine="420" w:firstLineChars="200"/>
        <w:rPr>
          <w:rFonts w:hint="eastAsia" w:ascii="宋体" w:hAnsi="宋体"/>
          <w:color w:val="auto"/>
          <w:szCs w:val="21"/>
        </w:rPr>
      </w:pPr>
      <w:r>
        <w:rPr>
          <w:rFonts w:hint="eastAsia" w:ascii="宋体" w:hAnsi="宋体"/>
          <w:color w:val="auto"/>
          <w:szCs w:val="21"/>
        </w:rPr>
        <w:t>3、规费：根据《广西公路预防养护工程（除路面外）、专项养护工程、修护养护的中修工程费率标准（DB45/T2228.1-2020）》桂交标委[2021]30号计取，养护工程分类为专项养护工程，按Ⅱ类取费，养老保险费16%、失业保险费 0.5%、医疗保险费7.5%、住房公积金8.5%，工伤保险费1%。</w:t>
      </w:r>
    </w:p>
    <w:p w14:paraId="1B2A98C7">
      <w:pPr>
        <w:spacing w:line="460" w:lineRule="exact"/>
        <w:ind w:left="2" w:firstLine="420" w:firstLineChars="200"/>
        <w:rPr>
          <w:rFonts w:hint="eastAsia" w:ascii="宋体" w:hAnsi="宋体"/>
          <w:color w:val="auto"/>
          <w:szCs w:val="21"/>
        </w:rPr>
      </w:pPr>
      <w:r>
        <w:rPr>
          <w:rFonts w:hint="eastAsia" w:ascii="宋体" w:hAnsi="宋体"/>
          <w:color w:val="auto"/>
          <w:szCs w:val="21"/>
        </w:rPr>
        <w:t>4、 综合里程按3km 计、职工探亲路费不计、财务费用计。</w:t>
      </w:r>
    </w:p>
    <w:p w14:paraId="1D30AA13">
      <w:pPr>
        <w:spacing w:line="460" w:lineRule="exact"/>
        <w:ind w:left="2" w:firstLine="420" w:firstLineChars="200"/>
        <w:rPr>
          <w:rFonts w:hint="eastAsia" w:ascii="宋体" w:hAnsi="宋体"/>
          <w:color w:val="auto"/>
          <w:szCs w:val="21"/>
        </w:rPr>
      </w:pPr>
      <w:r>
        <w:rPr>
          <w:rFonts w:hint="eastAsia" w:ascii="宋体" w:hAnsi="宋体"/>
          <w:color w:val="auto"/>
          <w:szCs w:val="21"/>
        </w:rPr>
        <w:t>5、利润：根据《编制办法》按定额直接费及措施费、企业管理费之和的7.42%计算。</w:t>
      </w:r>
    </w:p>
    <w:p w14:paraId="66AE1086">
      <w:pPr>
        <w:spacing w:line="460" w:lineRule="exact"/>
        <w:ind w:left="2" w:firstLine="420" w:firstLineChars="200"/>
        <w:rPr>
          <w:rFonts w:hint="eastAsia" w:ascii="宋体" w:hAnsi="宋体"/>
          <w:color w:val="auto"/>
          <w:szCs w:val="21"/>
        </w:rPr>
      </w:pPr>
      <w:r>
        <w:rPr>
          <w:rFonts w:hint="eastAsia" w:ascii="宋体" w:hAnsi="宋体"/>
          <w:color w:val="auto"/>
          <w:szCs w:val="21"/>
        </w:rPr>
        <w:t>6、税金：交通部第 26 号《关于调整&lt;公路工程建设项目投资估算编制办法&gt;和&lt;公路工程建设项目概算预算编制办法&gt;中“税金”有关的公告》,综合费率取9%。</w:t>
      </w:r>
    </w:p>
    <w:p w14:paraId="3C9F5668">
      <w:pPr>
        <w:spacing w:line="460" w:lineRule="exact"/>
        <w:ind w:left="2" w:firstLine="422" w:firstLineChars="200"/>
        <w:rPr>
          <w:rFonts w:hint="eastAsia" w:ascii="宋体" w:hAnsi="宋体"/>
          <w:color w:val="auto"/>
          <w:szCs w:val="21"/>
        </w:rPr>
      </w:pPr>
      <w:r>
        <w:rPr>
          <w:rFonts w:hint="eastAsia" w:ascii="宋体" w:hAnsi="宋体"/>
          <w:b/>
          <w:bCs/>
          <w:color w:val="auto"/>
          <w:szCs w:val="21"/>
        </w:rPr>
        <w:t>四、其他</w:t>
      </w:r>
    </w:p>
    <w:p w14:paraId="530D3260">
      <w:pPr>
        <w:spacing w:line="460" w:lineRule="exact"/>
        <w:ind w:left="2" w:firstLine="420" w:firstLineChars="200"/>
        <w:rPr>
          <w:rFonts w:hint="eastAsia" w:ascii="宋体" w:hAnsi="宋体"/>
          <w:color w:val="auto"/>
          <w:szCs w:val="21"/>
        </w:rPr>
      </w:pPr>
      <w:r>
        <w:rPr>
          <w:rFonts w:hint="eastAsia" w:ascii="宋体" w:hAnsi="宋体"/>
          <w:color w:val="auto"/>
          <w:szCs w:val="21"/>
        </w:rPr>
        <w:t>1、保险费：</w:t>
      </w:r>
    </w:p>
    <w:p w14:paraId="135653D1">
      <w:pPr>
        <w:spacing w:line="460" w:lineRule="exact"/>
        <w:ind w:left="2" w:firstLine="420" w:firstLineChars="200"/>
        <w:rPr>
          <w:rFonts w:hint="eastAsia" w:ascii="宋体" w:hAnsi="宋体"/>
          <w:color w:val="auto"/>
          <w:szCs w:val="21"/>
        </w:rPr>
      </w:pPr>
      <w:r>
        <w:rPr>
          <w:rFonts w:hint="eastAsia" w:ascii="宋体" w:hAnsi="宋体"/>
          <w:color w:val="auto"/>
          <w:szCs w:val="21"/>
        </w:rPr>
        <w:t>1.1 建筑工程一切险，以工程量清单第100章至第700章合计为基数，按0.3%费率计；</w:t>
      </w:r>
    </w:p>
    <w:p w14:paraId="761868E7">
      <w:pPr>
        <w:spacing w:line="460" w:lineRule="exact"/>
        <w:ind w:left="2" w:firstLine="420" w:firstLineChars="200"/>
        <w:rPr>
          <w:rFonts w:hint="eastAsia" w:ascii="宋体" w:hAnsi="宋体"/>
          <w:color w:val="auto"/>
          <w:szCs w:val="21"/>
        </w:rPr>
      </w:pPr>
      <w:r>
        <w:rPr>
          <w:rFonts w:hint="eastAsia" w:ascii="宋体" w:hAnsi="宋体"/>
          <w:color w:val="auto"/>
          <w:szCs w:val="21"/>
        </w:rPr>
        <w:t>1.2 第三者责任险，以工程量清单第100章至第700章合计为基数，按0.1%费率计；</w:t>
      </w:r>
    </w:p>
    <w:p w14:paraId="5EB43635">
      <w:pPr>
        <w:spacing w:line="460" w:lineRule="exact"/>
        <w:ind w:left="2" w:firstLine="420" w:firstLineChars="200"/>
        <w:rPr>
          <w:rFonts w:hint="eastAsia" w:ascii="宋体" w:hAnsi="宋体"/>
          <w:color w:val="auto"/>
          <w:szCs w:val="21"/>
        </w:rPr>
      </w:pPr>
      <w:r>
        <w:rPr>
          <w:rFonts w:hint="eastAsia" w:ascii="宋体" w:hAnsi="宋体"/>
          <w:color w:val="auto"/>
          <w:szCs w:val="21"/>
        </w:rPr>
        <w:t>1.3 交通运输行业安全生产责任保险根据桂交安监函〔2021﹞89号文件，按0.15%计列。</w:t>
      </w:r>
    </w:p>
    <w:p w14:paraId="562EE921">
      <w:pPr>
        <w:spacing w:line="460" w:lineRule="exact"/>
        <w:ind w:left="2" w:firstLine="420" w:firstLineChars="200"/>
        <w:rPr>
          <w:rFonts w:hint="eastAsia" w:ascii="宋体" w:hAnsi="宋体"/>
          <w:color w:val="auto"/>
          <w:szCs w:val="21"/>
        </w:rPr>
      </w:pPr>
      <w:r>
        <w:rPr>
          <w:rFonts w:hint="eastAsia" w:ascii="宋体" w:hAnsi="宋体"/>
          <w:color w:val="auto"/>
          <w:szCs w:val="21"/>
        </w:rPr>
        <w:t>2、安全生产费：以工程量清单第100章至第700章合计为基数，按1.5%计；</w:t>
      </w:r>
    </w:p>
    <w:p w14:paraId="1ED03DE1">
      <w:pPr>
        <w:spacing w:line="460" w:lineRule="exact"/>
        <w:ind w:left="2" w:firstLine="420" w:firstLineChars="200"/>
        <w:rPr>
          <w:rFonts w:hint="eastAsia" w:ascii="宋体" w:hAnsi="宋体"/>
          <w:color w:val="auto"/>
          <w:szCs w:val="21"/>
        </w:rPr>
      </w:pPr>
      <w:r>
        <w:rPr>
          <w:rFonts w:hint="eastAsia" w:ascii="宋体" w:hAnsi="宋体"/>
          <w:color w:val="auto"/>
          <w:szCs w:val="21"/>
        </w:rPr>
        <w:t>3、承包人驻地建设费：根据编制办法计，施工场地计费基数为定额建筑安装工程费扣除专项费的5.338%*15% 计取。</w:t>
      </w:r>
    </w:p>
    <w:p w14:paraId="380BFFAD">
      <w:pPr>
        <w:spacing w:line="460" w:lineRule="exact"/>
        <w:ind w:left="2" w:firstLine="420" w:firstLineChars="200"/>
        <w:rPr>
          <w:rFonts w:hint="eastAsia" w:ascii="宋体" w:hAnsi="宋体"/>
          <w:color w:val="auto"/>
          <w:szCs w:val="21"/>
        </w:rPr>
      </w:pPr>
      <w:r>
        <w:rPr>
          <w:rFonts w:hint="eastAsia" w:ascii="宋体" w:hAnsi="宋体"/>
          <w:color w:val="auto"/>
          <w:szCs w:val="21"/>
        </w:rPr>
        <w:t>4、暂列金额：以工程量清单第100章至第700章合计为基数，按3%计价。</w:t>
      </w:r>
    </w:p>
    <w:p w14:paraId="1B17C281">
      <w:pPr>
        <w:spacing w:line="460" w:lineRule="exact"/>
        <w:ind w:left="2" w:firstLine="420" w:firstLineChars="200"/>
        <w:rPr>
          <w:rFonts w:hint="eastAsia" w:ascii="宋体" w:hAnsi="宋体"/>
          <w:color w:val="auto"/>
          <w:szCs w:val="21"/>
        </w:rPr>
      </w:pPr>
      <w:r>
        <w:rPr>
          <w:rFonts w:hint="eastAsia" w:ascii="宋体" w:hAnsi="宋体"/>
          <w:color w:val="auto"/>
          <w:szCs w:val="21"/>
        </w:rPr>
        <w:t>四、清单预算金额</w:t>
      </w:r>
    </w:p>
    <w:p w14:paraId="274C78EB">
      <w:pPr>
        <w:pStyle w:val="4"/>
        <w:spacing w:line="460" w:lineRule="exact"/>
        <w:ind w:firstLine="420" w:firstLineChars="200"/>
        <w:rPr>
          <w:rFonts w:ascii="宋体" w:hAnsi="宋体" w:cs="宋体"/>
          <w:b w:val="0"/>
          <w:color w:val="auto"/>
          <w:sz w:val="21"/>
          <w:szCs w:val="21"/>
        </w:rPr>
      </w:pPr>
      <w:r>
        <w:rPr>
          <w:rFonts w:hint="eastAsia" w:ascii="宋体" w:hAnsi="宋体"/>
          <w:b w:val="0"/>
          <w:bCs w:val="0"/>
          <w:color w:val="auto"/>
          <w:kern w:val="2"/>
          <w:sz w:val="21"/>
          <w:szCs w:val="21"/>
        </w:rPr>
        <w:t>本次工程量清单预算总金额为1193000.00元</w:t>
      </w:r>
      <w:r>
        <w:rPr>
          <w:rFonts w:hint="eastAsia" w:ascii="宋体" w:hAnsi="宋体"/>
          <w:b w:val="0"/>
          <w:bCs w:val="0"/>
          <w:color w:val="auto"/>
          <w:kern w:val="2"/>
          <w:sz w:val="21"/>
          <w:szCs w:val="21"/>
          <w:lang w:eastAsia="zh-CN"/>
        </w:rPr>
        <w:t>。</w:t>
      </w:r>
    </w:p>
    <w:p w14:paraId="46F75062">
      <w:pPr>
        <w:pStyle w:val="4"/>
        <w:spacing w:line="460" w:lineRule="exact"/>
        <w:rPr>
          <w:rFonts w:ascii="宋体" w:hAnsi="宋体" w:cs="宋体"/>
          <w:bCs w:val="0"/>
          <w:color w:val="000000" w:themeColor="text1"/>
          <w:sz w:val="21"/>
          <w:szCs w:val="21"/>
          <w14:textFill>
            <w14:solidFill>
              <w14:schemeClr w14:val="tx1"/>
            </w14:solidFill>
          </w14:textFill>
        </w:rPr>
      </w:pPr>
      <w:r>
        <w:rPr>
          <w:rFonts w:hint="eastAsia" w:ascii="宋体" w:hAnsi="宋体" w:cs="宋体"/>
          <w:bCs w:val="0"/>
          <w:color w:val="000000" w:themeColor="text1"/>
          <w:sz w:val="21"/>
          <w:szCs w:val="21"/>
          <w14:textFill>
            <w14:solidFill>
              <w14:schemeClr w14:val="tx1"/>
            </w14:solidFill>
          </w14:textFill>
        </w:rPr>
        <w:t>五、项目招标工程量清单：详见采购文件附件</w:t>
      </w:r>
    </w:p>
    <w:p w14:paraId="10F4FA03">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六、项目经理和项目总工最低要求</w:t>
      </w:r>
    </w:p>
    <w:p w14:paraId="492079CB">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6.1项目经理：</w:t>
      </w:r>
    </w:p>
    <w:p w14:paraId="7D43A715">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6.1.1具有公路工程专业二级或以上执业注册建造师证和省级或以上交通运输行政主管部门颁发的安全生产考核合格证（“三类人员”B类证书）。</w:t>
      </w:r>
    </w:p>
    <w:p w14:paraId="16ACA138">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6.1.2具有工程师（或以上）职称（路桥类专业）。</w:t>
      </w:r>
    </w:p>
    <w:p w14:paraId="773BDDDF">
      <w:pPr>
        <w:spacing w:line="354" w:lineRule="exact"/>
        <w:ind w:firstLine="420" w:firstLineChars="200"/>
        <w:jc w:val="left"/>
        <w:rPr>
          <w:rFonts w:ascii="宋体" w:hAnsi="宋体" w:cs="宋体"/>
          <w:color w:val="auto"/>
          <w:szCs w:val="21"/>
        </w:rPr>
      </w:pPr>
      <w:r>
        <w:rPr>
          <w:rFonts w:hint="eastAsia" w:ascii="宋体" w:hAnsi="宋体" w:cs="宋体"/>
          <w:color w:val="000000" w:themeColor="text1"/>
          <w:szCs w:val="21"/>
          <w14:textFill>
            <w14:solidFill>
              <w14:schemeClr w14:val="tx1"/>
            </w14:solidFill>
          </w14:textFill>
        </w:rPr>
        <w:t>6.1.3自2019</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月（所担任职务的项目的交竣工日期在2019年</w:t>
      </w:r>
      <w:r>
        <w:rPr>
          <w:rFonts w:hint="eastAsia" w:ascii="宋体" w:hAnsi="宋体" w:cs="宋体"/>
          <w:color w:val="auto"/>
          <w:szCs w:val="21"/>
          <w:lang w:val="en-US" w:eastAsia="zh-CN"/>
        </w:rPr>
        <w:t>7</w:t>
      </w:r>
      <w:r>
        <w:rPr>
          <w:rFonts w:hint="eastAsia" w:ascii="宋体" w:hAnsi="宋体" w:cs="宋体"/>
          <w:color w:val="auto"/>
          <w:szCs w:val="21"/>
        </w:rPr>
        <w:t>月1日以后）起至今至少完成过危旧桥加固改造工程（或新建桥梁）施工项目或累计成功完成过1座（或以上）的危旧桥梁加固改造工程（或新建桥梁）施工项目或成功完成过2座10米长度（或跨径）大（或中、小桥）桥的加固改造工程（或新建桥梁）施工项目的项目经理。</w:t>
      </w:r>
    </w:p>
    <w:p w14:paraId="026CEA13">
      <w:pPr>
        <w:spacing w:line="354" w:lineRule="exact"/>
        <w:ind w:firstLine="420" w:firstLineChars="200"/>
        <w:jc w:val="left"/>
        <w:rPr>
          <w:rFonts w:ascii="宋体" w:hAnsi="宋体" w:cs="宋体"/>
          <w:color w:val="auto"/>
          <w:szCs w:val="21"/>
        </w:rPr>
      </w:pPr>
      <w:r>
        <w:rPr>
          <w:rFonts w:hint="eastAsia" w:ascii="宋体" w:hAnsi="宋体" w:cs="宋体"/>
          <w:color w:val="auto"/>
          <w:szCs w:val="21"/>
        </w:rPr>
        <w:t>6.2项目总工：</w:t>
      </w:r>
    </w:p>
    <w:p w14:paraId="7D49E9C9">
      <w:pPr>
        <w:spacing w:line="354" w:lineRule="exact"/>
        <w:ind w:firstLine="420" w:firstLineChars="200"/>
        <w:jc w:val="left"/>
        <w:rPr>
          <w:rFonts w:ascii="宋体" w:hAnsi="宋体" w:cs="宋体"/>
          <w:color w:val="auto"/>
          <w:szCs w:val="21"/>
        </w:rPr>
      </w:pPr>
      <w:r>
        <w:rPr>
          <w:rFonts w:hint="eastAsia" w:ascii="宋体" w:hAnsi="宋体" w:cs="宋体"/>
          <w:color w:val="auto"/>
          <w:szCs w:val="21"/>
        </w:rPr>
        <w:t>6.2.1具有工程师（或以上）职称（路桥类专业）。</w:t>
      </w:r>
    </w:p>
    <w:p w14:paraId="309E3556">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auto"/>
          <w:szCs w:val="21"/>
        </w:rPr>
        <w:t>6.2.2自2019年</w:t>
      </w:r>
      <w:r>
        <w:rPr>
          <w:rFonts w:hint="eastAsia" w:ascii="宋体" w:hAnsi="宋体" w:cs="宋体"/>
          <w:color w:val="auto"/>
          <w:szCs w:val="21"/>
          <w:lang w:val="en-US" w:eastAsia="zh-CN"/>
        </w:rPr>
        <w:t>7</w:t>
      </w:r>
      <w:r>
        <w:rPr>
          <w:rFonts w:hint="eastAsia" w:ascii="宋体" w:hAnsi="宋体" w:cs="宋体"/>
          <w:color w:val="auto"/>
          <w:szCs w:val="21"/>
        </w:rPr>
        <w:t>月（所担任职务的项目的交竣工日期在2019年</w:t>
      </w:r>
      <w:r>
        <w:rPr>
          <w:rFonts w:hint="eastAsia" w:ascii="宋体" w:hAnsi="宋体" w:cs="宋体"/>
          <w:color w:val="auto"/>
          <w:szCs w:val="21"/>
          <w:lang w:val="en-US" w:eastAsia="zh-CN"/>
        </w:rPr>
        <w:t>7</w:t>
      </w:r>
      <w:r>
        <w:rPr>
          <w:rFonts w:hint="eastAsia" w:ascii="宋体" w:hAnsi="宋体" w:cs="宋体"/>
          <w:color w:val="auto"/>
          <w:szCs w:val="21"/>
        </w:rPr>
        <w:t>月1日以后）起至今至少担任过危旧桥加固改造工程（或新建桥梁）施工项目或累计担任过1座（或以上</w:t>
      </w:r>
      <w:r>
        <w:rPr>
          <w:rFonts w:hint="eastAsia" w:ascii="宋体" w:hAnsi="宋体" w:cs="宋体"/>
          <w:color w:val="000000" w:themeColor="text1"/>
          <w:szCs w:val="21"/>
          <w14:textFill>
            <w14:solidFill>
              <w14:schemeClr w14:val="tx1"/>
            </w14:solidFill>
          </w14:textFill>
        </w:rPr>
        <w:t>）的危旧桥梁加固改造工程（或新建桥梁）施工项目或担任过2座10米长度（或跨径）大（或中、小桥）桥的加固改造工程（或新建桥梁）施工项目的总工程师或技术负责人。</w:t>
      </w:r>
    </w:p>
    <w:p w14:paraId="5B5EEC8E">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6.2.3</w:t>
      </w:r>
      <w:r>
        <w:rPr>
          <w:rFonts w:hint="eastAsia" w:ascii="宋体" w:hAnsi="宋体" w:cs="宋体"/>
          <w:color w:val="000000" w:themeColor="text1"/>
          <w:spacing w:val="-6"/>
          <w:szCs w:val="21"/>
          <w14:textFill>
            <w14:solidFill>
              <w14:schemeClr w14:val="tx1"/>
            </w14:solidFill>
          </w14:textFill>
        </w:rPr>
        <w:t>具有省级或以上交通运输行政主管部门颁发的安全生产考核合格证（“三类人员”B类证书）。</w:t>
      </w:r>
    </w:p>
    <w:p w14:paraId="4512782E">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（注：（1）人员要求条件应与招标项目规模匹配设置；“路桥类”专业是指职称证上的专业，为路桥、公路工程、桥梁工程、交通土建、交通工程、隧道工程、道路工程、市政道路与桥梁工程等专业均可。</w:t>
      </w:r>
    </w:p>
    <w:p w14:paraId="1040ADF2">
      <w:pPr>
        <w:spacing w:line="354"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(2)项目经理或总工有在建项目任职的，承包人应提供随时撤离承诺书。</w:t>
      </w:r>
    </w:p>
    <w:p w14:paraId="61E76508">
      <w:pPr>
        <w:pStyle w:val="4"/>
        <w:spacing w:line="460" w:lineRule="exact"/>
        <w:rPr>
          <w:rFonts w:ascii="宋体" w:hAnsi="宋体" w:cs="宋体"/>
          <w:color w:val="000000" w:themeColor="text1"/>
          <w:sz w:val="21"/>
          <w:szCs w:val="21"/>
          <w14:textFill>
            <w14:solidFill>
              <w14:schemeClr w14:val="tx1"/>
            </w14:solidFill>
          </w14:textFill>
        </w:rPr>
      </w:pPr>
      <w:r>
        <w:rPr>
          <w:rFonts w:hint="eastAsia" w:ascii="宋体" w:hAnsi="宋体" w:cs="宋体"/>
          <w:bCs w:val="0"/>
          <w:color w:val="000000" w:themeColor="text1"/>
          <w:sz w:val="21"/>
          <w:szCs w:val="21"/>
          <w14:textFill>
            <w14:solidFill>
              <w14:schemeClr w14:val="tx1"/>
            </w14:solidFill>
          </w14:textFill>
        </w:rPr>
        <w:t>七、其他主要管理</w:t>
      </w:r>
      <w:r>
        <w:rPr>
          <w:rFonts w:hint="eastAsia" w:ascii="宋体" w:hAnsi="宋体" w:cs="宋体"/>
          <w:color w:val="000000" w:themeColor="text1"/>
          <w:sz w:val="21"/>
          <w:szCs w:val="21"/>
          <w14:textFill>
            <w14:solidFill>
              <w14:schemeClr w14:val="tx1"/>
            </w14:solidFill>
          </w14:textFill>
        </w:rPr>
        <w:t>人员和技术人员最低要求</w:t>
      </w:r>
    </w:p>
    <w:p w14:paraId="4A79BAE4">
      <w:pPr>
        <w:spacing w:line="354" w:lineRule="exact"/>
        <w:ind w:firstLine="420" w:firstLineChars="200"/>
        <w:jc w:val="center"/>
        <w:rPr>
          <w:rFonts w:hint="eastAsia" w:ascii="宋体" w:hAnsi="宋体" w:cs="宋体"/>
          <w:color w:val="000000" w:themeColor="text1"/>
          <w:szCs w:val="21"/>
          <w14:textFill>
            <w14:solidFill>
              <w14:schemeClr w14:val="tx1"/>
            </w14:solidFill>
          </w14:textFill>
        </w:rPr>
      </w:pPr>
    </w:p>
    <w:p w14:paraId="3E301683">
      <w:pPr>
        <w:spacing w:line="354" w:lineRule="exact"/>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其他主要管理人员和技术人员最低要求</w:t>
      </w:r>
    </w:p>
    <w:tbl>
      <w:tblPr>
        <w:tblStyle w:val="52"/>
        <w:tblW w:w="7914" w:type="dxa"/>
        <w:jc w:val="center"/>
        <w:tblLayout w:type="fixed"/>
        <w:tblCellMar>
          <w:top w:w="0" w:type="dxa"/>
          <w:left w:w="108" w:type="dxa"/>
          <w:bottom w:w="0" w:type="dxa"/>
          <w:right w:w="108" w:type="dxa"/>
        </w:tblCellMar>
      </w:tblPr>
      <w:tblGrid>
        <w:gridCol w:w="2127"/>
        <w:gridCol w:w="851"/>
        <w:gridCol w:w="4936"/>
      </w:tblGrid>
      <w:tr w14:paraId="08F452FE">
        <w:tblPrEx>
          <w:tblCellMar>
            <w:top w:w="0" w:type="dxa"/>
            <w:left w:w="108" w:type="dxa"/>
            <w:bottom w:w="0" w:type="dxa"/>
            <w:right w:w="108" w:type="dxa"/>
          </w:tblCellMar>
        </w:tblPrEx>
        <w:trPr>
          <w:trHeight w:val="549" w:hRule="atLeast"/>
          <w:jc w:val="center"/>
        </w:trPr>
        <w:tc>
          <w:tcPr>
            <w:tcW w:w="2127" w:type="dxa"/>
            <w:tcBorders>
              <w:top w:val="single" w:color="auto" w:sz="4" w:space="0"/>
              <w:left w:val="single" w:color="auto" w:sz="4" w:space="0"/>
              <w:bottom w:val="single" w:color="auto" w:sz="4" w:space="0"/>
              <w:right w:val="single" w:color="auto" w:sz="4" w:space="0"/>
            </w:tcBorders>
            <w:noWrap/>
            <w:vAlign w:val="center"/>
          </w:tcPr>
          <w:p w14:paraId="5A5029CC">
            <w:pPr>
              <w:widowControl/>
              <w:spacing w:line="354" w:lineRule="exact"/>
              <w:ind w:left="42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人员</w:t>
            </w:r>
          </w:p>
        </w:tc>
        <w:tc>
          <w:tcPr>
            <w:tcW w:w="851" w:type="dxa"/>
            <w:tcBorders>
              <w:top w:val="single" w:color="auto" w:sz="4" w:space="0"/>
              <w:left w:val="nil"/>
              <w:bottom w:val="single" w:color="auto" w:sz="4" w:space="0"/>
              <w:right w:val="single" w:color="auto" w:sz="4" w:space="0"/>
            </w:tcBorders>
            <w:noWrap/>
            <w:vAlign w:val="center"/>
          </w:tcPr>
          <w:p w14:paraId="0892D498">
            <w:pPr>
              <w:widowControl/>
              <w:spacing w:line="354"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数量</w:t>
            </w:r>
          </w:p>
        </w:tc>
        <w:tc>
          <w:tcPr>
            <w:tcW w:w="4936" w:type="dxa"/>
            <w:tcBorders>
              <w:top w:val="single" w:color="auto" w:sz="4" w:space="0"/>
              <w:left w:val="nil"/>
              <w:bottom w:val="single" w:color="auto" w:sz="4" w:space="0"/>
              <w:right w:val="single" w:color="auto" w:sz="4" w:space="0"/>
            </w:tcBorders>
            <w:noWrap/>
            <w:vAlign w:val="center"/>
          </w:tcPr>
          <w:p w14:paraId="108BE9CD">
            <w:pPr>
              <w:widowControl/>
              <w:spacing w:line="354"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资格要求</w:t>
            </w:r>
          </w:p>
        </w:tc>
      </w:tr>
      <w:tr w14:paraId="4D8CD485">
        <w:tblPrEx>
          <w:tblCellMar>
            <w:top w:w="0" w:type="dxa"/>
            <w:left w:w="108" w:type="dxa"/>
            <w:bottom w:w="0" w:type="dxa"/>
            <w:right w:w="108" w:type="dxa"/>
          </w:tblCellMar>
        </w:tblPrEx>
        <w:trPr>
          <w:trHeight w:val="760" w:hRule="atLeast"/>
          <w:jc w:val="center"/>
        </w:trPr>
        <w:tc>
          <w:tcPr>
            <w:tcW w:w="2127" w:type="dxa"/>
            <w:tcBorders>
              <w:top w:val="nil"/>
              <w:left w:val="single" w:color="auto" w:sz="4" w:space="0"/>
              <w:bottom w:val="single" w:color="auto" w:sz="4" w:space="0"/>
              <w:right w:val="single" w:color="auto" w:sz="4" w:space="0"/>
            </w:tcBorders>
            <w:noWrap/>
            <w:vAlign w:val="center"/>
          </w:tcPr>
          <w:p w14:paraId="78634C34">
            <w:pPr>
              <w:widowControl/>
              <w:spacing w:line="354"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桥梁专业工程师</w:t>
            </w:r>
          </w:p>
        </w:tc>
        <w:tc>
          <w:tcPr>
            <w:tcW w:w="851" w:type="dxa"/>
            <w:tcBorders>
              <w:top w:val="nil"/>
              <w:left w:val="nil"/>
              <w:bottom w:val="single" w:color="auto" w:sz="4" w:space="0"/>
              <w:right w:val="single" w:color="auto" w:sz="4" w:space="0"/>
            </w:tcBorders>
            <w:noWrap/>
            <w:vAlign w:val="center"/>
          </w:tcPr>
          <w:p w14:paraId="46E51058">
            <w:pPr>
              <w:widowControl/>
              <w:spacing w:line="354"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936" w:type="dxa"/>
            <w:tcBorders>
              <w:top w:val="nil"/>
              <w:left w:val="nil"/>
              <w:bottom w:val="single" w:color="auto" w:sz="4" w:space="0"/>
              <w:right w:val="single" w:color="auto" w:sz="4" w:space="0"/>
            </w:tcBorders>
            <w:noWrap/>
            <w:vAlign w:val="center"/>
          </w:tcPr>
          <w:p w14:paraId="4799C0DC">
            <w:pPr>
              <w:widowControl/>
              <w:spacing w:line="354"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具有土建类专业工程师或以上职称。</w:t>
            </w:r>
          </w:p>
        </w:tc>
      </w:tr>
      <w:tr w14:paraId="3E0AC0EE">
        <w:tblPrEx>
          <w:tblCellMar>
            <w:top w:w="0" w:type="dxa"/>
            <w:left w:w="108" w:type="dxa"/>
            <w:bottom w:w="0" w:type="dxa"/>
            <w:right w:w="108" w:type="dxa"/>
          </w:tblCellMar>
        </w:tblPrEx>
        <w:trPr>
          <w:trHeight w:val="577" w:hRule="atLeast"/>
          <w:jc w:val="center"/>
        </w:trPr>
        <w:tc>
          <w:tcPr>
            <w:tcW w:w="2127" w:type="dxa"/>
            <w:tcBorders>
              <w:top w:val="nil"/>
              <w:left w:val="single" w:color="auto" w:sz="4" w:space="0"/>
              <w:bottom w:val="single" w:color="auto" w:sz="4" w:space="0"/>
              <w:right w:val="single" w:color="auto" w:sz="4" w:space="0"/>
            </w:tcBorders>
            <w:noWrap/>
            <w:vAlign w:val="center"/>
          </w:tcPr>
          <w:p w14:paraId="29843D2F">
            <w:pPr>
              <w:widowControl/>
              <w:spacing w:line="354"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测量、计量支付专业工程师</w:t>
            </w:r>
          </w:p>
        </w:tc>
        <w:tc>
          <w:tcPr>
            <w:tcW w:w="851" w:type="dxa"/>
            <w:tcBorders>
              <w:top w:val="nil"/>
              <w:left w:val="nil"/>
              <w:bottom w:val="single" w:color="auto" w:sz="4" w:space="0"/>
              <w:right w:val="single" w:color="auto" w:sz="4" w:space="0"/>
            </w:tcBorders>
            <w:noWrap/>
            <w:vAlign w:val="center"/>
          </w:tcPr>
          <w:p w14:paraId="0D2885D4">
            <w:pPr>
              <w:widowControl/>
              <w:spacing w:line="354"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936" w:type="dxa"/>
            <w:tcBorders>
              <w:top w:val="nil"/>
              <w:left w:val="nil"/>
              <w:bottom w:val="single" w:color="auto" w:sz="4" w:space="0"/>
              <w:right w:val="single" w:color="auto" w:sz="4" w:space="0"/>
            </w:tcBorders>
            <w:noWrap/>
            <w:vAlign w:val="center"/>
          </w:tcPr>
          <w:p w14:paraId="710638A0">
            <w:pPr>
              <w:widowControl/>
              <w:spacing w:line="354"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具有工程师或以上职称。</w:t>
            </w:r>
          </w:p>
        </w:tc>
      </w:tr>
      <w:tr w14:paraId="7962DDFF">
        <w:tblPrEx>
          <w:tblCellMar>
            <w:top w:w="0" w:type="dxa"/>
            <w:left w:w="108" w:type="dxa"/>
            <w:bottom w:w="0" w:type="dxa"/>
            <w:right w:w="108" w:type="dxa"/>
          </w:tblCellMar>
        </w:tblPrEx>
        <w:trPr>
          <w:trHeight w:val="1413" w:hRule="atLeast"/>
          <w:jc w:val="center"/>
        </w:trPr>
        <w:tc>
          <w:tcPr>
            <w:tcW w:w="2127"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14:paraId="42140469">
            <w:pPr>
              <w:widowControl/>
              <w:spacing w:line="354"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专职安全员</w:t>
            </w:r>
          </w:p>
        </w:tc>
        <w:tc>
          <w:tcPr>
            <w:tcW w:w="8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AEEC4">
            <w:pPr>
              <w:widowControl/>
              <w:spacing w:line="354" w:lineRule="exact"/>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9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72AA1">
            <w:pPr>
              <w:widowControl/>
              <w:spacing w:line="354"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具有省级（或以上）交通主管部门颁发的《安全生产考核合格证书》C证。</w:t>
            </w:r>
          </w:p>
        </w:tc>
      </w:tr>
    </w:tbl>
    <w:p w14:paraId="05645447"/>
    <w:p w14:paraId="1FEEF5EF">
      <w:pPr>
        <w:pStyle w:val="2"/>
      </w:pPr>
    </w:p>
    <w:p w14:paraId="5024C263"/>
    <w:p w14:paraId="4218BC71">
      <w:pPr>
        <w:rPr>
          <w:rFonts w:ascii="宋体" w:hAnsi="宋体" w:cs="宋体"/>
          <w:b/>
          <w:szCs w:val="21"/>
        </w:rPr>
      </w:pPr>
    </w:p>
    <w:p w14:paraId="7A4F231C">
      <w:pPr>
        <w:pStyle w:val="2"/>
        <w:sectPr>
          <w:footerReference r:id="rId5" w:type="default"/>
          <w:pgSz w:w="11911" w:h="16849"/>
          <w:pgMar w:top="1417" w:right="1417" w:bottom="1417" w:left="1417" w:header="720" w:footer="720" w:gutter="0"/>
          <w:cols w:space="720" w:num="1"/>
          <w:docGrid w:linePitch="1" w:charSpace="0"/>
        </w:sectPr>
      </w:pPr>
    </w:p>
    <w:bookmarkEnd w:id="273"/>
    <w:bookmarkEnd w:id="274"/>
    <w:bookmarkEnd w:id="275"/>
    <w:bookmarkEnd w:id="276"/>
    <w:bookmarkEnd w:id="277"/>
    <w:bookmarkEnd w:id="278"/>
    <w:bookmarkEnd w:id="279"/>
    <w:bookmarkEnd w:id="280"/>
    <w:bookmarkEnd w:id="281"/>
    <w:p w14:paraId="492DCC5D">
      <w:pPr>
        <w:pStyle w:val="3"/>
        <w:spacing w:line="400" w:lineRule="exact"/>
        <w:jc w:val="center"/>
      </w:pPr>
      <w:bookmarkStart w:id="282" w:name="_Toc23447"/>
      <w:bookmarkStart w:id="283" w:name="_Toc8893"/>
      <w:bookmarkStart w:id="284" w:name="_Toc17835"/>
      <w:bookmarkStart w:id="285" w:name="_Toc23270"/>
      <w:bookmarkStart w:id="286" w:name="_Toc24516"/>
      <w:r>
        <w:rPr>
          <w:rFonts w:hint="eastAsia"/>
        </w:rPr>
        <w:t>第四章  评审办法</w:t>
      </w:r>
      <w:bookmarkEnd w:id="282"/>
      <w:bookmarkEnd w:id="283"/>
      <w:bookmarkEnd w:id="284"/>
      <w:bookmarkEnd w:id="285"/>
      <w:bookmarkEnd w:id="286"/>
    </w:p>
    <w:p w14:paraId="1CB5524A">
      <w:pPr>
        <w:pStyle w:val="26"/>
        <w:spacing w:line="360" w:lineRule="auto"/>
        <w:ind w:firstLine="413" w:firstLineChars="196"/>
        <w:rPr>
          <w:rFonts w:hAnsi="宋体" w:cs="宋体"/>
          <w:b/>
          <w:bCs/>
          <w:sz w:val="21"/>
          <w:szCs w:val="21"/>
        </w:rPr>
      </w:pPr>
      <w:r>
        <w:rPr>
          <w:rFonts w:hint="eastAsia" w:hAnsi="宋体" w:cs="宋体"/>
          <w:b/>
          <w:bCs/>
          <w:sz w:val="21"/>
          <w:szCs w:val="21"/>
        </w:rPr>
        <w:t>一、评审依据及方式</w:t>
      </w:r>
    </w:p>
    <w:p w14:paraId="1E38ECF1">
      <w:pPr>
        <w:pStyle w:val="26"/>
        <w:spacing w:line="360" w:lineRule="auto"/>
        <w:ind w:firstLine="420" w:firstLineChars="200"/>
        <w:rPr>
          <w:rFonts w:hAnsi="宋体" w:cs="宋体"/>
          <w:sz w:val="21"/>
          <w:szCs w:val="21"/>
        </w:rPr>
      </w:pPr>
      <w:r>
        <w:rPr>
          <w:rFonts w:hint="eastAsia" w:hAnsi="宋体" w:cs="宋体"/>
          <w:sz w:val="21"/>
          <w:szCs w:val="21"/>
        </w:rPr>
        <w:t>1.评审依据：磋商小组以竞争性磋商采购文件和响应文件为评审依据，对通过初步评审的响应文件进行详细评审。</w:t>
      </w:r>
    </w:p>
    <w:p w14:paraId="43216B2F">
      <w:pPr>
        <w:pStyle w:val="26"/>
        <w:spacing w:line="360" w:lineRule="auto"/>
        <w:ind w:firstLine="420" w:firstLineChars="200"/>
        <w:rPr>
          <w:rFonts w:hAnsi="宋体" w:cs="宋体"/>
          <w:sz w:val="21"/>
          <w:szCs w:val="21"/>
        </w:rPr>
      </w:pPr>
      <w:r>
        <w:rPr>
          <w:rFonts w:hint="eastAsia" w:hAnsi="宋体" w:cs="宋体"/>
          <w:sz w:val="21"/>
          <w:szCs w:val="21"/>
        </w:rPr>
        <w:t>2.评审方式：以封闭方式进行评审。</w:t>
      </w:r>
    </w:p>
    <w:p w14:paraId="01984C03">
      <w:pPr>
        <w:pStyle w:val="26"/>
        <w:spacing w:line="360" w:lineRule="auto"/>
        <w:ind w:firstLine="420" w:firstLineChars="200"/>
        <w:rPr>
          <w:rFonts w:hAnsi="宋体" w:cs="宋体"/>
          <w:kern w:val="2"/>
          <w:sz w:val="21"/>
          <w:szCs w:val="21"/>
        </w:rPr>
      </w:pPr>
      <w:r>
        <w:rPr>
          <w:rFonts w:hint="eastAsia" w:hAnsi="宋体" w:cs="宋体"/>
          <w:kern w:val="2"/>
          <w:sz w:val="21"/>
          <w:szCs w:val="21"/>
        </w:rPr>
        <w:t>3.评分办法：采用综合评分法</w:t>
      </w:r>
    </w:p>
    <w:p w14:paraId="54B57E51">
      <w:pPr>
        <w:pStyle w:val="26"/>
        <w:spacing w:line="360" w:lineRule="auto"/>
        <w:ind w:left="210" w:leftChars="100" w:firstLine="210" w:firstLineChars="100"/>
        <w:rPr>
          <w:rFonts w:hAnsi="宋体" w:cs="宋体"/>
          <w:kern w:val="2"/>
          <w:sz w:val="21"/>
          <w:szCs w:val="21"/>
        </w:rPr>
      </w:pPr>
      <w:r>
        <w:rPr>
          <w:rFonts w:hint="eastAsia" w:hAnsi="宋体" w:cs="宋体"/>
          <w:kern w:val="2"/>
          <w:sz w:val="21"/>
          <w:szCs w:val="21"/>
        </w:rPr>
        <w:t>4.根据财库〔2012〕69号文规定，采购人和采购代理机构，磋商小组成员要严格遵守政府采购相关法律制度，依法履行各自职责，公正、客观、审慎地组织和参与评审工作。</w:t>
      </w:r>
    </w:p>
    <w:p w14:paraId="1FB06B4D">
      <w:pPr>
        <w:pStyle w:val="26"/>
        <w:spacing w:line="360" w:lineRule="auto"/>
        <w:ind w:firstLine="422" w:firstLineChars="200"/>
        <w:rPr>
          <w:rFonts w:hAnsi="宋体" w:cs="宋体"/>
          <w:b/>
          <w:bCs/>
          <w:sz w:val="21"/>
          <w:szCs w:val="21"/>
        </w:rPr>
      </w:pPr>
      <w:r>
        <w:rPr>
          <w:rFonts w:hint="eastAsia" w:hAnsi="宋体" w:cs="宋体"/>
          <w:b/>
          <w:bCs/>
          <w:sz w:val="21"/>
          <w:szCs w:val="21"/>
        </w:rPr>
        <w:t>二、评审办法</w:t>
      </w:r>
    </w:p>
    <w:p w14:paraId="3E19CF2F">
      <w:pPr>
        <w:pStyle w:val="26"/>
        <w:spacing w:line="360" w:lineRule="auto"/>
        <w:ind w:firstLine="420" w:firstLineChars="200"/>
        <w:rPr>
          <w:rFonts w:hAnsi="宋体" w:cs="宋体"/>
          <w:bCs/>
          <w:sz w:val="21"/>
          <w:szCs w:val="21"/>
        </w:rPr>
      </w:pPr>
      <w:r>
        <w:rPr>
          <w:rFonts w:hint="eastAsia" w:hAnsi="宋体" w:cs="宋体"/>
          <w:bCs/>
          <w:sz w:val="21"/>
          <w:szCs w:val="21"/>
        </w:rPr>
        <w:t>本次评标采用综合评分法。</w:t>
      </w:r>
    </w:p>
    <w:p w14:paraId="54B8F658">
      <w:pPr>
        <w:pStyle w:val="26"/>
        <w:spacing w:line="360" w:lineRule="auto"/>
        <w:ind w:firstLine="420" w:firstLineChars="200"/>
        <w:rPr>
          <w:rFonts w:hAnsi="宋体" w:cs="宋体"/>
          <w:bCs/>
          <w:sz w:val="21"/>
          <w:szCs w:val="21"/>
        </w:rPr>
      </w:pPr>
      <w:r>
        <w:rPr>
          <w:rFonts w:hint="eastAsia" w:hAnsi="宋体" w:cs="宋体"/>
          <w:bCs/>
          <w:sz w:val="21"/>
          <w:szCs w:val="21"/>
        </w:rPr>
        <w:t>磋商小组会首先对磋商供应商提交的响应文件进行资格性审查和符合性审查，只有通过了资格性审查和符合性审查才能进入详评。</w:t>
      </w:r>
    </w:p>
    <w:p w14:paraId="3EB314EC">
      <w:pPr>
        <w:spacing w:line="360" w:lineRule="auto"/>
        <w:ind w:firstLine="422" w:firstLineChars="200"/>
        <w:rPr>
          <w:rFonts w:ascii="宋体" w:hAnsi="宋体" w:cs="宋体"/>
          <w:b/>
        </w:rPr>
      </w:pPr>
      <w:r>
        <w:rPr>
          <w:rFonts w:hint="eastAsia" w:ascii="宋体" w:hAnsi="宋体" w:cs="宋体"/>
          <w:b/>
        </w:rPr>
        <w:t>1、价格分……………………………………………………………………………………满分50分</w:t>
      </w:r>
    </w:p>
    <w:p w14:paraId="32B5E1CE">
      <w:pPr>
        <w:spacing w:line="360" w:lineRule="auto"/>
        <w:ind w:firstLine="420" w:firstLineChars="200"/>
        <w:rPr>
          <w:rFonts w:ascii="宋体" w:hAnsi="宋体" w:cs="宋体"/>
          <w:bCs/>
        </w:rPr>
      </w:pPr>
      <w:r>
        <w:rPr>
          <w:rFonts w:hint="eastAsia" w:ascii="宋体" w:hAnsi="宋体" w:cs="宋体"/>
          <w:bCs/>
        </w:rPr>
        <w:t>（1）以进入评审的最低的评标价为50分。</w:t>
      </w:r>
    </w:p>
    <w:p w14:paraId="5DDD1795">
      <w:pPr>
        <w:spacing w:line="360" w:lineRule="auto"/>
        <w:ind w:firstLine="420" w:firstLineChars="200"/>
        <w:rPr>
          <w:rFonts w:ascii="宋体" w:hAnsi="宋体" w:cs="宋体"/>
          <w:bCs/>
          <w:color w:val="000000"/>
          <w:szCs w:val="22"/>
        </w:rPr>
      </w:pPr>
      <w:r>
        <w:rPr>
          <w:rFonts w:hint="eastAsia" w:ascii="宋体" w:hAnsi="宋体" w:cs="宋体"/>
          <w:bCs/>
          <w:color w:val="000000"/>
          <w:szCs w:val="22"/>
        </w:rPr>
        <w:t>（2）某供应商价格分=供应商最低评审报价（金额）/某供应商评审报价（金额）×50分。</w:t>
      </w:r>
    </w:p>
    <w:p w14:paraId="33B6FF5A">
      <w:pPr>
        <w:spacing w:line="360" w:lineRule="auto"/>
        <w:ind w:firstLine="420" w:firstLineChars="200"/>
        <w:rPr>
          <w:rFonts w:ascii="宋体" w:hAnsi="宋体" w:cs="宋体"/>
          <w:bCs/>
          <w:color w:val="000000"/>
        </w:rPr>
      </w:pPr>
      <w:r>
        <w:rPr>
          <w:rFonts w:hint="eastAsia" w:ascii="宋体" w:hAnsi="宋体" w:cs="宋体"/>
          <w:bCs/>
          <w:color w:val="000000"/>
        </w:rPr>
        <w:t>注：低于最高投标限价90%的投标人的报价，有可能影响工程质量或者不能诚信履约，应当要求其在评标现场合理的时间内提供书面说明，必要时提交相关证明材料；投标人不能证明其报价合理性的，评标委员会应当将其作为无效投标处理。</w:t>
      </w:r>
    </w:p>
    <w:p w14:paraId="32F0811D">
      <w:pPr>
        <w:spacing w:line="360" w:lineRule="auto"/>
        <w:ind w:firstLine="422" w:firstLineChars="200"/>
        <w:rPr>
          <w:rFonts w:ascii="宋体" w:hAnsi="宋体" w:cs="宋体"/>
          <w:b/>
          <w:color w:val="000000"/>
        </w:rPr>
      </w:pPr>
      <w:r>
        <w:rPr>
          <w:rFonts w:hint="eastAsia" w:ascii="宋体" w:hAnsi="宋体" w:cs="宋体"/>
          <w:b/>
          <w:color w:val="000000"/>
        </w:rPr>
        <w:t>2、施工组织设计分……………………………</w:t>
      </w:r>
      <w:r>
        <w:rPr>
          <w:rFonts w:hint="eastAsia" w:ascii="宋体" w:hAnsi="宋体" w:cs="宋体"/>
          <w:b/>
          <w:bCs/>
          <w:color w:val="000000"/>
          <w:szCs w:val="21"/>
        </w:rPr>
        <w:t>…………………………</w:t>
      </w:r>
      <w:r>
        <w:rPr>
          <w:rFonts w:hint="eastAsia" w:ascii="宋体" w:hAnsi="宋体" w:cs="宋体"/>
          <w:b/>
          <w:color w:val="000000"/>
        </w:rPr>
        <w:t>…………………满分20分</w:t>
      </w:r>
    </w:p>
    <w:p w14:paraId="54A51F7A">
      <w:pPr>
        <w:pStyle w:val="26"/>
        <w:tabs>
          <w:tab w:val="left" w:leader="middleDot" w:pos="8820"/>
        </w:tabs>
        <w:spacing w:line="360" w:lineRule="auto"/>
        <w:ind w:firstLine="422" w:firstLineChars="200"/>
        <w:rPr>
          <w:rFonts w:hAnsi="宋体" w:cs="宋体"/>
          <w:b/>
          <w:bCs/>
          <w:color w:val="000000"/>
          <w:sz w:val="21"/>
          <w:szCs w:val="21"/>
        </w:rPr>
      </w:pPr>
      <w:r>
        <w:rPr>
          <w:rFonts w:hint="eastAsia" w:hAnsi="宋体" w:cs="宋体"/>
          <w:b/>
          <w:bCs/>
          <w:color w:val="000000"/>
          <w:sz w:val="21"/>
          <w:szCs w:val="21"/>
        </w:rPr>
        <w:t>（1）总体施工组织布置及规划（满分4分）</w:t>
      </w:r>
    </w:p>
    <w:p w14:paraId="33A9F7EA">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一档（4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357BC88B">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二档（2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6D76BEA3">
      <w:pPr>
        <w:pStyle w:val="26"/>
        <w:spacing w:line="360" w:lineRule="auto"/>
        <w:ind w:firstLine="420" w:firstLineChars="200"/>
        <w:rPr>
          <w:rFonts w:hAnsi="宋体" w:cs="宋体"/>
          <w:bCs/>
          <w:color w:val="000000"/>
          <w:sz w:val="21"/>
          <w:szCs w:val="21"/>
        </w:rPr>
      </w:pPr>
      <w:r>
        <w:rPr>
          <w:rFonts w:hint="eastAsia" w:hAnsi="宋体" w:cs="宋体"/>
          <w:color w:val="000000"/>
          <w:sz w:val="21"/>
          <w:szCs w:val="21"/>
        </w:rPr>
        <w:t>三档（1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5AD7C5FF">
      <w:pPr>
        <w:pStyle w:val="26"/>
        <w:spacing w:line="360" w:lineRule="auto"/>
        <w:ind w:firstLine="422" w:firstLineChars="200"/>
        <w:rPr>
          <w:rFonts w:hAnsi="宋体" w:cs="宋体"/>
          <w:b/>
          <w:bCs/>
          <w:color w:val="000000"/>
          <w:sz w:val="21"/>
          <w:szCs w:val="21"/>
        </w:rPr>
      </w:pPr>
      <w:r>
        <w:rPr>
          <w:rFonts w:hint="eastAsia" w:hAnsi="宋体" w:cs="宋体"/>
          <w:b/>
          <w:bCs/>
          <w:color w:val="000000"/>
          <w:sz w:val="21"/>
          <w:szCs w:val="21"/>
        </w:rPr>
        <w:t>（2）主要工程项目的施工方案、方法与技术措施（满分4分）</w:t>
      </w:r>
    </w:p>
    <w:p w14:paraId="1FD10F47">
      <w:pPr>
        <w:pStyle w:val="416"/>
        <w:spacing w:line="360" w:lineRule="auto"/>
        <w:ind w:firstLine="420" w:firstLineChars="200"/>
        <w:jc w:val="both"/>
        <w:rPr>
          <w:rFonts w:ascii="宋体" w:hAnsi="宋体" w:eastAsia="宋体" w:cs="宋体"/>
          <w:sz w:val="21"/>
          <w:szCs w:val="21"/>
        </w:rPr>
      </w:pPr>
      <w:r>
        <w:rPr>
          <w:rFonts w:hint="eastAsia" w:ascii="宋体" w:hAnsi="宋体" w:eastAsia="宋体" w:cs="宋体"/>
          <w:sz w:val="21"/>
          <w:szCs w:val="21"/>
        </w:rPr>
        <w:t>一档（4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3866EA28">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sz w:val="21"/>
          <w:szCs w:val="21"/>
        </w:rPr>
        <w:t>二档（2分）：主要工程的施工方案、方法与技术措施符合项目实际，有施工技术方案，工艺及</w:t>
      </w:r>
      <w:r>
        <w:rPr>
          <w:rFonts w:hint="eastAsia" w:ascii="宋体" w:hAnsi="宋体" w:eastAsia="宋体" w:cs="宋体"/>
          <w:color w:val="000000"/>
          <w:sz w:val="21"/>
          <w:szCs w:val="21"/>
        </w:rPr>
        <w:t>方法可行，能指导施工并确保安全。投入的施工材料有组织计划且计划可行，数量、选型配置、进场时间安排满足施工需要。</w:t>
      </w:r>
    </w:p>
    <w:p w14:paraId="30196A7C">
      <w:pPr>
        <w:pStyle w:val="26"/>
        <w:spacing w:line="360" w:lineRule="auto"/>
        <w:ind w:firstLine="420" w:firstLineChars="200"/>
        <w:rPr>
          <w:rFonts w:hAnsi="宋体" w:cs="宋体"/>
          <w:color w:val="000000"/>
          <w:sz w:val="21"/>
          <w:szCs w:val="21"/>
        </w:rPr>
      </w:pPr>
      <w:r>
        <w:rPr>
          <w:rFonts w:hint="eastAsia" w:hAnsi="宋体" w:cs="宋体"/>
          <w:color w:val="000000"/>
          <w:sz w:val="21"/>
          <w:szCs w:val="21"/>
        </w:rPr>
        <w:t>三档（1分）：主要工程的施工方案、方法与技术措施符合项目实际，有施工技术方案，工艺及方法基本可行，能指导具体施工。投入的施工材料有组织计划，满足施工需要。</w:t>
      </w:r>
    </w:p>
    <w:p w14:paraId="1A813163">
      <w:pPr>
        <w:pStyle w:val="26"/>
        <w:spacing w:line="360" w:lineRule="auto"/>
        <w:ind w:firstLine="422" w:firstLineChars="200"/>
        <w:rPr>
          <w:rFonts w:hAnsi="宋体" w:cs="宋体"/>
          <w:b/>
          <w:color w:val="000000"/>
          <w:sz w:val="21"/>
          <w:szCs w:val="21"/>
        </w:rPr>
      </w:pPr>
      <w:r>
        <w:rPr>
          <w:rFonts w:hint="eastAsia" w:hAnsi="宋体" w:cs="宋体"/>
          <w:b/>
          <w:color w:val="000000"/>
          <w:sz w:val="21"/>
          <w:szCs w:val="21"/>
        </w:rPr>
        <w:t>（3）工期保证、工程质量管理体系及保证措施（满分4分）</w:t>
      </w:r>
    </w:p>
    <w:p w14:paraId="7996E001">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一档（4分）：有工期保证体系，且工期保证措施合理得当。有控制工期的施工进度计划。有施工总进度表或施工网络图，各项计划图表编制详细且完善，安排科学合理，完全符合本项目施工实际要求。</w:t>
      </w:r>
    </w:p>
    <w:p w14:paraId="34960D5A">
      <w:pPr>
        <w:pStyle w:val="416"/>
        <w:tabs>
          <w:tab w:val="left" w:pos="7140"/>
        </w:tabs>
        <w:spacing w:line="360" w:lineRule="auto"/>
        <w:ind w:firstLine="420" w:firstLineChars="200"/>
        <w:jc w:val="both"/>
        <w:rPr>
          <w:rFonts w:ascii="宋体" w:hAnsi="宋体" w:eastAsia="宋体" w:cs="宋体"/>
          <w:sz w:val="21"/>
          <w:szCs w:val="21"/>
        </w:rPr>
      </w:pPr>
      <w:r>
        <w:rPr>
          <w:rFonts w:hint="eastAsia" w:ascii="宋体" w:hAnsi="宋体" w:eastAsia="宋体" w:cs="宋体"/>
          <w:color w:val="000000"/>
          <w:sz w:val="21"/>
          <w:szCs w:val="21"/>
        </w:rPr>
        <w:t>二档（2分）：有工期保证体系，且工期保证措施基本满足要求。有控制工期的施工进度计划。</w:t>
      </w:r>
      <w:r>
        <w:rPr>
          <w:rFonts w:hint="eastAsia" w:ascii="宋体" w:hAnsi="宋体" w:eastAsia="宋体" w:cs="宋体"/>
          <w:sz w:val="21"/>
          <w:szCs w:val="21"/>
        </w:rPr>
        <w:t>有施工总进度表或施工网络图，各项计划图表编制基本完善，安排基本满足要求，基本符合本项目施工实际要求。</w:t>
      </w:r>
    </w:p>
    <w:p w14:paraId="63809856">
      <w:pPr>
        <w:spacing w:line="360" w:lineRule="auto"/>
        <w:ind w:firstLine="420" w:firstLineChars="200"/>
        <w:rPr>
          <w:rFonts w:ascii="宋体" w:hAnsi="宋体" w:cs="宋体"/>
          <w:b/>
          <w:bCs/>
          <w:iCs/>
          <w:color w:val="000000"/>
          <w:szCs w:val="21"/>
        </w:rPr>
      </w:pPr>
      <w:r>
        <w:rPr>
          <w:rFonts w:hint="eastAsia" w:ascii="宋体" w:hAnsi="宋体" w:cs="宋体"/>
          <w:szCs w:val="21"/>
        </w:rPr>
        <w:t>三档（1分）：有工期保证体系、工期保证措施欠合理。有控制工期的施工进度计划。有施工总进度表或施工网络图，各项计划图表编制基本完善但欠合理，安排基本合理，基本符合本项目施工实</w:t>
      </w:r>
      <w:r>
        <w:rPr>
          <w:rFonts w:hint="eastAsia" w:ascii="宋体" w:hAnsi="宋体" w:cs="宋体"/>
          <w:color w:val="000000"/>
          <w:szCs w:val="21"/>
        </w:rPr>
        <w:t>际要求。</w:t>
      </w:r>
    </w:p>
    <w:p w14:paraId="699CEC31">
      <w:pPr>
        <w:pStyle w:val="416"/>
        <w:spacing w:line="360" w:lineRule="auto"/>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（4）安全生产、文明施工管理体系及保证措施（满分4分）</w:t>
      </w:r>
    </w:p>
    <w:p w14:paraId="79A5A072">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一档（4分）：有安全生产管理体系、保证措施可行合理，各道工序安全技术措施针对性强，符合实际且满足有关安全技术标准要求。现场防火、应急救援、社会治安安全措施得力。</w:t>
      </w:r>
    </w:p>
    <w:p w14:paraId="199C473D">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二档（2分）：有安全生产管理体系、保证措施可行合理，有各道工序安全技术措施，基本符合实际且有关安全技术标准要求。有现场防火、应急救援、社会治安安全措施。</w:t>
      </w:r>
    </w:p>
    <w:p w14:paraId="227D5849">
      <w:pPr>
        <w:pStyle w:val="416"/>
        <w:spacing w:line="360" w:lineRule="auto"/>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三档（1分）：有安全生产管理体系、保证措施基本可行，符合实际且基本满足有关安全技术标准要求。有现场防火、应急救援、社会治安安全措施。</w:t>
      </w:r>
    </w:p>
    <w:p w14:paraId="79D95847">
      <w:pPr>
        <w:pStyle w:val="416"/>
        <w:spacing w:line="360" w:lineRule="auto"/>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（5）项目风险预测与防范，事故应急预案（满分4分）</w:t>
      </w:r>
    </w:p>
    <w:p w14:paraId="09501FE3">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一档（4分）：有项目风险预测与防范，事故应急预案。针对本工程项目特点，有较好的风险预测和应急预案及防范风险事故措施，且各项措施周全、具体、有效。</w:t>
      </w:r>
    </w:p>
    <w:p w14:paraId="0364A6CE">
      <w:pPr>
        <w:pStyle w:val="416"/>
        <w:spacing w:line="360" w:lineRule="auto"/>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二档（2分）：有项目风险预测与防范，事故应急预案。针对本工程项目特点，有风险预测和应急预案及防范风险事故措施，且各项措施具体。</w:t>
      </w:r>
    </w:p>
    <w:p w14:paraId="5CB4E84E">
      <w:pPr>
        <w:pStyle w:val="416"/>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三档（1分）：有项目风险预测与防范，事故应急预案。有风险预测和应急预案及防范风险事故措施。</w:t>
      </w:r>
    </w:p>
    <w:p w14:paraId="7A1AAF27">
      <w:pPr>
        <w:pStyle w:val="26"/>
        <w:spacing w:line="360" w:lineRule="auto"/>
        <w:ind w:firstLine="422" w:firstLineChars="200"/>
        <w:rPr>
          <w:rFonts w:hAnsi="宋体" w:cs="宋体"/>
          <w:b/>
          <w:sz w:val="21"/>
          <w:szCs w:val="21"/>
        </w:rPr>
      </w:pPr>
      <w:r>
        <w:rPr>
          <w:rFonts w:hint="eastAsia" w:hAnsi="宋体" w:cs="宋体"/>
          <w:b/>
          <w:sz w:val="21"/>
          <w:szCs w:val="21"/>
        </w:rPr>
        <w:t>3.主要人员分………………………………………………………………………………满分15分</w:t>
      </w:r>
    </w:p>
    <w:p w14:paraId="6FEDB4C6">
      <w:pPr>
        <w:tabs>
          <w:tab w:val="left" w:pos="1305"/>
        </w:tabs>
        <w:spacing w:line="360" w:lineRule="auto"/>
        <w:ind w:left="210" w:firstLine="422" w:firstLineChars="200"/>
        <w:rPr>
          <w:rFonts w:ascii="宋体" w:hAnsi="宋体" w:cs="宋体"/>
          <w:b/>
          <w:bCs/>
        </w:rPr>
      </w:pPr>
      <w:r>
        <w:rPr>
          <w:rFonts w:hint="eastAsia" w:ascii="宋体" w:hAnsi="宋体" w:cs="宋体"/>
          <w:b/>
          <w:bCs/>
        </w:rPr>
        <w:t>（1）项目经理任职资格与业绩（满分8分）</w:t>
      </w:r>
    </w:p>
    <w:p w14:paraId="173B0219">
      <w:pPr>
        <w:pStyle w:val="416"/>
        <w:spacing w:line="360" w:lineRule="auto"/>
        <w:ind w:firstLine="420" w:firstLineChars="200"/>
        <w:jc w:val="both"/>
        <w:rPr>
          <w:rFonts w:ascii="宋体" w:hAnsi="宋体" w:eastAsia="宋体" w:cs="宋体"/>
          <w:color w:val="auto"/>
          <w:sz w:val="21"/>
          <w:szCs w:val="21"/>
        </w:rPr>
      </w:pPr>
      <w:r>
        <w:rPr>
          <w:rFonts w:hint="eastAsia" w:ascii="宋体" w:hAnsi="宋体" w:eastAsia="宋体" w:cs="宋体"/>
          <w:sz w:val="21"/>
          <w:szCs w:val="21"/>
        </w:rPr>
        <w:t>满足最低要求可得基本分6分，在此基础上，在最近5年中（所完成项目的交工日期在2019年</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月1日之后）担任过危旧桥加固改造工程（或新建桥梁）施工项目的项目经理或副经理的每个加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02B57776">
      <w:pPr>
        <w:spacing w:line="360" w:lineRule="auto"/>
        <w:ind w:firstLine="420" w:firstLineChars="200"/>
        <w:jc w:val="left"/>
        <w:rPr>
          <w:rFonts w:ascii="宋体" w:hAnsi="宋体" w:cs="宋体"/>
          <w:color w:val="auto"/>
          <w:szCs w:val="21"/>
        </w:rPr>
      </w:pPr>
      <w:r>
        <w:rPr>
          <w:rFonts w:hint="eastAsia" w:ascii="宋体" w:hAnsi="宋体" w:cs="宋体"/>
          <w:color w:val="auto"/>
          <w:kern w:val="0"/>
          <w:szCs w:val="21"/>
        </w:rPr>
        <w:t>项目经理业绩证明以合同协议书（或中标通知书）、竣工验收证明材料加盖单位公章为准</w:t>
      </w:r>
      <w:r>
        <w:rPr>
          <w:rFonts w:hint="eastAsia" w:ascii="宋体" w:hAnsi="宋体" w:cs="宋体"/>
          <w:color w:val="auto"/>
          <w:szCs w:val="21"/>
        </w:rPr>
        <w:t>。</w:t>
      </w:r>
    </w:p>
    <w:p w14:paraId="5010572F">
      <w:pPr>
        <w:tabs>
          <w:tab w:val="left" w:pos="1305"/>
        </w:tabs>
        <w:spacing w:line="360" w:lineRule="auto"/>
        <w:ind w:left="210" w:firstLine="422" w:firstLineChars="200"/>
        <w:rPr>
          <w:rFonts w:ascii="宋体" w:hAnsi="宋体" w:cs="宋体"/>
          <w:b/>
          <w:bCs/>
          <w:color w:val="auto"/>
        </w:rPr>
      </w:pPr>
      <w:r>
        <w:rPr>
          <w:rFonts w:hint="eastAsia" w:ascii="宋体" w:hAnsi="宋体" w:cs="宋体"/>
          <w:b/>
          <w:bCs/>
          <w:color w:val="auto"/>
        </w:rPr>
        <w:t>（2）项目总工任职资格与业绩（满分7分）</w:t>
      </w:r>
    </w:p>
    <w:p w14:paraId="5D0B6C14">
      <w:pPr>
        <w:spacing w:line="360" w:lineRule="auto"/>
        <w:ind w:firstLine="420" w:firstLineChars="200"/>
        <w:rPr>
          <w:rFonts w:ascii="宋体" w:hAnsi="宋体" w:cs="宋体"/>
          <w:color w:val="auto"/>
        </w:rPr>
      </w:pPr>
      <w:r>
        <w:rPr>
          <w:rFonts w:hint="eastAsia" w:ascii="宋体" w:hAnsi="宋体" w:cs="宋体"/>
          <w:color w:val="auto"/>
        </w:rPr>
        <w:t>满足最低要求可得基本分5分，在此基础上，在最近5 年中（所完成项目的交工日期在2019年</w:t>
      </w:r>
      <w:r>
        <w:rPr>
          <w:rFonts w:hint="eastAsia" w:ascii="宋体" w:hAnsi="宋体" w:cs="宋体"/>
          <w:color w:val="auto"/>
          <w:lang w:val="en-US" w:eastAsia="zh-CN"/>
        </w:rPr>
        <w:t>7</w:t>
      </w:r>
      <w:r>
        <w:rPr>
          <w:rFonts w:hint="eastAsia" w:ascii="宋体" w:hAnsi="宋体" w:cs="宋体"/>
          <w:color w:val="auto"/>
        </w:rPr>
        <w:t>月1日之后）担任过一个</w:t>
      </w:r>
      <w:r>
        <w:rPr>
          <w:rFonts w:hint="eastAsia" w:ascii="宋体" w:hAnsi="宋体" w:cs="宋体"/>
          <w:color w:val="auto"/>
          <w:szCs w:val="21"/>
        </w:rPr>
        <w:t>危旧桥加固改造工程（或新建桥梁）</w:t>
      </w:r>
      <w:r>
        <w:rPr>
          <w:rFonts w:hint="eastAsia" w:ascii="宋体" w:hAnsi="宋体" w:cs="宋体"/>
          <w:color w:val="auto"/>
        </w:rPr>
        <w:t>施工项目的项目总工或技术负责人或副总工的每个加</w:t>
      </w:r>
      <w:r>
        <w:rPr>
          <w:rFonts w:hint="eastAsia" w:ascii="宋体" w:hAnsi="宋体" w:cs="宋体"/>
          <w:color w:val="auto"/>
          <w:lang w:val="en-US" w:eastAsia="zh-CN"/>
        </w:rPr>
        <w:t>2</w:t>
      </w:r>
      <w:r>
        <w:rPr>
          <w:rFonts w:hint="eastAsia" w:ascii="宋体" w:hAnsi="宋体" w:cs="宋体"/>
          <w:color w:val="auto"/>
        </w:rPr>
        <w:t>分。</w:t>
      </w:r>
    </w:p>
    <w:p w14:paraId="6876100D">
      <w:pPr>
        <w:tabs>
          <w:tab w:val="left" w:pos="1305"/>
        </w:tabs>
        <w:spacing w:line="360" w:lineRule="auto"/>
        <w:ind w:left="210" w:firstLine="420" w:firstLineChars="200"/>
        <w:rPr>
          <w:rFonts w:ascii="宋体" w:hAnsi="宋体" w:cs="宋体"/>
          <w:color w:val="auto"/>
          <w:kern w:val="0"/>
          <w:szCs w:val="21"/>
        </w:rPr>
      </w:pPr>
      <w:r>
        <w:rPr>
          <w:rFonts w:hint="eastAsia" w:ascii="宋体" w:hAnsi="宋体" w:cs="宋体"/>
          <w:color w:val="auto"/>
          <w:szCs w:val="21"/>
        </w:rPr>
        <w:t>项目总工</w:t>
      </w:r>
      <w:r>
        <w:rPr>
          <w:rFonts w:hint="eastAsia" w:ascii="宋体" w:hAnsi="宋体" w:cs="宋体"/>
          <w:color w:val="auto"/>
          <w:kern w:val="0"/>
          <w:szCs w:val="21"/>
        </w:rPr>
        <w:t>业绩证明以合同协议书（或中标通知书）、竣工验收证明材料，加盖单位公章为准。</w:t>
      </w:r>
    </w:p>
    <w:p w14:paraId="3D85D054">
      <w:pPr>
        <w:widowControl/>
        <w:spacing w:line="360" w:lineRule="auto"/>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4.履约信誉分…………………………………………………………………………………满分7分</w:t>
      </w:r>
    </w:p>
    <w:p w14:paraId="2A045E76">
      <w:pPr>
        <w:widowControl/>
        <w:spacing w:line="360" w:lineRule="auto"/>
        <w:ind w:firstLine="420" w:firstLineChars="200"/>
        <w:jc w:val="left"/>
        <w:rPr>
          <w:color w:val="auto"/>
        </w:rPr>
      </w:pPr>
      <w:r>
        <w:rPr>
          <w:rFonts w:hint="eastAsia" w:ascii="宋体" w:hAnsi="宋体" w:cs="宋体"/>
          <w:color w:val="auto"/>
          <w:kern w:val="0"/>
          <w:szCs w:val="21"/>
        </w:rPr>
        <w:t>无不良信用记录的得7分，在全国公路建设市场信用信息管理系统的不良行为记录中自2020年9月1日起（以对外公布时间为准）存在一项不良行为记录的扣1分（以评标期间核查为准），扣完7分为止。</w:t>
      </w:r>
    </w:p>
    <w:p w14:paraId="63D8ED64">
      <w:pPr>
        <w:tabs>
          <w:tab w:val="left" w:pos="1305"/>
        </w:tabs>
        <w:spacing w:line="360" w:lineRule="auto"/>
        <w:ind w:firstLine="422" w:firstLineChars="200"/>
        <w:rPr>
          <w:rFonts w:ascii="宋体" w:hAnsi="宋体" w:cs="宋体"/>
          <w:b/>
          <w:bCs/>
          <w:color w:val="auto"/>
          <w:szCs w:val="21"/>
        </w:rPr>
      </w:pPr>
      <w:r>
        <w:rPr>
          <w:rFonts w:hint="eastAsia" w:ascii="宋体" w:hAnsi="宋体" w:cs="宋体"/>
          <w:b/>
          <w:bCs/>
          <w:color w:val="auto"/>
        </w:rPr>
        <w:t>5.供应商业绩分………………</w:t>
      </w:r>
      <w:r>
        <w:rPr>
          <w:rFonts w:hint="eastAsia" w:ascii="宋体" w:hAnsi="宋体" w:cs="宋体"/>
          <w:b/>
          <w:bCs/>
          <w:color w:val="auto"/>
          <w:szCs w:val="21"/>
        </w:rPr>
        <w:t>…</w:t>
      </w:r>
      <w:r>
        <w:rPr>
          <w:rFonts w:hint="eastAsia" w:ascii="宋体" w:hAnsi="宋体" w:cs="宋体"/>
          <w:b/>
          <w:bCs/>
          <w:color w:val="auto"/>
        </w:rPr>
        <w:t>……………</w:t>
      </w:r>
      <w:r>
        <w:rPr>
          <w:rFonts w:hint="eastAsia" w:ascii="宋体" w:hAnsi="宋体" w:cs="宋体"/>
          <w:b/>
          <w:bCs/>
          <w:color w:val="auto"/>
          <w:szCs w:val="21"/>
        </w:rPr>
        <w:t>…</w:t>
      </w:r>
      <w:r>
        <w:rPr>
          <w:rFonts w:hint="eastAsia" w:ascii="宋体" w:hAnsi="宋体" w:cs="宋体"/>
          <w:b/>
          <w:bCs/>
          <w:color w:val="auto"/>
        </w:rPr>
        <w:t>………</w:t>
      </w:r>
      <w:r>
        <w:rPr>
          <w:rFonts w:hint="eastAsia" w:ascii="宋体" w:hAnsi="宋体" w:cs="宋体"/>
          <w:b/>
          <w:bCs/>
          <w:color w:val="auto"/>
          <w:szCs w:val="21"/>
        </w:rPr>
        <w:t>…</w:t>
      </w:r>
      <w:r>
        <w:rPr>
          <w:rFonts w:hint="eastAsia" w:ascii="宋体" w:hAnsi="宋体" w:cs="宋体"/>
          <w:b/>
          <w:bCs/>
          <w:color w:val="auto"/>
        </w:rPr>
        <w:t>……</w:t>
      </w:r>
      <w:r>
        <w:rPr>
          <w:rFonts w:hint="eastAsia" w:ascii="宋体" w:hAnsi="宋体" w:cs="宋体"/>
          <w:b/>
          <w:bCs/>
          <w:color w:val="auto"/>
          <w:szCs w:val="21"/>
        </w:rPr>
        <w:t>…</w:t>
      </w:r>
      <w:r>
        <w:rPr>
          <w:rFonts w:hint="eastAsia" w:ascii="宋体" w:hAnsi="宋体" w:cs="宋体"/>
          <w:b/>
          <w:bCs/>
          <w:color w:val="auto"/>
        </w:rPr>
        <w:t>……</w:t>
      </w:r>
      <w:r>
        <w:rPr>
          <w:rFonts w:hint="eastAsia" w:ascii="宋体" w:hAnsi="宋体" w:cs="宋体"/>
          <w:b/>
          <w:bCs/>
          <w:color w:val="auto"/>
          <w:szCs w:val="21"/>
        </w:rPr>
        <w:t>…</w:t>
      </w:r>
      <w:r>
        <w:rPr>
          <w:rFonts w:hint="eastAsia" w:ascii="宋体" w:hAnsi="宋体" w:cs="宋体"/>
          <w:b/>
          <w:bCs/>
          <w:color w:val="auto"/>
        </w:rPr>
        <w:t>……</w:t>
      </w:r>
      <w:r>
        <w:rPr>
          <w:rFonts w:hint="eastAsia" w:ascii="宋体" w:hAnsi="宋体" w:cs="宋体"/>
          <w:b/>
          <w:bCs/>
          <w:color w:val="auto"/>
          <w:szCs w:val="21"/>
        </w:rPr>
        <w:t>…</w:t>
      </w:r>
      <w:r>
        <w:rPr>
          <w:rFonts w:hint="eastAsia" w:ascii="宋体" w:hAnsi="宋体" w:cs="宋体"/>
          <w:b/>
          <w:bCs/>
          <w:color w:val="auto"/>
        </w:rPr>
        <w:t>……</w:t>
      </w:r>
      <w:r>
        <w:rPr>
          <w:rFonts w:hint="eastAsia" w:ascii="宋体" w:hAnsi="宋体" w:cs="宋体"/>
          <w:b/>
          <w:bCs/>
          <w:color w:val="auto"/>
          <w:kern w:val="0"/>
          <w:szCs w:val="21"/>
        </w:rPr>
        <w:t>…</w:t>
      </w:r>
      <w:r>
        <w:rPr>
          <w:rFonts w:hint="eastAsia" w:ascii="宋体" w:hAnsi="宋体" w:cs="宋体"/>
          <w:b/>
          <w:bCs/>
          <w:color w:val="auto"/>
        </w:rPr>
        <w:t>满分</w:t>
      </w:r>
      <w:r>
        <w:rPr>
          <w:rFonts w:hint="eastAsia" w:ascii="宋体" w:hAnsi="宋体" w:cs="宋体"/>
          <w:b/>
          <w:bCs/>
          <w:color w:val="auto"/>
          <w:szCs w:val="21"/>
        </w:rPr>
        <w:t>8分</w:t>
      </w:r>
    </w:p>
    <w:p w14:paraId="27CFA62C">
      <w:pPr>
        <w:widowControl/>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在满足招标文件的基础上，在最近5年中（所完成的项目的交竣工验收时间在2019年</w:t>
      </w:r>
      <w:r>
        <w:rPr>
          <w:rFonts w:hint="eastAsia" w:ascii="宋体" w:hAnsi="宋体" w:cs="宋体"/>
          <w:color w:val="auto"/>
          <w:kern w:val="0"/>
          <w:szCs w:val="21"/>
          <w:lang w:val="en-US" w:eastAsia="zh-CN"/>
        </w:rPr>
        <w:t>7</w:t>
      </w:r>
      <w:r>
        <w:rPr>
          <w:rFonts w:hint="eastAsia" w:ascii="宋体" w:hAnsi="宋体" w:cs="宋体"/>
          <w:color w:val="auto"/>
          <w:kern w:val="0"/>
          <w:szCs w:val="21"/>
        </w:rPr>
        <w:t>月1日之后）完成过</w:t>
      </w:r>
      <w:r>
        <w:rPr>
          <w:rFonts w:hint="eastAsia" w:ascii="宋体" w:hAnsi="宋体" w:cs="宋体"/>
          <w:color w:val="auto"/>
          <w:szCs w:val="21"/>
        </w:rPr>
        <w:t>危旧桥加固改造工程（或新建桥梁或公路工程）</w:t>
      </w:r>
      <w:r>
        <w:rPr>
          <w:rFonts w:hint="eastAsia" w:ascii="宋体" w:hAnsi="宋体" w:cs="宋体"/>
          <w:color w:val="auto"/>
          <w:kern w:val="0"/>
          <w:szCs w:val="21"/>
        </w:rPr>
        <w:t>施工项目等施工业绩的得4分，每增加1个完成的</w:t>
      </w:r>
      <w:r>
        <w:rPr>
          <w:rFonts w:hint="eastAsia" w:ascii="宋体" w:hAnsi="宋体" w:cs="宋体"/>
          <w:color w:val="auto"/>
          <w:szCs w:val="21"/>
        </w:rPr>
        <w:t>危旧桥加固改造工程（或新建桥梁或公路工程）加</w:t>
      </w:r>
      <w:r>
        <w:rPr>
          <w:rFonts w:hint="eastAsia" w:ascii="宋体" w:hAnsi="宋体" w:cs="宋体"/>
          <w:color w:val="auto"/>
          <w:szCs w:val="21"/>
          <w:lang w:val="en-US" w:eastAsia="zh-CN"/>
        </w:rPr>
        <w:t>2</w:t>
      </w:r>
      <w:r>
        <w:rPr>
          <w:rFonts w:hint="eastAsia" w:ascii="宋体" w:hAnsi="宋体" w:cs="宋体"/>
          <w:color w:val="auto"/>
          <w:szCs w:val="21"/>
        </w:rPr>
        <w:t>分，</w:t>
      </w:r>
      <w:r>
        <w:rPr>
          <w:rFonts w:hint="eastAsia" w:ascii="宋体" w:hAnsi="宋体" w:cs="宋体"/>
          <w:color w:val="auto"/>
          <w:kern w:val="0"/>
          <w:szCs w:val="21"/>
        </w:rPr>
        <w:t>满分8分。</w:t>
      </w:r>
    </w:p>
    <w:p w14:paraId="32D6BB40">
      <w:pPr>
        <w:widowControl/>
        <w:spacing w:line="360" w:lineRule="auto"/>
        <w:ind w:firstLine="420" w:firstLineChars="200"/>
        <w:jc w:val="left"/>
        <w:rPr>
          <w:rFonts w:ascii="宋体" w:hAnsi="宋体" w:cs="宋体"/>
          <w:b/>
          <w:szCs w:val="21"/>
        </w:rPr>
      </w:pPr>
      <w:r>
        <w:rPr>
          <w:rFonts w:hint="eastAsia" w:ascii="宋体" w:hAnsi="宋体" w:cs="宋体"/>
          <w:kern w:val="0"/>
          <w:szCs w:val="21"/>
        </w:rPr>
        <w:t>注：已完成项目的，指工程经按《公路工程竣（交）工验收办法》交工验收或竣工验收通过），业绩证明以合同协议书（或中标通知书）、竣（交）工验收证书复印件加盖单位公章为准。</w:t>
      </w:r>
    </w:p>
    <w:p w14:paraId="64BD21CE">
      <w:pPr>
        <w:pStyle w:val="474"/>
        <w:spacing w:line="360" w:lineRule="auto"/>
        <w:ind w:firstLine="211" w:firstLineChars="100"/>
        <w:rPr>
          <w:rFonts w:ascii="宋体" w:hAnsi="宋体" w:cs="宋体"/>
          <w:bCs/>
        </w:rPr>
      </w:pPr>
      <w:r>
        <w:rPr>
          <w:rFonts w:hint="eastAsia" w:ascii="宋体" w:hAnsi="宋体" w:cs="宋体"/>
          <w:b/>
          <w:szCs w:val="21"/>
        </w:rPr>
        <w:t>6、综合得分＝1+2+3+4+5</w:t>
      </w:r>
    </w:p>
    <w:p w14:paraId="72FF32E9">
      <w:pPr>
        <w:tabs>
          <w:tab w:val="left" w:pos="1305"/>
        </w:tabs>
        <w:spacing w:line="360" w:lineRule="auto"/>
        <w:ind w:firstLine="422" w:firstLineChars="200"/>
        <w:rPr>
          <w:rFonts w:ascii="宋体" w:hAnsi="宋体" w:cs="宋体"/>
          <w:b/>
          <w:szCs w:val="21"/>
        </w:rPr>
      </w:pPr>
      <w:r>
        <w:rPr>
          <w:rFonts w:hint="eastAsia" w:ascii="宋体" w:hAnsi="宋体" w:cs="宋体"/>
          <w:b/>
          <w:szCs w:val="21"/>
        </w:rPr>
        <w:t>三.推荐成交候选人原则</w:t>
      </w:r>
    </w:p>
    <w:p w14:paraId="6EB4CE16">
      <w:pPr>
        <w:tabs>
          <w:tab w:val="left" w:pos="1305"/>
        </w:tabs>
        <w:spacing w:line="360" w:lineRule="auto"/>
        <w:ind w:firstLine="420" w:firstLineChars="200"/>
        <w:rPr>
          <w:rFonts w:ascii="宋体" w:hAnsi="宋体" w:cs="宋体"/>
          <w:szCs w:val="21"/>
        </w:rPr>
      </w:pPr>
      <w:r>
        <w:rPr>
          <w:rFonts w:hint="eastAsia" w:ascii="宋体" w:hAnsi="宋体" w:cs="宋体"/>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招标人可采用被招标项目所在地省级交通主管部门评为较高信用等级的投标人优先或其他方法确定第一中标候选人。</w:t>
      </w:r>
    </w:p>
    <w:p w14:paraId="5F5D2E46">
      <w:pPr>
        <w:tabs>
          <w:tab w:val="left" w:pos="1305"/>
        </w:tabs>
        <w:spacing w:line="360" w:lineRule="auto"/>
        <w:ind w:firstLine="420" w:firstLineChars="200"/>
        <w:rPr>
          <w:rFonts w:ascii="宋体" w:hAnsi="宋体" w:cs="宋体"/>
          <w:szCs w:val="21"/>
        </w:rPr>
      </w:pPr>
      <w:r>
        <w:rPr>
          <w:rFonts w:hint="eastAsia" w:ascii="宋体" w:hAnsi="宋体" w:cs="宋体"/>
          <w:szCs w:val="21"/>
        </w:rPr>
        <w:t>（2）采购人应当确定磋商小组推荐排名第一的成交候选供应商为成交供应商。</w:t>
      </w:r>
    </w:p>
    <w:p w14:paraId="1147BC96">
      <w:pPr>
        <w:tabs>
          <w:tab w:val="left" w:pos="1305"/>
        </w:tabs>
        <w:spacing w:line="360" w:lineRule="auto"/>
        <w:ind w:firstLine="420" w:firstLineChars="200"/>
        <w:rPr>
          <w:rFonts w:ascii="宋体" w:hAnsi="宋体" w:cs="宋体"/>
          <w:szCs w:val="21"/>
        </w:rPr>
      </w:pPr>
      <w:r>
        <w:rPr>
          <w:rFonts w:hint="eastAsia" w:ascii="宋体" w:hAnsi="宋体" w:cs="宋体"/>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7F0C205D">
      <w:pPr>
        <w:tabs>
          <w:tab w:val="left" w:pos="1305"/>
        </w:tabs>
        <w:spacing w:line="360" w:lineRule="auto"/>
        <w:ind w:firstLine="420" w:firstLineChars="200"/>
        <w:rPr>
          <w:rFonts w:ascii="宋体" w:hAnsi="宋体" w:cs="宋体"/>
          <w:szCs w:val="21"/>
        </w:rPr>
        <w:sectPr>
          <w:footerReference r:id="rId6" w:type="default"/>
          <w:pgSz w:w="11911" w:h="16849"/>
          <w:pgMar w:top="1417" w:right="1417" w:bottom="1417" w:left="1417" w:header="720" w:footer="720" w:gutter="0"/>
          <w:cols w:space="720" w:num="1"/>
        </w:sectPr>
      </w:pPr>
      <w:r>
        <w:rPr>
          <w:rFonts w:hint="eastAsia" w:ascii="宋体" w:hAnsi="宋体" w:cs="宋体"/>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7F274CD6">
      <w:pPr>
        <w:pStyle w:val="4"/>
      </w:pPr>
    </w:p>
    <w:p w14:paraId="474B0EFF">
      <w:bookmarkStart w:id="287" w:name="_Toc394929410"/>
      <w:bookmarkStart w:id="288" w:name="_Toc367270682"/>
      <w:bookmarkStart w:id="289" w:name="_Toc511286001"/>
      <w:bookmarkStart w:id="290" w:name="_Toc3629"/>
      <w:bookmarkStart w:id="291" w:name="_Toc15396"/>
      <w:bookmarkStart w:id="292" w:name="_Toc12594"/>
      <w:bookmarkStart w:id="293" w:name="_Toc7527"/>
      <w:bookmarkStart w:id="294" w:name="_Toc2257"/>
    </w:p>
    <w:p w14:paraId="4E7467FE">
      <w:pPr>
        <w:pStyle w:val="3"/>
        <w:spacing w:line="240" w:lineRule="auto"/>
        <w:jc w:val="center"/>
      </w:pPr>
    </w:p>
    <w:p w14:paraId="0C6177F2">
      <w:pPr>
        <w:pStyle w:val="3"/>
        <w:spacing w:line="240" w:lineRule="auto"/>
        <w:jc w:val="center"/>
      </w:pPr>
    </w:p>
    <w:p w14:paraId="23380F52">
      <w:pPr>
        <w:pStyle w:val="3"/>
        <w:spacing w:line="240" w:lineRule="auto"/>
        <w:jc w:val="center"/>
      </w:pPr>
    </w:p>
    <w:p w14:paraId="6C045C28">
      <w:pPr>
        <w:pStyle w:val="3"/>
        <w:spacing w:line="240" w:lineRule="auto"/>
        <w:jc w:val="center"/>
      </w:pPr>
    </w:p>
    <w:p w14:paraId="071670C5">
      <w:pPr>
        <w:pStyle w:val="3"/>
        <w:spacing w:line="240" w:lineRule="auto"/>
        <w:jc w:val="center"/>
      </w:pPr>
    </w:p>
    <w:p w14:paraId="213E8C5C">
      <w:pPr>
        <w:pStyle w:val="3"/>
        <w:spacing w:line="240" w:lineRule="auto"/>
        <w:jc w:val="center"/>
        <w:rPr>
          <w:rFonts w:ascii="宋体" w:hAnsi="宋体"/>
        </w:rPr>
      </w:pPr>
      <w:r>
        <w:rPr>
          <w:rFonts w:hint="eastAsia"/>
        </w:rPr>
        <w:t>第五章  合同条款及格</w:t>
      </w:r>
      <w:bookmarkEnd w:id="287"/>
      <w:bookmarkEnd w:id="288"/>
      <w:bookmarkEnd w:id="289"/>
      <w:r>
        <w:rPr>
          <w:rFonts w:hint="eastAsia"/>
        </w:rPr>
        <w:t>式</w:t>
      </w:r>
      <w:bookmarkEnd w:id="290"/>
      <w:bookmarkEnd w:id="291"/>
      <w:bookmarkEnd w:id="292"/>
      <w:bookmarkEnd w:id="293"/>
      <w:bookmarkEnd w:id="294"/>
    </w:p>
    <w:p w14:paraId="2717BEBC">
      <w:pPr>
        <w:spacing w:line="440" w:lineRule="atLeast"/>
        <w:jc w:val="center"/>
        <w:rPr>
          <w:rFonts w:ascii="宋体" w:hAnsi="宋体"/>
          <w:b/>
          <w:sz w:val="32"/>
          <w:szCs w:val="32"/>
        </w:rPr>
      </w:pPr>
    </w:p>
    <w:p w14:paraId="5E78D97F">
      <w:pPr>
        <w:pStyle w:val="5"/>
        <w:jc w:val="center"/>
        <w:rPr>
          <w:rFonts w:ascii="宋体" w:hAnsi="宋体" w:cs="宋体"/>
          <w:sz w:val="21"/>
          <w:szCs w:val="21"/>
        </w:rPr>
      </w:pPr>
      <w:r>
        <w:br w:type="page"/>
      </w:r>
      <w:bookmarkStart w:id="295" w:name="_Toc7976758"/>
      <w:bookmarkStart w:id="296" w:name="_Toc12480"/>
      <w:bookmarkStart w:id="297" w:name="_Toc394929411"/>
      <w:bookmarkStart w:id="298" w:name="_Toc32003"/>
      <w:bookmarkStart w:id="299" w:name="_Toc511286002"/>
      <w:bookmarkStart w:id="300" w:name="_Toc367270683"/>
      <w:bookmarkStart w:id="301" w:name="_Toc23901_WPSOffice_Level2"/>
      <w:r>
        <w:rPr>
          <w:rFonts w:hint="eastAsia" w:ascii="宋体" w:hAnsi="宋体" w:cs="宋体"/>
          <w:sz w:val="21"/>
          <w:szCs w:val="21"/>
        </w:rPr>
        <w:t>第一节  通用合同条款</w:t>
      </w:r>
      <w:bookmarkEnd w:id="295"/>
      <w:bookmarkEnd w:id="296"/>
      <w:bookmarkEnd w:id="297"/>
      <w:bookmarkEnd w:id="298"/>
      <w:bookmarkEnd w:id="299"/>
      <w:bookmarkEnd w:id="300"/>
    </w:p>
    <w:p w14:paraId="3C357BD4">
      <w:pPr>
        <w:tabs>
          <w:tab w:val="left" w:pos="1080"/>
        </w:tabs>
        <w:ind w:left="-359" w:leftChars="-171" w:firstLine="420"/>
        <w:rPr>
          <w:rFonts w:ascii="宋体" w:hAnsi="宋体" w:cs="宋体"/>
          <w:szCs w:val="21"/>
        </w:rPr>
      </w:pPr>
    </w:p>
    <w:p w14:paraId="1686A01D">
      <w:pPr>
        <w:tabs>
          <w:tab w:val="left" w:pos="1080"/>
        </w:tabs>
        <w:ind w:left="-359" w:leftChars="-171" w:firstLine="420"/>
        <w:rPr>
          <w:rStyle w:val="231"/>
          <w:rFonts w:cs="宋体"/>
          <w:color w:val="auto"/>
          <w:sz w:val="21"/>
          <w:szCs w:val="21"/>
        </w:rPr>
      </w:pPr>
      <w:r>
        <w:rPr>
          <w:rFonts w:hint="eastAsia" w:ascii="宋体" w:hAnsi="宋体" w:cs="宋体"/>
          <w:szCs w:val="21"/>
        </w:rPr>
        <w:t>“</w:t>
      </w:r>
      <w:r>
        <w:rPr>
          <w:rStyle w:val="231"/>
          <w:rFonts w:hint="eastAsia" w:cs="宋体"/>
          <w:color w:val="auto"/>
          <w:sz w:val="21"/>
          <w:szCs w:val="21"/>
        </w:rPr>
        <w:t>通用合同条款”采用中华人民共和国交通运输部《公路工程标准施工招标文件》（2018年版）的“通用合同条款”</w:t>
      </w:r>
    </w:p>
    <w:p w14:paraId="74096762">
      <w:pPr>
        <w:tabs>
          <w:tab w:val="left" w:pos="1080"/>
        </w:tabs>
        <w:spacing w:line="400" w:lineRule="exact"/>
        <w:ind w:left="420" w:firstLine="420"/>
        <w:rPr>
          <w:rFonts w:ascii="宋体" w:hAnsi="宋体" w:cs="宋体"/>
          <w:szCs w:val="21"/>
        </w:rPr>
      </w:pPr>
    </w:p>
    <w:p w14:paraId="5A46F385">
      <w:pPr>
        <w:tabs>
          <w:tab w:val="left" w:pos="1080"/>
        </w:tabs>
        <w:spacing w:line="400" w:lineRule="exact"/>
        <w:ind w:left="420" w:firstLine="420"/>
        <w:rPr>
          <w:rFonts w:ascii="宋体" w:hAnsi="宋体" w:cs="宋体"/>
          <w:szCs w:val="21"/>
        </w:rPr>
      </w:pPr>
    </w:p>
    <w:p w14:paraId="78AFCAF1">
      <w:pPr>
        <w:tabs>
          <w:tab w:val="left" w:pos="1080"/>
        </w:tabs>
        <w:spacing w:line="400" w:lineRule="exact"/>
        <w:ind w:left="420" w:firstLine="420"/>
        <w:rPr>
          <w:rFonts w:ascii="宋体" w:hAnsi="宋体" w:cs="宋体"/>
          <w:szCs w:val="21"/>
        </w:rPr>
      </w:pPr>
    </w:p>
    <w:p w14:paraId="38D04E7D">
      <w:pPr>
        <w:tabs>
          <w:tab w:val="left" w:pos="1080"/>
        </w:tabs>
        <w:spacing w:line="400" w:lineRule="exact"/>
        <w:ind w:firstLine="420"/>
        <w:rPr>
          <w:rFonts w:ascii="宋体" w:hAnsi="宋体" w:cs="宋体"/>
          <w:szCs w:val="21"/>
        </w:rPr>
      </w:pPr>
      <w:r>
        <w:rPr>
          <w:rFonts w:hint="eastAsia" w:ascii="宋体" w:hAnsi="宋体" w:cs="宋体"/>
          <w:szCs w:val="21"/>
        </w:rPr>
        <w:t>注：</w:t>
      </w:r>
      <w:r>
        <w:rPr>
          <w:rStyle w:val="231"/>
          <w:rFonts w:hint="eastAsia" w:cs="宋体"/>
          <w:color w:val="auto"/>
          <w:sz w:val="21"/>
          <w:szCs w:val="21"/>
        </w:rPr>
        <w:t>《公路工程标准施工招标文件》（2018年版）</w:t>
      </w:r>
      <w:r>
        <w:rPr>
          <w:rFonts w:hint="eastAsia" w:ascii="宋体" w:hAnsi="宋体" w:cs="宋体"/>
          <w:szCs w:val="21"/>
        </w:rPr>
        <w:t>）由供应商自行到书店购买。</w:t>
      </w:r>
    </w:p>
    <w:p w14:paraId="7ED11EF1">
      <w:pPr>
        <w:tabs>
          <w:tab w:val="left" w:pos="1080"/>
        </w:tabs>
        <w:spacing w:line="400" w:lineRule="exact"/>
        <w:ind w:left="-359" w:leftChars="-171" w:firstLine="422"/>
        <w:jc w:val="center"/>
        <w:rPr>
          <w:rFonts w:ascii="宋体" w:hAnsi="宋体" w:cs="宋体"/>
          <w:b/>
          <w:szCs w:val="21"/>
        </w:rPr>
      </w:pPr>
    </w:p>
    <w:p w14:paraId="71923C8A">
      <w:pPr>
        <w:pStyle w:val="5"/>
        <w:jc w:val="center"/>
        <w:rPr>
          <w:rFonts w:ascii="宋体" w:hAnsi="宋体" w:cs="宋体"/>
          <w:sz w:val="21"/>
          <w:szCs w:val="21"/>
        </w:rPr>
      </w:pPr>
      <w:r>
        <w:rPr>
          <w:rFonts w:hint="eastAsia" w:ascii="宋体" w:hAnsi="宋体" w:cs="宋体"/>
          <w:szCs w:val="21"/>
        </w:rPr>
        <w:br w:type="page"/>
      </w:r>
      <w:bookmarkStart w:id="302" w:name="_Toc7051"/>
      <w:bookmarkStart w:id="303" w:name="_Toc394929412"/>
      <w:bookmarkStart w:id="304" w:name="_Toc511286003"/>
      <w:bookmarkStart w:id="305" w:name="_Toc20429"/>
      <w:bookmarkStart w:id="306" w:name="_Toc7976759"/>
      <w:r>
        <w:rPr>
          <w:rFonts w:hint="eastAsia" w:ascii="宋体" w:hAnsi="宋体" w:cs="宋体"/>
          <w:sz w:val="21"/>
          <w:szCs w:val="21"/>
        </w:rPr>
        <w:t>第二节  专用合同条款</w:t>
      </w:r>
      <w:bookmarkEnd w:id="302"/>
      <w:bookmarkEnd w:id="303"/>
      <w:bookmarkEnd w:id="304"/>
      <w:bookmarkEnd w:id="305"/>
      <w:bookmarkEnd w:id="306"/>
    </w:p>
    <w:p w14:paraId="2AA685C4">
      <w:pPr>
        <w:ind w:left="840"/>
        <w:rPr>
          <w:rFonts w:ascii="宋体" w:hAnsi="宋体" w:cs="宋体"/>
          <w:szCs w:val="21"/>
        </w:rPr>
      </w:pPr>
    </w:p>
    <w:p w14:paraId="10762871">
      <w:pPr>
        <w:pStyle w:val="6"/>
        <w:rPr>
          <w:rFonts w:ascii="宋体" w:hAnsi="宋体" w:cs="宋体"/>
          <w:sz w:val="21"/>
          <w:szCs w:val="21"/>
        </w:rPr>
      </w:pPr>
      <w:bookmarkStart w:id="307" w:name="_Toc394929413"/>
      <w:r>
        <w:rPr>
          <w:rFonts w:hint="eastAsia" w:ascii="宋体" w:hAnsi="宋体" w:cs="宋体"/>
          <w:sz w:val="21"/>
          <w:szCs w:val="21"/>
        </w:rPr>
        <w:t>A.公路工程专用合同条款</w:t>
      </w:r>
      <w:bookmarkEnd w:id="307"/>
    </w:p>
    <w:p w14:paraId="69EC4476">
      <w:pPr>
        <w:tabs>
          <w:tab w:val="left" w:pos="1080"/>
        </w:tabs>
        <w:ind w:firstLine="420"/>
        <w:rPr>
          <w:rFonts w:ascii="宋体" w:hAnsi="宋体" w:cs="宋体"/>
          <w:b/>
          <w:szCs w:val="21"/>
        </w:rPr>
      </w:pPr>
      <w:r>
        <w:rPr>
          <w:rFonts w:hint="eastAsia" w:ascii="宋体" w:hAnsi="宋体" w:cs="宋体"/>
          <w:szCs w:val="21"/>
        </w:rPr>
        <w:t xml:space="preserve"> “</w:t>
      </w:r>
      <w:r>
        <w:rPr>
          <w:rStyle w:val="231"/>
          <w:rFonts w:hint="eastAsia" w:cs="宋体"/>
          <w:color w:val="auto"/>
          <w:sz w:val="21"/>
          <w:szCs w:val="21"/>
        </w:rPr>
        <w:t>公路工程专用合同条款”采用交通运输部《公路工程标准施工招标文件》（2018年版）的“公路工程专用合同条款”</w:t>
      </w:r>
    </w:p>
    <w:p w14:paraId="098C659A">
      <w:pPr>
        <w:tabs>
          <w:tab w:val="left" w:pos="1080"/>
        </w:tabs>
        <w:ind w:left="-359" w:leftChars="-171" w:firstLine="422"/>
        <w:jc w:val="center"/>
        <w:rPr>
          <w:rFonts w:ascii="宋体" w:hAnsi="宋体" w:cs="宋体"/>
          <w:b/>
          <w:szCs w:val="21"/>
        </w:rPr>
      </w:pPr>
    </w:p>
    <w:p w14:paraId="1CAF9BEB">
      <w:pPr>
        <w:tabs>
          <w:tab w:val="left" w:pos="1080"/>
        </w:tabs>
        <w:ind w:left="-359" w:leftChars="-171" w:firstLine="422"/>
        <w:jc w:val="center"/>
        <w:rPr>
          <w:rFonts w:ascii="宋体" w:hAnsi="宋体" w:cs="宋体"/>
          <w:b/>
          <w:szCs w:val="21"/>
        </w:rPr>
      </w:pPr>
    </w:p>
    <w:p w14:paraId="21ED65C2">
      <w:pPr>
        <w:tabs>
          <w:tab w:val="left" w:pos="1080"/>
        </w:tabs>
        <w:ind w:left="-359" w:leftChars="-171" w:firstLine="422"/>
        <w:jc w:val="center"/>
        <w:rPr>
          <w:rFonts w:ascii="宋体" w:hAnsi="宋体" w:cs="宋体"/>
          <w:b/>
          <w:szCs w:val="21"/>
        </w:rPr>
      </w:pPr>
    </w:p>
    <w:p w14:paraId="4ED8EB6F">
      <w:pPr>
        <w:tabs>
          <w:tab w:val="left" w:pos="1080"/>
        </w:tabs>
        <w:ind w:left="-359" w:leftChars="-171" w:firstLine="422"/>
        <w:jc w:val="center"/>
        <w:rPr>
          <w:rFonts w:ascii="宋体" w:hAnsi="宋体" w:cs="宋体"/>
          <w:b/>
          <w:szCs w:val="21"/>
        </w:rPr>
      </w:pPr>
    </w:p>
    <w:p w14:paraId="37CC85D8">
      <w:pPr>
        <w:tabs>
          <w:tab w:val="left" w:pos="1080"/>
        </w:tabs>
        <w:ind w:firstLine="420"/>
        <w:rPr>
          <w:rFonts w:ascii="宋体" w:hAnsi="宋体" w:cs="宋体"/>
          <w:szCs w:val="21"/>
        </w:rPr>
      </w:pPr>
      <w:r>
        <w:rPr>
          <w:rFonts w:hint="eastAsia" w:ascii="宋体" w:hAnsi="宋体" w:cs="宋体"/>
          <w:szCs w:val="21"/>
        </w:rPr>
        <w:t>注：《公路工程标准施工招标文件》（2018年版）由供应商自行到书店购买。</w:t>
      </w:r>
    </w:p>
    <w:p w14:paraId="0AD130BF">
      <w:pPr>
        <w:ind w:left="840"/>
        <w:rPr>
          <w:rFonts w:ascii="宋体" w:hAnsi="宋体" w:cs="宋体"/>
          <w:szCs w:val="21"/>
        </w:rPr>
      </w:pPr>
    </w:p>
    <w:p w14:paraId="5F5FF29D">
      <w:pPr>
        <w:pStyle w:val="6"/>
        <w:jc w:val="center"/>
        <w:rPr>
          <w:rFonts w:ascii="宋体" w:hAnsi="宋体" w:cs="宋体"/>
          <w:sz w:val="28"/>
          <w:szCs w:val="28"/>
        </w:rPr>
      </w:pPr>
      <w:r>
        <w:rPr>
          <w:rFonts w:hint="eastAsia" w:ascii="宋体" w:hAnsi="宋体" w:cs="宋体"/>
        </w:rPr>
        <w:br w:type="page"/>
      </w:r>
      <w:bookmarkStart w:id="308" w:name="_Toc394929414"/>
      <w:r>
        <w:rPr>
          <w:rFonts w:hint="eastAsia" w:ascii="宋体" w:hAnsi="宋体" w:cs="宋体"/>
          <w:sz w:val="28"/>
          <w:szCs w:val="28"/>
        </w:rPr>
        <w:t>B.项目专用合同条款</w:t>
      </w:r>
      <w:bookmarkEnd w:id="308"/>
    </w:p>
    <w:p w14:paraId="144516AB">
      <w:pPr>
        <w:tabs>
          <w:tab w:val="left" w:pos="1080"/>
        </w:tabs>
        <w:spacing w:line="340" w:lineRule="exact"/>
        <w:ind w:firstLine="480"/>
        <w:rPr>
          <w:rFonts w:ascii="宋体" w:hAnsi="宋体" w:cs="宋体"/>
          <w:sz w:val="24"/>
        </w:rPr>
      </w:pPr>
    </w:p>
    <w:p w14:paraId="70CE5589">
      <w:pPr>
        <w:tabs>
          <w:tab w:val="left" w:pos="1080"/>
        </w:tabs>
        <w:spacing w:line="360" w:lineRule="auto"/>
        <w:ind w:firstLine="482"/>
        <w:rPr>
          <w:rFonts w:ascii="宋体" w:hAnsi="宋体" w:cs="宋体"/>
          <w:b/>
          <w:sz w:val="24"/>
        </w:rPr>
      </w:pPr>
      <w:r>
        <w:rPr>
          <w:rFonts w:hint="eastAsia" w:ascii="宋体" w:hAnsi="宋体" w:cs="宋体"/>
          <w:b/>
          <w:sz w:val="24"/>
        </w:rPr>
        <w:t>说明：</w:t>
      </w:r>
    </w:p>
    <w:p w14:paraId="318A171B">
      <w:pPr>
        <w:tabs>
          <w:tab w:val="left" w:pos="1080"/>
        </w:tabs>
        <w:spacing w:line="360" w:lineRule="auto"/>
        <w:ind w:firstLine="420"/>
        <w:rPr>
          <w:rFonts w:ascii="宋体" w:hAnsi="宋体" w:cs="宋体"/>
          <w:szCs w:val="21"/>
        </w:rPr>
      </w:pPr>
      <w:r>
        <w:rPr>
          <w:rFonts w:hint="eastAsia" w:ascii="宋体" w:hAnsi="宋体" w:cs="宋体"/>
          <w:szCs w:val="21"/>
        </w:rPr>
        <w:t>1.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05280056">
      <w:pPr>
        <w:tabs>
          <w:tab w:val="left" w:pos="1080"/>
        </w:tabs>
        <w:spacing w:line="360" w:lineRule="auto"/>
        <w:ind w:firstLine="420"/>
        <w:rPr>
          <w:rFonts w:ascii="宋体" w:hAnsi="宋体" w:cs="宋体"/>
          <w:szCs w:val="21"/>
        </w:rPr>
      </w:pPr>
      <w:r>
        <w:rPr>
          <w:rFonts w:hint="eastAsia" w:ascii="宋体" w:hAnsi="宋体" w:cs="宋体"/>
          <w:szCs w:val="21"/>
        </w:rPr>
        <w:t>2.项目专用合同条款的编号应与通用合同条款和公路工程专用合同条款一致。</w:t>
      </w:r>
    </w:p>
    <w:p w14:paraId="3C17CC24">
      <w:pPr>
        <w:tabs>
          <w:tab w:val="left" w:pos="1080"/>
        </w:tabs>
        <w:spacing w:line="360" w:lineRule="auto"/>
        <w:ind w:firstLine="420"/>
        <w:rPr>
          <w:rFonts w:ascii="宋体" w:hAnsi="宋体" w:cs="宋体"/>
          <w:szCs w:val="21"/>
        </w:rPr>
      </w:pPr>
      <w:r>
        <w:rPr>
          <w:rFonts w:hint="eastAsia" w:ascii="宋体" w:hAnsi="宋体" w:cs="宋体"/>
          <w:szCs w:val="21"/>
        </w:rPr>
        <w:t>3.项目专用合同条款可对下列内容进行补充和细化：</w:t>
      </w:r>
    </w:p>
    <w:p w14:paraId="318A3312">
      <w:pPr>
        <w:tabs>
          <w:tab w:val="left" w:pos="1080"/>
        </w:tabs>
        <w:spacing w:line="360" w:lineRule="auto"/>
        <w:ind w:firstLine="420"/>
        <w:rPr>
          <w:rFonts w:ascii="宋体" w:hAnsi="宋体" w:cs="宋体"/>
          <w:szCs w:val="21"/>
        </w:rPr>
      </w:pPr>
      <w:r>
        <w:rPr>
          <w:rFonts w:hint="eastAsia" w:ascii="宋体" w:hAnsi="宋体" w:cs="宋体"/>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7390297A">
      <w:pPr>
        <w:tabs>
          <w:tab w:val="left" w:pos="1080"/>
        </w:tabs>
        <w:spacing w:line="360" w:lineRule="auto"/>
        <w:ind w:firstLine="420"/>
        <w:rPr>
          <w:rFonts w:ascii="宋体" w:hAnsi="宋体" w:cs="宋体"/>
          <w:szCs w:val="21"/>
        </w:rPr>
      </w:pPr>
      <w:r>
        <w:rPr>
          <w:rFonts w:hint="eastAsia" w:ascii="宋体" w:hAnsi="宋体" w:cs="宋体"/>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7698953A">
      <w:pPr>
        <w:tabs>
          <w:tab w:val="left" w:pos="1080"/>
        </w:tabs>
        <w:spacing w:line="360" w:lineRule="auto"/>
        <w:ind w:firstLine="420"/>
        <w:rPr>
          <w:rFonts w:ascii="宋体" w:hAnsi="宋体" w:cs="宋体"/>
          <w:szCs w:val="21"/>
        </w:rPr>
      </w:pPr>
      <w:r>
        <w:rPr>
          <w:rFonts w:hint="eastAsia" w:ascii="宋体" w:hAnsi="宋体" w:cs="宋体"/>
          <w:szCs w:val="21"/>
        </w:rPr>
        <w:t>（3）其他需要补充、细化的内容。</w:t>
      </w:r>
    </w:p>
    <w:p w14:paraId="298593A3">
      <w:pPr>
        <w:tabs>
          <w:tab w:val="left" w:pos="1080"/>
        </w:tabs>
        <w:ind w:firstLine="480"/>
        <w:rPr>
          <w:rFonts w:ascii="宋体" w:hAnsi="宋体" w:cs="宋体"/>
          <w:sz w:val="24"/>
        </w:rPr>
      </w:pPr>
    </w:p>
    <w:p w14:paraId="23A664B6">
      <w:pPr>
        <w:tabs>
          <w:tab w:val="left" w:pos="1080"/>
        </w:tabs>
        <w:ind w:firstLine="480"/>
        <w:rPr>
          <w:rFonts w:ascii="宋体" w:hAnsi="宋体" w:cs="宋体"/>
          <w:sz w:val="24"/>
        </w:rPr>
      </w:pPr>
    </w:p>
    <w:p w14:paraId="2452E899">
      <w:pPr>
        <w:tabs>
          <w:tab w:val="left" w:pos="1080"/>
        </w:tabs>
        <w:ind w:firstLine="480"/>
        <w:rPr>
          <w:rFonts w:ascii="宋体" w:hAnsi="宋体" w:cs="宋体"/>
          <w:sz w:val="24"/>
        </w:rPr>
      </w:pPr>
    </w:p>
    <w:p w14:paraId="00DEBEA7">
      <w:pPr>
        <w:pStyle w:val="6"/>
        <w:jc w:val="center"/>
        <w:rPr>
          <w:rFonts w:ascii="宋体" w:hAnsi="宋体" w:cs="宋体"/>
          <w:sz w:val="28"/>
          <w:szCs w:val="28"/>
        </w:rPr>
      </w:pPr>
      <w:r>
        <w:rPr>
          <w:rFonts w:hint="eastAsia" w:ascii="宋体" w:hAnsi="宋体" w:cs="宋体"/>
          <w:b w:val="0"/>
          <w:sz w:val="24"/>
        </w:rPr>
        <w:br w:type="page"/>
      </w:r>
      <w:r>
        <w:rPr>
          <w:rFonts w:hint="eastAsia" w:ascii="宋体" w:hAnsi="宋体" w:cs="宋体"/>
          <w:sz w:val="28"/>
          <w:szCs w:val="28"/>
        </w:rPr>
        <w:t>项目专用合同条款数据表</w:t>
      </w:r>
    </w:p>
    <w:p w14:paraId="06CA8F35">
      <w:pPr>
        <w:tabs>
          <w:tab w:val="left" w:pos="1080"/>
        </w:tabs>
        <w:spacing w:line="400" w:lineRule="exact"/>
        <w:ind w:firstLine="422"/>
        <w:rPr>
          <w:rFonts w:ascii="宋体" w:hAnsi="宋体" w:cs="宋体"/>
          <w:szCs w:val="21"/>
        </w:rPr>
      </w:pPr>
      <w:r>
        <w:rPr>
          <w:rFonts w:hint="eastAsia" w:ascii="宋体" w:hAnsi="宋体" w:cs="宋体"/>
          <w:b/>
          <w:szCs w:val="21"/>
        </w:rPr>
        <w:t>说明：</w:t>
      </w:r>
      <w:r>
        <w:rPr>
          <w:rFonts w:hint="eastAsia" w:ascii="宋体" w:hAnsi="宋体" w:cs="宋体"/>
          <w:szCs w:val="21"/>
        </w:rPr>
        <w:t>本数据表是项目专用合同条款中适用于本项目的信息和数据的归纳与提示，是项目专用合同条款的组成部分。第六章“响应文件格式”的投标函附录中的数据（供投标人确认）与本表所列有重复。编写采购文件的单位应仔细校核，不使数据出现差错或不一致。</w:t>
      </w:r>
    </w:p>
    <w:tbl>
      <w:tblPr>
        <w:tblStyle w:val="52"/>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2"/>
        <w:gridCol w:w="7205"/>
      </w:tblGrid>
      <w:tr w14:paraId="6DA7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818" w:type="dxa"/>
            <w:noWrap/>
            <w:vAlign w:val="center"/>
          </w:tcPr>
          <w:p w14:paraId="3C5D9190">
            <w:pPr>
              <w:tabs>
                <w:tab w:val="left" w:pos="1080"/>
              </w:tabs>
              <w:jc w:val="center"/>
              <w:rPr>
                <w:rFonts w:ascii="宋体" w:hAnsi="宋体" w:cs="宋体"/>
                <w:b/>
                <w:szCs w:val="21"/>
              </w:rPr>
            </w:pPr>
            <w:r>
              <w:rPr>
                <w:rFonts w:hint="eastAsia" w:ascii="宋体" w:hAnsi="宋体" w:cs="宋体"/>
                <w:b/>
                <w:szCs w:val="21"/>
              </w:rPr>
              <w:t>序号</w:t>
            </w:r>
          </w:p>
        </w:tc>
        <w:tc>
          <w:tcPr>
            <w:tcW w:w="1272" w:type="dxa"/>
            <w:noWrap/>
            <w:vAlign w:val="center"/>
          </w:tcPr>
          <w:p w14:paraId="75EBD8F7">
            <w:pPr>
              <w:tabs>
                <w:tab w:val="left" w:pos="1080"/>
              </w:tabs>
              <w:jc w:val="center"/>
              <w:rPr>
                <w:rFonts w:ascii="宋体" w:hAnsi="宋体" w:cs="宋体"/>
                <w:b/>
                <w:szCs w:val="21"/>
              </w:rPr>
            </w:pPr>
            <w:r>
              <w:rPr>
                <w:rFonts w:hint="eastAsia" w:ascii="宋体" w:hAnsi="宋体" w:cs="宋体"/>
                <w:b/>
                <w:szCs w:val="21"/>
              </w:rPr>
              <w:t>条目号</w:t>
            </w:r>
          </w:p>
        </w:tc>
        <w:tc>
          <w:tcPr>
            <w:tcW w:w="7205" w:type="dxa"/>
            <w:noWrap/>
            <w:vAlign w:val="center"/>
          </w:tcPr>
          <w:p w14:paraId="6A6B3DA8">
            <w:pPr>
              <w:tabs>
                <w:tab w:val="left" w:pos="1080"/>
              </w:tabs>
              <w:jc w:val="center"/>
              <w:rPr>
                <w:rFonts w:ascii="宋体" w:hAnsi="宋体" w:cs="宋体"/>
                <w:b/>
                <w:szCs w:val="21"/>
              </w:rPr>
            </w:pPr>
            <w:r>
              <w:rPr>
                <w:rFonts w:hint="eastAsia" w:ascii="宋体" w:hAnsi="宋体" w:cs="宋体"/>
                <w:b/>
                <w:szCs w:val="21"/>
              </w:rPr>
              <w:t>信 息 或 数 据</w:t>
            </w:r>
          </w:p>
        </w:tc>
      </w:tr>
      <w:tr w14:paraId="32819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818" w:type="dxa"/>
            <w:noWrap/>
            <w:vAlign w:val="center"/>
          </w:tcPr>
          <w:p w14:paraId="700C2DCD">
            <w:pPr>
              <w:tabs>
                <w:tab w:val="left" w:pos="1080"/>
              </w:tabs>
              <w:jc w:val="center"/>
              <w:rPr>
                <w:rFonts w:ascii="宋体" w:hAnsi="宋体" w:cs="宋体"/>
                <w:szCs w:val="21"/>
              </w:rPr>
            </w:pPr>
            <w:r>
              <w:rPr>
                <w:rFonts w:hint="eastAsia" w:ascii="宋体" w:hAnsi="宋体" w:cs="宋体"/>
                <w:szCs w:val="21"/>
              </w:rPr>
              <w:t>1</w:t>
            </w:r>
          </w:p>
        </w:tc>
        <w:tc>
          <w:tcPr>
            <w:tcW w:w="1272" w:type="dxa"/>
            <w:noWrap/>
            <w:vAlign w:val="center"/>
          </w:tcPr>
          <w:p w14:paraId="752A07DF">
            <w:pPr>
              <w:tabs>
                <w:tab w:val="left" w:pos="1080"/>
              </w:tabs>
              <w:jc w:val="center"/>
              <w:rPr>
                <w:rFonts w:ascii="宋体" w:hAnsi="宋体" w:cs="宋体"/>
                <w:szCs w:val="21"/>
              </w:rPr>
            </w:pPr>
            <w:r>
              <w:rPr>
                <w:rFonts w:hint="eastAsia" w:ascii="宋体" w:hAnsi="宋体" w:cs="宋体"/>
                <w:szCs w:val="21"/>
              </w:rPr>
              <w:t>1.1.2.2</w:t>
            </w:r>
          </w:p>
        </w:tc>
        <w:tc>
          <w:tcPr>
            <w:tcW w:w="7205" w:type="dxa"/>
            <w:noWrap/>
            <w:vAlign w:val="center"/>
          </w:tcPr>
          <w:p w14:paraId="7C23C437">
            <w:pPr>
              <w:jc w:val="left"/>
              <w:rPr>
                <w:rFonts w:ascii="宋体" w:hAnsi="宋体" w:cs="宋体"/>
                <w:szCs w:val="21"/>
              </w:rPr>
            </w:pPr>
            <w:r>
              <w:rPr>
                <w:rFonts w:hint="eastAsia" w:ascii="宋体" w:hAnsi="宋体" w:cs="宋体"/>
                <w:szCs w:val="21"/>
              </w:rPr>
              <w:t>发包人：</w:t>
            </w:r>
          </w:p>
          <w:p w14:paraId="6FF10EF7">
            <w:pPr>
              <w:tabs>
                <w:tab w:val="left" w:pos="1080"/>
              </w:tabs>
              <w:jc w:val="left"/>
              <w:rPr>
                <w:rFonts w:ascii="宋体" w:hAnsi="宋体" w:cs="宋体"/>
                <w:szCs w:val="21"/>
              </w:rPr>
            </w:pPr>
            <w:r>
              <w:rPr>
                <w:rFonts w:hint="eastAsia" w:ascii="宋体" w:hAnsi="宋体" w:cs="宋体"/>
                <w:szCs w:val="21"/>
              </w:rPr>
              <w:t>地  址：</w:t>
            </w:r>
          </w:p>
          <w:p w14:paraId="50718B9C">
            <w:pPr>
              <w:tabs>
                <w:tab w:val="left" w:pos="1080"/>
              </w:tabs>
              <w:jc w:val="left"/>
              <w:rPr>
                <w:rFonts w:ascii="宋体" w:hAnsi="宋体" w:cs="宋体"/>
                <w:szCs w:val="21"/>
              </w:rPr>
            </w:pPr>
            <w:r>
              <w:rPr>
                <w:rFonts w:hint="eastAsia" w:ascii="宋体" w:hAnsi="宋体" w:cs="宋体"/>
                <w:szCs w:val="21"/>
              </w:rPr>
              <w:t>邮政编码：</w:t>
            </w:r>
          </w:p>
        </w:tc>
      </w:tr>
      <w:tr w14:paraId="5F7C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ign w:val="center"/>
          </w:tcPr>
          <w:p w14:paraId="5CF224BF">
            <w:pPr>
              <w:tabs>
                <w:tab w:val="left" w:pos="1080"/>
              </w:tabs>
              <w:jc w:val="center"/>
              <w:rPr>
                <w:rFonts w:ascii="宋体" w:hAnsi="宋体" w:cs="宋体"/>
                <w:szCs w:val="21"/>
              </w:rPr>
            </w:pPr>
            <w:r>
              <w:rPr>
                <w:rFonts w:hint="eastAsia" w:ascii="宋体" w:hAnsi="宋体" w:cs="宋体"/>
                <w:szCs w:val="21"/>
              </w:rPr>
              <w:t>2</w:t>
            </w:r>
          </w:p>
        </w:tc>
        <w:tc>
          <w:tcPr>
            <w:tcW w:w="1272" w:type="dxa"/>
            <w:noWrap/>
            <w:vAlign w:val="center"/>
          </w:tcPr>
          <w:p w14:paraId="48FDE4DB">
            <w:pPr>
              <w:tabs>
                <w:tab w:val="left" w:pos="1080"/>
              </w:tabs>
              <w:jc w:val="center"/>
              <w:rPr>
                <w:rFonts w:ascii="宋体" w:hAnsi="宋体" w:cs="宋体"/>
                <w:szCs w:val="21"/>
              </w:rPr>
            </w:pPr>
            <w:r>
              <w:rPr>
                <w:rFonts w:hint="eastAsia" w:ascii="宋体" w:hAnsi="宋体" w:cs="宋体"/>
                <w:szCs w:val="21"/>
              </w:rPr>
              <w:t>1.1.2.6</w:t>
            </w:r>
          </w:p>
        </w:tc>
        <w:tc>
          <w:tcPr>
            <w:tcW w:w="7205" w:type="dxa"/>
            <w:noWrap/>
            <w:vAlign w:val="center"/>
          </w:tcPr>
          <w:p w14:paraId="62058942">
            <w:pPr>
              <w:tabs>
                <w:tab w:val="left" w:pos="1080"/>
              </w:tabs>
              <w:jc w:val="left"/>
              <w:rPr>
                <w:rFonts w:ascii="宋体" w:hAnsi="宋体" w:cs="宋体"/>
                <w:szCs w:val="21"/>
              </w:rPr>
            </w:pPr>
            <w:r>
              <w:rPr>
                <w:rFonts w:hint="eastAsia" w:ascii="宋体" w:hAnsi="宋体" w:cs="宋体"/>
                <w:szCs w:val="21"/>
              </w:rPr>
              <w:t>监 理 人：待定</w:t>
            </w:r>
          </w:p>
          <w:p w14:paraId="4740A028">
            <w:pPr>
              <w:tabs>
                <w:tab w:val="left" w:pos="1080"/>
              </w:tabs>
              <w:jc w:val="left"/>
              <w:rPr>
                <w:rFonts w:ascii="宋体" w:hAnsi="宋体" w:cs="宋体"/>
                <w:szCs w:val="21"/>
              </w:rPr>
            </w:pPr>
            <w:r>
              <w:rPr>
                <w:rFonts w:hint="eastAsia" w:ascii="宋体" w:hAnsi="宋体" w:cs="宋体"/>
                <w:szCs w:val="21"/>
              </w:rPr>
              <w:t>地    址：                     邮政编码：</w:t>
            </w:r>
          </w:p>
        </w:tc>
      </w:tr>
      <w:tr w14:paraId="21DB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8" w:type="dxa"/>
            <w:noWrap/>
            <w:vAlign w:val="center"/>
          </w:tcPr>
          <w:p w14:paraId="34EFCF7A">
            <w:pPr>
              <w:tabs>
                <w:tab w:val="left" w:pos="1080"/>
              </w:tabs>
              <w:jc w:val="center"/>
              <w:rPr>
                <w:rFonts w:ascii="宋体" w:hAnsi="宋体" w:cs="宋体"/>
                <w:szCs w:val="21"/>
              </w:rPr>
            </w:pPr>
            <w:r>
              <w:rPr>
                <w:rFonts w:hint="eastAsia" w:ascii="宋体" w:hAnsi="宋体" w:cs="宋体"/>
                <w:szCs w:val="21"/>
              </w:rPr>
              <w:t>3</w:t>
            </w:r>
          </w:p>
        </w:tc>
        <w:tc>
          <w:tcPr>
            <w:tcW w:w="1272" w:type="dxa"/>
            <w:noWrap/>
            <w:vAlign w:val="center"/>
          </w:tcPr>
          <w:p w14:paraId="2C30DB02">
            <w:pPr>
              <w:tabs>
                <w:tab w:val="left" w:pos="1080"/>
              </w:tabs>
              <w:jc w:val="center"/>
              <w:rPr>
                <w:rFonts w:ascii="宋体" w:hAnsi="宋体" w:cs="宋体"/>
                <w:szCs w:val="21"/>
              </w:rPr>
            </w:pPr>
            <w:r>
              <w:rPr>
                <w:rFonts w:hint="eastAsia" w:ascii="宋体" w:hAnsi="宋体" w:cs="宋体"/>
                <w:szCs w:val="21"/>
              </w:rPr>
              <w:t>1.1.4.5</w:t>
            </w:r>
          </w:p>
        </w:tc>
        <w:tc>
          <w:tcPr>
            <w:tcW w:w="7205" w:type="dxa"/>
            <w:noWrap/>
            <w:vAlign w:val="center"/>
          </w:tcPr>
          <w:p w14:paraId="3AC1481A">
            <w:pPr>
              <w:tabs>
                <w:tab w:val="left" w:pos="1080"/>
              </w:tabs>
              <w:jc w:val="left"/>
              <w:rPr>
                <w:rFonts w:ascii="宋体" w:hAnsi="宋体" w:cs="宋体"/>
                <w:szCs w:val="21"/>
              </w:rPr>
            </w:pPr>
            <w:r>
              <w:rPr>
                <w:rFonts w:hint="eastAsia" w:ascii="宋体" w:hAnsi="宋体" w:cs="宋体"/>
                <w:szCs w:val="21"/>
              </w:rPr>
              <w:t>缺陷责任期：自实际交工日期起计算</w:t>
            </w:r>
            <w:r>
              <w:rPr>
                <w:rFonts w:hint="eastAsia" w:ascii="宋体" w:hAnsi="宋体" w:cs="宋体"/>
                <w:szCs w:val="21"/>
                <w:u w:val="single"/>
              </w:rPr>
              <w:t xml:space="preserve"> 12个月</w:t>
            </w:r>
          </w:p>
        </w:tc>
      </w:tr>
      <w:tr w14:paraId="4101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18" w:type="dxa"/>
            <w:noWrap/>
            <w:vAlign w:val="center"/>
          </w:tcPr>
          <w:p w14:paraId="55CB06B3">
            <w:pPr>
              <w:tabs>
                <w:tab w:val="left" w:pos="1080"/>
              </w:tabs>
              <w:jc w:val="center"/>
              <w:rPr>
                <w:rFonts w:ascii="宋体" w:hAnsi="宋体" w:cs="宋体"/>
                <w:szCs w:val="21"/>
              </w:rPr>
            </w:pPr>
            <w:r>
              <w:rPr>
                <w:rFonts w:hint="eastAsia" w:ascii="宋体" w:hAnsi="宋体" w:cs="宋体"/>
                <w:szCs w:val="21"/>
              </w:rPr>
              <w:t>4</w:t>
            </w:r>
          </w:p>
        </w:tc>
        <w:tc>
          <w:tcPr>
            <w:tcW w:w="1272" w:type="dxa"/>
            <w:noWrap/>
            <w:vAlign w:val="center"/>
          </w:tcPr>
          <w:p w14:paraId="45F23CEB">
            <w:pPr>
              <w:tabs>
                <w:tab w:val="left" w:pos="1080"/>
              </w:tabs>
              <w:jc w:val="center"/>
              <w:rPr>
                <w:rFonts w:ascii="宋体" w:hAnsi="宋体" w:cs="宋体"/>
                <w:szCs w:val="21"/>
              </w:rPr>
            </w:pPr>
            <w:r>
              <w:rPr>
                <w:rFonts w:hint="eastAsia" w:ascii="宋体" w:hAnsi="宋体" w:cs="宋体"/>
                <w:szCs w:val="21"/>
              </w:rPr>
              <w:t>1.6.3</w:t>
            </w:r>
          </w:p>
        </w:tc>
        <w:tc>
          <w:tcPr>
            <w:tcW w:w="7205" w:type="dxa"/>
            <w:noWrap/>
            <w:vAlign w:val="center"/>
          </w:tcPr>
          <w:p w14:paraId="7EC5EEC9">
            <w:pPr>
              <w:tabs>
                <w:tab w:val="left" w:pos="1080"/>
              </w:tabs>
              <w:jc w:val="left"/>
              <w:rPr>
                <w:rFonts w:ascii="宋体" w:hAnsi="宋体" w:cs="宋体"/>
                <w:szCs w:val="21"/>
              </w:rPr>
            </w:pPr>
            <w:r>
              <w:rPr>
                <w:rFonts w:hint="eastAsia" w:ascii="宋体" w:hAnsi="宋体" w:cs="宋体"/>
                <w:szCs w:val="21"/>
              </w:rPr>
              <w:t>图纸需要修改和补充的，应由监理人取得发包人同意后，在该工程或工程相应部位施工前</w:t>
            </w:r>
            <w:r>
              <w:rPr>
                <w:rFonts w:hint="eastAsia" w:ascii="宋体" w:hAnsi="宋体" w:cs="宋体"/>
                <w:b/>
                <w:szCs w:val="21"/>
                <w:u w:val="single"/>
              </w:rPr>
              <w:t>7</w:t>
            </w:r>
            <w:r>
              <w:rPr>
                <w:rFonts w:hint="eastAsia" w:ascii="宋体" w:hAnsi="宋体" w:cs="宋体"/>
                <w:szCs w:val="21"/>
              </w:rPr>
              <w:t>天签发图纸修改图给承包人</w:t>
            </w:r>
          </w:p>
        </w:tc>
      </w:tr>
      <w:tr w14:paraId="1E5F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18" w:type="dxa"/>
            <w:noWrap/>
            <w:vAlign w:val="center"/>
          </w:tcPr>
          <w:p w14:paraId="5570280E">
            <w:pPr>
              <w:tabs>
                <w:tab w:val="left" w:pos="1080"/>
              </w:tabs>
              <w:jc w:val="center"/>
              <w:rPr>
                <w:rFonts w:ascii="宋体" w:hAnsi="宋体" w:cs="宋体"/>
                <w:szCs w:val="21"/>
              </w:rPr>
            </w:pPr>
            <w:r>
              <w:rPr>
                <w:rFonts w:hint="eastAsia" w:ascii="宋体" w:hAnsi="宋体" w:cs="宋体"/>
                <w:szCs w:val="21"/>
              </w:rPr>
              <w:t>5</w:t>
            </w:r>
          </w:p>
        </w:tc>
        <w:tc>
          <w:tcPr>
            <w:tcW w:w="1272" w:type="dxa"/>
            <w:noWrap/>
            <w:vAlign w:val="center"/>
          </w:tcPr>
          <w:p w14:paraId="714AD689">
            <w:pPr>
              <w:tabs>
                <w:tab w:val="left" w:pos="1080"/>
              </w:tabs>
              <w:jc w:val="center"/>
              <w:rPr>
                <w:rFonts w:ascii="宋体" w:hAnsi="宋体" w:cs="宋体"/>
                <w:szCs w:val="21"/>
              </w:rPr>
            </w:pPr>
            <w:r>
              <w:rPr>
                <w:rFonts w:hint="eastAsia" w:ascii="宋体" w:hAnsi="宋体" w:cs="宋体"/>
                <w:szCs w:val="21"/>
              </w:rPr>
              <w:t>3.1.1</w:t>
            </w:r>
          </w:p>
        </w:tc>
        <w:tc>
          <w:tcPr>
            <w:tcW w:w="7205" w:type="dxa"/>
            <w:noWrap/>
            <w:vAlign w:val="center"/>
          </w:tcPr>
          <w:p w14:paraId="0F923B98">
            <w:pPr>
              <w:jc w:val="left"/>
              <w:rPr>
                <w:rFonts w:ascii="宋体" w:hAnsi="宋体" w:cs="宋体"/>
                <w:szCs w:val="21"/>
              </w:rPr>
            </w:pPr>
            <w:r>
              <w:rPr>
                <w:rFonts w:hint="eastAsia" w:ascii="宋体" w:hAnsi="宋体" w:cs="宋体"/>
                <w:szCs w:val="21"/>
              </w:rPr>
              <w:t>监理人在行使下列权力前需要经发包人事先批准：</w:t>
            </w:r>
          </w:p>
          <w:p w14:paraId="786FD944">
            <w:pPr>
              <w:jc w:val="left"/>
              <w:rPr>
                <w:rFonts w:ascii="宋体" w:hAnsi="宋体" w:cs="宋体"/>
                <w:szCs w:val="21"/>
              </w:rPr>
            </w:pPr>
            <w:r>
              <w:rPr>
                <w:rFonts w:hint="eastAsia" w:ascii="宋体" w:hAnsi="宋体" w:cs="宋体"/>
                <w:szCs w:val="21"/>
              </w:rPr>
              <w:t>（6）根据第15.3款发出的变更指示，其单项工程变更涉及的金额超过了该单项工程签约合同价的</w:t>
            </w:r>
            <w:r>
              <w:rPr>
                <w:rFonts w:hint="eastAsia" w:ascii="宋体" w:hAnsi="宋体" w:cs="宋体"/>
                <w:szCs w:val="21"/>
                <w:u w:val="single"/>
              </w:rPr>
              <w:t xml:space="preserve"> / </w:t>
            </w:r>
            <w:r>
              <w:rPr>
                <w:rFonts w:hint="eastAsia" w:ascii="宋体" w:hAnsi="宋体" w:cs="宋体"/>
                <w:szCs w:val="21"/>
              </w:rPr>
              <w:t>%或累计变更超过了签约合同价的</w:t>
            </w:r>
            <w:r>
              <w:rPr>
                <w:rFonts w:hint="eastAsia" w:ascii="宋体" w:hAnsi="宋体" w:cs="宋体"/>
                <w:szCs w:val="21"/>
                <w:u w:val="single"/>
              </w:rPr>
              <w:t xml:space="preserve"> / </w:t>
            </w:r>
            <w:r>
              <w:rPr>
                <w:rFonts w:hint="eastAsia" w:ascii="宋体" w:hAnsi="宋体" w:cs="宋体"/>
                <w:szCs w:val="21"/>
              </w:rPr>
              <w:t>%（即凡涉及费用调整的均应事先取得发包人的专门批准）</w:t>
            </w:r>
          </w:p>
        </w:tc>
      </w:tr>
      <w:tr w14:paraId="61C6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8" w:type="dxa"/>
            <w:noWrap/>
            <w:vAlign w:val="center"/>
          </w:tcPr>
          <w:p w14:paraId="7D978DD0">
            <w:pPr>
              <w:tabs>
                <w:tab w:val="left" w:pos="1080"/>
              </w:tabs>
              <w:jc w:val="center"/>
              <w:rPr>
                <w:rFonts w:ascii="宋体" w:hAnsi="宋体" w:cs="宋体"/>
                <w:szCs w:val="21"/>
              </w:rPr>
            </w:pPr>
            <w:r>
              <w:rPr>
                <w:rFonts w:hint="eastAsia" w:ascii="宋体" w:hAnsi="宋体" w:cs="宋体"/>
                <w:szCs w:val="21"/>
              </w:rPr>
              <w:t>6</w:t>
            </w:r>
          </w:p>
        </w:tc>
        <w:tc>
          <w:tcPr>
            <w:tcW w:w="1272" w:type="dxa"/>
            <w:noWrap/>
            <w:vAlign w:val="center"/>
          </w:tcPr>
          <w:p w14:paraId="57C995F7">
            <w:pPr>
              <w:tabs>
                <w:tab w:val="left" w:pos="1080"/>
              </w:tabs>
              <w:jc w:val="center"/>
              <w:rPr>
                <w:rFonts w:ascii="宋体" w:hAnsi="宋体" w:cs="宋体"/>
                <w:szCs w:val="21"/>
              </w:rPr>
            </w:pPr>
            <w:r>
              <w:rPr>
                <w:rFonts w:hint="eastAsia" w:ascii="宋体" w:hAnsi="宋体" w:cs="宋体"/>
                <w:szCs w:val="21"/>
              </w:rPr>
              <w:t>5.2.1</w:t>
            </w:r>
          </w:p>
        </w:tc>
        <w:tc>
          <w:tcPr>
            <w:tcW w:w="7205" w:type="dxa"/>
            <w:noWrap/>
            <w:vAlign w:val="center"/>
          </w:tcPr>
          <w:p w14:paraId="1806E88C">
            <w:pPr>
              <w:tabs>
                <w:tab w:val="left" w:pos="1080"/>
              </w:tabs>
              <w:jc w:val="left"/>
              <w:rPr>
                <w:rFonts w:ascii="宋体" w:hAnsi="宋体" w:cs="宋体"/>
                <w:szCs w:val="21"/>
                <w:u w:val="single"/>
              </w:rPr>
            </w:pPr>
            <w:r>
              <w:rPr>
                <w:rFonts w:hint="eastAsia" w:ascii="宋体" w:hAnsi="宋体" w:cs="宋体"/>
                <w:szCs w:val="21"/>
              </w:rPr>
              <w:t>发包人是否提供材料或施工设备：否</w:t>
            </w:r>
          </w:p>
        </w:tc>
      </w:tr>
      <w:tr w14:paraId="577F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8" w:type="dxa"/>
            <w:noWrap/>
            <w:vAlign w:val="center"/>
          </w:tcPr>
          <w:p w14:paraId="7F23C8E2">
            <w:pPr>
              <w:tabs>
                <w:tab w:val="left" w:pos="1080"/>
              </w:tabs>
              <w:jc w:val="center"/>
              <w:rPr>
                <w:rFonts w:ascii="宋体" w:hAnsi="宋体" w:cs="宋体"/>
                <w:szCs w:val="21"/>
              </w:rPr>
            </w:pPr>
            <w:r>
              <w:rPr>
                <w:rFonts w:hint="eastAsia" w:ascii="宋体" w:hAnsi="宋体" w:cs="宋体"/>
                <w:szCs w:val="21"/>
              </w:rPr>
              <w:t>7</w:t>
            </w:r>
          </w:p>
        </w:tc>
        <w:tc>
          <w:tcPr>
            <w:tcW w:w="1272" w:type="dxa"/>
            <w:noWrap/>
            <w:vAlign w:val="center"/>
          </w:tcPr>
          <w:p w14:paraId="64ACE7AB">
            <w:pPr>
              <w:tabs>
                <w:tab w:val="left" w:pos="1080"/>
              </w:tabs>
              <w:jc w:val="center"/>
              <w:rPr>
                <w:rFonts w:ascii="宋体" w:hAnsi="宋体" w:cs="宋体"/>
                <w:szCs w:val="21"/>
              </w:rPr>
            </w:pPr>
            <w:r>
              <w:rPr>
                <w:rFonts w:hint="eastAsia" w:ascii="宋体" w:hAnsi="宋体" w:cs="宋体"/>
                <w:szCs w:val="21"/>
              </w:rPr>
              <w:t>6.2</w:t>
            </w:r>
          </w:p>
        </w:tc>
        <w:tc>
          <w:tcPr>
            <w:tcW w:w="7205" w:type="dxa"/>
            <w:noWrap/>
            <w:vAlign w:val="center"/>
          </w:tcPr>
          <w:p w14:paraId="6A6CDCCA">
            <w:pPr>
              <w:tabs>
                <w:tab w:val="left" w:pos="1080"/>
              </w:tabs>
              <w:jc w:val="left"/>
              <w:rPr>
                <w:rFonts w:ascii="宋体" w:hAnsi="宋体" w:cs="宋体"/>
                <w:szCs w:val="21"/>
              </w:rPr>
            </w:pPr>
            <w:r>
              <w:rPr>
                <w:rFonts w:hint="eastAsia" w:ascii="宋体" w:hAnsi="宋体" w:cs="宋体"/>
                <w:szCs w:val="21"/>
              </w:rPr>
              <w:t>发包人是否提供施工设备和临时设施：否</w:t>
            </w:r>
          </w:p>
        </w:tc>
      </w:tr>
      <w:tr w14:paraId="0BF7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18" w:type="dxa"/>
            <w:noWrap/>
            <w:vAlign w:val="center"/>
          </w:tcPr>
          <w:p w14:paraId="05F64531">
            <w:pPr>
              <w:tabs>
                <w:tab w:val="left" w:pos="1080"/>
              </w:tabs>
              <w:jc w:val="center"/>
              <w:rPr>
                <w:rFonts w:ascii="宋体" w:hAnsi="宋体" w:cs="宋体"/>
                <w:szCs w:val="21"/>
              </w:rPr>
            </w:pPr>
            <w:r>
              <w:rPr>
                <w:rFonts w:hint="eastAsia" w:ascii="宋体" w:hAnsi="宋体" w:cs="宋体"/>
                <w:szCs w:val="21"/>
              </w:rPr>
              <w:t>8</w:t>
            </w:r>
          </w:p>
        </w:tc>
        <w:tc>
          <w:tcPr>
            <w:tcW w:w="1272" w:type="dxa"/>
            <w:noWrap/>
            <w:vAlign w:val="center"/>
          </w:tcPr>
          <w:p w14:paraId="6C462A23">
            <w:pPr>
              <w:tabs>
                <w:tab w:val="left" w:pos="1080"/>
              </w:tabs>
              <w:jc w:val="center"/>
              <w:rPr>
                <w:rFonts w:ascii="宋体" w:hAnsi="宋体" w:cs="宋体"/>
                <w:szCs w:val="21"/>
              </w:rPr>
            </w:pPr>
            <w:r>
              <w:rPr>
                <w:rFonts w:hint="eastAsia" w:ascii="宋体" w:hAnsi="宋体" w:cs="宋体"/>
                <w:szCs w:val="21"/>
              </w:rPr>
              <w:t>8.1.1</w:t>
            </w:r>
          </w:p>
        </w:tc>
        <w:tc>
          <w:tcPr>
            <w:tcW w:w="7205" w:type="dxa"/>
            <w:noWrap/>
            <w:vAlign w:val="center"/>
          </w:tcPr>
          <w:p w14:paraId="4DE6EFA3">
            <w:pPr>
              <w:tabs>
                <w:tab w:val="left" w:pos="1080"/>
              </w:tabs>
              <w:jc w:val="left"/>
              <w:rPr>
                <w:rFonts w:ascii="宋体" w:hAnsi="宋体" w:cs="宋体"/>
                <w:b/>
                <w:szCs w:val="21"/>
                <w:u w:val="single"/>
              </w:rPr>
            </w:pPr>
            <w:r>
              <w:rPr>
                <w:rFonts w:hint="eastAsia" w:ascii="宋体" w:hAnsi="宋体" w:cs="宋体"/>
                <w:szCs w:val="21"/>
              </w:rPr>
              <w:t>发包人提供测量基准点、基准线和水准点及其书面资料的期限：</w:t>
            </w:r>
            <w:r>
              <w:rPr>
                <w:rFonts w:hint="eastAsia" w:ascii="宋体" w:hAnsi="宋体" w:cs="宋体"/>
                <w:b/>
                <w:szCs w:val="21"/>
                <w:u w:val="single"/>
              </w:rPr>
              <w:t>15天</w:t>
            </w:r>
          </w:p>
          <w:p w14:paraId="69CCFD27">
            <w:pPr>
              <w:tabs>
                <w:tab w:val="left" w:pos="1080"/>
              </w:tabs>
              <w:jc w:val="left"/>
              <w:rPr>
                <w:rFonts w:ascii="宋体" w:hAnsi="宋体" w:cs="宋体"/>
                <w:szCs w:val="21"/>
              </w:rPr>
            </w:pPr>
            <w:r>
              <w:rPr>
                <w:rFonts w:hint="eastAsia" w:ascii="宋体" w:hAnsi="宋体" w:cs="宋体"/>
                <w:szCs w:val="21"/>
              </w:rPr>
              <w:t>承包人将施工控制网资料报送监理人审批的期限：</w:t>
            </w:r>
            <w:r>
              <w:rPr>
                <w:rFonts w:hint="eastAsia" w:ascii="宋体" w:hAnsi="宋体" w:cs="宋体"/>
                <w:b/>
                <w:szCs w:val="21"/>
                <w:u w:val="single"/>
              </w:rPr>
              <w:t>7天</w:t>
            </w:r>
          </w:p>
        </w:tc>
      </w:tr>
      <w:tr w14:paraId="07D9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744E171F">
            <w:pPr>
              <w:tabs>
                <w:tab w:val="left" w:pos="1080"/>
              </w:tabs>
              <w:jc w:val="center"/>
              <w:rPr>
                <w:rFonts w:ascii="宋体" w:hAnsi="宋体" w:cs="宋体"/>
                <w:szCs w:val="21"/>
              </w:rPr>
            </w:pPr>
            <w:r>
              <w:rPr>
                <w:rFonts w:hint="eastAsia" w:ascii="宋体" w:hAnsi="宋体" w:cs="宋体"/>
                <w:szCs w:val="21"/>
              </w:rPr>
              <w:t>9</w:t>
            </w:r>
          </w:p>
        </w:tc>
        <w:tc>
          <w:tcPr>
            <w:tcW w:w="1272" w:type="dxa"/>
            <w:noWrap/>
            <w:vAlign w:val="center"/>
          </w:tcPr>
          <w:p w14:paraId="63DCAF21">
            <w:pPr>
              <w:tabs>
                <w:tab w:val="left" w:pos="1080"/>
              </w:tabs>
              <w:jc w:val="center"/>
              <w:rPr>
                <w:rFonts w:ascii="宋体" w:hAnsi="宋体" w:cs="宋体"/>
                <w:szCs w:val="21"/>
              </w:rPr>
            </w:pPr>
            <w:r>
              <w:rPr>
                <w:rFonts w:hint="eastAsia" w:ascii="宋体" w:hAnsi="宋体" w:cs="宋体"/>
                <w:szCs w:val="21"/>
              </w:rPr>
              <w:t>11.5</w:t>
            </w:r>
          </w:p>
        </w:tc>
        <w:tc>
          <w:tcPr>
            <w:tcW w:w="7205" w:type="dxa"/>
            <w:noWrap/>
            <w:vAlign w:val="center"/>
          </w:tcPr>
          <w:p w14:paraId="36BE5BF9">
            <w:pPr>
              <w:pStyle w:val="18"/>
              <w:rPr>
                <w:rFonts w:ascii="宋体" w:hAnsi="宋体" w:cs="宋体"/>
                <w:kern w:val="2"/>
                <w:sz w:val="21"/>
                <w:szCs w:val="21"/>
              </w:rPr>
            </w:pPr>
            <w:r>
              <w:rPr>
                <w:rFonts w:hint="eastAsia" w:ascii="宋体" w:hAnsi="宋体" w:cs="宋体"/>
                <w:kern w:val="2"/>
                <w:sz w:val="21"/>
                <w:szCs w:val="21"/>
              </w:rPr>
              <w:t>逾期交工违约金：1000元/天</w:t>
            </w:r>
          </w:p>
        </w:tc>
      </w:tr>
      <w:tr w14:paraId="54B3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0C9B6B45">
            <w:pPr>
              <w:tabs>
                <w:tab w:val="left" w:pos="1080"/>
              </w:tabs>
              <w:jc w:val="center"/>
              <w:rPr>
                <w:rFonts w:ascii="宋体" w:hAnsi="宋体" w:cs="宋体"/>
                <w:szCs w:val="21"/>
              </w:rPr>
            </w:pPr>
            <w:r>
              <w:rPr>
                <w:rFonts w:hint="eastAsia" w:ascii="宋体" w:hAnsi="宋体" w:cs="宋体"/>
                <w:szCs w:val="21"/>
              </w:rPr>
              <w:t>10</w:t>
            </w:r>
          </w:p>
        </w:tc>
        <w:tc>
          <w:tcPr>
            <w:tcW w:w="1272" w:type="dxa"/>
            <w:noWrap/>
            <w:vAlign w:val="center"/>
          </w:tcPr>
          <w:p w14:paraId="475E23A4">
            <w:pPr>
              <w:tabs>
                <w:tab w:val="left" w:pos="1080"/>
              </w:tabs>
              <w:jc w:val="center"/>
              <w:rPr>
                <w:rFonts w:ascii="宋体" w:hAnsi="宋体" w:cs="宋体"/>
                <w:szCs w:val="21"/>
              </w:rPr>
            </w:pPr>
            <w:r>
              <w:rPr>
                <w:rFonts w:hint="eastAsia" w:ascii="宋体" w:hAnsi="宋体" w:cs="宋体"/>
                <w:szCs w:val="21"/>
              </w:rPr>
              <w:t>11.5</w:t>
            </w:r>
          </w:p>
        </w:tc>
        <w:tc>
          <w:tcPr>
            <w:tcW w:w="7205" w:type="dxa"/>
            <w:noWrap/>
            <w:vAlign w:val="center"/>
          </w:tcPr>
          <w:p w14:paraId="407BF492">
            <w:pPr>
              <w:tabs>
                <w:tab w:val="left" w:pos="1080"/>
              </w:tabs>
              <w:jc w:val="left"/>
              <w:rPr>
                <w:rFonts w:ascii="宋体" w:hAnsi="宋体" w:cs="宋体"/>
                <w:szCs w:val="21"/>
                <w:vertAlign w:val="superscript"/>
              </w:rPr>
            </w:pPr>
            <w:r>
              <w:rPr>
                <w:rFonts w:hint="eastAsia" w:ascii="宋体" w:hAnsi="宋体" w:cs="宋体"/>
                <w:szCs w:val="21"/>
              </w:rPr>
              <w:t>逾期交工违约金限额：3%签约合同价</w:t>
            </w:r>
          </w:p>
        </w:tc>
      </w:tr>
      <w:tr w14:paraId="6782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124DEAE9">
            <w:pPr>
              <w:tabs>
                <w:tab w:val="left" w:pos="1080"/>
              </w:tabs>
              <w:jc w:val="center"/>
              <w:rPr>
                <w:rFonts w:ascii="宋体" w:hAnsi="宋体" w:cs="宋体"/>
                <w:szCs w:val="21"/>
              </w:rPr>
            </w:pPr>
            <w:r>
              <w:rPr>
                <w:rFonts w:hint="eastAsia" w:ascii="宋体" w:hAnsi="宋体" w:cs="宋体"/>
                <w:szCs w:val="21"/>
              </w:rPr>
              <w:t>11</w:t>
            </w:r>
          </w:p>
        </w:tc>
        <w:tc>
          <w:tcPr>
            <w:tcW w:w="1272" w:type="dxa"/>
            <w:noWrap/>
            <w:vAlign w:val="center"/>
          </w:tcPr>
          <w:p w14:paraId="70E282C5">
            <w:pPr>
              <w:tabs>
                <w:tab w:val="left" w:pos="1080"/>
              </w:tabs>
              <w:jc w:val="center"/>
              <w:rPr>
                <w:rFonts w:ascii="宋体" w:hAnsi="宋体" w:cs="宋体"/>
                <w:szCs w:val="21"/>
              </w:rPr>
            </w:pPr>
            <w:r>
              <w:rPr>
                <w:rFonts w:hint="eastAsia" w:ascii="宋体" w:hAnsi="宋体" w:cs="宋体"/>
                <w:szCs w:val="21"/>
              </w:rPr>
              <w:t>11.6</w:t>
            </w:r>
          </w:p>
        </w:tc>
        <w:tc>
          <w:tcPr>
            <w:tcW w:w="7205" w:type="dxa"/>
            <w:noWrap/>
            <w:vAlign w:val="center"/>
          </w:tcPr>
          <w:p w14:paraId="5EFD5FAA">
            <w:pPr>
              <w:tabs>
                <w:tab w:val="left" w:pos="1080"/>
              </w:tabs>
              <w:jc w:val="left"/>
              <w:rPr>
                <w:rFonts w:ascii="宋体" w:hAnsi="宋体" w:cs="宋体"/>
                <w:szCs w:val="21"/>
              </w:rPr>
            </w:pPr>
            <w:r>
              <w:rPr>
                <w:rFonts w:hint="eastAsia" w:ascii="宋体" w:hAnsi="宋体" w:cs="宋体"/>
                <w:szCs w:val="21"/>
              </w:rPr>
              <w:t>提前交工的奖金：</w:t>
            </w:r>
            <w:r>
              <w:rPr>
                <w:rFonts w:hint="eastAsia" w:ascii="宋体" w:hAnsi="宋体" w:cs="宋体"/>
                <w:szCs w:val="21"/>
                <w:u w:val="single"/>
              </w:rPr>
              <w:t xml:space="preserve"> / </w:t>
            </w:r>
            <w:r>
              <w:rPr>
                <w:rFonts w:hint="eastAsia" w:ascii="宋体" w:hAnsi="宋体" w:cs="宋体"/>
                <w:szCs w:val="21"/>
              </w:rPr>
              <w:t>元/天</w:t>
            </w:r>
          </w:p>
        </w:tc>
      </w:tr>
      <w:tr w14:paraId="24E92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4556E718">
            <w:pPr>
              <w:tabs>
                <w:tab w:val="left" w:pos="1080"/>
              </w:tabs>
              <w:jc w:val="center"/>
              <w:rPr>
                <w:rFonts w:ascii="宋体" w:hAnsi="宋体" w:cs="宋体"/>
                <w:szCs w:val="21"/>
              </w:rPr>
            </w:pPr>
            <w:r>
              <w:rPr>
                <w:rFonts w:hint="eastAsia" w:ascii="宋体" w:hAnsi="宋体" w:cs="宋体"/>
                <w:szCs w:val="21"/>
              </w:rPr>
              <w:t>12</w:t>
            </w:r>
          </w:p>
        </w:tc>
        <w:tc>
          <w:tcPr>
            <w:tcW w:w="1272" w:type="dxa"/>
            <w:noWrap/>
            <w:vAlign w:val="center"/>
          </w:tcPr>
          <w:p w14:paraId="2B167A97">
            <w:pPr>
              <w:tabs>
                <w:tab w:val="left" w:pos="1080"/>
              </w:tabs>
              <w:jc w:val="center"/>
              <w:rPr>
                <w:rFonts w:ascii="宋体" w:hAnsi="宋体" w:cs="宋体"/>
                <w:szCs w:val="21"/>
              </w:rPr>
            </w:pPr>
            <w:r>
              <w:rPr>
                <w:rFonts w:hint="eastAsia" w:ascii="宋体" w:hAnsi="宋体" w:cs="宋体"/>
                <w:szCs w:val="21"/>
              </w:rPr>
              <w:t>11.6</w:t>
            </w:r>
          </w:p>
        </w:tc>
        <w:tc>
          <w:tcPr>
            <w:tcW w:w="7205" w:type="dxa"/>
            <w:noWrap/>
            <w:vAlign w:val="center"/>
          </w:tcPr>
          <w:p w14:paraId="4FCF4B5E">
            <w:pPr>
              <w:tabs>
                <w:tab w:val="left" w:pos="1080"/>
              </w:tabs>
              <w:jc w:val="left"/>
              <w:rPr>
                <w:rFonts w:ascii="宋体" w:hAnsi="宋体" w:cs="宋体"/>
                <w:szCs w:val="21"/>
              </w:rPr>
            </w:pPr>
            <w:r>
              <w:rPr>
                <w:rFonts w:hint="eastAsia" w:ascii="宋体" w:hAnsi="宋体" w:cs="宋体"/>
                <w:szCs w:val="21"/>
              </w:rPr>
              <w:t>提前交工的奖金限额：</w:t>
            </w:r>
            <w:r>
              <w:rPr>
                <w:rFonts w:hint="eastAsia" w:ascii="宋体" w:hAnsi="宋体" w:cs="宋体"/>
                <w:szCs w:val="21"/>
                <w:u w:val="single"/>
              </w:rPr>
              <w:t xml:space="preserve"> / </w:t>
            </w:r>
            <w:r>
              <w:rPr>
                <w:rFonts w:hint="eastAsia" w:ascii="宋体" w:hAnsi="宋体" w:cs="宋体"/>
                <w:szCs w:val="21"/>
              </w:rPr>
              <w:t>元/天</w:t>
            </w:r>
          </w:p>
        </w:tc>
      </w:tr>
      <w:tr w14:paraId="6217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818" w:type="dxa"/>
            <w:noWrap/>
            <w:vAlign w:val="center"/>
          </w:tcPr>
          <w:p w14:paraId="60C5D740">
            <w:pPr>
              <w:tabs>
                <w:tab w:val="left" w:pos="1080"/>
              </w:tabs>
              <w:jc w:val="center"/>
              <w:rPr>
                <w:rFonts w:ascii="宋体" w:hAnsi="宋体" w:cs="宋体"/>
                <w:szCs w:val="21"/>
              </w:rPr>
            </w:pPr>
            <w:r>
              <w:rPr>
                <w:rFonts w:hint="eastAsia" w:ascii="宋体" w:hAnsi="宋体" w:cs="宋体"/>
                <w:szCs w:val="21"/>
              </w:rPr>
              <w:t>13</w:t>
            </w:r>
          </w:p>
        </w:tc>
        <w:tc>
          <w:tcPr>
            <w:tcW w:w="1272" w:type="dxa"/>
            <w:noWrap/>
            <w:vAlign w:val="center"/>
          </w:tcPr>
          <w:p w14:paraId="6CCD82CA">
            <w:pPr>
              <w:tabs>
                <w:tab w:val="left" w:pos="1080"/>
              </w:tabs>
              <w:jc w:val="center"/>
              <w:rPr>
                <w:rFonts w:ascii="宋体" w:hAnsi="宋体" w:cs="宋体"/>
                <w:szCs w:val="21"/>
              </w:rPr>
            </w:pPr>
            <w:r>
              <w:rPr>
                <w:rFonts w:hint="eastAsia" w:ascii="宋体" w:hAnsi="宋体" w:cs="宋体"/>
                <w:szCs w:val="21"/>
              </w:rPr>
              <w:t>15.5.2</w:t>
            </w:r>
          </w:p>
        </w:tc>
        <w:tc>
          <w:tcPr>
            <w:tcW w:w="7205" w:type="dxa"/>
            <w:noWrap/>
            <w:vAlign w:val="center"/>
          </w:tcPr>
          <w:p w14:paraId="1083663F">
            <w:pPr>
              <w:tabs>
                <w:tab w:val="left" w:pos="1080"/>
              </w:tabs>
              <w:jc w:val="left"/>
              <w:rPr>
                <w:rFonts w:ascii="宋体" w:hAnsi="宋体" w:cs="宋体"/>
                <w:szCs w:val="21"/>
              </w:rPr>
            </w:pPr>
            <w:r>
              <w:rPr>
                <w:rFonts w:hint="eastAsia" w:ascii="宋体" w:hAnsi="宋体" w:cs="宋体"/>
                <w:szCs w:val="21"/>
              </w:rPr>
              <w:t>删除本条</w:t>
            </w:r>
          </w:p>
        </w:tc>
      </w:tr>
      <w:tr w14:paraId="474E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58F162CA">
            <w:pPr>
              <w:tabs>
                <w:tab w:val="left" w:pos="1080"/>
              </w:tabs>
              <w:jc w:val="center"/>
              <w:rPr>
                <w:rFonts w:ascii="宋体" w:hAnsi="宋体" w:cs="宋体"/>
                <w:szCs w:val="21"/>
              </w:rPr>
            </w:pPr>
            <w:r>
              <w:rPr>
                <w:rFonts w:hint="eastAsia" w:ascii="宋体" w:hAnsi="宋体" w:cs="宋体"/>
                <w:szCs w:val="21"/>
              </w:rPr>
              <w:t>14</w:t>
            </w:r>
          </w:p>
        </w:tc>
        <w:tc>
          <w:tcPr>
            <w:tcW w:w="1272" w:type="dxa"/>
            <w:noWrap/>
            <w:vAlign w:val="center"/>
          </w:tcPr>
          <w:p w14:paraId="67B89D5B">
            <w:pPr>
              <w:tabs>
                <w:tab w:val="left" w:pos="1080"/>
              </w:tabs>
              <w:jc w:val="center"/>
              <w:rPr>
                <w:rFonts w:ascii="宋体" w:hAnsi="宋体" w:cs="宋体"/>
                <w:szCs w:val="21"/>
              </w:rPr>
            </w:pPr>
            <w:r>
              <w:rPr>
                <w:rFonts w:hint="eastAsia" w:ascii="宋体" w:hAnsi="宋体" w:cs="宋体"/>
                <w:szCs w:val="21"/>
              </w:rPr>
              <w:t>16.1</w:t>
            </w:r>
          </w:p>
        </w:tc>
        <w:tc>
          <w:tcPr>
            <w:tcW w:w="7205" w:type="dxa"/>
            <w:noWrap/>
            <w:vAlign w:val="center"/>
          </w:tcPr>
          <w:p w14:paraId="385D3F26">
            <w:pPr>
              <w:tabs>
                <w:tab w:val="left" w:pos="1080"/>
              </w:tabs>
              <w:jc w:val="left"/>
              <w:rPr>
                <w:rFonts w:ascii="宋体" w:hAnsi="宋体" w:cs="宋体"/>
                <w:szCs w:val="21"/>
              </w:rPr>
            </w:pPr>
            <w:r>
              <w:rPr>
                <w:rFonts w:hint="eastAsia" w:ascii="宋体" w:hAnsi="宋体" w:cs="宋体"/>
                <w:szCs w:val="21"/>
              </w:rPr>
              <w:t>不调价</w:t>
            </w:r>
          </w:p>
        </w:tc>
      </w:tr>
      <w:tr w14:paraId="0989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8" w:type="dxa"/>
            <w:noWrap/>
            <w:vAlign w:val="center"/>
          </w:tcPr>
          <w:p w14:paraId="3127F2FC">
            <w:pPr>
              <w:tabs>
                <w:tab w:val="left" w:pos="1080"/>
              </w:tabs>
              <w:jc w:val="center"/>
              <w:rPr>
                <w:rFonts w:ascii="宋体" w:hAnsi="宋体" w:cs="宋体"/>
                <w:szCs w:val="21"/>
              </w:rPr>
            </w:pPr>
            <w:r>
              <w:rPr>
                <w:rFonts w:hint="eastAsia" w:ascii="宋体" w:hAnsi="宋体" w:cs="宋体"/>
                <w:szCs w:val="21"/>
              </w:rPr>
              <w:t>15</w:t>
            </w:r>
          </w:p>
        </w:tc>
        <w:tc>
          <w:tcPr>
            <w:tcW w:w="1272" w:type="dxa"/>
            <w:noWrap/>
            <w:vAlign w:val="center"/>
          </w:tcPr>
          <w:p w14:paraId="5C4FF309">
            <w:pPr>
              <w:tabs>
                <w:tab w:val="left" w:pos="1080"/>
              </w:tabs>
              <w:jc w:val="center"/>
              <w:rPr>
                <w:rFonts w:ascii="宋体" w:hAnsi="宋体" w:cs="宋体"/>
                <w:szCs w:val="21"/>
              </w:rPr>
            </w:pPr>
            <w:r>
              <w:rPr>
                <w:rFonts w:hint="eastAsia" w:ascii="宋体" w:hAnsi="宋体" w:cs="宋体"/>
                <w:szCs w:val="21"/>
              </w:rPr>
              <w:t>17.2.1</w:t>
            </w:r>
          </w:p>
        </w:tc>
        <w:tc>
          <w:tcPr>
            <w:tcW w:w="7205" w:type="dxa"/>
            <w:noWrap/>
            <w:vAlign w:val="center"/>
          </w:tcPr>
          <w:p w14:paraId="716FBC68">
            <w:pPr>
              <w:tabs>
                <w:tab w:val="left" w:pos="1080"/>
              </w:tabs>
              <w:jc w:val="left"/>
              <w:rPr>
                <w:rFonts w:ascii="宋体" w:hAnsi="宋体" w:cs="宋体"/>
                <w:szCs w:val="21"/>
              </w:rPr>
            </w:pPr>
            <w:r>
              <w:rPr>
                <w:rFonts w:hint="eastAsia" w:ascii="宋体" w:hAnsi="宋体" w:cs="宋体"/>
                <w:szCs w:val="21"/>
              </w:rPr>
              <w:t>开工预付款金额：</w:t>
            </w:r>
            <w:r>
              <w:rPr>
                <w:rFonts w:hint="eastAsia" w:ascii="宋体" w:hAnsi="宋体" w:cs="宋体"/>
                <w:szCs w:val="21"/>
                <w:u w:val="single"/>
              </w:rPr>
              <w:t xml:space="preserve">10 </w:t>
            </w:r>
            <w:r>
              <w:rPr>
                <w:rFonts w:hint="eastAsia" w:ascii="宋体" w:hAnsi="宋体" w:cs="宋体"/>
                <w:szCs w:val="21"/>
              </w:rPr>
              <w:t>%签约合同价。</w:t>
            </w:r>
          </w:p>
        </w:tc>
      </w:tr>
    </w:tbl>
    <w:p w14:paraId="2CAB3A18">
      <w:pPr>
        <w:tabs>
          <w:tab w:val="left" w:pos="1080"/>
        </w:tabs>
        <w:spacing w:line="400" w:lineRule="exact"/>
        <w:ind w:firstLine="480"/>
        <w:rPr>
          <w:rFonts w:ascii="宋体" w:hAnsi="宋体" w:cs="宋体"/>
          <w:sz w:val="24"/>
        </w:rPr>
      </w:pPr>
    </w:p>
    <w:p w14:paraId="582DBBA2">
      <w:pPr>
        <w:tabs>
          <w:tab w:val="left" w:pos="1080"/>
        </w:tabs>
        <w:spacing w:line="400" w:lineRule="exact"/>
        <w:ind w:firstLine="480"/>
        <w:rPr>
          <w:rFonts w:ascii="宋体" w:hAnsi="宋体" w:cs="宋体"/>
          <w:sz w:val="24"/>
        </w:rPr>
      </w:pPr>
      <w:r>
        <w:rPr>
          <w:rFonts w:hint="eastAsia" w:ascii="宋体" w:hAnsi="宋体" w:cs="宋体"/>
          <w:sz w:val="24"/>
        </w:rPr>
        <w:br w:type="page"/>
      </w:r>
    </w:p>
    <w:tbl>
      <w:tblPr>
        <w:tblStyle w:val="52"/>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207"/>
        <w:gridCol w:w="8"/>
      </w:tblGrid>
      <w:tr w14:paraId="4A06F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8" w:type="dxa"/>
            <w:noWrap/>
            <w:vAlign w:val="center"/>
          </w:tcPr>
          <w:p w14:paraId="62DDBFCB">
            <w:pPr>
              <w:tabs>
                <w:tab w:val="left" w:pos="1080"/>
              </w:tabs>
              <w:jc w:val="center"/>
              <w:rPr>
                <w:rFonts w:ascii="宋体" w:hAnsi="宋体" w:cs="宋体"/>
                <w:b/>
                <w:szCs w:val="21"/>
              </w:rPr>
            </w:pPr>
            <w:r>
              <w:rPr>
                <w:rFonts w:hint="eastAsia" w:ascii="宋体" w:hAnsi="宋体" w:cs="宋体"/>
                <w:b/>
                <w:szCs w:val="21"/>
              </w:rPr>
              <w:t>序号</w:t>
            </w:r>
          </w:p>
        </w:tc>
        <w:tc>
          <w:tcPr>
            <w:tcW w:w="1260" w:type="dxa"/>
            <w:noWrap/>
            <w:vAlign w:val="center"/>
          </w:tcPr>
          <w:p w14:paraId="4F3C428A">
            <w:pPr>
              <w:tabs>
                <w:tab w:val="left" w:pos="1080"/>
              </w:tabs>
              <w:jc w:val="center"/>
              <w:rPr>
                <w:rFonts w:ascii="宋体" w:hAnsi="宋体" w:cs="宋体"/>
                <w:b/>
                <w:szCs w:val="21"/>
              </w:rPr>
            </w:pPr>
            <w:r>
              <w:rPr>
                <w:rFonts w:hint="eastAsia" w:ascii="宋体" w:hAnsi="宋体" w:cs="宋体"/>
                <w:b/>
                <w:szCs w:val="21"/>
              </w:rPr>
              <w:t>条目号</w:t>
            </w:r>
          </w:p>
        </w:tc>
        <w:tc>
          <w:tcPr>
            <w:tcW w:w="7215" w:type="dxa"/>
            <w:gridSpan w:val="2"/>
            <w:noWrap/>
            <w:vAlign w:val="center"/>
          </w:tcPr>
          <w:p w14:paraId="355CE7AF">
            <w:pPr>
              <w:tabs>
                <w:tab w:val="left" w:pos="1080"/>
              </w:tabs>
              <w:jc w:val="center"/>
              <w:rPr>
                <w:rFonts w:ascii="宋体" w:hAnsi="宋体" w:cs="宋体"/>
                <w:b/>
                <w:szCs w:val="21"/>
              </w:rPr>
            </w:pPr>
            <w:r>
              <w:rPr>
                <w:rFonts w:hint="eastAsia" w:ascii="宋体" w:hAnsi="宋体" w:cs="宋体"/>
                <w:b/>
                <w:szCs w:val="21"/>
              </w:rPr>
              <w:t>信 息 或 数 据</w:t>
            </w:r>
          </w:p>
        </w:tc>
      </w:tr>
      <w:tr w14:paraId="4771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8" w:type="dxa"/>
            <w:noWrap/>
            <w:vAlign w:val="center"/>
          </w:tcPr>
          <w:p w14:paraId="51D49DA4">
            <w:pPr>
              <w:tabs>
                <w:tab w:val="left" w:pos="1080"/>
              </w:tabs>
              <w:jc w:val="center"/>
              <w:rPr>
                <w:rFonts w:ascii="宋体" w:hAnsi="宋体" w:cs="宋体"/>
                <w:szCs w:val="21"/>
              </w:rPr>
            </w:pPr>
            <w:r>
              <w:rPr>
                <w:rFonts w:hint="eastAsia" w:ascii="宋体" w:hAnsi="宋体" w:cs="宋体"/>
                <w:szCs w:val="21"/>
              </w:rPr>
              <w:t>16</w:t>
            </w:r>
          </w:p>
        </w:tc>
        <w:tc>
          <w:tcPr>
            <w:tcW w:w="1260" w:type="dxa"/>
            <w:noWrap/>
            <w:vAlign w:val="center"/>
          </w:tcPr>
          <w:p w14:paraId="22D59FF0">
            <w:pPr>
              <w:tabs>
                <w:tab w:val="left" w:pos="1080"/>
              </w:tabs>
              <w:jc w:val="center"/>
              <w:rPr>
                <w:rFonts w:ascii="宋体" w:hAnsi="宋体" w:cs="宋体"/>
                <w:szCs w:val="21"/>
              </w:rPr>
            </w:pPr>
            <w:r>
              <w:rPr>
                <w:rFonts w:hint="eastAsia" w:ascii="宋体" w:hAnsi="宋体" w:cs="宋体"/>
                <w:szCs w:val="21"/>
              </w:rPr>
              <w:t>17.2.1</w:t>
            </w:r>
          </w:p>
        </w:tc>
        <w:tc>
          <w:tcPr>
            <w:tcW w:w="7215" w:type="dxa"/>
            <w:gridSpan w:val="2"/>
            <w:noWrap/>
            <w:vAlign w:val="center"/>
          </w:tcPr>
          <w:p w14:paraId="2E10F431">
            <w:pPr>
              <w:pStyle w:val="466"/>
              <w:ind w:left="106"/>
              <w:rPr>
                <w:rFonts w:ascii="宋体" w:hAnsi="宋体" w:eastAsia="宋体" w:cs="宋体"/>
                <w:sz w:val="21"/>
                <w:szCs w:val="21"/>
              </w:rPr>
            </w:pPr>
            <w:r>
              <w:rPr>
                <w:rFonts w:hint="eastAsia" w:ascii="宋体" w:hAnsi="宋体" w:eastAsia="宋体" w:cs="宋体"/>
                <w:sz w:val="21"/>
                <w:szCs w:val="21"/>
              </w:rPr>
              <w:t>材料、设备预付款比例：</w:t>
            </w:r>
            <w:r>
              <w:rPr>
                <w:rFonts w:hint="eastAsia" w:ascii="宋体" w:hAnsi="宋体" w:eastAsia="宋体" w:cs="宋体"/>
                <w:sz w:val="21"/>
                <w:szCs w:val="21"/>
                <w:u w:val="single"/>
              </w:rPr>
              <w:t xml:space="preserve"> 钢筋、水泥、沥青、砂、石 </w:t>
            </w:r>
            <w:r>
              <w:rPr>
                <w:rFonts w:hint="eastAsia" w:ascii="宋体" w:hAnsi="宋体" w:eastAsia="宋体" w:cs="宋体"/>
                <w:sz w:val="21"/>
                <w:szCs w:val="21"/>
              </w:rPr>
              <w:t xml:space="preserve">等主要材料、设备单据所列费用的 </w:t>
            </w:r>
            <w:r>
              <w:rPr>
                <w:rFonts w:hint="eastAsia" w:ascii="宋体" w:hAnsi="宋体" w:eastAsia="宋体" w:cs="宋体"/>
                <w:sz w:val="21"/>
                <w:szCs w:val="21"/>
                <w:u w:val="single"/>
              </w:rPr>
              <w:t>70</w:t>
            </w:r>
            <w:r>
              <w:rPr>
                <w:rFonts w:hint="eastAsia" w:ascii="宋体" w:hAnsi="宋体" w:eastAsia="宋体" w:cs="宋体"/>
                <w:sz w:val="21"/>
                <w:szCs w:val="21"/>
              </w:rPr>
              <w:t>%</w:t>
            </w:r>
          </w:p>
        </w:tc>
      </w:tr>
      <w:tr w14:paraId="24CE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4314B6D6">
            <w:pPr>
              <w:tabs>
                <w:tab w:val="left" w:pos="1080"/>
              </w:tabs>
              <w:jc w:val="center"/>
              <w:rPr>
                <w:rFonts w:ascii="宋体" w:hAnsi="宋体" w:cs="宋体"/>
                <w:szCs w:val="21"/>
              </w:rPr>
            </w:pPr>
            <w:r>
              <w:rPr>
                <w:rFonts w:hint="eastAsia" w:ascii="宋体" w:hAnsi="宋体" w:cs="宋体"/>
                <w:szCs w:val="21"/>
              </w:rPr>
              <w:t>17</w:t>
            </w:r>
          </w:p>
        </w:tc>
        <w:tc>
          <w:tcPr>
            <w:tcW w:w="1260" w:type="dxa"/>
            <w:noWrap/>
            <w:vAlign w:val="center"/>
          </w:tcPr>
          <w:p w14:paraId="2265A7D9">
            <w:pPr>
              <w:tabs>
                <w:tab w:val="left" w:pos="1080"/>
              </w:tabs>
              <w:jc w:val="center"/>
              <w:rPr>
                <w:rFonts w:ascii="宋体" w:hAnsi="宋体" w:cs="宋体"/>
                <w:szCs w:val="21"/>
              </w:rPr>
            </w:pPr>
            <w:r>
              <w:rPr>
                <w:rFonts w:hint="eastAsia" w:ascii="宋体" w:hAnsi="宋体" w:cs="宋体"/>
                <w:szCs w:val="21"/>
              </w:rPr>
              <w:t>17.3.2</w:t>
            </w:r>
          </w:p>
        </w:tc>
        <w:tc>
          <w:tcPr>
            <w:tcW w:w="7215" w:type="dxa"/>
            <w:gridSpan w:val="2"/>
            <w:noWrap/>
            <w:vAlign w:val="center"/>
          </w:tcPr>
          <w:p w14:paraId="6C4C91F3">
            <w:pPr>
              <w:tabs>
                <w:tab w:val="left" w:pos="1080"/>
              </w:tabs>
              <w:jc w:val="left"/>
              <w:rPr>
                <w:rFonts w:ascii="宋体" w:hAnsi="宋体" w:cs="宋体"/>
                <w:szCs w:val="21"/>
              </w:rPr>
            </w:pPr>
            <w:r>
              <w:rPr>
                <w:rFonts w:hint="eastAsia" w:ascii="宋体" w:hAnsi="宋体" w:cs="宋体"/>
                <w:szCs w:val="21"/>
              </w:rPr>
              <w:t>承包人在每个付款周期末向监理人提交进度付款申请单的份数：6份</w:t>
            </w:r>
          </w:p>
        </w:tc>
      </w:tr>
      <w:tr w14:paraId="06B7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6E186B9F">
            <w:pPr>
              <w:tabs>
                <w:tab w:val="left" w:pos="1080"/>
              </w:tabs>
              <w:jc w:val="center"/>
              <w:rPr>
                <w:rFonts w:ascii="宋体" w:hAnsi="宋体" w:cs="宋体"/>
                <w:szCs w:val="21"/>
              </w:rPr>
            </w:pPr>
            <w:r>
              <w:rPr>
                <w:rFonts w:hint="eastAsia" w:ascii="宋体" w:hAnsi="宋体" w:cs="宋体"/>
                <w:szCs w:val="21"/>
              </w:rPr>
              <w:t>18</w:t>
            </w:r>
          </w:p>
        </w:tc>
        <w:tc>
          <w:tcPr>
            <w:tcW w:w="1260" w:type="dxa"/>
            <w:noWrap/>
            <w:vAlign w:val="center"/>
          </w:tcPr>
          <w:p w14:paraId="26F33EF0">
            <w:pPr>
              <w:tabs>
                <w:tab w:val="left" w:pos="1080"/>
              </w:tabs>
              <w:jc w:val="center"/>
              <w:rPr>
                <w:rFonts w:ascii="宋体" w:hAnsi="宋体" w:cs="宋体"/>
                <w:szCs w:val="21"/>
              </w:rPr>
            </w:pPr>
            <w:r>
              <w:rPr>
                <w:rFonts w:hint="eastAsia" w:ascii="宋体" w:hAnsi="宋体" w:cs="宋体"/>
                <w:szCs w:val="21"/>
              </w:rPr>
              <w:t>17.3.3(1)</w:t>
            </w:r>
          </w:p>
        </w:tc>
        <w:tc>
          <w:tcPr>
            <w:tcW w:w="7215" w:type="dxa"/>
            <w:gridSpan w:val="2"/>
            <w:noWrap/>
            <w:vAlign w:val="center"/>
          </w:tcPr>
          <w:p w14:paraId="71A7FC4F">
            <w:pPr>
              <w:tabs>
                <w:tab w:val="left" w:pos="1080"/>
              </w:tabs>
              <w:jc w:val="left"/>
              <w:rPr>
                <w:rFonts w:ascii="宋体" w:hAnsi="宋体" w:cs="宋体"/>
                <w:szCs w:val="21"/>
              </w:rPr>
            </w:pPr>
            <w:r>
              <w:rPr>
                <w:rFonts w:hint="eastAsia" w:ascii="宋体" w:hAnsi="宋体" w:cs="宋体"/>
                <w:szCs w:val="21"/>
              </w:rPr>
              <w:t>进度付款证书最低限额：</w:t>
            </w:r>
            <w:r>
              <w:rPr>
                <w:rFonts w:hint="eastAsia" w:ascii="宋体" w:hAnsi="宋体" w:cs="宋体"/>
                <w:b/>
                <w:szCs w:val="21"/>
              </w:rPr>
              <w:t>5%</w:t>
            </w:r>
            <w:r>
              <w:rPr>
                <w:rFonts w:hint="eastAsia" w:ascii="宋体" w:hAnsi="宋体" w:cs="宋体"/>
                <w:szCs w:val="21"/>
              </w:rPr>
              <w:t>签约合同价</w:t>
            </w:r>
          </w:p>
        </w:tc>
      </w:tr>
      <w:tr w14:paraId="6F83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36E1A705">
            <w:pPr>
              <w:tabs>
                <w:tab w:val="left" w:pos="1080"/>
              </w:tabs>
              <w:jc w:val="center"/>
              <w:rPr>
                <w:rFonts w:ascii="宋体" w:hAnsi="宋体" w:cs="宋体"/>
                <w:szCs w:val="21"/>
              </w:rPr>
            </w:pPr>
            <w:r>
              <w:rPr>
                <w:rFonts w:hint="eastAsia" w:ascii="宋体" w:hAnsi="宋体" w:cs="宋体"/>
                <w:szCs w:val="21"/>
              </w:rPr>
              <w:t>19</w:t>
            </w:r>
          </w:p>
        </w:tc>
        <w:tc>
          <w:tcPr>
            <w:tcW w:w="1260" w:type="dxa"/>
            <w:noWrap/>
            <w:vAlign w:val="center"/>
          </w:tcPr>
          <w:p w14:paraId="724D533D">
            <w:pPr>
              <w:tabs>
                <w:tab w:val="left" w:pos="1080"/>
              </w:tabs>
              <w:jc w:val="center"/>
              <w:rPr>
                <w:rFonts w:ascii="宋体" w:hAnsi="宋体" w:cs="宋体"/>
                <w:szCs w:val="21"/>
              </w:rPr>
            </w:pPr>
            <w:r>
              <w:rPr>
                <w:rFonts w:hint="eastAsia" w:ascii="宋体" w:hAnsi="宋体" w:cs="宋体"/>
                <w:szCs w:val="21"/>
              </w:rPr>
              <w:t>17.3.3(2)</w:t>
            </w:r>
          </w:p>
        </w:tc>
        <w:tc>
          <w:tcPr>
            <w:tcW w:w="7215" w:type="dxa"/>
            <w:gridSpan w:val="2"/>
            <w:noWrap/>
            <w:vAlign w:val="center"/>
          </w:tcPr>
          <w:p w14:paraId="03B070D6">
            <w:pPr>
              <w:tabs>
                <w:tab w:val="left" w:pos="1080"/>
              </w:tabs>
              <w:jc w:val="left"/>
              <w:rPr>
                <w:rFonts w:ascii="宋体" w:hAnsi="宋体" w:cs="宋体"/>
                <w:szCs w:val="21"/>
              </w:rPr>
            </w:pPr>
            <w:r>
              <w:rPr>
                <w:rFonts w:hint="eastAsia" w:ascii="宋体" w:hAnsi="宋体" w:cs="宋体"/>
                <w:szCs w:val="21"/>
              </w:rPr>
              <w:t>逾期付款违约金的的利率：/</w:t>
            </w:r>
          </w:p>
        </w:tc>
      </w:tr>
      <w:tr w14:paraId="5D7B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828" w:type="dxa"/>
            <w:noWrap/>
            <w:vAlign w:val="center"/>
          </w:tcPr>
          <w:p w14:paraId="59DA64A8">
            <w:pPr>
              <w:tabs>
                <w:tab w:val="left" w:pos="1080"/>
              </w:tabs>
              <w:jc w:val="center"/>
              <w:rPr>
                <w:rFonts w:ascii="宋体" w:hAnsi="宋体" w:cs="宋体"/>
                <w:szCs w:val="21"/>
              </w:rPr>
            </w:pPr>
            <w:r>
              <w:rPr>
                <w:rFonts w:hint="eastAsia" w:ascii="宋体" w:hAnsi="宋体" w:cs="宋体"/>
                <w:szCs w:val="21"/>
              </w:rPr>
              <w:t>20</w:t>
            </w:r>
          </w:p>
        </w:tc>
        <w:tc>
          <w:tcPr>
            <w:tcW w:w="1260" w:type="dxa"/>
            <w:noWrap/>
            <w:vAlign w:val="center"/>
          </w:tcPr>
          <w:p w14:paraId="14765AED">
            <w:pPr>
              <w:tabs>
                <w:tab w:val="left" w:pos="1080"/>
              </w:tabs>
              <w:jc w:val="center"/>
              <w:rPr>
                <w:rFonts w:ascii="宋体" w:hAnsi="宋体" w:cs="宋体"/>
                <w:szCs w:val="21"/>
              </w:rPr>
            </w:pPr>
            <w:r>
              <w:rPr>
                <w:rFonts w:hint="eastAsia" w:ascii="宋体" w:hAnsi="宋体" w:cs="宋体"/>
                <w:szCs w:val="21"/>
              </w:rPr>
              <w:t>17.4.1</w:t>
            </w:r>
          </w:p>
        </w:tc>
        <w:tc>
          <w:tcPr>
            <w:tcW w:w="7215" w:type="dxa"/>
            <w:gridSpan w:val="2"/>
            <w:noWrap/>
            <w:vAlign w:val="center"/>
          </w:tcPr>
          <w:p w14:paraId="68F9709D">
            <w:pPr>
              <w:tabs>
                <w:tab w:val="left" w:pos="1080"/>
              </w:tabs>
              <w:jc w:val="left"/>
              <w:rPr>
                <w:rFonts w:ascii="宋体" w:hAnsi="宋体" w:cs="宋体"/>
                <w:szCs w:val="21"/>
              </w:rPr>
            </w:pPr>
            <w:r>
              <w:rPr>
                <w:rFonts w:hint="eastAsia" w:ascii="宋体" w:hAnsi="宋体" w:cs="宋体"/>
                <w:szCs w:val="21"/>
              </w:rPr>
              <w:t>质量保证金限额：3%签约合同价格。</w:t>
            </w:r>
          </w:p>
          <w:p w14:paraId="4B09BEA1">
            <w:pPr>
              <w:tabs>
                <w:tab w:val="left" w:pos="1080"/>
              </w:tabs>
              <w:jc w:val="left"/>
              <w:rPr>
                <w:rFonts w:ascii="宋体" w:hAnsi="宋体" w:cs="宋体"/>
                <w:szCs w:val="21"/>
                <w:u w:val="single"/>
              </w:rPr>
            </w:pPr>
            <w:r>
              <w:rPr>
                <w:rFonts w:hint="eastAsia" w:ascii="宋体" w:hAnsi="宋体" w:cs="宋体"/>
                <w:szCs w:val="21"/>
              </w:rPr>
              <w:t xml:space="preserve">质量保证金的利息计算方式：不计息                </w:t>
            </w:r>
          </w:p>
        </w:tc>
      </w:tr>
      <w:tr w14:paraId="10E2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203AC449">
            <w:pPr>
              <w:tabs>
                <w:tab w:val="left" w:pos="1080"/>
              </w:tabs>
              <w:jc w:val="center"/>
              <w:rPr>
                <w:rFonts w:ascii="宋体" w:hAnsi="宋体" w:cs="宋体"/>
                <w:szCs w:val="21"/>
              </w:rPr>
            </w:pPr>
            <w:r>
              <w:rPr>
                <w:rFonts w:hint="eastAsia" w:ascii="宋体" w:hAnsi="宋体" w:cs="宋体"/>
                <w:szCs w:val="21"/>
              </w:rPr>
              <w:t>21</w:t>
            </w:r>
          </w:p>
        </w:tc>
        <w:tc>
          <w:tcPr>
            <w:tcW w:w="1260" w:type="dxa"/>
            <w:noWrap/>
            <w:vAlign w:val="center"/>
          </w:tcPr>
          <w:p w14:paraId="5112E837">
            <w:pPr>
              <w:tabs>
                <w:tab w:val="left" w:pos="1080"/>
              </w:tabs>
              <w:jc w:val="center"/>
              <w:rPr>
                <w:rFonts w:ascii="宋体" w:hAnsi="宋体" w:cs="宋体"/>
                <w:szCs w:val="21"/>
              </w:rPr>
            </w:pPr>
            <w:r>
              <w:rPr>
                <w:rFonts w:hint="eastAsia" w:ascii="宋体" w:hAnsi="宋体" w:cs="宋体"/>
                <w:szCs w:val="21"/>
              </w:rPr>
              <w:t>17.5.1</w:t>
            </w:r>
          </w:p>
        </w:tc>
        <w:tc>
          <w:tcPr>
            <w:tcW w:w="7215" w:type="dxa"/>
            <w:gridSpan w:val="2"/>
            <w:noWrap/>
            <w:vAlign w:val="center"/>
          </w:tcPr>
          <w:p w14:paraId="69255450">
            <w:pPr>
              <w:tabs>
                <w:tab w:val="left" w:pos="1080"/>
              </w:tabs>
              <w:jc w:val="left"/>
              <w:rPr>
                <w:rFonts w:ascii="宋体" w:hAnsi="宋体" w:cs="宋体"/>
                <w:szCs w:val="21"/>
              </w:rPr>
            </w:pPr>
            <w:r>
              <w:rPr>
                <w:rFonts w:hint="eastAsia" w:ascii="宋体" w:hAnsi="宋体" w:cs="宋体"/>
                <w:szCs w:val="21"/>
              </w:rPr>
              <w:t>承包人向监理人提交交工付款申请单（包括相关证明材料）的份数：6份</w:t>
            </w:r>
          </w:p>
        </w:tc>
      </w:tr>
      <w:tr w14:paraId="7334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28D2EA49">
            <w:pPr>
              <w:tabs>
                <w:tab w:val="left" w:pos="1080"/>
              </w:tabs>
              <w:jc w:val="center"/>
              <w:rPr>
                <w:rFonts w:ascii="宋体" w:hAnsi="宋体" w:cs="宋体"/>
                <w:szCs w:val="21"/>
              </w:rPr>
            </w:pPr>
            <w:r>
              <w:rPr>
                <w:rFonts w:hint="eastAsia" w:ascii="宋体" w:hAnsi="宋体" w:cs="宋体"/>
                <w:szCs w:val="21"/>
              </w:rPr>
              <w:t>22</w:t>
            </w:r>
          </w:p>
        </w:tc>
        <w:tc>
          <w:tcPr>
            <w:tcW w:w="1260" w:type="dxa"/>
            <w:noWrap/>
            <w:vAlign w:val="center"/>
          </w:tcPr>
          <w:p w14:paraId="537053A7">
            <w:pPr>
              <w:tabs>
                <w:tab w:val="left" w:pos="1080"/>
              </w:tabs>
              <w:jc w:val="center"/>
              <w:rPr>
                <w:rFonts w:ascii="宋体" w:hAnsi="宋体" w:cs="宋体"/>
                <w:szCs w:val="21"/>
              </w:rPr>
            </w:pPr>
            <w:r>
              <w:rPr>
                <w:rFonts w:hint="eastAsia" w:ascii="宋体" w:hAnsi="宋体" w:cs="宋体"/>
                <w:szCs w:val="21"/>
              </w:rPr>
              <w:t>17.6.1</w:t>
            </w:r>
          </w:p>
        </w:tc>
        <w:tc>
          <w:tcPr>
            <w:tcW w:w="7215" w:type="dxa"/>
            <w:gridSpan w:val="2"/>
            <w:noWrap/>
            <w:vAlign w:val="center"/>
          </w:tcPr>
          <w:p w14:paraId="63C5FC27">
            <w:pPr>
              <w:tabs>
                <w:tab w:val="left" w:pos="1080"/>
              </w:tabs>
              <w:jc w:val="left"/>
              <w:rPr>
                <w:rFonts w:ascii="宋体" w:hAnsi="宋体" w:cs="宋体"/>
                <w:szCs w:val="21"/>
              </w:rPr>
            </w:pPr>
            <w:r>
              <w:rPr>
                <w:rFonts w:hint="eastAsia" w:ascii="宋体" w:hAnsi="宋体" w:cs="宋体"/>
                <w:szCs w:val="21"/>
              </w:rPr>
              <w:t>承包人向监理人提交最终结清申请单（包括相关证明材料）的份数：6份</w:t>
            </w:r>
          </w:p>
        </w:tc>
      </w:tr>
      <w:tr w14:paraId="55BF7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1B7F6A3E">
            <w:pPr>
              <w:tabs>
                <w:tab w:val="left" w:pos="1080"/>
              </w:tabs>
              <w:jc w:val="center"/>
              <w:rPr>
                <w:rFonts w:ascii="宋体" w:hAnsi="宋体" w:cs="宋体"/>
                <w:szCs w:val="21"/>
              </w:rPr>
            </w:pPr>
            <w:r>
              <w:rPr>
                <w:rFonts w:hint="eastAsia" w:ascii="宋体" w:hAnsi="宋体" w:cs="宋体"/>
                <w:szCs w:val="21"/>
              </w:rPr>
              <w:t>23</w:t>
            </w:r>
          </w:p>
        </w:tc>
        <w:tc>
          <w:tcPr>
            <w:tcW w:w="1260" w:type="dxa"/>
            <w:noWrap/>
            <w:vAlign w:val="center"/>
          </w:tcPr>
          <w:p w14:paraId="6F56CA87">
            <w:pPr>
              <w:tabs>
                <w:tab w:val="left" w:pos="1080"/>
              </w:tabs>
              <w:jc w:val="center"/>
              <w:rPr>
                <w:rFonts w:ascii="宋体" w:hAnsi="宋体" w:cs="宋体"/>
                <w:szCs w:val="21"/>
              </w:rPr>
            </w:pPr>
            <w:r>
              <w:rPr>
                <w:rFonts w:hint="eastAsia" w:ascii="宋体" w:hAnsi="宋体" w:cs="宋体"/>
                <w:szCs w:val="21"/>
              </w:rPr>
              <w:t>18.2</w:t>
            </w:r>
          </w:p>
        </w:tc>
        <w:tc>
          <w:tcPr>
            <w:tcW w:w="7215" w:type="dxa"/>
            <w:gridSpan w:val="2"/>
            <w:noWrap/>
            <w:vAlign w:val="center"/>
          </w:tcPr>
          <w:p w14:paraId="3A0769FF">
            <w:pPr>
              <w:tabs>
                <w:tab w:val="left" w:pos="1080"/>
              </w:tabs>
              <w:jc w:val="left"/>
              <w:rPr>
                <w:rFonts w:ascii="宋体" w:hAnsi="宋体" w:cs="宋体"/>
                <w:szCs w:val="21"/>
              </w:rPr>
            </w:pPr>
            <w:r>
              <w:rPr>
                <w:rFonts w:hint="eastAsia" w:ascii="宋体" w:hAnsi="宋体" w:cs="宋体"/>
                <w:szCs w:val="21"/>
              </w:rPr>
              <w:t>竣工资料的份数：</w:t>
            </w:r>
            <w:r>
              <w:rPr>
                <w:rFonts w:hint="eastAsia" w:ascii="宋体" w:hAnsi="宋体" w:cs="宋体"/>
                <w:b/>
                <w:szCs w:val="21"/>
              </w:rPr>
              <w:t>6份</w:t>
            </w:r>
          </w:p>
        </w:tc>
      </w:tr>
      <w:tr w14:paraId="5E20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28" w:type="dxa"/>
            <w:noWrap/>
            <w:vAlign w:val="center"/>
          </w:tcPr>
          <w:p w14:paraId="3A24539B">
            <w:pPr>
              <w:tabs>
                <w:tab w:val="left" w:pos="1080"/>
              </w:tabs>
              <w:jc w:val="center"/>
              <w:rPr>
                <w:rFonts w:ascii="宋体" w:hAnsi="宋体" w:cs="宋体"/>
                <w:szCs w:val="21"/>
              </w:rPr>
            </w:pPr>
            <w:r>
              <w:rPr>
                <w:rFonts w:hint="eastAsia" w:ascii="宋体" w:hAnsi="宋体" w:cs="宋体"/>
                <w:szCs w:val="21"/>
              </w:rPr>
              <w:t>24</w:t>
            </w:r>
          </w:p>
        </w:tc>
        <w:tc>
          <w:tcPr>
            <w:tcW w:w="1260" w:type="dxa"/>
            <w:noWrap/>
            <w:vAlign w:val="center"/>
          </w:tcPr>
          <w:p w14:paraId="40BBEF9D">
            <w:pPr>
              <w:tabs>
                <w:tab w:val="left" w:pos="1080"/>
              </w:tabs>
              <w:jc w:val="center"/>
              <w:rPr>
                <w:rFonts w:ascii="宋体" w:hAnsi="宋体" w:cs="宋体"/>
                <w:szCs w:val="21"/>
              </w:rPr>
            </w:pPr>
            <w:r>
              <w:rPr>
                <w:rFonts w:hint="eastAsia" w:ascii="宋体" w:hAnsi="宋体" w:cs="宋体"/>
                <w:szCs w:val="21"/>
              </w:rPr>
              <w:t>18.5.1</w:t>
            </w:r>
          </w:p>
        </w:tc>
        <w:tc>
          <w:tcPr>
            <w:tcW w:w="7215" w:type="dxa"/>
            <w:gridSpan w:val="2"/>
            <w:noWrap/>
            <w:vAlign w:val="center"/>
          </w:tcPr>
          <w:p w14:paraId="6C113427">
            <w:pPr>
              <w:tabs>
                <w:tab w:val="left" w:pos="1080"/>
              </w:tabs>
              <w:jc w:val="left"/>
              <w:rPr>
                <w:rFonts w:ascii="宋体" w:hAnsi="宋体" w:cs="宋体"/>
                <w:szCs w:val="21"/>
                <w:u w:val="single"/>
              </w:rPr>
            </w:pPr>
            <w:r>
              <w:rPr>
                <w:rFonts w:hint="eastAsia" w:ascii="宋体" w:hAnsi="宋体" w:cs="宋体"/>
                <w:szCs w:val="21"/>
              </w:rPr>
              <w:t>单位工程或工程设备是否需投入施工期运行：是</w:t>
            </w:r>
          </w:p>
          <w:p w14:paraId="395C9C5F">
            <w:pPr>
              <w:tabs>
                <w:tab w:val="left" w:pos="1080"/>
              </w:tabs>
              <w:jc w:val="left"/>
              <w:rPr>
                <w:rFonts w:ascii="宋体" w:hAnsi="宋体" w:cs="宋体"/>
                <w:szCs w:val="21"/>
              </w:rPr>
            </w:pPr>
            <w:r>
              <w:rPr>
                <w:rFonts w:hint="eastAsia" w:ascii="宋体" w:hAnsi="宋体" w:cs="宋体"/>
                <w:szCs w:val="21"/>
              </w:rPr>
              <w:t>本项目属于旧路改建，需要在施工期间维持交通畅通。</w:t>
            </w:r>
          </w:p>
        </w:tc>
      </w:tr>
      <w:tr w14:paraId="21B6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8" w:type="dxa"/>
            <w:noWrap/>
            <w:vAlign w:val="center"/>
          </w:tcPr>
          <w:p w14:paraId="30C6D980">
            <w:pPr>
              <w:tabs>
                <w:tab w:val="left" w:pos="1080"/>
              </w:tabs>
              <w:jc w:val="center"/>
              <w:rPr>
                <w:rFonts w:ascii="宋体" w:hAnsi="宋体" w:cs="宋体"/>
                <w:szCs w:val="21"/>
              </w:rPr>
            </w:pPr>
            <w:r>
              <w:rPr>
                <w:rFonts w:hint="eastAsia" w:ascii="宋体" w:hAnsi="宋体" w:cs="宋体"/>
                <w:szCs w:val="21"/>
              </w:rPr>
              <w:t>25</w:t>
            </w:r>
          </w:p>
        </w:tc>
        <w:tc>
          <w:tcPr>
            <w:tcW w:w="1260" w:type="dxa"/>
            <w:noWrap/>
            <w:vAlign w:val="center"/>
          </w:tcPr>
          <w:p w14:paraId="03018C1A">
            <w:pPr>
              <w:tabs>
                <w:tab w:val="left" w:pos="1080"/>
              </w:tabs>
              <w:jc w:val="center"/>
              <w:rPr>
                <w:rFonts w:ascii="宋体" w:hAnsi="宋体" w:cs="宋体"/>
                <w:szCs w:val="21"/>
              </w:rPr>
            </w:pPr>
            <w:r>
              <w:rPr>
                <w:rFonts w:hint="eastAsia" w:ascii="宋体" w:hAnsi="宋体" w:cs="宋体"/>
                <w:szCs w:val="21"/>
              </w:rPr>
              <w:t>18.6.1</w:t>
            </w:r>
          </w:p>
        </w:tc>
        <w:tc>
          <w:tcPr>
            <w:tcW w:w="7215" w:type="dxa"/>
            <w:gridSpan w:val="2"/>
            <w:noWrap/>
            <w:vAlign w:val="center"/>
          </w:tcPr>
          <w:p w14:paraId="472495B2">
            <w:pPr>
              <w:tabs>
                <w:tab w:val="left" w:pos="1080"/>
              </w:tabs>
              <w:jc w:val="left"/>
              <w:rPr>
                <w:rFonts w:ascii="宋体" w:hAnsi="宋体" w:cs="宋体"/>
                <w:szCs w:val="21"/>
                <w:u w:val="single"/>
              </w:rPr>
            </w:pPr>
            <w:r>
              <w:rPr>
                <w:rFonts w:hint="eastAsia" w:ascii="宋体" w:hAnsi="宋体" w:cs="宋体"/>
                <w:szCs w:val="21"/>
              </w:rPr>
              <w:t>本工程及工程设备是否进行试运行：是</w:t>
            </w:r>
          </w:p>
        </w:tc>
      </w:tr>
      <w:tr w14:paraId="1B03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7" w:hRule="exact"/>
          <w:jc w:val="center"/>
        </w:trPr>
        <w:tc>
          <w:tcPr>
            <w:tcW w:w="828" w:type="dxa"/>
            <w:noWrap/>
            <w:vAlign w:val="center"/>
          </w:tcPr>
          <w:p w14:paraId="34C85173">
            <w:pPr>
              <w:tabs>
                <w:tab w:val="left" w:pos="1080"/>
              </w:tabs>
              <w:jc w:val="center"/>
              <w:rPr>
                <w:rFonts w:ascii="宋体" w:hAnsi="宋体" w:cs="宋体"/>
                <w:szCs w:val="21"/>
              </w:rPr>
            </w:pPr>
            <w:r>
              <w:rPr>
                <w:rFonts w:hint="eastAsia" w:ascii="宋体" w:hAnsi="宋体" w:cs="宋体"/>
                <w:szCs w:val="21"/>
              </w:rPr>
              <w:t>26</w:t>
            </w:r>
          </w:p>
        </w:tc>
        <w:tc>
          <w:tcPr>
            <w:tcW w:w="1260" w:type="dxa"/>
            <w:noWrap/>
            <w:vAlign w:val="center"/>
          </w:tcPr>
          <w:p w14:paraId="7B04E460">
            <w:pPr>
              <w:tabs>
                <w:tab w:val="left" w:pos="1080"/>
              </w:tabs>
              <w:jc w:val="center"/>
              <w:rPr>
                <w:rFonts w:ascii="宋体" w:hAnsi="宋体" w:cs="宋体"/>
                <w:szCs w:val="21"/>
              </w:rPr>
            </w:pPr>
            <w:r>
              <w:rPr>
                <w:rFonts w:hint="eastAsia" w:ascii="宋体" w:hAnsi="宋体" w:cs="宋体"/>
                <w:szCs w:val="21"/>
              </w:rPr>
              <w:t>19.7</w:t>
            </w:r>
          </w:p>
        </w:tc>
        <w:tc>
          <w:tcPr>
            <w:tcW w:w="7207" w:type="dxa"/>
            <w:noWrap/>
            <w:vAlign w:val="center"/>
          </w:tcPr>
          <w:p w14:paraId="7498B89B">
            <w:pPr>
              <w:tabs>
                <w:tab w:val="left" w:pos="1080"/>
              </w:tabs>
              <w:jc w:val="left"/>
              <w:rPr>
                <w:rFonts w:ascii="宋体" w:hAnsi="宋体" w:cs="宋体"/>
                <w:szCs w:val="21"/>
              </w:rPr>
            </w:pPr>
            <w:r>
              <w:rPr>
                <w:rFonts w:hint="eastAsia" w:ascii="宋体" w:hAnsi="宋体" w:cs="宋体"/>
                <w:szCs w:val="21"/>
              </w:rPr>
              <w:t>保修期：自实际交工日期起计算5年</w:t>
            </w:r>
          </w:p>
        </w:tc>
      </w:tr>
      <w:tr w14:paraId="049D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88" w:hRule="exact"/>
          <w:jc w:val="center"/>
        </w:trPr>
        <w:tc>
          <w:tcPr>
            <w:tcW w:w="828" w:type="dxa"/>
            <w:noWrap/>
            <w:vAlign w:val="center"/>
          </w:tcPr>
          <w:p w14:paraId="4C125F03">
            <w:pPr>
              <w:tabs>
                <w:tab w:val="left" w:pos="1080"/>
              </w:tabs>
              <w:jc w:val="center"/>
              <w:rPr>
                <w:rFonts w:ascii="宋体" w:hAnsi="宋体" w:cs="宋体"/>
                <w:szCs w:val="21"/>
              </w:rPr>
            </w:pPr>
            <w:r>
              <w:rPr>
                <w:rFonts w:hint="eastAsia" w:ascii="宋体" w:hAnsi="宋体" w:cs="宋体"/>
                <w:szCs w:val="21"/>
              </w:rPr>
              <w:t>27</w:t>
            </w:r>
          </w:p>
        </w:tc>
        <w:tc>
          <w:tcPr>
            <w:tcW w:w="1260" w:type="dxa"/>
            <w:noWrap/>
            <w:vAlign w:val="center"/>
          </w:tcPr>
          <w:p w14:paraId="33EF1B38">
            <w:pPr>
              <w:tabs>
                <w:tab w:val="left" w:pos="1080"/>
              </w:tabs>
              <w:jc w:val="center"/>
              <w:rPr>
                <w:rFonts w:ascii="宋体" w:hAnsi="宋体" w:cs="宋体"/>
                <w:szCs w:val="21"/>
              </w:rPr>
            </w:pPr>
            <w:r>
              <w:rPr>
                <w:rFonts w:hint="eastAsia" w:ascii="宋体" w:hAnsi="宋体" w:cs="宋体"/>
                <w:szCs w:val="21"/>
              </w:rPr>
              <w:t>20.1</w:t>
            </w:r>
          </w:p>
        </w:tc>
        <w:tc>
          <w:tcPr>
            <w:tcW w:w="7207" w:type="dxa"/>
            <w:noWrap/>
            <w:vAlign w:val="center"/>
          </w:tcPr>
          <w:p w14:paraId="6BC3D935">
            <w:pPr>
              <w:pStyle w:val="18"/>
              <w:rPr>
                <w:rFonts w:ascii="宋体" w:hAnsi="宋体" w:cs="宋体"/>
                <w:kern w:val="2"/>
                <w:sz w:val="21"/>
                <w:szCs w:val="21"/>
              </w:rPr>
            </w:pPr>
            <w:r>
              <w:rPr>
                <w:rFonts w:hint="eastAsia" w:ascii="宋体" w:hAnsi="宋体" w:cs="宋体"/>
                <w:kern w:val="2"/>
                <w:sz w:val="21"/>
                <w:szCs w:val="21"/>
              </w:rPr>
              <w:t>建筑工程一切险的保险费率：修改为承包人应充分考虑并对本项目进行投保，如出现保险事故保险金不足以补偿损失的，应有承包人负责补偿。</w:t>
            </w:r>
          </w:p>
        </w:tc>
      </w:tr>
      <w:tr w14:paraId="5783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51" w:hRule="atLeast"/>
          <w:jc w:val="center"/>
        </w:trPr>
        <w:tc>
          <w:tcPr>
            <w:tcW w:w="828" w:type="dxa"/>
            <w:noWrap/>
            <w:vAlign w:val="center"/>
          </w:tcPr>
          <w:p w14:paraId="527D9A27">
            <w:pPr>
              <w:tabs>
                <w:tab w:val="left" w:pos="1080"/>
              </w:tabs>
              <w:jc w:val="center"/>
              <w:rPr>
                <w:rFonts w:ascii="宋体" w:hAnsi="宋体" w:cs="宋体"/>
                <w:szCs w:val="21"/>
              </w:rPr>
            </w:pPr>
            <w:r>
              <w:rPr>
                <w:rFonts w:hint="eastAsia" w:ascii="宋体" w:hAnsi="宋体" w:cs="宋体"/>
                <w:szCs w:val="21"/>
              </w:rPr>
              <w:t>28</w:t>
            </w:r>
          </w:p>
        </w:tc>
        <w:tc>
          <w:tcPr>
            <w:tcW w:w="1260" w:type="dxa"/>
            <w:noWrap/>
            <w:vAlign w:val="center"/>
          </w:tcPr>
          <w:p w14:paraId="59701D56">
            <w:pPr>
              <w:tabs>
                <w:tab w:val="left" w:pos="1080"/>
              </w:tabs>
              <w:jc w:val="center"/>
              <w:rPr>
                <w:rFonts w:ascii="宋体" w:hAnsi="宋体" w:cs="宋体"/>
                <w:szCs w:val="21"/>
              </w:rPr>
            </w:pPr>
            <w:r>
              <w:rPr>
                <w:rFonts w:hint="eastAsia" w:ascii="宋体" w:hAnsi="宋体" w:cs="宋体"/>
                <w:szCs w:val="21"/>
              </w:rPr>
              <w:t>20.4.2</w:t>
            </w:r>
          </w:p>
        </w:tc>
        <w:tc>
          <w:tcPr>
            <w:tcW w:w="7207" w:type="dxa"/>
            <w:noWrap/>
            <w:vAlign w:val="center"/>
          </w:tcPr>
          <w:p w14:paraId="781F20D5">
            <w:pPr>
              <w:pStyle w:val="18"/>
              <w:rPr>
                <w:rFonts w:ascii="宋体" w:hAnsi="宋体" w:cs="宋体"/>
                <w:kern w:val="2"/>
                <w:sz w:val="21"/>
                <w:szCs w:val="21"/>
              </w:rPr>
            </w:pPr>
            <w:r>
              <w:rPr>
                <w:rFonts w:hint="eastAsia" w:ascii="宋体" w:hAnsi="宋体" w:cs="宋体"/>
                <w:kern w:val="2"/>
                <w:sz w:val="21"/>
                <w:szCs w:val="21"/>
              </w:rPr>
              <w:t>改为承包人应充分考虑并对本项目进行投保，如出现保险事故保险金不足以补偿损失的，应有承包人负责补偿。</w:t>
            </w:r>
          </w:p>
        </w:tc>
      </w:tr>
      <w:tr w14:paraId="3313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0" w:hRule="atLeast"/>
          <w:jc w:val="center"/>
        </w:trPr>
        <w:tc>
          <w:tcPr>
            <w:tcW w:w="828" w:type="dxa"/>
            <w:noWrap/>
            <w:vAlign w:val="center"/>
          </w:tcPr>
          <w:p w14:paraId="24D9E598">
            <w:pPr>
              <w:tabs>
                <w:tab w:val="left" w:pos="1080"/>
              </w:tabs>
              <w:jc w:val="center"/>
              <w:rPr>
                <w:rFonts w:ascii="宋体" w:hAnsi="宋体" w:cs="宋体"/>
                <w:szCs w:val="21"/>
              </w:rPr>
            </w:pPr>
            <w:r>
              <w:rPr>
                <w:rFonts w:hint="eastAsia" w:ascii="宋体" w:hAnsi="宋体" w:cs="宋体"/>
                <w:szCs w:val="21"/>
              </w:rPr>
              <w:t>29</w:t>
            </w:r>
          </w:p>
        </w:tc>
        <w:tc>
          <w:tcPr>
            <w:tcW w:w="1260" w:type="dxa"/>
            <w:noWrap/>
            <w:vAlign w:val="center"/>
          </w:tcPr>
          <w:p w14:paraId="01C54025">
            <w:pPr>
              <w:tabs>
                <w:tab w:val="left" w:pos="1080"/>
              </w:tabs>
              <w:jc w:val="center"/>
              <w:rPr>
                <w:rFonts w:ascii="宋体" w:hAnsi="宋体" w:cs="宋体"/>
                <w:szCs w:val="21"/>
              </w:rPr>
            </w:pPr>
            <w:r>
              <w:rPr>
                <w:rFonts w:hint="eastAsia" w:ascii="宋体" w:hAnsi="宋体" w:cs="宋体"/>
                <w:szCs w:val="21"/>
              </w:rPr>
              <w:t>24.1</w:t>
            </w:r>
          </w:p>
        </w:tc>
        <w:tc>
          <w:tcPr>
            <w:tcW w:w="7207" w:type="dxa"/>
            <w:noWrap/>
            <w:vAlign w:val="center"/>
          </w:tcPr>
          <w:p w14:paraId="273F62A2">
            <w:pPr>
              <w:tabs>
                <w:tab w:val="left" w:pos="1080"/>
              </w:tabs>
              <w:jc w:val="left"/>
              <w:rPr>
                <w:rFonts w:ascii="宋体" w:hAnsi="宋体" w:cs="宋体"/>
                <w:szCs w:val="21"/>
              </w:rPr>
            </w:pPr>
            <w:r>
              <w:rPr>
                <w:rFonts w:hint="eastAsia" w:ascii="宋体" w:hAnsi="宋体" w:cs="宋体"/>
                <w:szCs w:val="21"/>
              </w:rPr>
              <w:t>争议的最终解决方式：仲裁或诉讼</w:t>
            </w:r>
          </w:p>
          <w:p w14:paraId="211EBFE3">
            <w:pPr>
              <w:tabs>
                <w:tab w:val="left" w:pos="1080"/>
              </w:tabs>
              <w:jc w:val="left"/>
              <w:rPr>
                <w:rFonts w:ascii="宋体" w:hAnsi="宋体" w:cs="宋体"/>
                <w:szCs w:val="21"/>
              </w:rPr>
            </w:pPr>
            <w:r>
              <w:rPr>
                <w:rFonts w:hint="eastAsia" w:ascii="宋体" w:hAnsi="宋体" w:cs="宋体"/>
                <w:szCs w:val="21"/>
              </w:rPr>
              <w:t>如采用仲裁，仲裁委员会名称：桂林市仲裁委员会</w:t>
            </w:r>
          </w:p>
          <w:p w14:paraId="23D3F2E8">
            <w:pPr>
              <w:tabs>
                <w:tab w:val="left" w:pos="1080"/>
              </w:tabs>
              <w:jc w:val="left"/>
              <w:rPr>
                <w:rFonts w:ascii="宋体" w:hAnsi="宋体" w:cs="宋体"/>
                <w:szCs w:val="21"/>
              </w:rPr>
            </w:pPr>
            <w:r>
              <w:rPr>
                <w:rFonts w:hint="eastAsia" w:ascii="宋体" w:hAnsi="宋体" w:cs="宋体"/>
                <w:szCs w:val="21"/>
              </w:rPr>
              <w:t>如采用诉讼，向合同履行地桂林市人民法院起诉</w:t>
            </w:r>
          </w:p>
        </w:tc>
      </w:tr>
    </w:tbl>
    <w:p w14:paraId="45DA97A9">
      <w:pPr>
        <w:tabs>
          <w:tab w:val="left" w:pos="1080"/>
        </w:tabs>
        <w:spacing w:line="400" w:lineRule="exact"/>
        <w:ind w:firstLine="480"/>
        <w:rPr>
          <w:rFonts w:ascii="宋体" w:hAnsi="宋体" w:cs="宋体"/>
          <w:sz w:val="24"/>
        </w:rPr>
      </w:pPr>
    </w:p>
    <w:p w14:paraId="3FCF0535">
      <w:pPr>
        <w:jc w:val="center"/>
        <w:rPr>
          <w:b/>
          <w:bCs/>
          <w:szCs w:val="21"/>
        </w:rPr>
      </w:pPr>
      <w:r>
        <w:rPr>
          <w:rFonts w:hint="eastAsia"/>
        </w:rPr>
        <w:br w:type="page"/>
      </w:r>
      <w:bookmarkStart w:id="309" w:name="_bookmark259"/>
      <w:bookmarkEnd w:id="309"/>
      <w:bookmarkStart w:id="310" w:name="_Toc367270685"/>
      <w:bookmarkStart w:id="311" w:name="_Toc367271713"/>
    </w:p>
    <w:p w14:paraId="0035D96E">
      <w:pPr>
        <w:jc w:val="center"/>
        <w:rPr>
          <w:b/>
          <w:bCs/>
          <w:sz w:val="28"/>
          <w:szCs w:val="28"/>
        </w:rPr>
      </w:pPr>
      <w:r>
        <w:rPr>
          <w:rFonts w:hint="eastAsia"/>
          <w:b/>
          <w:bCs/>
          <w:sz w:val="28"/>
          <w:szCs w:val="28"/>
        </w:rPr>
        <w:t>项目专用合同条款</w:t>
      </w:r>
    </w:p>
    <w:p w14:paraId="258D1DDC">
      <w:pPr>
        <w:jc w:val="left"/>
        <w:rPr>
          <w:szCs w:val="21"/>
        </w:rPr>
      </w:pPr>
    </w:p>
    <w:p w14:paraId="1E6D8ED0">
      <w:pPr>
        <w:spacing w:line="460" w:lineRule="exact"/>
        <w:ind w:firstLine="420" w:firstLineChars="200"/>
        <w:jc w:val="left"/>
        <w:rPr>
          <w:rFonts w:ascii="宋体" w:hAnsi="宋体" w:cs="宋体"/>
          <w:szCs w:val="21"/>
        </w:rPr>
      </w:pPr>
      <w:r>
        <w:rPr>
          <w:rFonts w:hint="eastAsia" w:ascii="宋体" w:hAnsi="宋体" w:cs="宋体"/>
          <w:szCs w:val="21"/>
        </w:rPr>
        <w:t>说明：本部分所列的项目专用合同条款是对“通用合同条款”及“公路工程专用合同条款”进行补充、细化。</w:t>
      </w:r>
    </w:p>
    <w:p w14:paraId="34F40529">
      <w:pPr>
        <w:spacing w:line="460" w:lineRule="exact"/>
        <w:ind w:firstLine="422" w:firstLineChars="200"/>
        <w:jc w:val="left"/>
        <w:rPr>
          <w:rFonts w:ascii="宋体" w:hAnsi="宋体" w:cs="宋体"/>
          <w:b/>
          <w:bCs/>
          <w:szCs w:val="21"/>
        </w:rPr>
      </w:pPr>
      <w:bookmarkStart w:id="312" w:name="_bookmark260"/>
      <w:bookmarkEnd w:id="312"/>
      <w:r>
        <w:rPr>
          <w:rFonts w:hint="eastAsia" w:ascii="宋体" w:hAnsi="宋体" w:cs="宋体"/>
          <w:b/>
          <w:bCs/>
          <w:szCs w:val="21"/>
        </w:rPr>
        <w:t>4.1 承包人的一般义务</w:t>
      </w:r>
    </w:p>
    <w:p w14:paraId="2A0F0C51">
      <w:pPr>
        <w:spacing w:line="460" w:lineRule="exact"/>
        <w:ind w:firstLine="420" w:firstLineChars="200"/>
        <w:jc w:val="left"/>
        <w:rPr>
          <w:rFonts w:ascii="宋体" w:hAnsi="宋体" w:cs="宋体"/>
          <w:szCs w:val="21"/>
        </w:rPr>
      </w:pPr>
      <w:r>
        <w:rPr>
          <w:rFonts w:hint="eastAsia" w:ascii="宋体" w:hAnsi="宋体" w:cs="宋体"/>
          <w:szCs w:val="21"/>
        </w:rPr>
        <w:t>4.1.10 其他义务</w:t>
      </w:r>
    </w:p>
    <w:p w14:paraId="2668849D">
      <w:pPr>
        <w:spacing w:line="460" w:lineRule="exact"/>
        <w:ind w:firstLine="210" w:firstLineChars="100"/>
        <w:jc w:val="left"/>
        <w:rPr>
          <w:rFonts w:ascii="宋体" w:hAnsi="宋体" w:cs="宋体"/>
          <w:szCs w:val="21"/>
        </w:rPr>
      </w:pPr>
      <w:r>
        <w:rPr>
          <w:rFonts w:hint="eastAsia" w:ascii="宋体" w:hAnsi="宋体" w:cs="宋体"/>
          <w:szCs w:val="21"/>
        </w:rPr>
        <w:t>（6）承包人应履行项目专用合同条款约定的其他义务。增加内容：</w:t>
      </w:r>
    </w:p>
    <w:p w14:paraId="53189F43">
      <w:pPr>
        <w:spacing w:line="460" w:lineRule="exact"/>
        <w:ind w:firstLine="420" w:firstLineChars="200"/>
        <w:jc w:val="left"/>
        <w:rPr>
          <w:rFonts w:ascii="宋体" w:hAnsi="宋体" w:cs="宋体"/>
          <w:szCs w:val="21"/>
        </w:rPr>
      </w:pPr>
      <w:r>
        <w:rPr>
          <w:rFonts w:hint="eastAsia" w:ascii="宋体" w:hAnsi="宋体" w:cs="宋体"/>
          <w:szCs w:val="21"/>
        </w:rPr>
        <w:t>①增加内容：承包人必须按国家法规、合同约定做好对农民工的管理工作，并执行广西壮族自治区人民政府及广西壮族自治区交通运输厅等部门的相关要求。各投标人必须对农民工工资保障金的问题作出承诺，格式见第九章投标文件格式承诺函（二）。</w:t>
      </w:r>
    </w:p>
    <w:p w14:paraId="4B5BDA5C">
      <w:pPr>
        <w:spacing w:line="460" w:lineRule="exact"/>
        <w:ind w:firstLine="420" w:firstLineChars="200"/>
        <w:jc w:val="left"/>
        <w:rPr>
          <w:rFonts w:ascii="宋体" w:hAnsi="宋体" w:cs="宋体"/>
          <w:szCs w:val="21"/>
        </w:rPr>
      </w:pPr>
      <w:r>
        <w:rPr>
          <w:rFonts w:hint="eastAsia" w:ascii="宋体" w:hAnsi="宋体" w:cs="宋体"/>
          <w:szCs w:val="21"/>
        </w:rPr>
        <w:t>②承包人应履行的其他义务：承包人应加强质量、进度、安全生产、文明施工、环境保护、交通通畅、合同履行等管理。承包人还应承担并支付本合同工程所需的工程招标代理、工程结算审核和工程结算审计等所发生的相关费用。</w:t>
      </w:r>
    </w:p>
    <w:p w14:paraId="39D84963">
      <w:pPr>
        <w:spacing w:line="460" w:lineRule="exact"/>
        <w:ind w:firstLine="420" w:firstLineChars="200"/>
        <w:jc w:val="left"/>
        <w:rPr>
          <w:rFonts w:ascii="宋体" w:hAnsi="宋体" w:cs="宋体"/>
          <w:szCs w:val="21"/>
        </w:rPr>
      </w:pPr>
      <w:r>
        <w:rPr>
          <w:rFonts w:hint="eastAsia" w:ascii="宋体" w:hAnsi="宋体" w:cs="宋体"/>
          <w:szCs w:val="21"/>
        </w:rPr>
        <w:t>③依据《关于明确农民工工资保证金制度有关问题的通知》(桂新联发[2016]2号)要求，在签订合同后及项目开工前，承包人须在商业银行开设农民工工资保证金专用账户，预存工程中标价的2%作为农民工工资保证金。农民工工资保证金可采用资金预存方式或项目所在地商业银行出具的银行保函方式缴存，并到项目所在地人力资源社会保障局和建设项目主管部门备案。</w:t>
      </w:r>
    </w:p>
    <w:p w14:paraId="2553A68C">
      <w:pPr>
        <w:spacing w:line="460" w:lineRule="exact"/>
        <w:ind w:firstLine="420" w:firstLineChars="200"/>
        <w:jc w:val="left"/>
        <w:rPr>
          <w:rFonts w:ascii="宋体" w:hAnsi="宋体" w:cs="宋体"/>
          <w:szCs w:val="21"/>
        </w:rPr>
      </w:pPr>
      <w:r>
        <w:rPr>
          <w:rFonts w:hint="eastAsia" w:ascii="宋体" w:hAnsi="宋体" w:cs="宋体"/>
          <w:szCs w:val="21"/>
        </w:rPr>
        <w:t>④依据《广西壮族自治区工程建设领域工作工资支付专用账户管理办法》规定，承包人对建设项目中的工人工资和其他款项实行分开银行账户管理，在项目开工前，在商业银行设立工人工资支付专用账户用于支付工资，且在用工之日起15工作日内为每个工人确定有效工资个人账户。此外拨付的工程款中存入工人工资支付专用账户内的资金能足额支付工人工资，且除发放工人工资外，不得用于其他用途。工人工资支付专用账户开立后，及时向当地人力资源社会保障局和建设项目主管部门备案。</w:t>
      </w:r>
    </w:p>
    <w:p w14:paraId="30BA5638">
      <w:pPr>
        <w:spacing w:line="460" w:lineRule="exact"/>
        <w:ind w:firstLine="422" w:firstLineChars="200"/>
        <w:jc w:val="left"/>
        <w:rPr>
          <w:rFonts w:ascii="宋体" w:hAnsi="宋体" w:cs="宋体"/>
          <w:b/>
          <w:bCs/>
          <w:szCs w:val="21"/>
        </w:rPr>
      </w:pPr>
      <w:r>
        <w:rPr>
          <w:rFonts w:hint="eastAsia" w:ascii="宋体" w:hAnsi="宋体" w:cs="宋体"/>
          <w:b/>
          <w:bCs/>
          <w:szCs w:val="21"/>
        </w:rPr>
        <w:t>4.2 履约保证金</w:t>
      </w:r>
    </w:p>
    <w:p w14:paraId="1A3405B5">
      <w:pPr>
        <w:spacing w:line="460" w:lineRule="exact"/>
        <w:ind w:firstLine="210" w:firstLineChars="100"/>
        <w:jc w:val="left"/>
        <w:rPr>
          <w:rFonts w:ascii="宋体" w:hAnsi="宋体" w:cs="宋体"/>
          <w:szCs w:val="21"/>
        </w:rPr>
      </w:pPr>
      <w:r>
        <w:rPr>
          <w:rFonts w:hint="eastAsia" w:ascii="宋体" w:hAnsi="宋体" w:cs="宋体"/>
          <w:szCs w:val="21"/>
        </w:rPr>
        <w:t>（增加）本项目履约保证金的缴纳方式可采用银行保函、保险保函及现金方式缴纳。</w:t>
      </w:r>
    </w:p>
    <w:p w14:paraId="6A0DF575">
      <w:pPr>
        <w:spacing w:line="460" w:lineRule="exact"/>
        <w:ind w:firstLine="420" w:firstLineChars="200"/>
        <w:jc w:val="left"/>
        <w:rPr>
          <w:rFonts w:ascii="宋体" w:hAnsi="宋体" w:cs="宋体"/>
          <w:szCs w:val="21"/>
        </w:rPr>
      </w:pPr>
      <w:r>
        <w:rPr>
          <w:rFonts w:hint="eastAsia" w:ascii="宋体" w:hAnsi="宋体" w:cs="宋体"/>
          <w:szCs w:val="21"/>
        </w:rPr>
        <w:t>如采用银行保函或保险保函方式的，出具履约担保的银行（机构）级别应为供应商或项目所在地的市级支行（机构）。所需的费用由成交人承担，中标人应保证银行保函、保险保函有效。如采用现金方式交纳的，由中标供应商在领取成交通知书前将履约保证金以转账、电汇等非现金形式缴入指定账户。</w:t>
      </w:r>
    </w:p>
    <w:p w14:paraId="1A5BE167">
      <w:pPr>
        <w:spacing w:line="460" w:lineRule="exact"/>
        <w:ind w:firstLine="420" w:firstLineChars="200"/>
        <w:jc w:val="left"/>
        <w:rPr>
          <w:rFonts w:ascii="宋体" w:hAnsi="宋体" w:cs="宋体"/>
          <w:szCs w:val="21"/>
        </w:rPr>
      </w:pPr>
      <w:r>
        <w:rPr>
          <w:rFonts w:hint="eastAsia" w:ascii="宋体" w:hAnsi="宋体" w:cs="宋体"/>
          <w:szCs w:val="21"/>
        </w:rPr>
        <w:t>采用银行保函或保险保函时，应由符合投标人须知前附表规定级别的银行（或机构）开具，所需的费用由中标人承担，中标人应保证银行保函或保险保函有效。</w:t>
      </w:r>
    </w:p>
    <w:p w14:paraId="13A56C13">
      <w:pPr>
        <w:spacing w:line="460" w:lineRule="exact"/>
        <w:ind w:firstLine="422" w:firstLineChars="200"/>
        <w:rPr>
          <w:rFonts w:ascii="宋体" w:hAnsi="宋体" w:cs="宋体"/>
          <w:b/>
          <w:bCs/>
          <w:szCs w:val="21"/>
        </w:rPr>
      </w:pPr>
      <w:r>
        <w:rPr>
          <w:rFonts w:hint="eastAsia" w:ascii="宋体" w:hAnsi="宋体" w:cs="宋体"/>
          <w:b/>
          <w:bCs/>
          <w:szCs w:val="21"/>
        </w:rPr>
        <w:t>4.6 承包人人员的管理</w:t>
      </w:r>
    </w:p>
    <w:p w14:paraId="52CF6021">
      <w:pPr>
        <w:spacing w:line="460" w:lineRule="exact"/>
        <w:ind w:firstLine="210" w:firstLineChars="100"/>
        <w:rPr>
          <w:rFonts w:ascii="宋体" w:hAnsi="宋体" w:cs="宋体"/>
          <w:szCs w:val="21"/>
        </w:rPr>
      </w:pPr>
      <w:r>
        <w:rPr>
          <w:rFonts w:hint="eastAsia" w:ascii="宋体" w:hAnsi="宋体" w:cs="宋体"/>
          <w:szCs w:val="21"/>
        </w:rPr>
        <w:t>（增加）4.6.6 项目经理、总工每月驻现场的时间应不少于24天，因故需离开工地应得到业主、监理工程师的许可，否则将按第22.1款视为承包人违约。</w:t>
      </w:r>
    </w:p>
    <w:p w14:paraId="5643B1CF">
      <w:pPr>
        <w:spacing w:line="460" w:lineRule="exact"/>
        <w:ind w:firstLine="420" w:firstLineChars="200"/>
        <w:rPr>
          <w:rFonts w:ascii="宋体" w:hAnsi="宋体" w:cs="宋体"/>
          <w:szCs w:val="21"/>
        </w:rPr>
      </w:pPr>
      <w:r>
        <w:rPr>
          <w:rFonts w:hint="eastAsia" w:ascii="宋体" w:hAnsi="宋体" w:cs="宋体"/>
          <w:szCs w:val="21"/>
        </w:rPr>
        <w:t>承包人安排在施工场地的主要管理人员和技术骨干人员每月驻现场的时间应不少于24天，除非经业主、监理工程师同意，否则将按第22.1款视为承包人违约。</w:t>
      </w:r>
    </w:p>
    <w:p w14:paraId="22B2F925">
      <w:pPr>
        <w:spacing w:line="460" w:lineRule="exact"/>
        <w:ind w:firstLine="422" w:firstLineChars="200"/>
        <w:rPr>
          <w:rFonts w:ascii="宋体" w:hAnsi="宋体" w:cs="宋体"/>
          <w:b/>
          <w:bCs/>
          <w:szCs w:val="21"/>
        </w:rPr>
      </w:pPr>
      <w:r>
        <w:rPr>
          <w:rFonts w:hint="eastAsia" w:ascii="宋体" w:hAnsi="宋体" w:cs="宋体"/>
          <w:b/>
          <w:bCs/>
          <w:szCs w:val="21"/>
        </w:rPr>
        <w:t>4.9工程价款应专款专用</w:t>
      </w:r>
    </w:p>
    <w:p w14:paraId="4491A460">
      <w:pPr>
        <w:spacing w:line="460" w:lineRule="exact"/>
        <w:ind w:firstLine="420" w:firstLineChars="200"/>
        <w:rPr>
          <w:rFonts w:ascii="宋体" w:hAnsi="宋体" w:cs="宋体"/>
          <w:szCs w:val="21"/>
        </w:rPr>
      </w:pPr>
      <w:r>
        <w:rPr>
          <w:rFonts w:hint="eastAsia" w:ascii="宋体" w:hAnsi="宋体" w:cs="宋体"/>
          <w:szCs w:val="21"/>
        </w:rPr>
        <w:t>在原条款末增加：业主向承包人支付的预付款、工程进度款等为本工程的专款专用资金，承包人违反下述规定的，业主将中止其任何款项的支付。</w:t>
      </w:r>
    </w:p>
    <w:p w14:paraId="23B25E6E">
      <w:pPr>
        <w:spacing w:line="460" w:lineRule="exact"/>
        <w:ind w:firstLine="210" w:firstLineChars="100"/>
        <w:rPr>
          <w:rFonts w:ascii="宋体" w:hAnsi="宋体" w:cs="宋体"/>
          <w:szCs w:val="21"/>
        </w:rPr>
      </w:pPr>
      <w:bookmarkStart w:id="313" w:name="_Toc367602701"/>
      <w:r>
        <w:rPr>
          <w:rFonts w:hint="eastAsia" w:ascii="宋体" w:hAnsi="宋体" w:cs="宋体"/>
          <w:szCs w:val="21"/>
        </w:rPr>
        <w:t>（1）凡不在业主指定银行开户的承包人，业主将不对其支付任何款项。</w:t>
      </w:r>
    </w:p>
    <w:p w14:paraId="2A896CA1">
      <w:pPr>
        <w:spacing w:line="460" w:lineRule="exact"/>
        <w:ind w:firstLine="210" w:firstLineChars="100"/>
        <w:rPr>
          <w:rFonts w:ascii="宋体" w:hAnsi="宋体" w:cs="宋体"/>
          <w:szCs w:val="21"/>
        </w:rPr>
      </w:pPr>
      <w:r>
        <w:rPr>
          <w:rFonts w:hint="eastAsia" w:ascii="宋体" w:hAnsi="宋体" w:cs="宋体"/>
          <w:szCs w:val="21"/>
        </w:rPr>
        <w:t>（2）根据中国人民银行有关规定，每个承包人只能在一个银行开立一个结算账户，不允许多头开户。业主按合同条款规定对承包人支付的款项，只对合同规定的法人或者法人代表的授权代理人支付，不对其内部独立核算单位或经批准的分包人直接支付（合同有专项规定者除外）。</w:t>
      </w:r>
    </w:p>
    <w:p w14:paraId="507A2340">
      <w:pPr>
        <w:spacing w:line="460" w:lineRule="exact"/>
        <w:ind w:firstLine="210" w:firstLineChars="100"/>
        <w:rPr>
          <w:rFonts w:ascii="宋体" w:hAnsi="宋体" w:cs="宋体"/>
          <w:szCs w:val="21"/>
        </w:rPr>
      </w:pPr>
      <w:r>
        <w:rPr>
          <w:rFonts w:hint="eastAsia" w:ascii="宋体" w:hAnsi="宋体" w:cs="宋体"/>
          <w:szCs w:val="21"/>
        </w:rPr>
        <w:t>（3）在合同执行期间，业主或业主委托的公路审计部门有权不定期检查或审计承包人项目经理部的财务收支情况，承包人必须严格财经纪律，确保项目经理部的财务收支能客观、真实的反映工程实际成本，承包人及项目经理部必须接受业主或业主委托部门的监督和检查。</w:t>
      </w:r>
    </w:p>
    <w:p w14:paraId="2D5427AF">
      <w:pPr>
        <w:spacing w:line="460" w:lineRule="exact"/>
        <w:ind w:firstLine="210" w:firstLineChars="100"/>
        <w:rPr>
          <w:rFonts w:ascii="宋体" w:hAnsi="宋体" w:cs="宋体"/>
          <w:szCs w:val="21"/>
        </w:rPr>
      </w:pPr>
      <w:r>
        <w:rPr>
          <w:rFonts w:hint="eastAsia" w:ascii="宋体" w:hAnsi="宋体" w:cs="宋体"/>
          <w:szCs w:val="21"/>
        </w:rPr>
        <w:t>（4）在合同执行期间，承包人必须保证业主按合同规定支付的各项工程建设资金专款专用，</w:t>
      </w:r>
      <w:r>
        <w:rPr>
          <w:rFonts w:hint="eastAsia" w:ascii="宋体" w:hAnsi="宋体" w:cs="宋体"/>
          <w:szCs w:val="21"/>
          <w:lang w:val="zh-CN"/>
        </w:rPr>
        <w:t>承包人开设的项目专户实行承包人、业主、银行三方监督，签订三方协议，</w:t>
      </w:r>
      <w:r>
        <w:rPr>
          <w:rFonts w:hint="eastAsia" w:ascii="宋体" w:hAnsi="宋体" w:cs="宋体"/>
          <w:szCs w:val="21"/>
        </w:rPr>
        <w:t>不允许挪作它用或私自调走资金，承包人收到业主支付的款项后，必须优先支付工人特别是农民工的工资，其次是材料价款以及工程建设直接的成本。承包人凡是汇往其上级主管部门、基地或其所属的部门、单位的款项，不管其以任何理由、用途和采取何方式，都必须经业主批准。承包人按合同规定按期按质按量完成工程施工，并交工验收后，承包人结存的资金，任由承包人调度。</w:t>
      </w:r>
    </w:p>
    <w:p w14:paraId="731B90C1">
      <w:pPr>
        <w:spacing w:line="460" w:lineRule="exact"/>
        <w:ind w:firstLine="210" w:firstLineChars="100"/>
        <w:rPr>
          <w:rFonts w:ascii="宋体" w:hAnsi="宋体" w:cs="宋体"/>
          <w:szCs w:val="21"/>
        </w:rPr>
      </w:pPr>
      <w:r>
        <w:rPr>
          <w:rFonts w:hint="eastAsia" w:ascii="宋体" w:hAnsi="宋体" w:cs="宋体"/>
          <w:szCs w:val="21"/>
        </w:rPr>
        <w:t>（5）业主有权监督承包人对其雇员的工资发放，但并未因此免除承包人应负的按时足额支付农民工工资的责任。</w:t>
      </w:r>
    </w:p>
    <w:p w14:paraId="1EA0BF5D">
      <w:pPr>
        <w:spacing w:line="460" w:lineRule="exact"/>
        <w:ind w:firstLine="420" w:firstLineChars="200"/>
        <w:rPr>
          <w:rFonts w:ascii="宋体" w:hAnsi="宋体" w:cs="宋体"/>
          <w:szCs w:val="21"/>
        </w:rPr>
      </w:pPr>
      <w:r>
        <w:rPr>
          <w:rFonts w:hint="eastAsia" w:ascii="宋体" w:hAnsi="宋体" w:cs="宋体"/>
          <w:szCs w:val="21"/>
        </w:rPr>
        <w:t>工程通过交工验收后，由业主对承包人支付农民工工资等内容进行公示，公示期不少于30 天。 业主支付的计量支付款，承包人首先应支付民工工资，并做好记录备案。</w:t>
      </w:r>
    </w:p>
    <w:bookmarkEnd w:id="313"/>
    <w:p w14:paraId="5891D4D6">
      <w:pPr>
        <w:spacing w:line="460" w:lineRule="exact"/>
        <w:ind w:firstLine="422" w:firstLineChars="200"/>
        <w:rPr>
          <w:rFonts w:ascii="宋体" w:hAnsi="宋体" w:cs="宋体"/>
          <w:b/>
          <w:bCs/>
          <w:szCs w:val="21"/>
        </w:rPr>
      </w:pPr>
      <w:r>
        <w:rPr>
          <w:rFonts w:hint="eastAsia" w:ascii="宋体" w:hAnsi="宋体" w:cs="宋体"/>
          <w:b/>
          <w:bCs/>
          <w:szCs w:val="21"/>
        </w:rPr>
        <w:t>10.1 合同进度计划</w:t>
      </w:r>
    </w:p>
    <w:p w14:paraId="290AF028">
      <w:pPr>
        <w:spacing w:line="460" w:lineRule="exact"/>
        <w:ind w:firstLine="420" w:firstLineChars="200"/>
        <w:rPr>
          <w:rFonts w:ascii="宋体" w:hAnsi="宋体" w:cs="宋体"/>
          <w:szCs w:val="21"/>
        </w:rPr>
      </w:pPr>
      <w:r>
        <w:rPr>
          <w:rFonts w:hint="eastAsia" w:ascii="宋体" w:hAnsi="宋体" w:cs="宋体"/>
          <w:szCs w:val="21"/>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6B271CBB">
      <w:pPr>
        <w:spacing w:line="460" w:lineRule="exact"/>
        <w:ind w:left="479" w:leftChars="228"/>
        <w:rPr>
          <w:rFonts w:ascii="宋体" w:hAnsi="宋体" w:cs="宋体"/>
          <w:b/>
          <w:bCs/>
          <w:szCs w:val="21"/>
        </w:rPr>
      </w:pPr>
      <w:r>
        <w:rPr>
          <w:rFonts w:hint="eastAsia" w:ascii="宋体" w:hAnsi="宋体" w:cs="宋体"/>
          <w:b/>
          <w:bCs/>
          <w:szCs w:val="21"/>
        </w:rPr>
        <w:t>11.4 异常恶劣的气候条件</w:t>
      </w:r>
    </w:p>
    <w:p w14:paraId="247C39C2">
      <w:pPr>
        <w:spacing w:line="460" w:lineRule="exact"/>
        <w:ind w:firstLine="420" w:firstLineChars="200"/>
        <w:rPr>
          <w:rFonts w:ascii="宋体" w:hAnsi="宋体" w:cs="宋体"/>
          <w:szCs w:val="21"/>
        </w:rPr>
      </w:pPr>
      <w:bookmarkStart w:id="314" w:name="_Toc385244326"/>
      <w:r>
        <w:rPr>
          <w:rFonts w:hint="eastAsia" w:ascii="宋体" w:hAnsi="宋体" w:cs="宋体"/>
          <w:szCs w:val="21"/>
        </w:rPr>
        <w:t>异常恶劣的气候条件是指发生烈度7度以上(含7度)地震、龙卷风、工地受淹超过设计洪水水位以及不利的降水等引起的延误的情况。</w:t>
      </w:r>
    </w:p>
    <w:p w14:paraId="2B787D9A">
      <w:pPr>
        <w:spacing w:line="460" w:lineRule="exact"/>
        <w:ind w:firstLine="420" w:firstLineChars="200"/>
        <w:rPr>
          <w:rFonts w:ascii="宋体" w:hAnsi="宋体" w:cs="宋体"/>
          <w:szCs w:val="21"/>
        </w:rPr>
      </w:pPr>
      <w:r>
        <w:rPr>
          <w:rFonts w:hint="eastAsia" w:ascii="宋体" w:hAnsi="宋体" w:cs="宋体"/>
          <w:szCs w:val="21"/>
        </w:rPr>
        <w:t>本款补充：异常恶劣的气候条件，政府及有关部门预先有预报的，由于承包人没有应急措施或没有采取应急措施的，造成的损失和工期延误，由承包人负责。</w:t>
      </w:r>
    </w:p>
    <w:p w14:paraId="65E4FC00">
      <w:pPr>
        <w:spacing w:line="460" w:lineRule="exact"/>
        <w:ind w:left="479" w:leftChars="228"/>
        <w:rPr>
          <w:rFonts w:ascii="宋体" w:hAnsi="宋体" w:cs="宋体"/>
          <w:b/>
          <w:bCs/>
          <w:szCs w:val="21"/>
        </w:rPr>
      </w:pPr>
      <w:r>
        <w:rPr>
          <w:rFonts w:hint="eastAsia" w:ascii="宋体" w:hAnsi="宋体" w:cs="宋体"/>
          <w:b/>
          <w:bCs/>
          <w:szCs w:val="21"/>
        </w:rPr>
        <w:t>11.5 承包人的工期延误</w:t>
      </w:r>
    </w:p>
    <w:p w14:paraId="6332E04F">
      <w:pPr>
        <w:spacing w:line="460" w:lineRule="exact"/>
        <w:ind w:firstLine="420" w:firstLineChars="200"/>
        <w:rPr>
          <w:rFonts w:ascii="宋体" w:hAnsi="宋体" w:cs="宋体"/>
          <w:szCs w:val="21"/>
        </w:rPr>
      </w:pPr>
      <w:r>
        <w:rPr>
          <w:rFonts w:hint="eastAsia" w:ascii="宋体" w:hAnsi="宋体" w:cs="宋体"/>
          <w:szCs w:val="21"/>
        </w:rPr>
        <w:t>本款第（1）项补充：此外，发包人或监理人指令确认的关键分项工程按其属于施工组织设计中的关键线路进行考核。当监理人评估该关键分项工程实际已拖期，并已下达针对该分项工程的两次施工进度指令，在指令规定时间内，未能达到要求，即开始计算该分项工程的拖期损失赔偿金（分项工程拖期损失赔偿金=分项工程的合同金额×0.4‰/天×拖期天数）。除此之外，发包人同时还有权聘请其他承包人来完成，由此产生的所有费用由拖期的承包人承担。</w:t>
      </w:r>
    </w:p>
    <w:p w14:paraId="6E08DA74">
      <w:pPr>
        <w:spacing w:line="460" w:lineRule="exact"/>
        <w:ind w:left="479" w:leftChars="228"/>
        <w:rPr>
          <w:rFonts w:ascii="宋体" w:hAnsi="宋体" w:cs="宋体"/>
          <w:b/>
          <w:bCs/>
          <w:szCs w:val="21"/>
        </w:rPr>
      </w:pPr>
      <w:r>
        <w:rPr>
          <w:rFonts w:hint="eastAsia" w:ascii="宋体" w:hAnsi="宋体" w:cs="宋体"/>
          <w:b/>
          <w:bCs/>
          <w:szCs w:val="21"/>
        </w:rPr>
        <w:t>（增加）11.8 其它进度要求</w:t>
      </w:r>
      <w:bookmarkEnd w:id="314"/>
    </w:p>
    <w:p w14:paraId="41632C76">
      <w:pPr>
        <w:spacing w:line="460" w:lineRule="exact"/>
        <w:ind w:firstLine="420" w:firstLineChars="200"/>
        <w:rPr>
          <w:rFonts w:ascii="宋体" w:hAnsi="宋体" w:cs="宋体"/>
          <w:szCs w:val="21"/>
        </w:rPr>
      </w:pPr>
      <w:r>
        <w:rPr>
          <w:rFonts w:hint="eastAsia" w:ascii="宋体" w:hAnsi="宋体" w:cs="宋体"/>
          <w:szCs w:val="21"/>
        </w:rPr>
        <w:t>承包人应加强工程进度计划管理，努力实现均衡组织施工的目标。</w:t>
      </w:r>
    </w:p>
    <w:p w14:paraId="69DA815F">
      <w:pPr>
        <w:spacing w:line="460" w:lineRule="exact"/>
        <w:ind w:firstLine="420" w:firstLineChars="200"/>
        <w:rPr>
          <w:rFonts w:ascii="宋体" w:hAnsi="宋体" w:cs="宋体"/>
          <w:szCs w:val="21"/>
        </w:rPr>
      </w:pPr>
      <w:r>
        <w:rPr>
          <w:rFonts w:hint="eastAsia" w:ascii="宋体" w:hAnsi="宋体" w:cs="宋体"/>
          <w:szCs w:val="21"/>
        </w:rPr>
        <w:t>a.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1B85FD12">
      <w:pPr>
        <w:spacing w:line="460" w:lineRule="exact"/>
        <w:ind w:firstLine="420" w:firstLineChars="200"/>
        <w:rPr>
          <w:rFonts w:ascii="宋体" w:hAnsi="宋体" w:cs="宋体"/>
          <w:szCs w:val="21"/>
        </w:rPr>
      </w:pPr>
      <w:r>
        <w:rPr>
          <w:rFonts w:hint="eastAsia" w:ascii="宋体" w:hAnsi="宋体" w:cs="宋体"/>
          <w:szCs w:val="21"/>
        </w:rPr>
        <w:t>b.路面碎石材料的采备应与路基施工进度同步，以保证路面施工进度。</w:t>
      </w:r>
    </w:p>
    <w:p w14:paraId="5C7B6D45">
      <w:pPr>
        <w:spacing w:line="460" w:lineRule="exact"/>
        <w:ind w:firstLine="420" w:firstLineChars="200"/>
        <w:rPr>
          <w:rFonts w:ascii="宋体" w:hAnsi="宋体" w:cs="宋体"/>
          <w:szCs w:val="21"/>
        </w:rPr>
      </w:pPr>
      <w:r>
        <w:rPr>
          <w:rFonts w:hint="eastAsia" w:ascii="宋体" w:hAnsi="宋体" w:cs="宋体"/>
          <w:szCs w:val="21"/>
        </w:rPr>
        <w:t>c.桥梁、主要涵洞、高大支挡结构、旧路改建（破坏旧路路面）的路面等关键工程及分项应有独立详细的施工组织设计，并采取措施确保落实。</w:t>
      </w:r>
    </w:p>
    <w:p w14:paraId="329ED0D4">
      <w:pPr>
        <w:spacing w:line="460" w:lineRule="exact"/>
        <w:ind w:left="479" w:leftChars="228"/>
        <w:rPr>
          <w:rFonts w:ascii="宋体" w:hAnsi="宋体" w:cs="宋体"/>
          <w:b/>
          <w:bCs/>
          <w:szCs w:val="21"/>
        </w:rPr>
      </w:pPr>
      <w:r>
        <w:rPr>
          <w:rFonts w:hint="eastAsia" w:ascii="宋体" w:hAnsi="宋体" w:cs="宋体"/>
          <w:b/>
          <w:bCs/>
          <w:szCs w:val="21"/>
        </w:rPr>
        <w:t>13.3 承包人的质量检查</w:t>
      </w:r>
    </w:p>
    <w:p w14:paraId="50B7115A">
      <w:pPr>
        <w:spacing w:line="460" w:lineRule="exact"/>
        <w:ind w:firstLine="420" w:firstLineChars="200"/>
        <w:rPr>
          <w:rFonts w:ascii="宋体" w:hAnsi="宋体" w:cs="宋体"/>
          <w:szCs w:val="21"/>
        </w:rPr>
      </w:pPr>
      <w:r>
        <w:rPr>
          <w:rFonts w:hint="eastAsia" w:ascii="宋体" w:hAnsi="宋体" w:cs="宋体"/>
          <w:szCs w:val="21"/>
        </w:rPr>
        <w:t>增加内容：</w:t>
      </w:r>
    </w:p>
    <w:p w14:paraId="2CC45280">
      <w:pPr>
        <w:spacing w:line="460" w:lineRule="exact"/>
        <w:ind w:firstLine="420" w:firstLineChars="200"/>
        <w:rPr>
          <w:rFonts w:ascii="宋体" w:hAnsi="宋体" w:cs="宋体"/>
          <w:szCs w:val="21"/>
        </w:rPr>
      </w:pPr>
      <w:r>
        <w:rPr>
          <w:rFonts w:hint="eastAsia" w:ascii="宋体" w:hAnsi="宋体" w:cs="宋体"/>
          <w:szCs w:val="21"/>
        </w:rPr>
        <w:t>（1）落实质量责任制和质量保证体系</w:t>
      </w:r>
    </w:p>
    <w:p w14:paraId="4C322A24">
      <w:pPr>
        <w:spacing w:line="460" w:lineRule="exact"/>
        <w:ind w:firstLine="420" w:firstLineChars="200"/>
        <w:rPr>
          <w:rFonts w:ascii="宋体" w:hAnsi="宋体" w:cs="宋体"/>
          <w:szCs w:val="21"/>
        </w:rPr>
      </w:pPr>
      <w:r>
        <w:rPr>
          <w:rFonts w:hint="eastAsia" w:ascii="宋体" w:hAnsi="宋体" w:cs="宋体"/>
          <w:szCs w:val="21"/>
        </w:rPr>
        <w:t xml:space="preserve">分项施工现场应实行标示牌管理，写明作业内容、项目质量管理责任人（施工作业管理专业工程师、试验、测量、质检工程师、总工、项目经理及监理工程师及现场监理）和质量管理举报电话； </w:t>
      </w:r>
    </w:p>
    <w:p w14:paraId="5E0EA9DA">
      <w:pPr>
        <w:spacing w:line="460" w:lineRule="exact"/>
        <w:ind w:firstLine="210" w:firstLineChars="100"/>
        <w:rPr>
          <w:rFonts w:ascii="宋体" w:hAnsi="宋体" w:cs="宋体"/>
          <w:szCs w:val="21"/>
        </w:rPr>
      </w:pPr>
      <w:r>
        <w:rPr>
          <w:rFonts w:hint="eastAsia" w:ascii="宋体" w:hAnsi="宋体" w:cs="宋体"/>
          <w:szCs w:val="21"/>
        </w:rPr>
        <w:t>（2）认真执行三检制度：</w:t>
      </w:r>
    </w:p>
    <w:p w14:paraId="3885F730">
      <w:pPr>
        <w:spacing w:line="460" w:lineRule="exact"/>
        <w:ind w:firstLine="420" w:firstLineChars="200"/>
        <w:rPr>
          <w:rFonts w:ascii="宋体" w:hAnsi="宋体" w:cs="宋体"/>
          <w:szCs w:val="21"/>
        </w:rPr>
      </w:pPr>
      <w:r>
        <w:rPr>
          <w:rFonts w:hint="eastAsia" w:ascii="宋体" w:hAnsi="宋体" w:cs="宋体"/>
          <w:szCs w:val="21"/>
        </w:rPr>
        <w:t>施工作业管理的专业工程师在测量、试验工程师配合下完成施工自检并作施工记录（工艺及原材料使用等）；质检工程师在测量、试验工程师配合下加强中间质量检测，严格控制工序质量，及时完成工序、分项完工检验并提交质量检验记录，收集工序、分项资料与检验申请经项目总工签认后报送监理工程师。试验、测量工程师根据施工质检需要完成试验与测量作业并及时交检验结果报告专业工程师、质检工程师。为保证质量责任制的落实，必须做到“三个到位”、“三个同时”，即：质量管理人员到位，检测工具到位，记录表格到位；施工作业与专业工程师质量检查、检验同时，承包人质量检验工程师、监理的检验与施工作业同时，检查、检验与记录同时。</w:t>
      </w:r>
    </w:p>
    <w:p w14:paraId="750D0A93">
      <w:pPr>
        <w:spacing w:line="460" w:lineRule="exact"/>
        <w:ind w:firstLine="210" w:firstLineChars="100"/>
        <w:rPr>
          <w:rFonts w:ascii="宋体" w:hAnsi="宋体" w:cs="宋体"/>
          <w:szCs w:val="21"/>
        </w:rPr>
      </w:pPr>
      <w:r>
        <w:rPr>
          <w:rFonts w:hint="eastAsia" w:ascii="宋体" w:hAnsi="宋体" w:cs="宋体"/>
          <w:szCs w:val="21"/>
        </w:rPr>
        <w:t>（3）质量管理记录的原始记录包括作业记录、测量记录、试验记录、检验记录及验收记录，地基、基础、填挖交界碾压，墙台背回填等隐蔽工程应摄像或照相作为现场记录保存。</w:t>
      </w:r>
    </w:p>
    <w:p w14:paraId="32FBC94B">
      <w:pPr>
        <w:spacing w:line="460" w:lineRule="exact"/>
        <w:ind w:firstLine="210" w:firstLineChars="100"/>
        <w:rPr>
          <w:rFonts w:ascii="宋体" w:hAnsi="宋体" w:cs="宋体"/>
          <w:szCs w:val="21"/>
        </w:rPr>
      </w:pPr>
      <w:r>
        <w:rPr>
          <w:rFonts w:hint="eastAsia" w:ascii="宋体" w:hAnsi="宋体" w:cs="宋体"/>
          <w:szCs w:val="21"/>
        </w:rPr>
        <w:t>（4）加强对质量通病的预防与治理，减少工程质量隐患。</w:t>
      </w:r>
    </w:p>
    <w:p w14:paraId="30A6DA97">
      <w:pPr>
        <w:spacing w:line="460" w:lineRule="exact"/>
        <w:ind w:firstLine="210" w:firstLineChars="100"/>
        <w:rPr>
          <w:rFonts w:ascii="宋体" w:hAnsi="宋体" w:cs="宋体"/>
          <w:szCs w:val="21"/>
        </w:rPr>
      </w:pPr>
      <w:r>
        <w:rPr>
          <w:rFonts w:hint="eastAsia" w:ascii="宋体" w:hAnsi="宋体" w:cs="宋体"/>
          <w:szCs w:val="21"/>
        </w:rPr>
        <w:t>（5）质量管理目标：竣工验收质量合格。</w:t>
      </w:r>
    </w:p>
    <w:p w14:paraId="6A6F8775">
      <w:pPr>
        <w:spacing w:line="460" w:lineRule="exact"/>
        <w:ind w:firstLine="210" w:firstLineChars="100"/>
        <w:rPr>
          <w:rFonts w:ascii="宋体" w:hAnsi="宋体" w:cs="宋体"/>
          <w:szCs w:val="21"/>
        </w:rPr>
      </w:pPr>
      <w:r>
        <w:rPr>
          <w:rFonts w:hint="eastAsia" w:ascii="宋体" w:hAnsi="宋体" w:cs="宋体"/>
          <w:szCs w:val="21"/>
        </w:rPr>
        <w:t>（6）承包人应加强工程进度计划管理，努力实现均衡组织施工的目标。</w:t>
      </w:r>
    </w:p>
    <w:p w14:paraId="4CDA9DE9">
      <w:pPr>
        <w:spacing w:line="460" w:lineRule="exact"/>
        <w:ind w:firstLine="420" w:firstLineChars="200"/>
        <w:rPr>
          <w:rFonts w:ascii="宋体" w:hAnsi="宋体" w:cs="宋体"/>
          <w:szCs w:val="21"/>
        </w:rPr>
      </w:pPr>
      <w:r>
        <w:rPr>
          <w:rFonts w:hint="eastAsia" w:ascii="宋体" w:hAnsi="宋体" w:cs="宋体"/>
          <w:szCs w:val="21"/>
        </w:rPr>
        <w:t>a.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38FF721F">
      <w:pPr>
        <w:spacing w:line="460" w:lineRule="exact"/>
        <w:ind w:firstLine="420" w:firstLineChars="200"/>
        <w:rPr>
          <w:rFonts w:ascii="宋体" w:hAnsi="宋体" w:cs="宋体"/>
          <w:szCs w:val="21"/>
        </w:rPr>
      </w:pPr>
      <w:r>
        <w:rPr>
          <w:rFonts w:hint="eastAsia" w:ascii="宋体" w:hAnsi="宋体" w:cs="宋体"/>
          <w:szCs w:val="21"/>
        </w:rPr>
        <w:t>b.路面碎石材料的采备至少应与路基施工进度同步。</w:t>
      </w:r>
    </w:p>
    <w:p w14:paraId="708851CB">
      <w:pPr>
        <w:spacing w:line="460" w:lineRule="exact"/>
        <w:ind w:firstLine="420" w:firstLineChars="200"/>
        <w:rPr>
          <w:rFonts w:ascii="宋体" w:hAnsi="宋体" w:cs="宋体"/>
          <w:szCs w:val="21"/>
        </w:rPr>
      </w:pPr>
      <w:r>
        <w:rPr>
          <w:rFonts w:hint="eastAsia" w:ascii="宋体" w:hAnsi="宋体" w:cs="宋体"/>
          <w:szCs w:val="21"/>
        </w:rPr>
        <w:t>c.桥梁、主要涵洞、高大支挡结构、旧路改建（破坏旧路路面）的路面等关键工程及分项应有独立详细的施工组织设计，并采取措施确保落实。</w:t>
      </w:r>
    </w:p>
    <w:p w14:paraId="6222D8FA">
      <w:pPr>
        <w:spacing w:line="460" w:lineRule="exact"/>
        <w:ind w:firstLine="420" w:firstLineChars="200"/>
        <w:rPr>
          <w:rFonts w:ascii="宋体" w:hAnsi="宋体" w:cs="宋体"/>
          <w:szCs w:val="21"/>
        </w:rPr>
      </w:pPr>
      <w:r>
        <w:rPr>
          <w:rFonts w:hint="eastAsia" w:ascii="宋体" w:hAnsi="宋体" w:cs="宋体"/>
          <w:szCs w:val="21"/>
        </w:rPr>
        <w:t>(7) 承包人应加强文明施工，保障道路通畅的管理</w:t>
      </w:r>
    </w:p>
    <w:p w14:paraId="2E77F162">
      <w:pPr>
        <w:spacing w:line="460" w:lineRule="exact"/>
        <w:ind w:firstLine="420" w:firstLineChars="200"/>
        <w:rPr>
          <w:rFonts w:ascii="宋体" w:hAnsi="宋体" w:cs="宋体"/>
          <w:szCs w:val="21"/>
        </w:rPr>
      </w:pPr>
      <w:r>
        <w:rPr>
          <w:rFonts w:hint="eastAsia" w:ascii="宋体" w:hAnsi="宋体" w:cs="宋体"/>
          <w:szCs w:val="21"/>
        </w:rPr>
        <w:t>a.承包人在施工期内应按国家、交通主管部门与公路管理机构文明施工，保障畅通的有关规定组织施工，对出现的交通堵塞无条件地采取措施进行疏通。</w:t>
      </w:r>
    </w:p>
    <w:p w14:paraId="247FF33A">
      <w:pPr>
        <w:spacing w:line="460" w:lineRule="exact"/>
        <w:ind w:firstLine="420" w:firstLineChars="200"/>
        <w:rPr>
          <w:rFonts w:ascii="宋体" w:hAnsi="宋体" w:cs="宋体"/>
          <w:szCs w:val="21"/>
        </w:rPr>
      </w:pPr>
      <w:r>
        <w:rPr>
          <w:rFonts w:hint="eastAsia" w:ascii="宋体" w:hAnsi="宋体" w:cs="宋体"/>
          <w:szCs w:val="21"/>
        </w:rPr>
        <w:t>b.旧路改建工程项目</w:t>
      </w:r>
    </w:p>
    <w:p w14:paraId="00A2E79F">
      <w:pPr>
        <w:spacing w:line="460" w:lineRule="exact"/>
        <w:ind w:firstLine="420" w:firstLineChars="200"/>
        <w:rPr>
          <w:rFonts w:ascii="宋体" w:hAnsi="宋体" w:cs="宋体"/>
          <w:szCs w:val="21"/>
        </w:rPr>
      </w:pPr>
      <w:r>
        <w:rPr>
          <w:rFonts w:hint="eastAsia" w:ascii="宋体" w:hAnsi="宋体" w:cs="宋体"/>
          <w:szCs w:val="21"/>
        </w:rPr>
        <w:t>(i)破坏旧路必须作出交通维持与恢复路面通行条件方案并必须取得监理工程师与业主的批准，未经批准进行旧路开挖与填筑的，业主和监理工程师有权责令停工，并由承包人恢复原良好的通车条件，并需承担一切费用。</w:t>
      </w:r>
    </w:p>
    <w:p w14:paraId="44B0CB00">
      <w:pPr>
        <w:spacing w:line="460" w:lineRule="exact"/>
        <w:ind w:firstLine="420" w:firstLineChars="200"/>
        <w:rPr>
          <w:rFonts w:ascii="宋体" w:hAnsi="宋体" w:cs="宋体"/>
          <w:szCs w:val="21"/>
        </w:rPr>
      </w:pPr>
      <w:r>
        <w:rPr>
          <w:rFonts w:hint="eastAsia" w:ascii="宋体" w:hAnsi="宋体" w:cs="宋体"/>
          <w:szCs w:val="21"/>
        </w:rPr>
        <w:t>(ii)不得在道路上堆放材料或占道施工影响交通。</w:t>
      </w:r>
    </w:p>
    <w:p w14:paraId="01CC3B7D">
      <w:pPr>
        <w:spacing w:line="460" w:lineRule="exact"/>
        <w:ind w:firstLine="420" w:firstLineChars="200"/>
        <w:rPr>
          <w:rFonts w:ascii="宋体" w:hAnsi="宋体" w:cs="宋体"/>
          <w:szCs w:val="21"/>
        </w:rPr>
      </w:pPr>
      <w:r>
        <w:rPr>
          <w:rFonts w:hint="eastAsia" w:ascii="宋体" w:hAnsi="宋体" w:cs="宋体"/>
          <w:szCs w:val="21"/>
        </w:rPr>
        <w:t>路基、路面施工应避免出现晴天扬尘，雨天打滑影响安全与交通和影响群众生活、生产的现象。维持交通的路基施工应保证表面平整，保证通畅。</w:t>
      </w:r>
    </w:p>
    <w:p w14:paraId="5682DE91">
      <w:pPr>
        <w:spacing w:line="460" w:lineRule="exact"/>
        <w:ind w:firstLine="420" w:firstLineChars="200"/>
        <w:rPr>
          <w:rFonts w:ascii="宋体" w:hAnsi="宋体" w:cs="宋体"/>
          <w:szCs w:val="21"/>
        </w:rPr>
      </w:pPr>
      <w:r>
        <w:rPr>
          <w:rFonts w:hint="eastAsia" w:ascii="宋体" w:hAnsi="宋体" w:cs="宋体"/>
          <w:szCs w:val="21"/>
        </w:rPr>
        <w:t>(8) 承包人应自觉接受交通主管部门、质量监督单位、公路管理机构的监督，对指出的问题进行认真的整改，及时报告处理结果。</w:t>
      </w:r>
    </w:p>
    <w:p w14:paraId="142BE71D">
      <w:pPr>
        <w:spacing w:line="460" w:lineRule="exact"/>
        <w:ind w:firstLine="420" w:firstLineChars="200"/>
        <w:rPr>
          <w:rFonts w:ascii="宋体" w:hAnsi="宋体" w:cs="宋体"/>
          <w:szCs w:val="21"/>
        </w:rPr>
      </w:pPr>
      <w:r>
        <w:rPr>
          <w:rFonts w:hint="eastAsia" w:ascii="宋体" w:hAnsi="宋体" w:cs="宋体"/>
          <w:szCs w:val="21"/>
        </w:rPr>
        <w:t>在整个施工过程中，监理工程师、业主对承包人履行责任有权进行监督，并向承包人提出整改要求。承包人应认真履行责任，执行业主、监理工程师的指令，否则将按第22.1款视为承包人违约。</w:t>
      </w:r>
      <w:bookmarkStart w:id="315" w:name="_Toc385244329"/>
    </w:p>
    <w:p w14:paraId="7EB0BC74">
      <w:pPr>
        <w:spacing w:line="460" w:lineRule="exact"/>
        <w:ind w:firstLine="422" w:firstLineChars="200"/>
        <w:rPr>
          <w:rFonts w:ascii="宋体" w:hAnsi="宋体" w:cs="宋体"/>
          <w:b/>
          <w:bCs/>
          <w:szCs w:val="21"/>
        </w:rPr>
      </w:pPr>
      <w:r>
        <w:rPr>
          <w:rFonts w:hint="eastAsia" w:ascii="宋体" w:hAnsi="宋体" w:cs="宋体"/>
          <w:b/>
          <w:bCs/>
          <w:szCs w:val="21"/>
        </w:rPr>
        <w:t>13.5工程隐蔽部位覆盖前的检查</w:t>
      </w:r>
      <w:bookmarkEnd w:id="315"/>
    </w:p>
    <w:p w14:paraId="231BFC27">
      <w:pPr>
        <w:spacing w:line="460" w:lineRule="exact"/>
        <w:ind w:firstLine="210" w:firstLineChars="100"/>
        <w:rPr>
          <w:rFonts w:ascii="宋体" w:hAnsi="宋体" w:cs="宋体"/>
          <w:szCs w:val="21"/>
        </w:rPr>
      </w:pPr>
      <w:r>
        <w:rPr>
          <w:rFonts w:hint="eastAsia" w:ascii="宋体" w:hAnsi="宋体" w:cs="宋体"/>
          <w:szCs w:val="21"/>
        </w:rPr>
        <w:t>（增加）13.5.1项补充：</w:t>
      </w:r>
    </w:p>
    <w:p w14:paraId="0F7FEE7A">
      <w:pPr>
        <w:spacing w:line="460" w:lineRule="exact"/>
        <w:ind w:firstLine="420" w:firstLineChars="200"/>
        <w:rPr>
          <w:rFonts w:ascii="宋体" w:hAnsi="宋体" w:cs="宋体"/>
          <w:szCs w:val="21"/>
        </w:rPr>
      </w:pPr>
      <w:r>
        <w:rPr>
          <w:rFonts w:hint="eastAsia" w:ascii="宋体" w:hAnsi="宋体" w:cs="宋体"/>
          <w:szCs w:val="21"/>
        </w:rPr>
        <w:t>隐蔽部位覆盖前应经监理人检查确认,分阶段(工序)进行拍摄或照相,并向监理人提供相关影像相片等书面资料作为计量支付的依据，否则不应给予计量。</w:t>
      </w:r>
    </w:p>
    <w:p w14:paraId="0FC6809C">
      <w:pPr>
        <w:spacing w:line="460" w:lineRule="exact"/>
        <w:ind w:firstLine="422" w:firstLineChars="200"/>
        <w:rPr>
          <w:rFonts w:ascii="宋体" w:hAnsi="宋体" w:cs="宋体"/>
          <w:b/>
          <w:bCs/>
          <w:szCs w:val="21"/>
        </w:rPr>
      </w:pPr>
      <w:r>
        <w:rPr>
          <w:rFonts w:hint="eastAsia" w:ascii="宋体" w:hAnsi="宋体" w:cs="宋体"/>
          <w:b/>
          <w:bCs/>
          <w:szCs w:val="21"/>
        </w:rPr>
        <w:t>15.3 变更</w:t>
      </w:r>
    </w:p>
    <w:p w14:paraId="45138038">
      <w:pPr>
        <w:spacing w:line="460" w:lineRule="exact"/>
        <w:ind w:firstLine="210" w:firstLineChars="100"/>
        <w:rPr>
          <w:rFonts w:ascii="宋体" w:hAnsi="宋体" w:cs="宋体"/>
          <w:szCs w:val="21"/>
        </w:rPr>
      </w:pPr>
      <w:r>
        <w:rPr>
          <w:rFonts w:hint="eastAsia" w:ascii="宋体" w:hAnsi="宋体" w:cs="宋体"/>
          <w:szCs w:val="21"/>
        </w:rPr>
        <w:t xml:space="preserve">（增加）15.3.5 设计变更涉及到隐蔽工程的工程变更报告除附规定的相关资料外，还必须附上变更项目工程照片。 </w:t>
      </w:r>
    </w:p>
    <w:p w14:paraId="0DC69338">
      <w:pPr>
        <w:spacing w:line="460" w:lineRule="exact"/>
        <w:ind w:firstLine="422" w:firstLineChars="200"/>
        <w:rPr>
          <w:rFonts w:ascii="宋体" w:hAnsi="宋体" w:cs="宋体"/>
          <w:b/>
          <w:bCs/>
          <w:szCs w:val="21"/>
        </w:rPr>
      </w:pPr>
      <w:r>
        <w:rPr>
          <w:rFonts w:hint="eastAsia" w:ascii="宋体" w:hAnsi="宋体" w:cs="宋体"/>
          <w:b/>
          <w:bCs/>
          <w:szCs w:val="21"/>
        </w:rPr>
        <w:t>15.4 变更的估价原则</w:t>
      </w:r>
    </w:p>
    <w:p w14:paraId="014149B9">
      <w:pPr>
        <w:spacing w:line="460" w:lineRule="exact"/>
        <w:ind w:firstLine="420" w:firstLineChars="200"/>
        <w:rPr>
          <w:rFonts w:ascii="宋体" w:hAnsi="宋体" w:cs="宋体"/>
          <w:szCs w:val="21"/>
        </w:rPr>
      </w:pPr>
      <w:r>
        <w:rPr>
          <w:rFonts w:hint="eastAsia" w:ascii="宋体" w:hAnsi="宋体" w:cs="宋体"/>
          <w:szCs w:val="21"/>
        </w:rPr>
        <w:t>第15.4.3项、第15.4.4 项中确定单价的原则细化为：根据交通运输部《公路工程预算定额》及费率计算，其原材料价格按施工当期的当地工程造价信息的单价（没有信息价的按发包人及监理人联合调查的市场价），工程量按变更施工设计图纸计算。由承包人向监理人提出申请，经监理人审核后报业主审批，并按以下规定执行：单独计量的钢材、桥梁支座、土工格栅、锚杆等支付子目，批复单价按经监理人及发包人审核的预算按（1-中标价/招标控制价）计算，其他工程支付子目批复单价按经监理人及发包人审核的预算按（1-中标价/招标控制价）计算，具体参照发包人有关新增单价管理办法。</w:t>
      </w:r>
    </w:p>
    <w:p w14:paraId="31F83227">
      <w:pPr>
        <w:spacing w:line="460" w:lineRule="exact"/>
        <w:ind w:firstLine="422" w:firstLineChars="200"/>
        <w:rPr>
          <w:rFonts w:ascii="宋体" w:hAnsi="宋体" w:cs="宋体"/>
          <w:b/>
          <w:bCs/>
          <w:szCs w:val="21"/>
        </w:rPr>
      </w:pPr>
      <w:r>
        <w:rPr>
          <w:rFonts w:hint="eastAsia" w:ascii="宋体" w:hAnsi="宋体" w:cs="宋体"/>
          <w:b/>
          <w:bCs/>
          <w:szCs w:val="21"/>
        </w:rPr>
        <w:t>17.1计量</w:t>
      </w:r>
    </w:p>
    <w:p w14:paraId="4D09CECE">
      <w:pPr>
        <w:spacing w:line="460" w:lineRule="exact"/>
        <w:ind w:firstLine="420" w:firstLineChars="200"/>
        <w:rPr>
          <w:rFonts w:ascii="宋体" w:hAnsi="宋体" w:cs="宋体"/>
          <w:szCs w:val="21"/>
        </w:rPr>
      </w:pPr>
      <w:r>
        <w:rPr>
          <w:rFonts w:hint="eastAsia" w:ascii="宋体" w:hAnsi="宋体" w:cs="宋体"/>
          <w:szCs w:val="21"/>
        </w:rPr>
        <w:t>17.1.5 本项目工程量清单中总额价子目的支付原则和支付进度：</w:t>
      </w:r>
    </w:p>
    <w:p w14:paraId="2B687F5A">
      <w:pPr>
        <w:spacing w:line="460" w:lineRule="exact"/>
        <w:ind w:firstLine="422" w:firstLineChars="200"/>
        <w:rPr>
          <w:rFonts w:ascii="宋体" w:hAnsi="宋体" w:cs="宋体"/>
          <w:b/>
          <w:bCs/>
          <w:szCs w:val="21"/>
        </w:rPr>
      </w:pPr>
      <w:r>
        <w:rPr>
          <w:rFonts w:hint="eastAsia" w:ascii="宋体" w:hAnsi="宋体" w:cs="宋体"/>
          <w:b/>
          <w:bCs/>
          <w:szCs w:val="21"/>
        </w:rPr>
        <w:t>17.2预付款</w:t>
      </w:r>
    </w:p>
    <w:p w14:paraId="7A55971A">
      <w:pPr>
        <w:spacing w:line="460" w:lineRule="exact"/>
        <w:ind w:firstLine="420" w:firstLineChars="200"/>
        <w:rPr>
          <w:rFonts w:ascii="宋体" w:hAnsi="宋体" w:cs="宋体"/>
          <w:szCs w:val="21"/>
        </w:rPr>
      </w:pPr>
      <w:r>
        <w:rPr>
          <w:rFonts w:hint="eastAsia" w:ascii="宋体" w:hAnsi="宋体" w:cs="宋体"/>
          <w:szCs w:val="21"/>
        </w:rPr>
        <w:t>17.2.1开工预付款金额：</w:t>
      </w:r>
      <w:r>
        <w:rPr>
          <w:rFonts w:hint="eastAsia" w:ascii="宋体" w:hAnsi="宋体" w:cs="宋体"/>
        </w:rPr>
        <w:t>10 %签约合同价</w:t>
      </w:r>
      <w:r>
        <w:rPr>
          <w:rFonts w:hint="eastAsia" w:ascii="宋体" w:hAnsi="宋体" w:cs="宋体"/>
          <w:szCs w:val="21"/>
        </w:rPr>
        <w:t>。</w:t>
      </w:r>
    </w:p>
    <w:p w14:paraId="75AD7D41">
      <w:pPr>
        <w:spacing w:line="460" w:lineRule="exact"/>
        <w:ind w:firstLine="420" w:firstLineChars="200"/>
        <w:rPr>
          <w:rFonts w:ascii="宋体" w:hAnsi="宋体" w:cs="宋体"/>
          <w:szCs w:val="21"/>
        </w:rPr>
      </w:pPr>
      <w:r>
        <w:rPr>
          <w:rFonts w:hint="eastAsia" w:ascii="宋体" w:hAnsi="宋体" w:cs="宋体"/>
          <w:szCs w:val="21"/>
        </w:rPr>
        <w:t>1.如因工程变更需按《公路工程设计变更管理办法》（交通部令[2005]第5号）、《广西公路工程设计变更管理办法》（桂交基建发[2010]88号）以及桂林市等相关文件规定执行。工程价款送采购单位审核的，工程款支付顺延至审核通过后开始计算。</w:t>
      </w:r>
    </w:p>
    <w:p w14:paraId="004BB5F8">
      <w:pPr>
        <w:tabs>
          <w:tab w:val="left" w:pos="1565"/>
        </w:tabs>
        <w:spacing w:before="1" w:line="460" w:lineRule="exact"/>
        <w:ind w:firstLine="420" w:firstLineChars="200"/>
        <w:rPr>
          <w:rFonts w:ascii="宋体" w:hAnsi="宋体" w:cs="宋体"/>
          <w:szCs w:val="21"/>
        </w:rPr>
      </w:pPr>
      <w:r>
        <w:rPr>
          <w:rFonts w:hint="eastAsia" w:ascii="宋体" w:hAnsi="宋体" w:cs="宋体"/>
          <w:szCs w:val="21"/>
        </w:rPr>
        <w:t>17.2.2预付款的扣回与还清</w:t>
      </w:r>
    </w:p>
    <w:p w14:paraId="65170666">
      <w:pPr>
        <w:spacing w:before="93" w:line="460" w:lineRule="exact"/>
        <w:ind w:firstLine="420" w:firstLineChars="200"/>
        <w:rPr>
          <w:rFonts w:ascii="宋体" w:hAnsi="宋体" w:cs="宋体"/>
          <w:szCs w:val="21"/>
        </w:rPr>
      </w:pPr>
      <w:r>
        <w:rPr>
          <w:rFonts w:hint="eastAsia" w:ascii="宋体" w:hAnsi="宋体" w:cs="宋体"/>
          <w:szCs w:val="21"/>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14:paraId="5C1EA08F">
      <w:pPr>
        <w:spacing w:line="460" w:lineRule="exact"/>
        <w:ind w:firstLine="420" w:firstLineChars="200"/>
        <w:rPr>
          <w:rFonts w:ascii="宋体" w:hAnsi="宋体" w:cs="宋体"/>
        </w:rPr>
      </w:pPr>
      <w:r>
        <w:rPr>
          <w:rFonts w:hint="eastAsia" w:ascii="宋体" w:hAnsi="宋体" w:cs="宋体"/>
          <w:szCs w:val="21"/>
        </w:rPr>
        <w:t>（2）当材料、设备已用于或安装在永久工程之中时，材料、设备预付款应从进度付款证书中扣回，扣回期不超过3个月。已经支付材料、设备预付款的材料、设备的所有权</w:t>
      </w:r>
      <w:r>
        <w:rPr>
          <w:rFonts w:hint="eastAsia" w:ascii="宋体" w:hAnsi="宋体" w:cs="宋体"/>
        </w:rPr>
        <w:t>应属于发包人。</w:t>
      </w:r>
    </w:p>
    <w:p w14:paraId="449F1762">
      <w:pPr>
        <w:spacing w:line="460" w:lineRule="exact"/>
        <w:ind w:firstLine="422" w:firstLineChars="200"/>
        <w:rPr>
          <w:rFonts w:ascii="宋体" w:hAnsi="宋体" w:cs="宋体"/>
          <w:b/>
          <w:bCs/>
          <w:szCs w:val="21"/>
        </w:rPr>
      </w:pPr>
    </w:p>
    <w:p w14:paraId="75F2732D">
      <w:pPr>
        <w:spacing w:line="460" w:lineRule="exact"/>
        <w:ind w:firstLine="422" w:firstLineChars="200"/>
        <w:rPr>
          <w:rFonts w:ascii="宋体" w:hAnsi="宋体" w:cs="宋体"/>
          <w:b/>
          <w:bCs/>
          <w:szCs w:val="21"/>
        </w:rPr>
      </w:pPr>
      <w:r>
        <w:rPr>
          <w:rFonts w:hint="eastAsia" w:ascii="宋体" w:hAnsi="宋体" w:cs="宋体"/>
          <w:b/>
          <w:bCs/>
          <w:szCs w:val="21"/>
        </w:rPr>
        <w:t>18.9 竣工文件</w:t>
      </w:r>
    </w:p>
    <w:p w14:paraId="6727F712">
      <w:pPr>
        <w:spacing w:line="460" w:lineRule="exact"/>
        <w:ind w:firstLine="420" w:firstLineChars="200"/>
        <w:rPr>
          <w:rFonts w:ascii="宋体" w:hAnsi="宋体" w:cs="宋体"/>
          <w:szCs w:val="21"/>
        </w:rPr>
      </w:pPr>
      <w:r>
        <w:rPr>
          <w:rFonts w:hint="eastAsia" w:ascii="宋体" w:hAnsi="宋体" w:cs="宋体"/>
          <w:szCs w:val="21"/>
        </w:rPr>
        <w:t>工程竣工文件的立卷归档按交通部《公路工程竣工文件材料立卷归档管理办法》（交办发[2010]382号）和广西壮族自治区公路发展中心《广西公路网建设工程档案验收办法》执行。</w:t>
      </w:r>
    </w:p>
    <w:p w14:paraId="0B94D122">
      <w:pPr>
        <w:spacing w:line="460" w:lineRule="exact"/>
        <w:ind w:firstLine="422" w:firstLineChars="200"/>
        <w:rPr>
          <w:rFonts w:ascii="宋体" w:hAnsi="宋体" w:cs="宋体"/>
          <w:b/>
          <w:bCs/>
          <w:szCs w:val="21"/>
        </w:rPr>
      </w:pPr>
      <w:r>
        <w:rPr>
          <w:rFonts w:hint="eastAsia" w:ascii="宋体" w:hAnsi="宋体" w:cs="宋体"/>
          <w:b/>
          <w:bCs/>
          <w:szCs w:val="21"/>
        </w:rPr>
        <w:t>20.1 工程保险</w:t>
      </w:r>
    </w:p>
    <w:p w14:paraId="1B13AEDF">
      <w:pPr>
        <w:spacing w:line="460" w:lineRule="exact"/>
        <w:ind w:firstLine="420" w:firstLineChars="200"/>
        <w:rPr>
          <w:rFonts w:ascii="宋体" w:hAnsi="宋体" w:cs="宋体"/>
          <w:szCs w:val="21"/>
        </w:rPr>
      </w:pPr>
      <w:r>
        <w:rPr>
          <w:rFonts w:hint="eastAsia" w:ascii="宋体" w:hAnsi="宋体" w:cs="宋体"/>
          <w:szCs w:val="21"/>
        </w:rPr>
        <w:t>本款约定为： 建筑工程一切险的投保内容：为本合同工程的永久工程、临时工程和设备及已运至施工工地用于永久工程的材料和设备所投的保险。本项目取消建筑工程一切险。</w:t>
      </w:r>
    </w:p>
    <w:p w14:paraId="74F54FCA">
      <w:pPr>
        <w:spacing w:line="460" w:lineRule="exact"/>
        <w:ind w:firstLine="420" w:firstLineChars="200"/>
        <w:rPr>
          <w:rFonts w:ascii="宋体" w:hAnsi="宋体" w:cs="宋体"/>
          <w:szCs w:val="21"/>
        </w:rPr>
      </w:pPr>
      <w:r>
        <w:rPr>
          <w:rFonts w:hint="eastAsia" w:ascii="宋体" w:hAnsi="宋体" w:cs="宋体"/>
          <w:szCs w:val="21"/>
        </w:rPr>
        <w:t>保险金额：工程量清单第100章（不含安全生产责任险及第三者责任险的保险费）至第 700 章的合计金额。保险费率：在项目专用合同条款数据表中约定。</w:t>
      </w:r>
    </w:p>
    <w:p w14:paraId="4A5409B6">
      <w:pPr>
        <w:spacing w:line="460" w:lineRule="exact"/>
        <w:ind w:firstLine="420" w:firstLineChars="200"/>
        <w:rPr>
          <w:rFonts w:ascii="宋体" w:hAnsi="宋体" w:cs="宋体"/>
          <w:szCs w:val="21"/>
        </w:rPr>
      </w:pPr>
      <w:r>
        <w:rPr>
          <w:rFonts w:hint="eastAsia" w:ascii="宋体" w:hAnsi="宋体" w:cs="宋体"/>
          <w:szCs w:val="21"/>
        </w:rPr>
        <w:t>保险期限：开工日起直至本合同工程签发缺陷责任期终止证书止（即合同工期＋缺陷责任期）。承包人应以发包人和承包人的共同名义投保建筑工程一切险。建筑工程一切险的保险费由承包人根据相关要求进行报价，列入工程量清单第100章内。</w:t>
      </w:r>
    </w:p>
    <w:p w14:paraId="5EF60D53">
      <w:pPr>
        <w:spacing w:line="460" w:lineRule="exact"/>
        <w:ind w:firstLine="422" w:firstLineChars="200"/>
        <w:rPr>
          <w:rFonts w:ascii="宋体" w:hAnsi="宋体" w:cs="宋体"/>
          <w:b/>
          <w:bCs/>
          <w:szCs w:val="21"/>
        </w:rPr>
      </w:pPr>
      <w:bookmarkStart w:id="316" w:name="_bookmark241"/>
      <w:bookmarkEnd w:id="316"/>
      <w:r>
        <w:rPr>
          <w:rFonts w:hint="eastAsia" w:ascii="宋体" w:hAnsi="宋体" w:cs="宋体"/>
          <w:b/>
          <w:bCs/>
          <w:szCs w:val="21"/>
        </w:rPr>
        <w:t>20.2第三者责任险</w:t>
      </w:r>
    </w:p>
    <w:p w14:paraId="0A8C241F">
      <w:pPr>
        <w:spacing w:line="460" w:lineRule="exact"/>
        <w:ind w:firstLine="420" w:firstLineChars="200"/>
        <w:rPr>
          <w:rFonts w:ascii="宋体" w:hAnsi="宋体" w:cs="宋体"/>
          <w:szCs w:val="21"/>
        </w:rPr>
      </w:pPr>
      <w:r>
        <w:rPr>
          <w:rFonts w:hint="eastAsia" w:ascii="宋体" w:hAnsi="宋体" w:cs="宋体"/>
          <w:szCs w:val="21"/>
        </w:rPr>
        <w:t>第 20.4.2 项补充：</w:t>
      </w:r>
    </w:p>
    <w:p w14:paraId="0875D03E">
      <w:pPr>
        <w:spacing w:line="460" w:lineRule="exact"/>
        <w:ind w:firstLine="420" w:firstLineChars="200"/>
        <w:rPr>
          <w:rFonts w:ascii="宋体" w:hAnsi="宋体" w:cs="宋体"/>
          <w:szCs w:val="21"/>
        </w:rPr>
      </w:pPr>
      <w:r>
        <w:rPr>
          <w:rFonts w:hint="eastAsia" w:ascii="宋体" w:hAnsi="宋体" w:cs="宋体"/>
          <w:szCs w:val="21"/>
        </w:rPr>
        <w:t>第三者责任险的保险费由承包人报价时列入工程量清单第100章内。发包人在接到保险单后，将按照保险单的费用直接向承包人支付。</w:t>
      </w:r>
    </w:p>
    <w:p w14:paraId="76658AC2">
      <w:pPr>
        <w:spacing w:line="460" w:lineRule="exact"/>
        <w:ind w:firstLine="422" w:firstLineChars="200"/>
        <w:rPr>
          <w:rFonts w:ascii="宋体" w:hAnsi="宋体" w:cs="宋体"/>
          <w:b/>
          <w:bCs/>
          <w:szCs w:val="21"/>
        </w:rPr>
      </w:pPr>
      <w:bookmarkStart w:id="317" w:name="_bookmark242"/>
      <w:bookmarkEnd w:id="317"/>
      <w:r>
        <w:rPr>
          <w:rFonts w:hint="eastAsia" w:ascii="宋体" w:hAnsi="宋体" w:cs="宋体"/>
          <w:b/>
          <w:bCs/>
          <w:szCs w:val="21"/>
        </w:rPr>
        <w:t>20.3其他保险</w:t>
      </w:r>
    </w:p>
    <w:p w14:paraId="739DC2F1">
      <w:pPr>
        <w:spacing w:line="460" w:lineRule="exact"/>
        <w:ind w:firstLine="420" w:firstLineChars="200"/>
        <w:rPr>
          <w:rFonts w:ascii="宋体" w:hAnsi="宋体" w:cs="宋体"/>
          <w:szCs w:val="21"/>
        </w:rPr>
      </w:pPr>
      <w:r>
        <w:rPr>
          <w:rFonts w:hint="eastAsia" w:ascii="宋体" w:hAnsi="宋体" w:cs="宋体"/>
          <w:szCs w:val="21"/>
        </w:rPr>
        <w:t>本款约定为：承包人应为其施工设备等办理保险，其投保金额应足以现场重置。办理本款保险的一切费用均由承包人承担，并包括在工程量清单的单价及总额价中，发包人不单独支付。</w:t>
      </w:r>
    </w:p>
    <w:p w14:paraId="4406E5E5">
      <w:pPr>
        <w:spacing w:line="460" w:lineRule="exact"/>
        <w:ind w:firstLine="420" w:firstLineChars="200"/>
        <w:rPr>
          <w:rFonts w:ascii="宋体" w:hAnsi="宋体" w:cs="宋体"/>
          <w:szCs w:val="21"/>
        </w:rPr>
      </w:pPr>
      <w:r>
        <w:rPr>
          <w:rFonts w:hint="eastAsia" w:ascii="宋体" w:hAnsi="宋体" w:cs="宋体"/>
          <w:szCs w:val="21"/>
        </w:rPr>
        <w:t>施工合同签订后工程开工前15日，承包人必须按有关规定与保险公司签订人身意外伤害险和附加意外伤害医疗险以及其他需要投保的保险合同。</w:t>
      </w:r>
    </w:p>
    <w:p w14:paraId="78C371DF">
      <w:pPr>
        <w:spacing w:line="460" w:lineRule="exact"/>
        <w:ind w:firstLine="422" w:firstLineChars="200"/>
        <w:rPr>
          <w:rFonts w:ascii="宋体" w:hAnsi="宋体" w:cs="宋体"/>
          <w:b/>
          <w:bCs/>
          <w:szCs w:val="21"/>
          <w:lang w:val="zh-CN"/>
        </w:rPr>
      </w:pPr>
      <w:r>
        <w:rPr>
          <w:rFonts w:hint="eastAsia" w:ascii="宋体" w:hAnsi="宋体" w:cs="宋体"/>
          <w:b/>
          <w:bCs/>
          <w:szCs w:val="21"/>
          <w:lang w:val="zh-CN"/>
        </w:rPr>
        <w:t>20.</w:t>
      </w:r>
      <w:r>
        <w:rPr>
          <w:rFonts w:hint="eastAsia" w:ascii="宋体" w:hAnsi="宋体" w:cs="宋体"/>
          <w:b/>
          <w:bCs/>
          <w:szCs w:val="21"/>
        </w:rPr>
        <w:t xml:space="preserve">6.6 </w:t>
      </w:r>
      <w:r>
        <w:rPr>
          <w:rFonts w:hint="eastAsia" w:ascii="宋体" w:hAnsi="宋体" w:cs="宋体"/>
          <w:b/>
          <w:bCs/>
          <w:szCs w:val="21"/>
          <w:lang w:val="zh-CN"/>
        </w:rPr>
        <w:t>安全生产责任保险</w:t>
      </w:r>
    </w:p>
    <w:p w14:paraId="21C52307">
      <w:pPr>
        <w:spacing w:line="460" w:lineRule="exact"/>
        <w:ind w:firstLine="420" w:firstLineChars="200"/>
        <w:rPr>
          <w:rFonts w:ascii="宋体" w:hAnsi="宋体" w:cs="宋体"/>
          <w:szCs w:val="21"/>
        </w:rPr>
      </w:pPr>
      <w:r>
        <w:rPr>
          <w:rFonts w:hint="eastAsia" w:ascii="宋体" w:hAnsi="宋体" w:cs="宋体"/>
          <w:szCs w:val="21"/>
        </w:rPr>
        <w:t>承包人应根据《广西壮族自治区交通运输厅关于推进实施行业工程建设领域安全生产责任保险工作的通知》〈桂交安监函(2021)89号)要求购买安全生产责任保险。安全生产责任险的保险费（</w:t>
      </w:r>
      <w:r>
        <w:rPr>
          <w:rFonts w:hint="eastAsia" w:ascii="宋体" w:hAnsi="宋体" w:cs="宋体"/>
          <w:b/>
          <w:bCs/>
          <w:szCs w:val="21"/>
        </w:rPr>
        <w:t>按最高投标限价的0.3%）</w:t>
      </w:r>
      <w:r>
        <w:rPr>
          <w:rFonts w:hint="eastAsia" w:ascii="宋体" w:hAnsi="宋体" w:cs="宋体"/>
          <w:szCs w:val="21"/>
        </w:rPr>
        <w:t>列入工程量清单第100章内，不作为竞争性报价。发包人在接到保险单后，将按照保险单的费用直接向承包人支付。</w:t>
      </w:r>
    </w:p>
    <w:p w14:paraId="62B4F5D4">
      <w:pPr>
        <w:spacing w:line="460" w:lineRule="exact"/>
        <w:ind w:firstLine="422" w:firstLineChars="200"/>
        <w:rPr>
          <w:rFonts w:ascii="宋体" w:hAnsi="宋体" w:cs="宋体"/>
          <w:b/>
          <w:bCs/>
          <w:szCs w:val="21"/>
        </w:rPr>
      </w:pPr>
      <w:r>
        <w:rPr>
          <w:rFonts w:hint="eastAsia" w:ascii="宋体" w:hAnsi="宋体" w:cs="宋体"/>
          <w:b/>
          <w:bCs/>
          <w:szCs w:val="21"/>
        </w:rPr>
        <w:t>22.1 承包人违约</w:t>
      </w:r>
    </w:p>
    <w:p w14:paraId="333749A8">
      <w:pPr>
        <w:spacing w:line="460" w:lineRule="exact"/>
        <w:ind w:firstLine="420" w:firstLineChars="200"/>
        <w:rPr>
          <w:rFonts w:ascii="宋体" w:hAnsi="宋体" w:cs="宋体"/>
          <w:szCs w:val="21"/>
        </w:rPr>
      </w:pPr>
      <w:r>
        <w:rPr>
          <w:rFonts w:hint="eastAsia" w:ascii="宋体" w:hAnsi="宋体" w:cs="宋体"/>
          <w:szCs w:val="21"/>
        </w:rPr>
        <w:t>22.1.2 当承包人发生第22.1.1项约定的违约情况时，除按22.1.2对承包人违约进行处理外,发包人还将承包人的违约行为纳入信用评价，并有权向承包人课以违约金，具体约定如下：</w:t>
      </w:r>
    </w:p>
    <w:p w14:paraId="13423C76">
      <w:pPr>
        <w:spacing w:line="460" w:lineRule="exact"/>
        <w:ind w:firstLine="420" w:firstLineChars="200"/>
        <w:rPr>
          <w:rFonts w:ascii="宋体" w:hAnsi="宋体" w:cs="宋体"/>
          <w:szCs w:val="21"/>
        </w:rPr>
      </w:pPr>
      <w:r>
        <w:rPr>
          <w:rFonts w:hint="eastAsia" w:ascii="宋体" w:hAnsi="宋体" w:cs="宋体"/>
          <w:szCs w:val="21"/>
        </w:rPr>
        <w:t>增加以下条款：</w:t>
      </w:r>
    </w:p>
    <w:p w14:paraId="1683FB2B">
      <w:pPr>
        <w:spacing w:line="460" w:lineRule="exact"/>
        <w:ind w:firstLine="210" w:firstLineChars="100"/>
        <w:rPr>
          <w:rFonts w:ascii="宋体" w:hAnsi="宋体" w:cs="宋体"/>
          <w:szCs w:val="21"/>
        </w:rPr>
      </w:pPr>
      <w:r>
        <w:rPr>
          <w:rFonts w:hint="eastAsia" w:ascii="宋体" w:hAnsi="宋体" w:cs="宋体"/>
          <w:szCs w:val="21"/>
        </w:rPr>
        <w:t>（5）有以下行为的，可对承包人处以以下的违约金。</w:t>
      </w:r>
    </w:p>
    <w:p w14:paraId="7ED9CE7D">
      <w:pPr>
        <w:spacing w:line="460" w:lineRule="exact"/>
        <w:ind w:firstLine="420" w:firstLineChars="200"/>
        <w:rPr>
          <w:rFonts w:ascii="宋体" w:hAnsi="宋体" w:cs="宋体"/>
          <w:szCs w:val="21"/>
        </w:rPr>
      </w:pPr>
      <w:r>
        <w:rPr>
          <w:rFonts w:hint="eastAsia" w:ascii="宋体" w:hAnsi="宋体" w:cs="宋体"/>
          <w:szCs w:val="21"/>
        </w:rPr>
        <w:t>a.由于承包人没有履行合同规定的义务与责任，同类事件第一次被监理工程师、业主工作指令整改的处500元/次；第二次出现指令整改的处1000元/次；多次重复出现被责令整改的处2000元/次。</w:t>
      </w:r>
    </w:p>
    <w:p w14:paraId="3CC2C952">
      <w:pPr>
        <w:spacing w:line="460" w:lineRule="exact"/>
        <w:ind w:firstLine="420" w:firstLineChars="200"/>
        <w:rPr>
          <w:rFonts w:ascii="宋体" w:hAnsi="宋体" w:cs="宋体"/>
          <w:szCs w:val="21"/>
        </w:rPr>
      </w:pPr>
      <w:r>
        <w:rPr>
          <w:rFonts w:hint="eastAsia" w:ascii="宋体" w:hAnsi="宋体" w:cs="宋体"/>
          <w:szCs w:val="21"/>
        </w:rPr>
        <w:t>b.在指令规定时间内拒不整改的同一事件被第二次及以上责令整改的处2000元/次。</w:t>
      </w:r>
    </w:p>
    <w:p w14:paraId="61AB555D">
      <w:pPr>
        <w:spacing w:line="460" w:lineRule="exact"/>
        <w:ind w:firstLine="210" w:firstLineChars="100"/>
        <w:rPr>
          <w:rFonts w:ascii="宋体" w:hAnsi="宋体" w:cs="宋体"/>
          <w:szCs w:val="21"/>
        </w:rPr>
      </w:pPr>
      <w:r>
        <w:rPr>
          <w:rFonts w:hint="eastAsia" w:ascii="宋体" w:hAnsi="宋体" w:cs="宋体"/>
          <w:szCs w:val="21"/>
        </w:rPr>
        <w:t>（6）违反第22.1.1（1）条规定，发包人或监理人可以发出停工令，暂时停止全部或部份合同工程的施工，并可向承包人课以总额不超过50万元的违约金（视严重情况而定），情节特别严重的发包人有权解除合同，并向违约方追偿相关损失。违规分包的，发包人将驱逐分包人，并可对承包人课以总额不超过50万元的违约金，情况严重的，发包人有权解除合同。</w:t>
      </w:r>
    </w:p>
    <w:p w14:paraId="17FF7011">
      <w:pPr>
        <w:spacing w:line="460" w:lineRule="exact"/>
        <w:ind w:firstLine="210" w:firstLineChars="100"/>
        <w:rPr>
          <w:rFonts w:ascii="宋体" w:hAnsi="宋体" w:cs="宋体"/>
          <w:szCs w:val="21"/>
        </w:rPr>
      </w:pPr>
      <w:r>
        <w:rPr>
          <w:rFonts w:hint="eastAsia" w:ascii="宋体" w:hAnsi="宋体" w:cs="宋体"/>
          <w:szCs w:val="21"/>
        </w:rPr>
        <w:t>（7）违反第22.1.1（2）条规定，发包人可限期要求承包人补足，承包人拒不补足的，发包人可课以总额不超过20万元的违约金（视严重情况而定）。</w:t>
      </w:r>
    </w:p>
    <w:p w14:paraId="05D001FE">
      <w:pPr>
        <w:spacing w:line="460" w:lineRule="exact"/>
        <w:ind w:firstLine="210" w:firstLineChars="100"/>
        <w:rPr>
          <w:rFonts w:ascii="宋体" w:hAnsi="宋体" w:cs="宋体"/>
          <w:szCs w:val="21"/>
        </w:rPr>
      </w:pPr>
      <w:r>
        <w:rPr>
          <w:rFonts w:hint="eastAsia" w:ascii="宋体" w:hAnsi="宋体" w:cs="宋体"/>
          <w:szCs w:val="21"/>
        </w:rPr>
        <w:t>（8）违反第22.1.1（3）条规定，发包人将另行委托清除不合格工程，所发生费用由承包人承担，并可课以总额不超过20万元的违约金（视严重情况而定）。</w:t>
      </w:r>
    </w:p>
    <w:p w14:paraId="3FD518B3">
      <w:pPr>
        <w:spacing w:line="460" w:lineRule="exact"/>
        <w:ind w:firstLine="210" w:firstLineChars="100"/>
        <w:rPr>
          <w:rFonts w:ascii="宋体" w:hAnsi="宋体" w:cs="宋体"/>
          <w:szCs w:val="21"/>
        </w:rPr>
      </w:pPr>
      <w:r>
        <w:rPr>
          <w:rFonts w:hint="eastAsia" w:ascii="宋体" w:hAnsi="宋体" w:cs="宋体"/>
          <w:szCs w:val="21"/>
        </w:rPr>
        <w:t>（9）违反第22.1.1（4）条规定，承包人必须采取令发包人满意的措施进行弥补，使之满足工期要求，承包人未采取措施或采取措施不能满足要求的，发包人按规定课以相关逾期违约金。</w:t>
      </w:r>
    </w:p>
    <w:p w14:paraId="1D279A51">
      <w:pPr>
        <w:spacing w:line="460" w:lineRule="exact"/>
        <w:ind w:firstLine="210" w:firstLineChars="100"/>
        <w:rPr>
          <w:rFonts w:ascii="宋体" w:hAnsi="宋体" w:cs="宋体"/>
          <w:szCs w:val="21"/>
        </w:rPr>
      </w:pPr>
      <w:r>
        <w:rPr>
          <w:rFonts w:hint="eastAsia" w:ascii="宋体" w:hAnsi="宋体" w:cs="宋体"/>
          <w:szCs w:val="21"/>
        </w:rPr>
        <w:t>（10）违反第22.1.1（5）条规定，发包人可课以总额不超过30万元的违约金（视严重情况而定）。</w:t>
      </w:r>
    </w:p>
    <w:p w14:paraId="745A3967">
      <w:pPr>
        <w:spacing w:line="460" w:lineRule="exact"/>
        <w:ind w:firstLine="210" w:firstLineChars="100"/>
        <w:rPr>
          <w:rFonts w:ascii="宋体" w:hAnsi="宋体" w:cs="宋体"/>
          <w:szCs w:val="21"/>
        </w:rPr>
      </w:pPr>
      <w:r>
        <w:rPr>
          <w:rFonts w:hint="eastAsia" w:ascii="宋体" w:hAnsi="宋体" w:cs="宋体"/>
          <w:szCs w:val="21"/>
        </w:rPr>
        <w:t>（11）有22.1.1.（7）款行为的，可对承包人处以以下的违约金。</w:t>
      </w:r>
    </w:p>
    <w:p w14:paraId="72D402BF">
      <w:pPr>
        <w:spacing w:line="460" w:lineRule="exact"/>
        <w:ind w:firstLine="420" w:firstLineChars="200"/>
        <w:rPr>
          <w:rFonts w:ascii="宋体" w:hAnsi="宋体" w:cs="宋体"/>
          <w:szCs w:val="21"/>
        </w:rPr>
      </w:pPr>
      <w:r>
        <w:rPr>
          <w:rFonts w:hint="eastAsia" w:ascii="宋体" w:hAnsi="宋体" w:cs="宋体"/>
          <w:szCs w:val="21"/>
        </w:rPr>
        <w:t>a.可以向承包人课以1500元/天的开工延期损失偿金，情节严重，发包人可以终止对承包人的雇用，也可将本合同工程中的一部分工作给其它承包人或指定分包人完成。此外，承包人未能按批准的施工组织计划要求完成关键进度节点工作的，发包人有权按未完成关键进度节点的次数课以违约金，具体实施办法将于合同实施时制定。</w:t>
      </w:r>
    </w:p>
    <w:p w14:paraId="7AD68365">
      <w:pPr>
        <w:spacing w:line="460" w:lineRule="exact"/>
        <w:ind w:firstLine="420" w:firstLineChars="200"/>
        <w:rPr>
          <w:rFonts w:ascii="宋体" w:hAnsi="宋体" w:cs="宋体"/>
          <w:szCs w:val="21"/>
        </w:rPr>
      </w:pPr>
      <w:r>
        <w:rPr>
          <w:rFonts w:hint="eastAsia" w:ascii="宋体" w:hAnsi="宋体" w:cs="宋体"/>
          <w:szCs w:val="21"/>
        </w:rPr>
        <w:t>b.路面碎石材料采备没有达到计划进度，按月检查处1500元/月。</w:t>
      </w:r>
    </w:p>
    <w:p w14:paraId="006FA501">
      <w:pPr>
        <w:spacing w:line="460" w:lineRule="exact"/>
        <w:ind w:firstLine="420" w:firstLineChars="200"/>
        <w:rPr>
          <w:rFonts w:ascii="宋体" w:hAnsi="宋体" w:cs="宋体"/>
          <w:szCs w:val="21"/>
        </w:rPr>
      </w:pPr>
      <w:r>
        <w:rPr>
          <w:rFonts w:hint="eastAsia" w:ascii="宋体" w:hAnsi="宋体" w:cs="宋体"/>
          <w:szCs w:val="21"/>
        </w:rPr>
        <w:t>c.未按均衡组织施工要求组织施工的，处每项100元/月次。</w:t>
      </w:r>
    </w:p>
    <w:p w14:paraId="6A5E6625">
      <w:pPr>
        <w:spacing w:line="460" w:lineRule="exact"/>
        <w:ind w:firstLine="211" w:firstLineChars="100"/>
        <w:rPr>
          <w:rFonts w:ascii="宋体" w:hAnsi="宋体" w:cs="宋体"/>
          <w:b/>
          <w:bCs/>
          <w:szCs w:val="21"/>
        </w:rPr>
      </w:pPr>
      <w:r>
        <w:rPr>
          <w:rFonts w:hint="eastAsia" w:ascii="宋体" w:hAnsi="宋体" w:cs="宋体"/>
          <w:b/>
          <w:bCs/>
          <w:szCs w:val="21"/>
        </w:rPr>
        <w:t>（10）有22.1.1.（8）款行为或以下行为的，视为承包人违约，可对承包人处以下的违约金。</w:t>
      </w:r>
    </w:p>
    <w:p w14:paraId="2907DD55">
      <w:pPr>
        <w:spacing w:line="460" w:lineRule="exact"/>
        <w:ind w:firstLine="420" w:firstLineChars="200"/>
        <w:rPr>
          <w:rFonts w:ascii="宋体" w:hAnsi="宋体" w:cs="宋体"/>
          <w:szCs w:val="21"/>
        </w:rPr>
      </w:pPr>
      <w:r>
        <w:rPr>
          <w:rFonts w:hint="eastAsia" w:ascii="宋体" w:hAnsi="宋体" w:cs="宋体"/>
          <w:szCs w:val="21"/>
        </w:rPr>
        <w:t>a.中标及合同签订后，违反第22.1.1（8）项规定，承包人更换项目主要管理人员的（经发包人同意的除外），</w:t>
      </w:r>
      <w:r>
        <w:rPr>
          <w:rFonts w:hint="eastAsia" w:ascii="宋体" w:hAnsi="宋体" w:cs="宋体"/>
          <w:szCs w:val="21"/>
          <w:highlight w:val="red"/>
        </w:rPr>
        <w:t>发包人可以违约金额为项目经理50000元/人，总工50000元/人</w:t>
      </w:r>
      <w:r>
        <w:rPr>
          <w:rFonts w:hint="eastAsia" w:ascii="宋体" w:hAnsi="宋体" w:cs="宋体"/>
          <w:szCs w:val="21"/>
        </w:rPr>
        <w:t>，其他主要技术管理人员1000元/人。合同中列明的项目经理和项目总工驻现场的时间每月应不少于22天，经监理人批准并获发包人同意的除外，项目经理或项目总工每人每缺勤10天，承包人应向发包人支付违约金1000元/人•天；除经理总工以外的其他主要技术管理人员每人每缺勤10天，承包人应向发包人支付违约金500元/人•天。同时，发包人有权拒绝出具对承包人人员的资历等相关证明。</w:t>
      </w:r>
    </w:p>
    <w:p w14:paraId="3EAC02A1">
      <w:pPr>
        <w:spacing w:line="460" w:lineRule="exact"/>
        <w:ind w:firstLine="420" w:firstLineChars="200"/>
        <w:rPr>
          <w:rFonts w:ascii="宋体" w:hAnsi="宋体" w:cs="宋体"/>
          <w:szCs w:val="21"/>
        </w:rPr>
      </w:pPr>
      <w:r>
        <w:rPr>
          <w:rFonts w:hint="eastAsia" w:ascii="宋体" w:hAnsi="宋体" w:cs="宋体"/>
          <w:szCs w:val="21"/>
        </w:rPr>
        <w:t>b.未经请假准允离开工地，经理、总工处1000元/人日，其他主要人员处500元/人日。</w:t>
      </w:r>
    </w:p>
    <w:p w14:paraId="10C6808B">
      <w:pPr>
        <w:spacing w:line="460" w:lineRule="exact"/>
        <w:ind w:firstLine="420" w:firstLineChars="200"/>
        <w:rPr>
          <w:rFonts w:ascii="宋体" w:hAnsi="宋体" w:cs="宋体"/>
          <w:szCs w:val="21"/>
        </w:rPr>
      </w:pPr>
      <w:r>
        <w:rPr>
          <w:rFonts w:hint="eastAsia" w:ascii="宋体" w:hAnsi="宋体" w:cs="宋体"/>
          <w:szCs w:val="21"/>
        </w:rPr>
        <w:t>c.主要设备没有按承诺进场的处500元台/日。</w:t>
      </w:r>
    </w:p>
    <w:p w14:paraId="23C7FD86">
      <w:pPr>
        <w:spacing w:line="460" w:lineRule="exact"/>
        <w:ind w:firstLine="211" w:firstLineChars="100"/>
        <w:rPr>
          <w:rFonts w:ascii="宋体" w:hAnsi="宋体" w:cs="宋体"/>
          <w:b/>
          <w:bCs/>
          <w:szCs w:val="21"/>
        </w:rPr>
      </w:pPr>
      <w:r>
        <w:rPr>
          <w:rFonts w:hint="eastAsia" w:ascii="宋体" w:hAnsi="宋体" w:cs="宋体"/>
          <w:b/>
          <w:bCs/>
          <w:szCs w:val="21"/>
        </w:rPr>
        <w:t>（11）有以下情形的，可对承包人处以违约金。</w:t>
      </w:r>
    </w:p>
    <w:p w14:paraId="116D3DC8">
      <w:pPr>
        <w:spacing w:line="460" w:lineRule="exact"/>
        <w:ind w:firstLine="420" w:firstLineChars="200"/>
        <w:rPr>
          <w:rFonts w:ascii="宋体" w:hAnsi="宋体" w:cs="宋体"/>
          <w:szCs w:val="21"/>
        </w:rPr>
      </w:pPr>
      <w:r>
        <w:rPr>
          <w:rFonts w:hint="eastAsia" w:ascii="宋体" w:hAnsi="宋体" w:cs="宋体"/>
          <w:szCs w:val="21"/>
        </w:rPr>
        <w:t>a.质量管理</w:t>
      </w:r>
    </w:p>
    <w:p w14:paraId="462BA6B8">
      <w:pPr>
        <w:spacing w:line="460" w:lineRule="exact"/>
        <w:ind w:firstLine="420" w:firstLineChars="200"/>
        <w:rPr>
          <w:rFonts w:ascii="宋体" w:hAnsi="宋体" w:cs="宋体"/>
          <w:szCs w:val="21"/>
        </w:rPr>
      </w:pPr>
      <w:r>
        <w:rPr>
          <w:rFonts w:hint="eastAsia" w:ascii="宋体" w:hAnsi="宋体" w:cs="宋体"/>
          <w:szCs w:val="21"/>
        </w:rPr>
        <w:t>(a)出现下列行为之一可处200元/（人）次。</w:t>
      </w:r>
    </w:p>
    <w:p w14:paraId="292B3B86">
      <w:pPr>
        <w:spacing w:line="460" w:lineRule="exact"/>
        <w:ind w:firstLine="420" w:firstLineChars="200"/>
        <w:rPr>
          <w:rFonts w:ascii="宋体" w:hAnsi="宋体" w:cs="宋体"/>
          <w:szCs w:val="21"/>
        </w:rPr>
      </w:pPr>
      <w:r>
        <w:rPr>
          <w:rFonts w:hint="eastAsia" w:ascii="宋体" w:hAnsi="宋体" w:cs="宋体"/>
          <w:szCs w:val="21"/>
        </w:rPr>
        <w:t>Ⅰ 分项工程施工现场无合格的施工责任牌；或</w:t>
      </w:r>
    </w:p>
    <w:p w14:paraId="31B1EA44">
      <w:pPr>
        <w:spacing w:line="460" w:lineRule="exact"/>
        <w:ind w:firstLine="420" w:firstLineChars="200"/>
        <w:rPr>
          <w:rFonts w:ascii="宋体" w:hAnsi="宋体" w:cs="宋体"/>
          <w:szCs w:val="21"/>
        </w:rPr>
      </w:pPr>
      <w:r>
        <w:rPr>
          <w:rFonts w:hint="eastAsia" w:ascii="宋体" w:hAnsi="宋体" w:cs="宋体"/>
          <w:szCs w:val="21"/>
        </w:rPr>
        <w:t>Ⅱ 分项工程施工现场无其相关责任人；或</w:t>
      </w:r>
    </w:p>
    <w:p w14:paraId="4B808F12">
      <w:pPr>
        <w:spacing w:line="460" w:lineRule="exact"/>
        <w:ind w:firstLine="420" w:firstLineChars="200"/>
        <w:rPr>
          <w:rFonts w:ascii="宋体" w:hAnsi="宋体" w:cs="宋体"/>
          <w:szCs w:val="21"/>
        </w:rPr>
      </w:pPr>
      <w:r>
        <w:rPr>
          <w:rFonts w:hint="eastAsia" w:ascii="宋体" w:hAnsi="宋体" w:cs="宋体"/>
          <w:szCs w:val="21"/>
        </w:rPr>
        <w:t>Ⅲ 施工现场无基本的检测检验工具；或</w:t>
      </w:r>
    </w:p>
    <w:p w14:paraId="7DA08679">
      <w:pPr>
        <w:spacing w:line="460" w:lineRule="exact"/>
        <w:ind w:firstLine="420" w:firstLineChars="200"/>
        <w:rPr>
          <w:rFonts w:ascii="宋体" w:hAnsi="宋体" w:cs="宋体"/>
          <w:szCs w:val="21"/>
        </w:rPr>
      </w:pPr>
      <w:r>
        <w:rPr>
          <w:rFonts w:hint="eastAsia" w:ascii="宋体" w:hAnsi="宋体" w:cs="宋体"/>
          <w:szCs w:val="21"/>
        </w:rPr>
        <w:t>Ⅳ 施工现场相关责任人无检查检验记录表；或</w:t>
      </w:r>
    </w:p>
    <w:p w14:paraId="3D50608D">
      <w:pPr>
        <w:spacing w:line="460" w:lineRule="exact"/>
        <w:ind w:firstLine="420" w:firstLineChars="200"/>
        <w:rPr>
          <w:rFonts w:ascii="宋体" w:hAnsi="宋体" w:cs="宋体"/>
          <w:szCs w:val="21"/>
        </w:rPr>
      </w:pPr>
      <w:r>
        <w:rPr>
          <w:rFonts w:hint="eastAsia" w:ascii="宋体" w:hAnsi="宋体" w:cs="宋体"/>
          <w:szCs w:val="21"/>
        </w:rPr>
        <w:t>Ⅴ 现场已完成工作无检查记录。</w:t>
      </w:r>
    </w:p>
    <w:p w14:paraId="24832FA0">
      <w:pPr>
        <w:spacing w:line="460" w:lineRule="exact"/>
        <w:ind w:firstLine="420" w:firstLineChars="200"/>
        <w:rPr>
          <w:rFonts w:ascii="宋体" w:hAnsi="宋体" w:cs="宋体"/>
          <w:szCs w:val="21"/>
        </w:rPr>
      </w:pPr>
      <w:r>
        <w:rPr>
          <w:rFonts w:hint="eastAsia" w:ascii="宋体" w:hAnsi="宋体" w:cs="宋体"/>
          <w:szCs w:val="21"/>
        </w:rPr>
        <w:t>（b）出现以下行为之一，可处1000元/次。</w:t>
      </w:r>
    </w:p>
    <w:p w14:paraId="17348629">
      <w:pPr>
        <w:spacing w:line="460" w:lineRule="exact"/>
        <w:ind w:firstLine="420" w:firstLineChars="200"/>
        <w:rPr>
          <w:rFonts w:ascii="宋体" w:hAnsi="宋体" w:cs="宋体"/>
          <w:szCs w:val="21"/>
        </w:rPr>
      </w:pPr>
      <w:r>
        <w:rPr>
          <w:rFonts w:hint="eastAsia" w:ascii="宋体" w:hAnsi="宋体" w:cs="宋体"/>
          <w:szCs w:val="21"/>
        </w:rPr>
        <w:t>Ⅰ 未按工序申请检验进入下一道工序的；或</w:t>
      </w:r>
    </w:p>
    <w:p w14:paraId="0AA735AD">
      <w:pPr>
        <w:spacing w:line="460" w:lineRule="exact"/>
        <w:ind w:firstLine="420" w:firstLineChars="200"/>
        <w:rPr>
          <w:rFonts w:ascii="宋体" w:hAnsi="宋体" w:cs="宋体"/>
          <w:szCs w:val="21"/>
        </w:rPr>
      </w:pPr>
      <w:r>
        <w:rPr>
          <w:rFonts w:hint="eastAsia" w:ascii="宋体" w:hAnsi="宋体" w:cs="宋体"/>
          <w:szCs w:val="21"/>
        </w:rPr>
        <w:t>Ⅱ　隐蔽工程记录文件不全；或</w:t>
      </w:r>
    </w:p>
    <w:p w14:paraId="1C9B65DE">
      <w:pPr>
        <w:spacing w:line="460" w:lineRule="exact"/>
        <w:ind w:firstLine="420" w:firstLineChars="200"/>
        <w:rPr>
          <w:rFonts w:ascii="宋体" w:hAnsi="宋体" w:cs="宋体"/>
          <w:szCs w:val="21"/>
        </w:rPr>
      </w:pPr>
      <w:r>
        <w:rPr>
          <w:rFonts w:hint="eastAsia" w:ascii="宋体" w:hAnsi="宋体" w:cs="宋体"/>
          <w:szCs w:val="21"/>
        </w:rPr>
        <w:t>Ⅲ　施工试验检验频率不符合施工规范规定；或</w:t>
      </w:r>
    </w:p>
    <w:p w14:paraId="3CEB2C61">
      <w:pPr>
        <w:spacing w:line="460" w:lineRule="exact"/>
        <w:ind w:firstLine="420" w:firstLineChars="200"/>
        <w:rPr>
          <w:rFonts w:ascii="宋体" w:hAnsi="宋体" w:cs="宋体"/>
          <w:szCs w:val="21"/>
        </w:rPr>
      </w:pPr>
      <w:r>
        <w:rPr>
          <w:rFonts w:hint="eastAsia" w:ascii="宋体" w:hAnsi="宋体" w:cs="宋体"/>
          <w:szCs w:val="21"/>
        </w:rPr>
        <w:t>Ⅳ　分项工程质量自检验收检验频率不符合质量评定标准规定的。</w:t>
      </w:r>
    </w:p>
    <w:p w14:paraId="5C503177">
      <w:pPr>
        <w:spacing w:line="460" w:lineRule="exact"/>
        <w:ind w:firstLine="420" w:firstLineChars="200"/>
        <w:rPr>
          <w:rFonts w:ascii="宋体" w:hAnsi="宋体" w:cs="宋体"/>
          <w:szCs w:val="21"/>
        </w:rPr>
      </w:pPr>
      <w:r>
        <w:rPr>
          <w:rFonts w:hint="eastAsia" w:ascii="宋体" w:hAnsi="宋体" w:cs="宋体"/>
          <w:szCs w:val="21"/>
        </w:rPr>
        <w:t>（c）出现以下行为之一，可处2000元/次。</w:t>
      </w:r>
    </w:p>
    <w:p w14:paraId="35AAC197">
      <w:pPr>
        <w:spacing w:line="460" w:lineRule="exact"/>
        <w:ind w:firstLine="420" w:firstLineChars="200"/>
        <w:rPr>
          <w:rFonts w:ascii="宋体" w:hAnsi="宋体" w:cs="宋体"/>
          <w:szCs w:val="21"/>
        </w:rPr>
      </w:pPr>
      <w:r>
        <w:rPr>
          <w:rFonts w:hint="eastAsia" w:ascii="宋体" w:hAnsi="宋体" w:cs="宋体"/>
          <w:szCs w:val="21"/>
        </w:rPr>
        <w:t>Ⅰ　出现质量问题，且承包人负有直接责任的，或不能证明其履行其职责的。或</w:t>
      </w:r>
    </w:p>
    <w:p w14:paraId="29F7151B">
      <w:pPr>
        <w:spacing w:line="460" w:lineRule="exact"/>
        <w:ind w:firstLine="420" w:firstLineChars="200"/>
        <w:rPr>
          <w:rFonts w:ascii="宋体" w:hAnsi="宋体" w:cs="宋体"/>
          <w:szCs w:val="21"/>
        </w:rPr>
      </w:pPr>
      <w:r>
        <w:rPr>
          <w:rFonts w:hint="eastAsia" w:ascii="宋体" w:hAnsi="宋体" w:cs="宋体"/>
          <w:szCs w:val="21"/>
        </w:rPr>
        <w:t>Ⅱ　发生质量事故，未按有关规定和时间向有关部门报告的；</w:t>
      </w:r>
    </w:p>
    <w:p w14:paraId="17DFF7C2">
      <w:pPr>
        <w:spacing w:line="460" w:lineRule="exact"/>
        <w:ind w:firstLine="420" w:firstLineChars="200"/>
        <w:rPr>
          <w:rFonts w:ascii="宋体" w:hAnsi="宋体" w:cs="宋体"/>
          <w:szCs w:val="21"/>
        </w:rPr>
      </w:pPr>
      <w:r>
        <w:rPr>
          <w:rFonts w:hint="eastAsia" w:ascii="宋体" w:hAnsi="宋体" w:cs="宋体"/>
          <w:szCs w:val="21"/>
        </w:rPr>
        <w:t>Ⅲ　已经施工完成的工程没有按竣工文件收集归档管理办法要求依分项工程、工序将施工作业记录、测量记录、试验检测记录及工序报验审批记录等收集归档。</w:t>
      </w:r>
    </w:p>
    <w:p w14:paraId="613D3C89">
      <w:pPr>
        <w:spacing w:line="460" w:lineRule="exact"/>
        <w:ind w:firstLine="420" w:firstLineChars="200"/>
        <w:rPr>
          <w:rFonts w:ascii="宋体" w:hAnsi="宋体" w:cs="宋体"/>
          <w:szCs w:val="21"/>
        </w:rPr>
      </w:pPr>
      <w:r>
        <w:rPr>
          <w:rFonts w:hint="eastAsia" w:ascii="宋体" w:hAnsi="宋体" w:cs="宋体"/>
          <w:szCs w:val="21"/>
        </w:rPr>
        <w:t>（d ）出现以下行为之一，可处2000元/次。</w:t>
      </w:r>
    </w:p>
    <w:p w14:paraId="71B3BE6C">
      <w:pPr>
        <w:spacing w:line="460" w:lineRule="exact"/>
        <w:ind w:firstLine="420" w:firstLineChars="200"/>
        <w:rPr>
          <w:rFonts w:ascii="宋体" w:hAnsi="宋体" w:cs="宋体"/>
          <w:szCs w:val="21"/>
        </w:rPr>
      </w:pPr>
      <w:r>
        <w:rPr>
          <w:rFonts w:hint="eastAsia" w:ascii="宋体" w:hAnsi="宋体" w:cs="宋体"/>
          <w:szCs w:val="21"/>
        </w:rPr>
        <w:t>Ⅰ　施工单位不接受质监机构监督；或</w:t>
      </w:r>
    </w:p>
    <w:p w14:paraId="11EE2A15">
      <w:pPr>
        <w:spacing w:line="460" w:lineRule="exact"/>
        <w:ind w:firstLine="420" w:firstLineChars="200"/>
        <w:rPr>
          <w:rFonts w:ascii="宋体" w:hAnsi="宋体" w:cs="宋体"/>
          <w:szCs w:val="21"/>
        </w:rPr>
      </w:pPr>
      <w:r>
        <w:rPr>
          <w:rFonts w:hint="eastAsia" w:ascii="宋体" w:hAnsi="宋体" w:cs="宋体"/>
          <w:szCs w:val="21"/>
        </w:rPr>
        <w:t>Ⅱ　出现二、三级一般质量事故，且承包人负有直接责任，或不能证明其履行其职责的；或</w:t>
      </w:r>
    </w:p>
    <w:p w14:paraId="41E1DE52">
      <w:pPr>
        <w:spacing w:line="460" w:lineRule="exact"/>
        <w:ind w:firstLine="420" w:firstLineChars="200"/>
        <w:rPr>
          <w:rFonts w:ascii="宋体" w:hAnsi="宋体" w:cs="宋体"/>
          <w:szCs w:val="21"/>
        </w:rPr>
      </w:pPr>
      <w:r>
        <w:rPr>
          <w:rFonts w:hint="eastAsia" w:ascii="宋体" w:hAnsi="宋体" w:cs="宋体"/>
          <w:szCs w:val="21"/>
        </w:rPr>
        <w:t>Ⅲ　未按规定建立合格的工地试验室的；或</w:t>
      </w:r>
    </w:p>
    <w:p w14:paraId="3C478521">
      <w:pPr>
        <w:spacing w:line="460" w:lineRule="exact"/>
        <w:ind w:firstLine="420" w:firstLineChars="200"/>
        <w:rPr>
          <w:rFonts w:ascii="宋体" w:hAnsi="宋体" w:cs="宋体"/>
          <w:szCs w:val="21"/>
        </w:rPr>
      </w:pPr>
      <w:r>
        <w:rPr>
          <w:rFonts w:hint="eastAsia" w:ascii="宋体" w:hAnsi="宋体" w:cs="宋体"/>
          <w:szCs w:val="21"/>
        </w:rPr>
        <w:t>Ⅳ　路基土石方，路面各结构层一次单项单点实体抽查合格率为50%—70%的；或</w:t>
      </w:r>
    </w:p>
    <w:p w14:paraId="207386F6">
      <w:pPr>
        <w:spacing w:line="460" w:lineRule="exact"/>
        <w:ind w:firstLine="420" w:firstLineChars="200"/>
        <w:rPr>
          <w:rFonts w:ascii="宋体" w:hAnsi="宋体" w:cs="宋体"/>
          <w:szCs w:val="21"/>
        </w:rPr>
      </w:pPr>
      <w:r>
        <w:rPr>
          <w:rFonts w:hint="eastAsia" w:ascii="宋体" w:hAnsi="宋体" w:cs="宋体"/>
          <w:szCs w:val="21"/>
        </w:rPr>
        <w:t>Ⅴ　砌筑、排水、小桥、涵洞等构造物，中小型预制构件等一次单点实体抽查合格率为50%—75%的；或</w:t>
      </w:r>
    </w:p>
    <w:p w14:paraId="0CECC3FD">
      <w:pPr>
        <w:spacing w:line="460" w:lineRule="exact"/>
        <w:ind w:firstLine="420" w:firstLineChars="200"/>
        <w:rPr>
          <w:rFonts w:ascii="宋体" w:hAnsi="宋体" w:cs="宋体"/>
          <w:szCs w:val="21"/>
        </w:rPr>
      </w:pPr>
      <w:r>
        <w:rPr>
          <w:rFonts w:hint="eastAsia" w:ascii="宋体" w:hAnsi="宋体" w:cs="宋体"/>
          <w:szCs w:val="21"/>
        </w:rPr>
        <w:t>Ⅵ　特大桥、大桥、中桥、隧道、船闸、枢纽厂房、大坝等主要构造物，大型预制构件等一次单点实体抽查合格率为60%—75%的；或</w:t>
      </w:r>
    </w:p>
    <w:p w14:paraId="336D4D39">
      <w:pPr>
        <w:spacing w:line="460" w:lineRule="exact"/>
        <w:ind w:firstLine="420" w:firstLineChars="200"/>
        <w:rPr>
          <w:rFonts w:ascii="宋体" w:hAnsi="宋体" w:cs="宋体"/>
          <w:szCs w:val="21"/>
        </w:rPr>
      </w:pPr>
      <w:r>
        <w:rPr>
          <w:rFonts w:hint="eastAsia" w:ascii="宋体" w:hAnsi="宋体" w:cs="宋体"/>
          <w:szCs w:val="21"/>
        </w:rPr>
        <w:t>Ⅶ　使用主要材料（钢筋、水泥、沥青、碎石、砂、砂砾等）不合格的。或</w:t>
      </w:r>
    </w:p>
    <w:p w14:paraId="0F943EFF">
      <w:pPr>
        <w:spacing w:line="460" w:lineRule="exact"/>
        <w:ind w:firstLine="420" w:firstLineChars="200"/>
        <w:rPr>
          <w:rFonts w:ascii="宋体" w:hAnsi="宋体" w:cs="宋体"/>
          <w:szCs w:val="21"/>
        </w:rPr>
      </w:pPr>
      <w:r>
        <w:rPr>
          <w:rFonts w:hint="eastAsia" w:ascii="宋体" w:hAnsi="宋体" w:cs="宋体"/>
          <w:szCs w:val="21"/>
        </w:rPr>
        <w:t>Ⅷ　已经施工完成的工程无法提供按竣工文件收集归档管理办法要求应收集的分项工程、工序的施工作业记录、测量记录、试验检测记录及工序报验审批记录等质量管理文件的。</w:t>
      </w:r>
    </w:p>
    <w:p w14:paraId="39DFCF2C">
      <w:pPr>
        <w:spacing w:line="460" w:lineRule="exact"/>
        <w:ind w:firstLine="420" w:firstLineChars="200"/>
        <w:rPr>
          <w:rFonts w:ascii="宋体" w:hAnsi="宋体" w:cs="宋体"/>
          <w:szCs w:val="21"/>
        </w:rPr>
      </w:pPr>
      <w:r>
        <w:rPr>
          <w:rFonts w:hint="eastAsia" w:ascii="宋体" w:hAnsi="宋体" w:cs="宋体"/>
          <w:szCs w:val="21"/>
        </w:rPr>
        <w:t>（e）出现以下行为之一，可处2000元/次。</w:t>
      </w:r>
    </w:p>
    <w:p w14:paraId="16E9FAE2">
      <w:pPr>
        <w:spacing w:line="460" w:lineRule="exact"/>
        <w:ind w:firstLine="420" w:firstLineChars="200"/>
        <w:rPr>
          <w:rFonts w:ascii="宋体" w:hAnsi="宋体" w:cs="宋体"/>
          <w:szCs w:val="21"/>
        </w:rPr>
      </w:pPr>
      <w:r>
        <w:rPr>
          <w:rFonts w:hint="eastAsia" w:ascii="宋体" w:hAnsi="宋体" w:cs="宋体"/>
          <w:szCs w:val="21"/>
        </w:rPr>
        <w:t xml:space="preserve">Ⅰ发生一级一般质量事故或重大质量事故，且承包人负有直接责任，或不能证明其履行其职责的； </w:t>
      </w:r>
    </w:p>
    <w:p w14:paraId="6E6CCE23">
      <w:pPr>
        <w:spacing w:line="460" w:lineRule="exact"/>
        <w:ind w:firstLine="420" w:firstLineChars="200"/>
        <w:rPr>
          <w:rFonts w:ascii="宋体" w:hAnsi="宋体" w:cs="宋体"/>
          <w:szCs w:val="21"/>
        </w:rPr>
      </w:pPr>
      <w:r>
        <w:rPr>
          <w:rFonts w:hint="eastAsia" w:ascii="宋体" w:hAnsi="宋体" w:cs="宋体"/>
          <w:szCs w:val="21"/>
        </w:rPr>
        <w:t>Ⅱ　路基土石方，路面各结构一次单项单点实体抽查合格率在50%以下的（单点合格率计算以设计值为准，达不到设计值的点为不合格点，下同）；或</w:t>
      </w:r>
    </w:p>
    <w:p w14:paraId="31975355">
      <w:pPr>
        <w:spacing w:line="460" w:lineRule="exact"/>
        <w:ind w:firstLine="420" w:firstLineChars="200"/>
        <w:rPr>
          <w:rFonts w:ascii="宋体" w:hAnsi="宋体" w:cs="宋体"/>
          <w:szCs w:val="21"/>
        </w:rPr>
      </w:pPr>
      <w:r>
        <w:rPr>
          <w:rFonts w:hint="eastAsia" w:ascii="宋体" w:hAnsi="宋体" w:cs="宋体"/>
          <w:szCs w:val="21"/>
        </w:rPr>
        <w:t>Ⅲ　砌筑、排水、小桥、涵洞等构造物，中小型预制构件，房建工程等一次单点实体抽查合格率小于50%的；或</w:t>
      </w:r>
    </w:p>
    <w:p w14:paraId="2F732DFE">
      <w:pPr>
        <w:spacing w:line="460" w:lineRule="exact"/>
        <w:ind w:firstLine="420" w:firstLineChars="200"/>
        <w:rPr>
          <w:rFonts w:ascii="宋体" w:hAnsi="宋体" w:cs="宋体"/>
          <w:szCs w:val="21"/>
        </w:rPr>
      </w:pPr>
      <w:r>
        <w:rPr>
          <w:rFonts w:hint="eastAsia" w:ascii="宋体" w:hAnsi="宋体" w:cs="宋体"/>
          <w:szCs w:val="21"/>
        </w:rPr>
        <w:t>Ⅳ　特大桥、大桥、中桥、隧道、船闸、枢纽厂房、大坝等主要构造物，大型预制构件等一次单点实体抽查合格率小于60%的；或</w:t>
      </w:r>
    </w:p>
    <w:p w14:paraId="203A51B8">
      <w:pPr>
        <w:spacing w:line="460" w:lineRule="exact"/>
        <w:ind w:firstLine="420" w:firstLineChars="200"/>
        <w:rPr>
          <w:rFonts w:ascii="宋体" w:hAnsi="宋体" w:cs="宋体"/>
          <w:szCs w:val="21"/>
        </w:rPr>
      </w:pPr>
      <w:r>
        <w:rPr>
          <w:rFonts w:hint="eastAsia" w:ascii="宋体" w:hAnsi="宋体" w:cs="宋体"/>
          <w:szCs w:val="21"/>
        </w:rPr>
        <w:t>Ⅴ　未按要求进行自检，弄虚作假、捏造数据、伪造试验报告的。</w:t>
      </w:r>
    </w:p>
    <w:p w14:paraId="18FCAADC">
      <w:pPr>
        <w:spacing w:line="460" w:lineRule="exact"/>
        <w:ind w:firstLine="210" w:firstLineChars="100"/>
        <w:rPr>
          <w:rFonts w:ascii="宋体" w:hAnsi="宋体" w:cs="宋体"/>
          <w:szCs w:val="21"/>
        </w:rPr>
      </w:pPr>
      <w:r>
        <w:rPr>
          <w:rFonts w:hint="eastAsia" w:ascii="宋体" w:hAnsi="宋体" w:cs="宋体"/>
          <w:szCs w:val="21"/>
        </w:rPr>
        <w:t>（f）因质量问题被地市级及以上交通主管部门、质量监督单位、公路管理机构通报（批评）的，可对承包人处以2000元违约金，红牌警告1000元，黄牌警告500元。</w:t>
      </w:r>
    </w:p>
    <w:p w14:paraId="30873EBF">
      <w:pPr>
        <w:spacing w:line="460" w:lineRule="exact"/>
        <w:ind w:firstLine="420" w:firstLineChars="200"/>
        <w:rPr>
          <w:rFonts w:ascii="宋体" w:hAnsi="宋体" w:cs="宋体"/>
          <w:szCs w:val="21"/>
        </w:rPr>
      </w:pPr>
      <w:r>
        <w:rPr>
          <w:rFonts w:hint="eastAsia" w:ascii="宋体" w:hAnsi="宋体" w:cs="宋体"/>
          <w:szCs w:val="21"/>
        </w:rPr>
        <w:t>b．安全生产管理</w:t>
      </w:r>
    </w:p>
    <w:p w14:paraId="608E9AE9">
      <w:pPr>
        <w:spacing w:line="460" w:lineRule="exact"/>
        <w:ind w:firstLine="210" w:firstLineChars="100"/>
        <w:rPr>
          <w:rFonts w:ascii="宋体" w:hAnsi="宋体" w:cs="宋体"/>
          <w:szCs w:val="21"/>
        </w:rPr>
      </w:pPr>
      <w:r>
        <w:rPr>
          <w:rFonts w:hint="eastAsia" w:ascii="宋体" w:hAnsi="宋体" w:cs="宋体"/>
          <w:szCs w:val="21"/>
        </w:rPr>
        <w:t>（a）出现下列行为之一的，责令限期改正，并处2000元的罚款：</w:t>
      </w:r>
    </w:p>
    <w:p w14:paraId="79F14E1E">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ROMAN \* MERGEFORMAT </w:instrText>
      </w:r>
      <w:r>
        <w:rPr>
          <w:rFonts w:hint="eastAsia" w:ascii="宋体" w:hAnsi="宋体" w:cs="宋体"/>
          <w:szCs w:val="21"/>
        </w:rPr>
        <w:fldChar w:fldCharType="separate"/>
      </w:r>
      <w:r>
        <w:rPr>
          <w:rFonts w:hint="eastAsia" w:ascii="宋体" w:hAnsi="宋体" w:cs="宋体"/>
          <w:szCs w:val="21"/>
        </w:rPr>
        <w:t>I</w:t>
      </w:r>
      <w:r>
        <w:rPr>
          <w:rFonts w:hint="eastAsia" w:ascii="宋体" w:hAnsi="宋体" w:cs="宋体"/>
          <w:szCs w:val="21"/>
        </w:rPr>
        <w:fldChar w:fldCharType="end"/>
      </w:r>
      <w:r>
        <w:rPr>
          <w:rFonts w:hint="eastAsia" w:ascii="宋体" w:hAnsi="宋体" w:cs="宋体"/>
          <w:szCs w:val="21"/>
        </w:rPr>
        <w:t xml:space="preserve">  未按照规定设置安全生产管理机构或者配备安全管理人员的；</w:t>
      </w:r>
    </w:p>
    <w:p w14:paraId="687C1FBA">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ROMAN \* MERGEFORMAT </w:instrText>
      </w:r>
      <w:r>
        <w:rPr>
          <w:rFonts w:hint="eastAsia" w:ascii="宋体" w:hAnsi="宋体" w:cs="宋体"/>
          <w:szCs w:val="21"/>
        </w:rPr>
        <w:fldChar w:fldCharType="separate"/>
      </w:r>
      <w:r>
        <w:rPr>
          <w:rFonts w:hint="eastAsia" w:ascii="宋体" w:hAnsi="宋体" w:cs="宋体"/>
          <w:szCs w:val="21"/>
        </w:rPr>
        <w:t>II</w:t>
      </w:r>
      <w:r>
        <w:rPr>
          <w:rFonts w:hint="eastAsia" w:ascii="宋体" w:hAnsi="宋体" w:cs="宋体"/>
          <w:szCs w:val="21"/>
        </w:rPr>
        <w:fldChar w:fldCharType="end"/>
      </w:r>
      <w:r>
        <w:rPr>
          <w:rFonts w:hint="eastAsia" w:ascii="宋体" w:hAnsi="宋体" w:cs="宋体"/>
          <w:szCs w:val="21"/>
        </w:rPr>
        <w:t xml:space="preserve"> 未按规定对从业人员、被派遣劳动者、实习学生进行安全生产教育和培训，或者未按照规定如实告知有关的安全生产事项的；</w:t>
      </w:r>
    </w:p>
    <w:p w14:paraId="22103605">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ROMAN \* MERGEFORMAT </w:instrText>
      </w:r>
      <w:r>
        <w:rPr>
          <w:rFonts w:hint="eastAsia" w:ascii="宋体" w:hAnsi="宋体" w:cs="宋体"/>
          <w:szCs w:val="21"/>
        </w:rPr>
        <w:fldChar w:fldCharType="separate"/>
      </w:r>
      <w:r>
        <w:rPr>
          <w:rFonts w:hint="eastAsia" w:ascii="宋体" w:hAnsi="宋体" w:cs="宋体"/>
          <w:szCs w:val="21"/>
        </w:rPr>
        <w:t>III</w:t>
      </w:r>
      <w:r>
        <w:rPr>
          <w:rFonts w:hint="eastAsia" w:ascii="宋体" w:hAnsi="宋体" w:cs="宋体"/>
          <w:szCs w:val="21"/>
        </w:rPr>
        <w:fldChar w:fldCharType="end"/>
      </w:r>
      <w:r>
        <w:rPr>
          <w:rFonts w:hint="eastAsia" w:ascii="宋体" w:hAnsi="宋体" w:cs="宋体"/>
          <w:szCs w:val="21"/>
        </w:rPr>
        <w:t xml:space="preserve"> 未如实记录安全生产教育和培训情况的；</w:t>
      </w:r>
    </w:p>
    <w:p w14:paraId="6849BFC9">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ROMAN \* MERGEFORMAT </w:instrText>
      </w:r>
      <w:r>
        <w:rPr>
          <w:rFonts w:hint="eastAsia" w:ascii="宋体" w:hAnsi="宋体" w:cs="宋体"/>
          <w:szCs w:val="21"/>
        </w:rPr>
        <w:fldChar w:fldCharType="separate"/>
      </w:r>
      <w:r>
        <w:rPr>
          <w:rFonts w:hint="eastAsia" w:ascii="宋体" w:hAnsi="宋体" w:cs="宋体"/>
          <w:szCs w:val="21"/>
        </w:rPr>
        <w:t>IV</w:t>
      </w:r>
      <w:r>
        <w:rPr>
          <w:rFonts w:hint="eastAsia" w:ascii="宋体" w:hAnsi="宋体" w:cs="宋体"/>
          <w:szCs w:val="21"/>
        </w:rPr>
        <w:fldChar w:fldCharType="end"/>
      </w:r>
      <w:r>
        <w:rPr>
          <w:rFonts w:hint="eastAsia" w:ascii="宋体" w:hAnsi="宋体" w:cs="宋体"/>
          <w:szCs w:val="21"/>
        </w:rPr>
        <w:t xml:space="preserve">  未将事故隐患排查治理情况如实记录或者未向从业人员通报的；</w:t>
      </w:r>
    </w:p>
    <w:p w14:paraId="53C76A00">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ROMAN \* MERGEFORMAT </w:instrText>
      </w:r>
      <w:r>
        <w:rPr>
          <w:rFonts w:hint="eastAsia" w:ascii="宋体" w:hAnsi="宋体" w:cs="宋体"/>
          <w:szCs w:val="21"/>
        </w:rPr>
        <w:fldChar w:fldCharType="separate"/>
      </w:r>
      <w:r>
        <w:rPr>
          <w:rFonts w:hint="eastAsia" w:ascii="宋体" w:hAnsi="宋体" w:cs="宋体"/>
          <w:szCs w:val="21"/>
        </w:rPr>
        <w:t>V</w:t>
      </w:r>
      <w:r>
        <w:rPr>
          <w:rFonts w:hint="eastAsia" w:ascii="宋体" w:hAnsi="宋体" w:cs="宋体"/>
          <w:szCs w:val="21"/>
        </w:rPr>
        <w:fldChar w:fldCharType="end"/>
      </w:r>
      <w:r>
        <w:rPr>
          <w:rFonts w:hint="eastAsia" w:ascii="宋体" w:hAnsi="宋体" w:cs="宋体"/>
          <w:szCs w:val="21"/>
        </w:rPr>
        <w:t xml:space="preserve">   未按照规定制定生产安全事故应急救援预案或者从业人员定期组织演练的；</w:t>
      </w:r>
    </w:p>
    <w:p w14:paraId="134C132D">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ROMAN \* MERGEFORMAT </w:instrText>
      </w:r>
      <w:r>
        <w:rPr>
          <w:rFonts w:hint="eastAsia" w:ascii="宋体" w:hAnsi="宋体" w:cs="宋体"/>
          <w:szCs w:val="21"/>
        </w:rPr>
        <w:fldChar w:fldCharType="separate"/>
      </w:r>
      <w:r>
        <w:rPr>
          <w:rFonts w:hint="eastAsia" w:ascii="宋体" w:hAnsi="宋体" w:cs="宋体"/>
          <w:szCs w:val="21"/>
        </w:rPr>
        <w:t>VI</w:t>
      </w:r>
      <w:r>
        <w:rPr>
          <w:rFonts w:hint="eastAsia" w:ascii="宋体" w:hAnsi="宋体" w:cs="宋体"/>
          <w:szCs w:val="21"/>
        </w:rPr>
        <w:fldChar w:fldCharType="end"/>
      </w:r>
      <w:r>
        <w:rPr>
          <w:rFonts w:hint="eastAsia" w:ascii="宋体" w:hAnsi="宋体" w:cs="宋体"/>
          <w:szCs w:val="21"/>
        </w:rPr>
        <w:t xml:space="preserve">  特种作业人员未按照规定经专门的安全作业培训并取得相应资格，上岗作业的；</w:t>
      </w:r>
    </w:p>
    <w:p w14:paraId="4CEAE8DD">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ROMAN \* MERGEFORMAT </w:instrText>
      </w:r>
      <w:r>
        <w:rPr>
          <w:rFonts w:hint="eastAsia" w:ascii="宋体" w:hAnsi="宋体" w:cs="宋体"/>
          <w:szCs w:val="21"/>
        </w:rPr>
        <w:fldChar w:fldCharType="separate"/>
      </w:r>
      <w:r>
        <w:rPr>
          <w:rFonts w:hint="eastAsia" w:ascii="宋体" w:hAnsi="宋体" w:cs="宋体"/>
          <w:szCs w:val="21"/>
        </w:rPr>
        <w:t>VII</w:t>
      </w:r>
      <w:r>
        <w:rPr>
          <w:rFonts w:hint="eastAsia" w:ascii="宋体" w:hAnsi="宋体" w:cs="宋体"/>
          <w:szCs w:val="21"/>
        </w:rPr>
        <w:fldChar w:fldCharType="end"/>
      </w:r>
      <w:r>
        <w:rPr>
          <w:rFonts w:hint="eastAsia" w:ascii="宋体" w:hAnsi="宋体" w:cs="宋体"/>
          <w:szCs w:val="21"/>
        </w:rPr>
        <w:t xml:space="preserve"> 未在有较大危险因素的施工场所和有关设施、设备上设置明显的安全警示标志的；</w:t>
      </w:r>
    </w:p>
    <w:p w14:paraId="2D6ABCAB">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8 \* ROMAN \* MERGEFORMAT </w:instrText>
      </w:r>
      <w:r>
        <w:rPr>
          <w:rFonts w:hint="eastAsia" w:ascii="宋体" w:hAnsi="宋体" w:cs="宋体"/>
          <w:szCs w:val="21"/>
        </w:rPr>
        <w:fldChar w:fldCharType="separate"/>
      </w:r>
      <w:r>
        <w:rPr>
          <w:rFonts w:hint="eastAsia" w:ascii="宋体" w:hAnsi="宋体" w:cs="宋体"/>
          <w:szCs w:val="21"/>
        </w:rPr>
        <w:t>VIII</w:t>
      </w:r>
      <w:r>
        <w:rPr>
          <w:rFonts w:hint="eastAsia" w:ascii="宋体" w:hAnsi="宋体" w:cs="宋体"/>
          <w:szCs w:val="21"/>
        </w:rPr>
        <w:fldChar w:fldCharType="end"/>
      </w:r>
      <w:r>
        <w:rPr>
          <w:rFonts w:hint="eastAsia" w:ascii="宋体" w:hAnsi="宋体" w:cs="宋体"/>
          <w:szCs w:val="21"/>
        </w:rPr>
        <w:t>安全设备的安装、使用、检测、改造不符合国家标准或者行业标准的；</w:t>
      </w:r>
    </w:p>
    <w:p w14:paraId="01900681">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9 \* ROMAN \* MERGEFORMAT </w:instrText>
      </w:r>
      <w:r>
        <w:rPr>
          <w:rFonts w:hint="eastAsia" w:ascii="宋体" w:hAnsi="宋体" w:cs="宋体"/>
          <w:szCs w:val="21"/>
        </w:rPr>
        <w:fldChar w:fldCharType="separate"/>
      </w:r>
      <w:r>
        <w:rPr>
          <w:rFonts w:hint="eastAsia" w:ascii="宋体" w:hAnsi="宋体" w:cs="宋体"/>
          <w:szCs w:val="21"/>
        </w:rPr>
        <w:t>IX</w:t>
      </w:r>
      <w:r>
        <w:rPr>
          <w:rFonts w:hint="eastAsia" w:ascii="宋体" w:hAnsi="宋体" w:cs="宋体"/>
          <w:szCs w:val="21"/>
        </w:rPr>
        <w:fldChar w:fldCharType="end"/>
      </w:r>
      <w:r>
        <w:rPr>
          <w:rFonts w:hint="eastAsia" w:ascii="宋体" w:hAnsi="宋体" w:cs="宋体"/>
          <w:szCs w:val="21"/>
        </w:rPr>
        <w:t xml:space="preserve">  未对安全设备进行经常性维护、保养和定期检测的；</w:t>
      </w:r>
    </w:p>
    <w:p w14:paraId="71AB061B">
      <w:pPr>
        <w:spacing w:line="460" w:lineRule="exact"/>
        <w:ind w:firstLine="420" w:firstLineChars="2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10 \* ROMAN \* MERGEFORMAT </w:instrText>
      </w:r>
      <w:r>
        <w:rPr>
          <w:rFonts w:hint="eastAsia" w:ascii="宋体" w:hAnsi="宋体" w:cs="宋体"/>
          <w:szCs w:val="21"/>
        </w:rPr>
        <w:fldChar w:fldCharType="separate"/>
      </w:r>
      <w:r>
        <w:rPr>
          <w:rFonts w:hint="eastAsia" w:ascii="宋体" w:hAnsi="宋体" w:cs="宋体"/>
          <w:szCs w:val="21"/>
        </w:rPr>
        <w:t>X</w:t>
      </w:r>
      <w:r>
        <w:rPr>
          <w:rFonts w:hint="eastAsia" w:ascii="宋体" w:hAnsi="宋体" w:cs="宋体"/>
          <w:szCs w:val="21"/>
        </w:rPr>
        <w:fldChar w:fldCharType="end"/>
      </w:r>
      <w:r>
        <w:rPr>
          <w:rFonts w:hint="eastAsia" w:ascii="宋体" w:hAnsi="宋体" w:cs="宋体"/>
          <w:szCs w:val="21"/>
        </w:rPr>
        <w:t xml:space="preserve">   未为从业人员提供符合国家标准或者行业标准的劳动防护用品的。</w:t>
      </w:r>
    </w:p>
    <w:p w14:paraId="2EB8117E">
      <w:pPr>
        <w:spacing w:line="460" w:lineRule="exact"/>
        <w:ind w:firstLine="420" w:firstLineChars="200"/>
        <w:rPr>
          <w:rFonts w:ascii="宋体" w:hAnsi="宋体" w:cs="宋体"/>
          <w:szCs w:val="21"/>
        </w:rPr>
      </w:pPr>
      <w:r>
        <w:rPr>
          <w:rFonts w:hint="eastAsia" w:ascii="宋体" w:hAnsi="宋体" w:cs="宋体"/>
          <w:szCs w:val="21"/>
        </w:rPr>
        <w:t>（b)出现下列行为之一的，责令限期改正，并处2000元的罚款：</w:t>
      </w:r>
    </w:p>
    <w:p w14:paraId="29295899">
      <w:pPr>
        <w:spacing w:line="460" w:lineRule="exact"/>
        <w:ind w:firstLine="630" w:firstLineChars="3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ROMAN \* MERGEFORMAT </w:instrText>
      </w:r>
      <w:r>
        <w:rPr>
          <w:rFonts w:hint="eastAsia" w:ascii="宋体" w:hAnsi="宋体" w:cs="宋体"/>
          <w:szCs w:val="21"/>
        </w:rPr>
        <w:fldChar w:fldCharType="separate"/>
      </w:r>
      <w:r>
        <w:rPr>
          <w:rFonts w:hint="eastAsia" w:ascii="宋体" w:hAnsi="宋体" w:cs="宋体"/>
          <w:szCs w:val="21"/>
        </w:rPr>
        <w:t>I</w:t>
      </w:r>
      <w:r>
        <w:rPr>
          <w:rFonts w:hint="eastAsia" w:ascii="宋体" w:hAnsi="宋体" w:cs="宋体"/>
          <w:szCs w:val="21"/>
        </w:rPr>
        <w:fldChar w:fldCharType="end"/>
      </w:r>
      <w:r>
        <w:rPr>
          <w:rFonts w:hint="eastAsia" w:ascii="宋体" w:hAnsi="宋体" w:cs="宋体"/>
          <w:szCs w:val="21"/>
        </w:rPr>
        <w:t xml:space="preserve"> 运输、储存、使用危险物品或者处置废弃危险物品，未建立专门安全管理制度、未采取可靠的安全措施的；</w:t>
      </w:r>
    </w:p>
    <w:p w14:paraId="7EB04992">
      <w:pPr>
        <w:spacing w:line="460" w:lineRule="exact"/>
        <w:ind w:firstLine="630" w:firstLineChars="3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ROMAN \* MERGEFORMAT </w:instrText>
      </w:r>
      <w:r>
        <w:rPr>
          <w:rFonts w:hint="eastAsia" w:ascii="宋体" w:hAnsi="宋体" w:cs="宋体"/>
          <w:szCs w:val="21"/>
        </w:rPr>
        <w:fldChar w:fldCharType="separate"/>
      </w:r>
      <w:r>
        <w:rPr>
          <w:rFonts w:hint="eastAsia" w:ascii="宋体" w:hAnsi="宋体" w:cs="宋体"/>
          <w:szCs w:val="21"/>
        </w:rPr>
        <w:t>II</w:t>
      </w:r>
      <w:r>
        <w:rPr>
          <w:rFonts w:hint="eastAsia" w:ascii="宋体" w:hAnsi="宋体" w:cs="宋体"/>
          <w:szCs w:val="21"/>
        </w:rPr>
        <w:fldChar w:fldCharType="end"/>
      </w:r>
      <w:r>
        <w:rPr>
          <w:rFonts w:hint="eastAsia" w:ascii="宋体" w:hAnsi="宋体" w:cs="宋体"/>
          <w:szCs w:val="21"/>
        </w:rPr>
        <w:t xml:space="preserve"> 对重大危险源未登记建档，或者未进行评估、监控，或者未制定应急预案的；</w:t>
      </w:r>
    </w:p>
    <w:p w14:paraId="529518C1">
      <w:pPr>
        <w:spacing w:line="460" w:lineRule="exact"/>
        <w:ind w:firstLine="630" w:firstLineChars="3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ROMAN \* MERGEFORMAT </w:instrText>
      </w:r>
      <w:r>
        <w:rPr>
          <w:rFonts w:hint="eastAsia" w:ascii="宋体" w:hAnsi="宋体" w:cs="宋体"/>
          <w:szCs w:val="21"/>
        </w:rPr>
        <w:fldChar w:fldCharType="separate"/>
      </w:r>
      <w:r>
        <w:rPr>
          <w:rFonts w:hint="eastAsia" w:ascii="宋体" w:hAnsi="宋体" w:cs="宋体"/>
          <w:szCs w:val="21"/>
        </w:rPr>
        <w:t>III</w:t>
      </w:r>
      <w:r>
        <w:rPr>
          <w:rFonts w:hint="eastAsia" w:ascii="宋体" w:hAnsi="宋体" w:cs="宋体"/>
          <w:szCs w:val="21"/>
        </w:rPr>
        <w:fldChar w:fldCharType="end"/>
      </w:r>
      <w:r>
        <w:rPr>
          <w:rFonts w:hint="eastAsia" w:ascii="宋体" w:hAnsi="宋体" w:cs="宋体"/>
          <w:szCs w:val="21"/>
        </w:rPr>
        <w:t xml:space="preserve"> 进行爆破、吊装以及国务院安全生产监督管理部门会同国务院有关部门规定的其他危险作业，未安排专门人员进行现场安全管理的；</w:t>
      </w:r>
    </w:p>
    <w:p w14:paraId="4CFE1F07">
      <w:pPr>
        <w:spacing w:line="460" w:lineRule="exact"/>
        <w:ind w:firstLine="630" w:firstLineChars="3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ROMAN \* MERGEFORMAT </w:instrText>
      </w:r>
      <w:r>
        <w:rPr>
          <w:rFonts w:hint="eastAsia" w:ascii="宋体" w:hAnsi="宋体" w:cs="宋体"/>
          <w:szCs w:val="21"/>
        </w:rPr>
        <w:fldChar w:fldCharType="separate"/>
      </w:r>
      <w:r>
        <w:rPr>
          <w:rFonts w:hint="eastAsia" w:ascii="宋体" w:hAnsi="宋体" w:cs="宋体"/>
          <w:szCs w:val="21"/>
        </w:rPr>
        <w:t>IV</w:t>
      </w:r>
      <w:r>
        <w:rPr>
          <w:rFonts w:hint="eastAsia" w:ascii="宋体" w:hAnsi="宋体" w:cs="宋体"/>
          <w:szCs w:val="21"/>
        </w:rPr>
        <w:fldChar w:fldCharType="end"/>
      </w:r>
      <w:r>
        <w:rPr>
          <w:rFonts w:hint="eastAsia" w:ascii="宋体" w:hAnsi="宋体" w:cs="宋体"/>
          <w:szCs w:val="21"/>
        </w:rPr>
        <w:t xml:space="preserve">  未建立事故隐患排查治理制度的。</w:t>
      </w:r>
    </w:p>
    <w:p w14:paraId="27403C10">
      <w:pPr>
        <w:spacing w:line="460" w:lineRule="exact"/>
        <w:ind w:firstLine="420" w:firstLineChars="200"/>
        <w:rPr>
          <w:rFonts w:ascii="宋体" w:hAnsi="宋体" w:cs="宋体"/>
          <w:szCs w:val="21"/>
        </w:rPr>
      </w:pPr>
      <w:r>
        <w:rPr>
          <w:rFonts w:hint="eastAsia" w:ascii="宋体" w:hAnsi="宋体" w:cs="宋体"/>
          <w:szCs w:val="21"/>
        </w:rPr>
        <w:t>（c）出现下列行为之一可处1000元/（人）次。</w:t>
      </w:r>
    </w:p>
    <w:p w14:paraId="21CD3A20">
      <w:pPr>
        <w:spacing w:line="460" w:lineRule="exact"/>
        <w:ind w:firstLine="630" w:firstLineChars="30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ROMAN \* MERGEFORMAT </w:instrText>
      </w:r>
      <w:r>
        <w:rPr>
          <w:rFonts w:hint="eastAsia" w:ascii="宋体" w:hAnsi="宋体" w:cs="宋体"/>
          <w:szCs w:val="21"/>
        </w:rPr>
        <w:fldChar w:fldCharType="separate"/>
      </w:r>
      <w:r>
        <w:rPr>
          <w:rFonts w:hint="eastAsia" w:ascii="宋体" w:hAnsi="宋体" w:cs="宋体"/>
          <w:szCs w:val="21"/>
        </w:rPr>
        <w:t>I</w:t>
      </w:r>
      <w:r>
        <w:rPr>
          <w:rFonts w:hint="eastAsia" w:ascii="宋体" w:hAnsi="宋体" w:cs="宋体"/>
          <w:szCs w:val="21"/>
        </w:rPr>
        <w:fldChar w:fldCharType="end"/>
      </w:r>
      <w:r>
        <w:rPr>
          <w:rFonts w:hint="eastAsia" w:ascii="宋体" w:hAnsi="宋体" w:cs="宋体"/>
          <w:szCs w:val="21"/>
        </w:rPr>
        <w:t>　需配戴安全防护用具作业但未按规定配戴的；或</w:t>
      </w:r>
    </w:p>
    <w:p w14:paraId="52BCD239">
      <w:pPr>
        <w:spacing w:line="460" w:lineRule="exact"/>
        <w:ind w:firstLine="420" w:firstLineChars="200"/>
        <w:rPr>
          <w:rFonts w:ascii="宋体" w:hAnsi="宋体" w:cs="宋体"/>
          <w:szCs w:val="21"/>
        </w:rPr>
      </w:pPr>
      <w:r>
        <w:rPr>
          <w:rFonts w:hint="eastAsia" w:ascii="宋体" w:hAnsi="宋体" w:cs="宋体"/>
          <w:szCs w:val="21"/>
        </w:rPr>
        <w:t xml:space="preserve">  Ⅱ 无安全生产检查日志；或</w:t>
      </w:r>
    </w:p>
    <w:p w14:paraId="55A342FC">
      <w:pPr>
        <w:spacing w:line="460" w:lineRule="exact"/>
        <w:ind w:firstLine="630" w:firstLineChars="300"/>
        <w:rPr>
          <w:rFonts w:ascii="宋体" w:hAnsi="宋体" w:cs="宋体"/>
          <w:szCs w:val="21"/>
        </w:rPr>
      </w:pPr>
      <w:r>
        <w:rPr>
          <w:rFonts w:hint="eastAsia" w:ascii="宋体" w:hAnsi="宋体" w:cs="宋体"/>
          <w:szCs w:val="21"/>
        </w:rPr>
        <w:t>Ⅲ 需设安全防护设施的未按规定设置；或</w:t>
      </w:r>
    </w:p>
    <w:p w14:paraId="31754572">
      <w:pPr>
        <w:spacing w:line="460" w:lineRule="exact"/>
        <w:ind w:firstLine="630" w:firstLineChars="300"/>
        <w:rPr>
          <w:rFonts w:ascii="宋体" w:hAnsi="宋体" w:cs="宋体"/>
          <w:szCs w:val="21"/>
        </w:rPr>
      </w:pPr>
      <w:r>
        <w:rPr>
          <w:rFonts w:hint="eastAsia" w:ascii="宋体" w:hAnsi="宋体" w:cs="宋体"/>
          <w:szCs w:val="21"/>
        </w:rPr>
        <w:t>Ⅳ 发生重大安全事故不按规定报告的。</w:t>
      </w:r>
    </w:p>
    <w:p w14:paraId="68632749">
      <w:pPr>
        <w:spacing w:line="460" w:lineRule="exact"/>
        <w:ind w:firstLine="420" w:firstLineChars="200"/>
        <w:rPr>
          <w:rFonts w:ascii="宋体" w:hAnsi="宋体" w:cs="宋体"/>
          <w:szCs w:val="21"/>
        </w:rPr>
      </w:pPr>
      <w:r>
        <w:rPr>
          <w:rFonts w:hint="eastAsia" w:ascii="宋体" w:hAnsi="宋体" w:cs="宋体"/>
          <w:szCs w:val="21"/>
        </w:rPr>
        <w:t>（d）出现下列行为之一可处2000元/处次。</w:t>
      </w:r>
    </w:p>
    <w:p w14:paraId="5A2739E7">
      <w:pPr>
        <w:spacing w:line="460" w:lineRule="exact"/>
        <w:ind w:firstLine="420" w:firstLineChars="200"/>
        <w:rPr>
          <w:rFonts w:ascii="宋体" w:hAnsi="宋体" w:cs="宋体"/>
          <w:szCs w:val="21"/>
        </w:rPr>
      </w:pPr>
      <w:r>
        <w:rPr>
          <w:rFonts w:hint="eastAsia" w:ascii="宋体" w:hAnsi="宋体" w:cs="宋体"/>
          <w:szCs w:val="21"/>
        </w:rPr>
        <w:t>　   出现一般安全生事故负有责任的.</w:t>
      </w:r>
    </w:p>
    <w:p w14:paraId="662E4EF5">
      <w:pPr>
        <w:spacing w:line="460" w:lineRule="exact"/>
        <w:ind w:firstLine="420" w:firstLineChars="200"/>
        <w:rPr>
          <w:rFonts w:ascii="宋体" w:hAnsi="宋体" w:cs="宋体"/>
          <w:szCs w:val="21"/>
        </w:rPr>
      </w:pPr>
      <w:r>
        <w:rPr>
          <w:rFonts w:hint="eastAsia" w:ascii="宋体" w:hAnsi="宋体" w:cs="宋体"/>
          <w:szCs w:val="21"/>
        </w:rPr>
        <w:t>（e）出现下列行为之一可处2000元/处次。</w:t>
      </w:r>
    </w:p>
    <w:p w14:paraId="090984F9">
      <w:pPr>
        <w:spacing w:line="460" w:lineRule="exact"/>
        <w:ind w:firstLine="420" w:firstLineChars="200"/>
        <w:rPr>
          <w:rFonts w:ascii="宋体" w:hAnsi="宋体" w:cs="宋体"/>
          <w:szCs w:val="21"/>
        </w:rPr>
      </w:pPr>
      <w:r>
        <w:rPr>
          <w:rFonts w:hint="eastAsia" w:ascii="宋体" w:hAnsi="宋体" w:cs="宋体"/>
          <w:szCs w:val="21"/>
        </w:rPr>
        <w:t xml:space="preserve">     出现重大安全生产事故负有责任的。</w:t>
      </w:r>
    </w:p>
    <w:p w14:paraId="0C0AFFC2">
      <w:pPr>
        <w:spacing w:line="460" w:lineRule="exact"/>
        <w:ind w:firstLine="630" w:firstLineChars="300"/>
        <w:rPr>
          <w:rFonts w:ascii="宋体" w:hAnsi="宋体" w:cs="宋体"/>
          <w:szCs w:val="21"/>
        </w:rPr>
      </w:pPr>
      <w:r>
        <w:rPr>
          <w:rFonts w:hint="eastAsia" w:ascii="宋体" w:hAnsi="宋体" w:cs="宋体"/>
          <w:szCs w:val="21"/>
        </w:rPr>
        <w:t>c．文明施工与环境保护，交通通畅</w:t>
      </w:r>
    </w:p>
    <w:p w14:paraId="5AEAD194">
      <w:pPr>
        <w:spacing w:line="460" w:lineRule="exact"/>
        <w:ind w:firstLine="420" w:firstLineChars="200"/>
        <w:rPr>
          <w:rFonts w:ascii="宋体" w:hAnsi="宋体" w:cs="宋体"/>
          <w:szCs w:val="21"/>
        </w:rPr>
      </w:pPr>
      <w:r>
        <w:rPr>
          <w:rFonts w:hint="eastAsia" w:ascii="宋体" w:hAnsi="宋体" w:cs="宋体"/>
          <w:szCs w:val="21"/>
        </w:rPr>
        <w:t>（a）路基路面施工扬尘影响交通安全的处500元/处天；</w:t>
      </w:r>
    </w:p>
    <w:p w14:paraId="3B425965">
      <w:pPr>
        <w:spacing w:line="460" w:lineRule="exact"/>
        <w:ind w:firstLine="420" w:firstLineChars="200"/>
        <w:rPr>
          <w:rFonts w:ascii="宋体" w:hAnsi="宋体" w:cs="宋体"/>
          <w:szCs w:val="21"/>
        </w:rPr>
      </w:pPr>
      <w:r>
        <w:rPr>
          <w:rFonts w:hint="eastAsia" w:ascii="宋体" w:hAnsi="宋体" w:cs="宋体"/>
          <w:szCs w:val="21"/>
        </w:rPr>
        <w:t>（b）由于施工原因造成污染、破坏被群众向政府、主管单位投诉或被环保、水利部门责令整改的，处1000元/次。</w:t>
      </w:r>
    </w:p>
    <w:p w14:paraId="4BD57962">
      <w:pPr>
        <w:spacing w:line="460" w:lineRule="exact"/>
        <w:ind w:firstLine="420" w:firstLineChars="200"/>
        <w:rPr>
          <w:rFonts w:ascii="宋体" w:hAnsi="宋体" w:cs="宋体"/>
          <w:szCs w:val="21"/>
        </w:rPr>
      </w:pPr>
      <w:r>
        <w:rPr>
          <w:rFonts w:hint="eastAsia" w:ascii="宋体" w:hAnsi="宋体" w:cs="宋体"/>
          <w:szCs w:val="21"/>
        </w:rPr>
        <w:t>（c）由于承包人原因包括不及时处理堵车造成交通堵塞，堵车60分钟以上的处2000元/次，堵车一小时至二小时的处3000元/次，堵车二小时以上的处每小时（不满1小时按1小时计）3000元/次，并建议上级主管单位进行通报。</w:t>
      </w:r>
    </w:p>
    <w:p w14:paraId="2CFAD4A3">
      <w:pPr>
        <w:spacing w:line="460" w:lineRule="exact"/>
        <w:ind w:firstLine="630" w:firstLineChars="300"/>
        <w:rPr>
          <w:rFonts w:ascii="宋体" w:hAnsi="宋体" w:cs="宋体"/>
          <w:szCs w:val="21"/>
        </w:rPr>
      </w:pPr>
      <w:r>
        <w:rPr>
          <w:rFonts w:hint="eastAsia" w:ascii="宋体" w:hAnsi="宋体" w:cs="宋体"/>
          <w:szCs w:val="21"/>
        </w:rPr>
        <w:t>d．其他重要规定违约处理</w:t>
      </w:r>
    </w:p>
    <w:p w14:paraId="0A573429">
      <w:pPr>
        <w:spacing w:line="460" w:lineRule="exact"/>
        <w:ind w:firstLine="420" w:firstLineChars="200"/>
        <w:rPr>
          <w:rFonts w:ascii="宋体" w:hAnsi="宋体" w:cs="宋体"/>
          <w:szCs w:val="21"/>
        </w:rPr>
      </w:pPr>
      <w:r>
        <w:rPr>
          <w:rFonts w:hint="eastAsia" w:ascii="宋体" w:hAnsi="宋体" w:cs="宋体"/>
          <w:szCs w:val="21"/>
        </w:rPr>
        <w:t>　有下列行为之一的处500元/人次违约金并责令承包人进行整改。</w:t>
      </w:r>
    </w:p>
    <w:p w14:paraId="58494CB8">
      <w:pPr>
        <w:spacing w:line="460" w:lineRule="exact"/>
        <w:ind w:firstLine="630" w:firstLineChars="300"/>
        <w:rPr>
          <w:rFonts w:ascii="宋体" w:hAnsi="宋体" w:cs="宋体"/>
          <w:szCs w:val="21"/>
        </w:rPr>
      </w:pPr>
      <w:r>
        <w:rPr>
          <w:rFonts w:hint="eastAsia" w:ascii="宋体" w:hAnsi="宋体" w:cs="宋体"/>
          <w:szCs w:val="21"/>
        </w:rPr>
        <w:t>(a) 劳务人员未按规定签订聘用合同并向业主、监理工程师报备；或</w:t>
      </w:r>
    </w:p>
    <w:p w14:paraId="251593F5">
      <w:pPr>
        <w:spacing w:line="460" w:lineRule="exact"/>
        <w:ind w:firstLine="630" w:firstLineChars="300"/>
        <w:rPr>
          <w:rFonts w:ascii="宋体" w:hAnsi="宋体" w:cs="宋体"/>
          <w:szCs w:val="21"/>
        </w:rPr>
      </w:pPr>
      <w:r>
        <w:rPr>
          <w:rFonts w:hint="eastAsia" w:ascii="宋体" w:hAnsi="宋体" w:cs="宋体"/>
          <w:szCs w:val="21"/>
        </w:rPr>
        <w:t>(b)签订的劳务合同不符合劳动法等法规要求；或</w:t>
      </w:r>
    </w:p>
    <w:p w14:paraId="35B17075">
      <w:pPr>
        <w:spacing w:line="460" w:lineRule="exact"/>
        <w:ind w:firstLine="630" w:firstLineChars="300"/>
        <w:rPr>
          <w:rFonts w:ascii="宋体" w:hAnsi="宋体" w:cs="宋体"/>
          <w:szCs w:val="21"/>
        </w:rPr>
      </w:pPr>
      <w:r>
        <w:rPr>
          <w:rFonts w:hint="eastAsia" w:ascii="宋体" w:hAnsi="宋体" w:cs="宋体"/>
          <w:szCs w:val="21"/>
        </w:rPr>
        <w:t>(c)劳务人员未编入承包人施工班组，并持项目经理签发的劳务上岗证上岗。</w:t>
      </w:r>
    </w:p>
    <w:p w14:paraId="522A23CA">
      <w:pPr>
        <w:spacing w:line="460" w:lineRule="exact"/>
        <w:ind w:firstLine="420" w:firstLineChars="200"/>
        <w:rPr>
          <w:rFonts w:ascii="宋体" w:hAnsi="宋体" w:cs="宋体"/>
          <w:szCs w:val="21"/>
        </w:rPr>
      </w:pPr>
      <w:r>
        <w:rPr>
          <w:rFonts w:hint="eastAsia" w:ascii="宋体" w:hAnsi="宋体" w:cs="宋体"/>
          <w:szCs w:val="21"/>
        </w:rPr>
        <w:t>（12）施工单位对于监理检查或建设办检查所发现的不符合安全要求事项被责令整改，整改不能在规定时间内完成，每延期一天按500元追索违约金。同一违规事项连续在2次月度检查中出现时，每发生一次按500元追索违约金。</w:t>
      </w:r>
    </w:p>
    <w:p w14:paraId="6136441C">
      <w:pPr>
        <w:spacing w:line="460" w:lineRule="exact"/>
        <w:ind w:firstLine="420" w:firstLineChars="200"/>
        <w:rPr>
          <w:rFonts w:ascii="宋体" w:hAnsi="宋体" w:cs="宋体"/>
          <w:szCs w:val="21"/>
        </w:rPr>
      </w:pPr>
      <w:r>
        <w:rPr>
          <w:rFonts w:hint="eastAsia" w:ascii="宋体" w:hAnsi="宋体" w:cs="宋体"/>
          <w:szCs w:val="21"/>
        </w:rPr>
        <w:t>（13）承包人未根据《关于严格落实公路工程质量责任制的若干意见》（交公路发〔2008〕116 号）执行质量责任登记制度并报备的，处以2000元的违约金并要求整改实施；未经过发包人审查备案并在现场相应单位或分部工程悬挂责任登记牌的，处以2000元的违约金并要求整改实施。</w:t>
      </w:r>
    </w:p>
    <w:p w14:paraId="58CBD3B1">
      <w:pPr>
        <w:spacing w:line="460" w:lineRule="exact"/>
        <w:ind w:firstLine="420" w:firstLineChars="200"/>
        <w:rPr>
          <w:rFonts w:ascii="宋体" w:hAnsi="宋体" w:cs="宋体"/>
          <w:szCs w:val="21"/>
        </w:rPr>
      </w:pPr>
      <w:r>
        <w:rPr>
          <w:rFonts w:hint="eastAsia" w:ascii="宋体" w:hAnsi="宋体" w:cs="宋体"/>
          <w:szCs w:val="21"/>
        </w:rPr>
        <w:t>（14）承包人提交的计量结算支付资料误差若超出审计核定后金额的正负百分之三的，承包人还应承担超出正负百分之三部分的审计费用。</w:t>
      </w:r>
    </w:p>
    <w:p w14:paraId="42EFFF08">
      <w:pPr>
        <w:spacing w:line="460" w:lineRule="exact"/>
        <w:ind w:firstLine="420" w:firstLineChars="200"/>
        <w:rPr>
          <w:rFonts w:ascii="宋体" w:hAnsi="宋体" w:cs="宋体"/>
          <w:szCs w:val="21"/>
        </w:rPr>
      </w:pPr>
      <w:r>
        <w:rPr>
          <w:rFonts w:hint="eastAsia" w:ascii="宋体" w:hAnsi="宋体" w:cs="宋体"/>
          <w:szCs w:val="21"/>
        </w:rPr>
        <w:t>（15）上述被处的违约金承在计量支付时无条件扣除。</w:t>
      </w:r>
    </w:p>
    <w:p w14:paraId="722409BE">
      <w:pPr>
        <w:spacing w:line="460" w:lineRule="exact"/>
        <w:ind w:firstLine="420" w:firstLineChars="200"/>
        <w:rPr>
          <w:rFonts w:ascii="宋体" w:hAnsi="宋体" w:cs="宋体"/>
          <w:szCs w:val="21"/>
        </w:rPr>
      </w:pPr>
      <w:r>
        <w:rPr>
          <w:rFonts w:hint="eastAsia" w:ascii="宋体" w:hAnsi="宋体" w:cs="宋体"/>
          <w:szCs w:val="21"/>
        </w:rPr>
        <w:t>（16）业主（采购人）按合同进行违约处理后，并不解除承包人按照国家法规与合同应承担的责任与义务。</w:t>
      </w:r>
    </w:p>
    <w:p w14:paraId="76EFD7D1">
      <w:pPr>
        <w:spacing w:line="460" w:lineRule="exact"/>
        <w:ind w:firstLine="422" w:firstLineChars="200"/>
        <w:rPr>
          <w:rFonts w:ascii="宋体" w:hAnsi="宋体" w:cs="宋体"/>
          <w:b/>
          <w:bCs/>
          <w:szCs w:val="21"/>
        </w:rPr>
      </w:pPr>
      <w:r>
        <w:rPr>
          <w:rFonts w:hint="eastAsia" w:ascii="宋体" w:hAnsi="宋体" w:cs="宋体"/>
          <w:b/>
          <w:bCs/>
          <w:szCs w:val="21"/>
        </w:rPr>
        <w:t>补充以下项目专用条款：</w:t>
      </w:r>
    </w:p>
    <w:p w14:paraId="03975C06">
      <w:pPr>
        <w:spacing w:line="460" w:lineRule="exact"/>
        <w:ind w:firstLine="422" w:firstLineChars="200"/>
        <w:rPr>
          <w:rFonts w:ascii="宋体" w:hAnsi="宋体" w:cs="宋体"/>
          <w:b/>
          <w:bCs/>
          <w:szCs w:val="21"/>
        </w:rPr>
      </w:pPr>
      <w:r>
        <w:rPr>
          <w:rFonts w:hint="eastAsia" w:ascii="宋体" w:hAnsi="宋体" w:cs="宋体"/>
          <w:b/>
          <w:bCs/>
          <w:szCs w:val="21"/>
        </w:rPr>
        <w:t>23.工程管理办法</w:t>
      </w:r>
    </w:p>
    <w:p w14:paraId="397B57DA">
      <w:pPr>
        <w:spacing w:line="460" w:lineRule="exact"/>
        <w:ind w:firstLine="420" w:firstLineChars="200"/>
        <w:rPr>
          <w:rFonts w:ascii="宋体" w:hAnsi="宋体" w:cs="宋体"/>
          <w:szCs w:val="21"/>
        </w:rPr>
      </w:pPr>
      <w:r>
        <w:rPr>
          <w:rFonts w:hint="eastAsia" w:ascii="宋体" w:hAnsi="宋体" w:cs="宋体"/>
          <w:szCs w:val="21"/>
        </w:rPr>
        <w:t>根据项目管理的需要，发包人将在项目实施过程中，制定相应的工程质量管理等考核及违约处罚管理办法，承包人在项目实施过程中必须按发包人制定的工程管理办法。</w:t>
      </w:r>
    </w:p>
    <w:p w14:paraId="12B93BBF">
      <w:pPr>
        <w:spacing w:line="460" w:lineRule="exact"/>
        <w:ind w:firstLine="420" w:firstLineChars="200"/>
        <w:rPr>
          <w:rFonts w:ascii="宋体" w:hAnsi="宋体" w:cs="宋体"/>
          <w:szCs w:val="21"/>
        </w:rPr>
      </w:pPr>
    </w:p>
    <w:p w14:paraId="7EAB94A9">
      <w:pPr>
        <w:spacing w:line="460" w:lineRule="exact"/>
        <w:ind w:firstLine="210" w:firstLineChars="100"/>
        <w:rPr>
          <w:rFonts w:ascii="宋体" w:hAnsi="宋体" w:cs="宋体"/>
          <w:szCs w:val="21"/>
        </w:rPr>
      </w:pPr>
    </w:p>
    <w:p w14:paraId="267B2BDC">
      <w:pPr>
        <w:spacing w:line="460" w:lineRule="exact"/>
        <w:ind w:firstLine="420" w:firstLineChars="200"/>
        <w:rPr>
          <w:rFonts w:ascii="宋体" w:hAnsi="宋体" w:cs="宋体"/>
          <w:szCs w:val="21"/>
        </w:rPr>
      </w:pPr>
    </w:p>
    <w:p w14:paraId="31BFD611">
      <w:pPr>
        <w:pStyle w:val="30"/>
        <w:ind w:firstLine="420"/>
        <w:rPr>
          <w:rFonts w:ascii="宋体" w:hAnsi="宋体" w:cs="宋体"/>
          <w:sz w:val="21"/>
          <w:szCs w:val="21"/>
        </w:rPr>
      </w:pPr>
    </w:p>
    <w:p w14:paraId="7563BB34">
      <w:pPr>
        <w:pStyle w:val="30"/>
        <w:ind w:firstLine="420"/>
        <w:rPr>
          <w:rFonts w:ascii="宋体" w:hAnsi="宋体" w:cs="宋体"/>
          <w:sz w:val="21"/>
          <w:szCs w:val="21"/>
        </w:rPr>
      </w:pPr>
    </w:p>
    <w:p w14:paraId="3A09ABF3">
      <w:pPr>
        <w:pStyle w:val="30"/>
        <w:ind w:firstLine="420"/>
        <w:rPr>
          <w:rFonts w:ascii="宋体" w:hAnsi="宋体" w:cs="宋体"/>
          <w:sz w:val="21"/>
          <w:szCs w:val="21"/>
        </w:rPr>
      </w:pPr>
    </w:p>
    <w:p w14:paraId="6B6D11D6">
      <w:pPr>
        <w:pStyle w:val="30"/>
        <w:ind w:firstLine="420"/>
        <w:rPr>
          <w:rFonts w:ascii="宋体" w:hAnsi="宋体" w:cs="宋体"/>
          <w:sz w:val="21"/>
          <w:szCs w:val="21"/>
        </w:rPr>
      </w:pPr>
    </w:p>
    <w:p w14:paraId="76712660">
      <w:pPr>
        <w:pStyle w:val="30"/>
        <w:ind w:firstLine="420"/>
        <w:rPr>
          <w:rFonts w:ascii="宋体" w:hAnsi="宋体" w:cs="宋体"/>
          <w:sz w:val="21"/>
          <w:szCs w:val="21"/>
        </w:rPr>
      </w:pPr>
    </w:p>
    <w:p w14:paraId="6CCE5083">
      <w:pPr>
        <w:pStyle w:val="30"/>
        <w:ind w:firstLine="420"/>
        <w:rPr>
          <w:rFonts w:ascii="宋体" w:hAnsi="宋体" w:cs="宋体"/>
          <w:sz w:val="21"/>
          <w:szCs w:val="21"/>
        </w:rPr>
      </w:pPr>
    </w:p>
    <w:p w14:paraId="3774D0EB">
      <w:pPr>
        <w:pStyle w:val="30"/>
        <w:ind w:firstLine="420"/>
        <w:rPr>
          <w:sz w:val="21"/>
          <w:szCs w:val="21"/>
        </w:rPr>
      </w:pPr>
    </w:p>
    <w:p w14:paraId="11E3F7A3"/>
    <w:bookmarkEnd w:id="310"/>
    <w:bookmarkEnd w:id="311"/>
    <w:p w14:paraId="36D481AE">
      <w:pPr>
        <w:pStyle w:val="5"/>
        <w:jc w:val="center"/>
        <w:rPr>
          <w:rFonts w:ascii="宋体" w:hAnsi="宋体" w:cs="宋体"/>
        </w:rPr>
      </w:pPr>
      <w:bookmarkStart w:id="318" w:name="_Toc7976760"/>
      <w:bookmarkStart w:id="319" w:name="_Toc18348"/>
      <w:bookmarkStart w:id="320" w:name="_Toc394929415"/>
      <w:bookmarkStart w:id="321" w:name="_Toc511286004"/>
      <w:bookmarkStart w:id="322" w:name="_Toc15970"/>
      <w:r>
        <w:rPr>
          <w:rFonts w:hint="eastAsia" w:ascii="宋体" w:hAnsi="宋体" w:cs="宋体"/>
        </w:rPr>
        <w:br w:type="page"/>
      </w:r>
      <w:r>
        <w:rPr>
          <w:rFonts w:hint="eastAsia" w:ascii="宋体" w:hAnsi="宋体" w:cs="宋体"/>
        </w:rPr>
        <w:t>第三节  合同附件格式</w:t>
      </w:r>
      <w:bookmarkEnd w:id="318"/>
      <w:bookmarkEnd w:id="319"/>
      <w:bookmarkEnd w:id="320"/>
      <w:bookmarkEnd w:id="321"/>
      <w:bookmarkEnd w:id="322"/>
    </w:p>
    <w:p w14:paraId="52BDEA35">
      <w:pPr>
        <w:tabs>
          <w:tab w:val="left" w:pos="1080"/>
        </w:tabs>
        <w:rPr>
          <w:rFonts w:ascii="宋体" w:hAnsi="宋体" w:cs="宋体"/>
          <w:szCs w:val="21"/>
        </w:rPr>
      </w:pPr>
    </w:p>
    <w:p w14:paraId="6DCA17C9">
      <w:pPr>
        <w:pStyle w:val="6"/>
        <w:rPr>
          <w:rFonts w:ascii="宋体" w:hAnsi="宋体" w:cs="宋体"/>
        </w:rPr>
      </w:pPr>
      <w:bookmarkStart w:id="323" w:name="_Toc394929416"/>
      <w:r>
        <w:rPr>
          <w:rFonts w:hint="eastAsia" w:ascii="宋体" w:hAnsi="宋体" w:cs="宋体"/>
        </w:rPr>
        <w:t>附件一  合同协议书</w:t>
      </w:r>
      <w:bookmarkEnd w:id="323"/>
    </w:p>
    <w:p w14:paraId="15F15913">
      <w:pPr>
        <w:jc w:val="center"/>
        <w:rPr>
          <w:rFonts w:ascii="宋体" w:hAnsi="宋体" w:cs="宋体"/>
          <w:b/>
          <w:sz w:val="28"/>
          <w:szCs w:val="28"/>
        </w:rPr>
      </w:pPr>
      <w:bookmarkStart w:id="324" w:name="bookmark186"/>
      <w:r>
        <w:rPr>
          <w:rStyle w:val="301"/>
          <w:rFonts w:hint="eastAsia" w:ascii="宋体" w:hAnsi="宋体" w:eastAsia="宋体" w:cs="宋体"/>
          <w:b/>
          <w:color w:val="auto"/>
          <w:sz w:val="28"/>
          <w:szCs w:val="28"/>
        </w:rPr>
        <w:t>合同协议书</w:t>
      </w:r>
      <w:bookmarkEnd w:id="324"/>
    </w:p>
    <w:p w14:paraId="6AA6E756">
      <w:pPr>
        <w:pStyle w:val="2"/>
        <w:tabs>
          <w:tab w:val="left" w:pos="2104"/>
          <w:tab w:val="left" w:pos="3156"/>
          <w:tab w:val="left" w:pos="8619"/>
          <w:tab w:val="left" w:pos="8861"/>
        </w:tabs>
        <w:spacing w:before="74" w:line="343" w:lineRule="auto"/>
        <w:ind w:left="424" w:right="382" w:firstLine="216"/>
        <w:rPr>
          <w:rFonts w:ascii="宋体" w:hAnsi="宋体" w:cs="宋体"/>
          <w:sz w:val="21"/>
          <w:szCs w:val="21"/>
        </w:rPr>
      </w:pPr>
      <w:r>
        <w:rPr>
          <w:rFonts w:hint="eastAsia" w:ascii="宋体" w:hAnsi="宋体" w:cs="宋体"/>
          <w:sz w:val="21"/>
          <w:szCs w:val="21"/>
          <w:u w:val="single"/>
        </w:rPr>
        <w:t>广西壮族自治区灌阳公路养护中心</w:t>
      </w:r>
      <w:r>
        <w:rPr>
          <w:rFonts w:hint="eastAsia" w:ascii="宋体" w:hAnsi="宋体" w:cs="宋体"/>
          <w:sz w:val="21"/>
          <w:szCs w:val="21"/>
        </w:rPr>
        <w:t>（发包人名称</w:t>
      </w:r>
      <w:r>
        <w:rPr>
          <w:rFonts w:hint="eastAsia" w:ascii="宋体" w:hAnsi="宋体" w:cs="宋体"/>
          <w:spacing w:val="-60"/>
          <w:sz w:val="21"/>
          <w:szCs w:val="21"/>
        </w:rPr>
        <w:t>，</w:t>
      </w:r>
      <w:r>
        <w:rPr>
          <w:rFonts w:hint="eastAsia" w:ascii="宋体" w:hAnsi="宋体" w:cs="宋体"/>
          <w:sz w:val="21"/>
          <w:szCs w:val="21"/>
        </w:rPr>
        <w:t>以下简称“发包人</w:t>
      </w:r>
      <w:r>
        <w:rPr>
          <w:rFonts w:hint="eastAsia" w:ascii="宋体" w:hAnsi="宋体" w:cs="宋体"/>
          <w:spacing w:val="-30"/>
          <w:sz w:val="21"/>
          <w:szCs w:val="21"/>
        </w:rPr>
        <w:t>”）</w:t>
      </w:r>
      <w:r>
        <w:rPr>
          <w:rFonts w:hint="eastAsia" w:ascii="宋体" w:hAnsi="宋体" w:cs="宋体"/>
          <w:sz w:val="21"/>
          <w:szCs w:val="21"/>
        </w:rPr>
        <w:t>为实施</w:t>
      </w:r>
      <w:r>
        <w:rPr>
          <w:rFonts w:hint="eastAsia" w:ascii="宋体" w:hAnsi="宋体" w:cs="宋体"/>
          <w:sz w:val="21"/>
          <w:szCs w:val="21"/>
          <w:u w:val="single"/>
        </w:rPr>
        <w:t xml:space="preserve"> 2024年普通国道危旧桥梁改造工程G241线K2814+890石山寨桥</w:t>
      </w:r>
      <w:r>
        <w:rPr>
          <w:rFonts w:hint="eastAsia" w:ascii="宋体" w:hAnsi="宋体" w:cs="宋体"/>
          <w:sz w:val="21"/>
          <w:szCs w:val="21"/>
        </w:rPr>
        <w:t>（</w:t>
      </w:r>
      <w:r>
        <w:rPr>
          <w:rFonts w:hint="eastAsia" w:ascii="宋体" w:hAnsi="宋体" w:cs="宋体"/>
          <w:spacing w:val="-15"/>
          <w:sz w:val="21"/>
          <w:szCs w:val="21"/>
        </w:rPr>
        <w:t>项</w:t>
      </w:r>
      <w:r>
        <w:rPr>
          <w:rFonts w:hint="eastAsia" w:ascii="宋体" w:hAnsi="宋体" w:cs="宋体"/>
          <w:sz w:val="21"/>
          <w:szCs w:val="21"/>
        </w:rPr>
        <w:t>目名</w:t>
      </w:r>
      <w:r>
        <w:rPr>
          <w:rFonts w:hint="eastAsia" w:ascii="宋体" w:hAnsi="宋体" w:cs="宋体"/>
          <w:spacing w:val="-1"/>
          <w:sz w:val="21"/>
          <w:szCs w:val="21"/>
        </w:rPr>
        <w:t>称</w:t>
      </w:r>
      <w:r>
        <w:rPr>
          <w:rFonts w:hint="eastAsia" w:ascii="宋体" w:hAnsi="宋体" w:cs="宋体"/>
          <w:spacing w:val="-120"/>
          <w:sz w:val="21"/>
          <w:szCs w:val="21"/>
        </w:rPr>
        <w:t>）</w:t>
      </w:r>
      <w:r>
        <w:rPr>
          <w:rFonts w:hint="eastAsia" w:ascii="宋体" w:hAnsi="宋体" w:cs="宋体"/>
          <w:spacing w:val="-15"/>
          <w:sz w:val="21"/>
          <w:szCs w:val="21"/>
        </w:rPr>
        <w:t>，</w:t>
      </w:r>
      <w:r>
        <w:rPr>
          <w:rFonts w:hint="eastAsia" w:ascii="宋体" w:hAnsi="宋体" w:cs="宋体"/>
          <w:sz w:val="21"/>
          <w:szCs w:val="21"/>
        </w:rPr>
        <w:t>已接受</w:t>
      </w:r>
      <w:r>
        <w:rPr>
          <w:rFonts w:hint="eastAsia" w:ascii="宋体" w:hAnsi="宋体" w:cs="宋体"/>
          <w:sz w:val="21"/>
          <w:szCs w:val="21"/>
          <w:u w:val="single"/>
        </w:rPr>
        <w:tab/>
      </w:r>
      <w:r>
        <w:rPr>
          <w:rFonts w:hint="eastAsia" w:ascii="宋体" w:hAnsi="宋体" w:cs="宋体"/>
          <w:sz w:val="21"/>
          <w:szCs w:val="21"/>
        </w:rPr>
        <w:t>（承包人名称</w:t>
      </w:r>
      <w:r>
        <w:rPr>
          <w:rFonts w:hint="eastAsia" w:ascii="宋体" w:hAnsi="宋体" w:cs="宋体"/>
          <w:spacing w:val="-15"/>
          <w:sz w:val="21"/>
          <w:szCs w:val="21"/>
        </w:rPr>
        <w:t>，</w:t>
      </w:r>
      <w:r>
        <w:rPr>
          <w:rFonts w:hint="eastAsia" w:ascii="宋体" w:hAnsi="宋体" w:cs="宋体"/>
          <w:sz w:val="21"/>
          <w:szCs w:val="21"/>
        </w:rPr>
        <w:t>以下简称</w:t>
      </w:r>
      <w:r>
        <w:rPr>
          <w:rFonts w:hint="eastAsia" w:ascii="宋体" w:hAnsi="宋体" w:cs="宋体"/>
          <w:spacing w:val="-1"/>
          <w:sz w:val="21"/>
          <w:szCs w:val="21"/>
        </w:rPr>
        <w:t>“</w:t>
      </w:r>
      <w:r>
        <w:rPr>
          <w:rFonts w:hint="eastAsia" w:ascii="宋体" w:hAnsi="宋体" w:cs="宋体"/>
          <w:sz w:val="21"/>
          <w:szCs w:val="21"/>
        </w:rPr>
        <w:t>承包人</w:t>
      </w:r>
      <w:r>
        <w:rPr>
          <w:rFonts w:hint="eastAsia" w:ascii="宋体" w:hAnsi="宋体" w:cs="宋体"/>
          <w:spacing w:val="-1"/>
          <w:sz w:val="21"/>
          <w:szCs w:val="21"/>
        </w:rPr>
        <w:t>”</w:t>
      </w:r>
      <w:r>
        <w:rPr>
          <w:rFonts w:hint="eastAsia" w:ascii="宋体" w:hAnsi="宋体" w:cs="宋体"/>
          <w:spacing w:val="-15"/>
          <w:sz w:val="21"/>
          <w:szCs w:val="21"/>
        </w:rPr>
        <w:t>）</w:t>
      </w:r>
      <w:r>
        <w:rPr>
          <w:rFonts w:hint="eastAsia" w:ascii="宋体" w:hAnsi="宋体" w:cs="宋体"/>
          <w:sz w:val="21"/>
          <w:szCs w:val="21"/>
        </w:rPr>
        <w:t>对</w:t>
      </w:r>
      <w:r>
        <w:rPr>
          <w:rFonts w:hint="eastAsia" w:ascii="宋体" w:hAnsi="宋体" w:cs="宋体"/>
          <w:spacing w:val="2"/>
          <w:sz w:val="21"/>
          <w:szCs w:val="21"/>
        </w:rPr>
        <w:t>该</w:t>
      </w:r>
      <w:r>
        <w:rPr>
          <w:rFonts w:hint="eastAsia" w:ascii="宋体" w:hAnsi="宋体" w:cs="宋体"/>
          <w:sz w:val="21"/>
          <w:szCs w:val="21"/>
        </w:rPr>
        <w:t>项目</w:t>
      </w:r>
      <w:r>
        <w:rPr>
          <w:rFonts w:hint="eastAsia" w:ascii="宋体" w:hAnsi="宋体" w:cs="宋体"/>
          <w:sz w:val="21"/>
          <w:szCs w:val="21"/>
          <w:u w:val="single"/>
        </w:rPr>
        <w:tab/>
      </w:r>
      <w:r>
        <w:rPr>
          <w:rFonts w:hint="eastAsia" w:ascii="宋体" w:hAnsi="宋体" w:cs="宋体"/>
          <w:spacing w:val="-17"/>
          <w:sz w:val="21"/>
          <w:szCs w:val="21"/>
        </w:rPr>
        <w:t>标</w:t>
      </w:r>
      <w:r>
        <w:rPr>
          <w:rFonts w:hint="eastAsia" w:ascii="宋体" w:hAnsi="宋体" w:cs="宋体"/>
          <w:sz w:val="21"/>
          <w:szCs w:val="21"/>
        </w:rPr>
        <w:t>段施工的投标。发包人和承包人共同达成如下协议。</w:t>
      </w:r>
    </w:p>
    <w:p w14:paraId="6FCA9510">
      <w:pPr>
        <w:pStyle w:val="332"/>
        <w:numPr>
          <w:ilvl w:val="3"/>
          <w:numId w:val="4"/>
        </w:numPr>
        <w:tabs>
          <w:tab w:val="left" w:pos="1342"/>
          <w:tab w:val="left" w:pos="2224"/>
        </w:tabs>
        <w:spacing w:before="1" w:line="343" w:lineRule="auto"/>
        <w:ind w:right="37" w:firstLine="617"/>
        <w:rPr>
          <w:rFonts w:ascii="宋体" w:hAnsi="宋体" w:cs="宋体"/>
          <w:szCs w:val="21"/>
        </w:rPr>
      </w:pPr>
      <w:r>
        <w:rPr>
          <w:rFonts w:hint="eastAsia" w:ascii="宋体" w:hAnsi="宋体" w:cs="宋体"/>
          <w:szCs w:val="21"/>
        </w:rPr>
        <w:t>第标段由K ＋ 至K＋ ，长约 km，公路等级为 ，</w:t>
      </w:r>
      <w:r>
        <w:rPr>
          <w:rFonts w:hint="eastAsia" w:ascii="宋体" w:hAnsi="宋体" w:cs="宋体"/>
          <w:spacing w:val="-13"/>
          <w:szCs w:val="21"/>
        </w:rPr>
        <w:t>设</w:t>
      </w:r>
      <w:r>
        <w:rPr>
          <w:rFonts w:hint="eastAsia" w:ascii="宋体" w:hAnsi="宋体" w:cs="宋体"/>
          <w:szCs w:val="21"/>
        </w:rPr>
        <w:t>计速度为</w:t>
      </w:r>
      <w:r>
        <w:rPr>
          <w:rFonts w:hint="eastAsia" w:ascii="宋体" w:hAnsi="宋体" w:cs="宋体"/>
          <w:szCs w:val="21"/>
          <w:u w:val="single"/>
        </w:rPr>
        <w:tab/>
      </w:r>
      <w:r>
        <w:rPr>
          <w:rFonts w:hint="eastAsia" w:ascii="宋体" w:hAnsi="宋体" w:cs="宋体"/>
          <w:spacing w:val="-8"/>
          <w:szCs w:val="21"/>
        </w:rPr>
        <w:t>，</w:t>
      </w:r>
      <w:r>
        <w:rPr>
          <w:rFonts w:hint="eastAsia" w:ascii="宋体" w:hAnsi="宋体" w:cs="宋体"/>
          <w:szCs w:val="21"/>
        </w:rPr>
        <w:t>路面</w:t>
      </w:r>
      <w:r>
        <w:rPr>
          <w:rFonts w:hint="eastAsia" w:ascii="宋体" w:hAnsi="宋体" w:cs="宋体"/>
          <w:spacing w:val="-8"/>
          <w:szCs w:val="21"/>
        </w:rPr>
        <w:t>，</w:t>
      </w:r>
      <w:r>
        <w:rPr>
          <w:rFonts w:hint="eastAsia" w:ascii="宋体" w:hAnsi="宋体" w:cs="宋体"/>
          <w:szCs w:val="21"/>
        </w:rPr>
        <w:t>有立交 处</w:t>
      </w:r>
      <w:r>
        <w:rPr>
          <w:rFonts w:hint="eastAsia" w:ascii="宋体" w:hAnsi="宋体" w:cs="宋体"/>
          <w:spacing w:val="-8"/>
          <w:szCs w:val="21"/>
        </w:rPr>
        <w:t>；</w:t>
      </w:r>
      <w:r>
        <w:rPr>
          <w:rFonts w:hint="eastAsia" w:ascii="宋体" w:hAnsi="宋体" w:cs="宋体"/>
          <w:szCs w:val="21"/>
        </w:rPr>
        <w:t>特大桥座</w:t>
      </w:r>
      <w:r>
        <w:rPr>
          <w:rFonts w:hint="eastAsia" w:ascii="宋体" w:hAnsi="宋体" w:cs="宋体"/>
          <w:spacing w:val="-8"/>
          <w:szCs w:val="21"/>
        </w:rPr>
        <w:t>，</w:t>
      </w:r>
      <w:r>
        <w:rPr>
          <w:rFonts w:hint="eastAsia" w:ascii="宋体" w:hAnsi="宋体" w:cs="宋体"/>
          <w:szCs w:val="21"/>
        </w:rPr>
        <w:t>计长</w:t>
      </w:r>
      <w:r>
        <w:rPr>
          <w:rFonts w:hint="eastAsia" w:ascii="宋体" w:hAnsi="宋体" w:cs="宋体"/>
          <w:spacing w:val="-4"/>
          <w:szCs w:val="21"/>
        </w:rPr>
        <w:t>m；</w:t>
      </w:r>
      <w:r>
        <w:rPr>
          <w:rFonts w:hint="eastAsia" w:ascii="宋体" w:hAnsi="宋体" w:cs="宋体"/>
          <w:szCs w:val="21"/>
        </w:rPr>
        <w:t>大</w:t>
      </w:r>
      <w:r>
        <w:rPr>
          <w:rFonts w:hint="eastAsia" w:ascii="宋体" w:hAnsi="宋体" w:cs="宋体"/>
          <w:spacing w:val="-11"/>
          <w:szCs w:val="21"/>
        </w:rPr>
        <w:t>中</w:t>
      </w:r>
      <w:r>
        <w:rPr>
          <w:rFonts w:hint="eastAsia" w:ascii="宋体" w:hAnsi="宋体" w:cs="宋体"/>
          <w:szCs w:val="21"/>
        </w:rPr>
        <w:t>桥座，计长 m；隧道 座，计长 m 以及其他构造物工程等。</w:t>
      </w:r>
    </w:p>
    <w:p w14:paraId="74712364">
      <w:pPr>
        <w:pStyle w:val="332"/>
        <w:numPr>
          <w:ilvl w:val="3"/>
          <w:numId w:val="4"/>
        </w:numPr>
        <w:tabs>
          <w:tab w:val="left" w:pos="1342"/>
        </w:tabs>
        <w:spacing w:before="1"/>
        <w:ind w:left="1341"/>
        <w:rPr>
          <w:rFonts w:ascii="宋体" w:hAnsi="宋体" w:cs="宋体"/>
          <w:szCs w:val="21"/>
        </w:rPr>
      </w:pPr>
      <w:r>
        <w:rPr>
          <w:rFonts w:hint="eastAsia" w:ascii="宋体" w:hAnsi="宋体" w:cs="宋体"/>
          <w:szCs w:val="21"/>
        </w:rPr>
        <w:t>下列文件应视为构成合同文件的组成部分：</w:t>
      </w:r>
    </w:p>
    <w:p w14:paraId="3D3B39A0">
      <w:pPr>
        <w:pStyle w:val="332"/>
        <w:numPr>
          <w:ilvl w:val="0"/>
          <w:numId w:val="5"/>
        </w:numPr>
        <w:tabs>
          <w:tab w:val="left" w:pos="1643"/>
        </w:tabs>
        <w:spacing w:before="132" w:line="343" w:lineRule="auto"/>
        <w:ind w:right="418" w:firstLine="617"/>
        <w:rPr>
          <w:rFonts w:ascii="宋体" w:hAnsi="宋体" w:cs="宋体"/>
          <w:szCs w:val="21"/>
        </w:rPr>
      </w:pPr>
      <w:r>
        <w:rPr>
          <w:rFonts w:hint="eastAsia" w:ascii="宋体" w:hAnsi="宋体" w:cs="宋体"/>
          <w:spacing w:val="-1"/>
          <w:szCs w:val="21"/>
        </w:rPr>
        <w:t>本协议书及各种合同附件</w:t>
      </w:r>
      <w:r>
        <w:rPr>
          <w:rFonts w:hint="eastAsia" w:ascii="宋体" w:hAnsi="宋体" w:cs="宋体"/>
          <w:szCs w:val="21"/>
        </w:rPr>
        <w:t>（</w:t>
      </w:r>
      <w:r>
        <w:rPr>
          <w:rFonts w:hint="eastAsia" w:ascii="宋体" w:hAnsi="宋体" w:cs="宋体"/>
          <w:spacing w:val="-1"/>
          <w:szCs w:val="21"/>
        </w:rPr>
        <w:t>含评标期间和合同谈判过程中的澄清文件和补充资料</w:t>
      </w:r>
      <w:r>
        <w:rPr>
          <w:rFonts w:hint="eastAsia" w:ascii="宋体" w:hAnsi="宋体" w:cs="宋体"/>
          <w:spacing w:val="-120"/>
          <w:szCs w:val="21"/>
        </w:rPr>
        <w:t>）</w:t>
      </w:r>
      <w:r>
        <w:rPr>
          <w:rFonts w:hint="eastAsia" w:ascii="宋体" w:hAnsi="宋体" w:cs="宋体"/>
          <w:szCs w:val="21"/>
        </w:rPr>
        <w:t>；</w:t>
      </w:r>
    </w:p>
    <w:p w14:paraId="74A9F746">
      <w:pPr>
        <w:pStyle w:val="332"/>
        <w:numPr>
          <w:ilvl w:val="0"/>
          <w:numId w:val="5"/>
        </w:numPr>
        <w:tabs>
          <w:tab w:val="left" w:pos="1643"/>
        </w:tabs>
        <w:spacing w:before="2"/>
        <w:ind w:left="1642"/>
        <w:rPr>
          <w:rFonts w:ascii="宋体" w:hAnsi="宋体" w:cs="宋体"/>
          <w:szCs w:val="21"/>
        </w:rPr>
      </w:pPr>
      <w:r>
        <w:rPr>
          <w:rFonts w:hint="eastAsia" w:ascii="宋体" w:hAnsi="宋体" w:cs="宋体"/>
          <w:szCs w:val="21"/>
        </w:rPr>
        <w:t>中标通知书；</w:t>
      </w:r>
    </w:p>
    <w:p w14:paraId="27F244EB">
      <w:pPr>
        <w:pStyle w:val="332"/>
        <w:numPr>
          <w:ilvl w:val="0"/>
          <w:numId w:val="5"/>
        </w:numPr>
        <w:tabs>
          <w:tab w:val="left" w:pos="1643"/>
        </w:tabs>
        <w:spacing w:before="131"/>
        <w:ind w:left="1642"/>
        <w:rPr>
          <w:rFonts w:ascii="宋体" w:hAnsi="宋体" w:cs="宋体"/>
          <w:szCs w:val="21"/>
        </w:rPr>
      </w:pPr>
      <w:r>
        <w:rPr>
          <w:rFonts w:hint="eastAsia" w:ascii="宋体" w:hAnsi="宋体" w:cs="宋体"/>
          <w:szCs w:val="21"/>
        </w:rPr>
        <w:t>投标函及投标函附录；</w:t>
      </w:r>
    </w:p>
    <w:p w14:paraId="47D223A3">
      <w:pPr>
        <w:pStyle w:val="332"/>
        <w:numPr>
          <w:ilvl w:val="0"/>
          <w:numId w:val="5"/>
        </w:numPr>
        <w:tabs>
          <w:tab w:val="left" w:pos="1643"/>
        </w:tabs>
        <w:spacing w:before="132"/>
        <w:ind w:left="1642"/>
        <w:rPr>
          <w:rFonts w:ascii="宋体" w:hAnsi="宋体" w:cs="宋体"/>
          <w:szCs w:val="21"/>
        </w:rPr>
      </w:pPr>
      <w:r>
        <w:rPr>
          <w:rFonts w:hint="eastAsia" w:ascii="宋体" w:hAnsi="宋体" w:cs="宋体"/>
          <w:szCs w:val="21"/>
        </w:rPr>
        <w:t>项目专用合同条款；</w:t>
      </w:r>
    </w:p>
    <w:p w14:paraId="28BA6FDB">
      <w:pPr>
        <w:pStyle w:val="332"/>
        <w:numPr>
          <w:ilvl w:val="0"/>
          <w:numId w:val="5"/>
        </w:numPr>
        <w:tabs>
          <w:tab w:val="left" w:pos="1643"/>
        </w:tabs>
        <w:spacing w:before="134"/>
        <w:ind w:left="1642"/>
        <w:rPr>
          <w:rFonts w:ascii="宋体" w:hAnsi="宋体" w:cs="宋体"/>
          <w:szCs w:val="21"/>
        </w:rPr>
      </w:pPr>
      <w:r>
        <w:rPr>
          <w:rFonts w:hint="eastAsia" w:ascii="宋体" w:hAnsi="宋体" w:cs="宋体"/>
          <w:szCs w:val="21"/>
        </w:rPr>
        <w:t>公路工程专用合同条款；</w:t>
      </w:r>
    </w:p>
    <w:p w14:paraId="061D3D18">
      <w:pPr>
        <w:pStyle w:val="332"/>
        <w:numPr>
          <w:ilvl w:val="0"/>
          <w:numId w:val="5"/>
        </w:numPr>
        <w:tabs>
          <w:tab w:val="left" w:pos="1643"/>
        </w:tabs>
        <w:spacing w:before="132"/>
        <w:ind w:left="1642"/>
        <w:rPr>
          <w:rFonts w:ascii="宋体" w:hAnsi="宋体" w:cs="宋体"/>
          <w:szCs w:val="21"/>
        </w:rPr>
      </w:pPr>
      <w:r>
        <w:rPr>
          <w:rFonts w:hint="eastAsia" w:ascii="宋体" w:hAnsi="宋体" w:cs="宋体"/>
          <w:szCs w:val="21"/>
        </w:rPr>
        <w:t>通用合同条款；</w:t>
      </w:r>
    </w:p>
    <w:p w14:paraId="60B9D3F8">
      <w:pPr>
        <w:pStyle w:val="332"/>
        <w:numPr>
          <w:ilvl w:val="0"/>
          <w:numId w:val="5"/>
        </w:numPr>
        <w:tabs>
          <w:tab w:val="left" w:pos="1643"/>
        </w:tabs>
        <w:spacing w:before="132"/>
        <w:ind w:left="1642"/>
        <w:rPr>
          <w:rFonts w:ascii="宋体" w:hAnsi="宋体" w:cs="宋体"/>
          <w:szCs w:val="21"/>
        </w:rPr>
      </w:pPr>
      <w:r>
        <w:rPr>
          <w:rFonts w:hint="eastAsia" w:ascii="宋体" w:hAnsi="宋体" w:cs="宋体"/>
          <w:szCs w:val="21"/>
        </w:rPr>
        <w:t>工程量清单计量规则；</w:t>
      </w:r>
    </w:p>
    <w:p w14:paraId="2858A277">
      <w:pPr>
        <w:pStyle w:val="332"/>
        <w:numPr>
          <w:ilvl w:val="0"/>
          <w:numId w:val="5"/>
        </w:numPr>
        <w:tabs>
          <w:tab w:val="left" w:pos="1643"/>
        </w:tabs>
        <w:spacing w:before="134"/>
        <w:ind w:left="1642"/>
        <w:rPr>
          <w:rFonts w:ascii="宋体" w:hAnsi="宋体" w:cs="宋体"/>
          <w:szCs w:val="21"/>
        </w:rPr>
      </w:pPr>
      <w:r>
        <w:rPr>
          <w:rFonts w:hint="eastAsia" w:ascii="宋体" w:hAnsi="宋体" w:cs="宋体"/>
          <w:szCs w:val="21"/>
        </w:rPr>
        <w:t>技术规范；</w:t>
      </w:r>
    </w:p>
    <w:p w14:paraId="74B82299">
      <w:pPr>
        <w:pStyle w:val="332"/>
        <w:numPr>
          <w:ilvl w:val="0"/>
          <w:numId w:val="5"/>
        </w:numPr>
        <w:tabs>
          <w:tab w:val="left" w:pos="1643"/>
        </w:tabs>
        <w:spacing w:before="132"/>
        <w:ind w:left="1642"/>
        <w:rPr>
          <w:rFonts w:ascii="宋体" w:hAnsi="宋体" w:cs="宋体"/>
          <w:szCs w:val="21"/>
        </w:rPr>
      </w:pPr>
      <w:r>
        <w:rPr>
          <w:rFonts w:hint="eastAsia" w:ascii="宋体" w:hAnsi="宋体" w:cs="宋体"/>
          <w:szCs w:val="21"/>
        </w:rPr>
        <w:t>图纸；</w:t>
      </w:r>
    </w:p>
    <w:p w14:paraId="6BC1733E">
      <w:pPr>
        <w:pStyle w:val="332"/>
        <w:numPr>
          <w:ilvl w:val="0"/>
          <w:numId w:val="5"/>
        </w:numPr>
        <w:tabs>
          <w:tab w:val="left" w:pos="1763"/>
        </w:tabs>
        <w:spacing w:before="131"/>
        <w:ind w:left="1762" w:hanging="721"/>
        <w:rPr>
          <w:rFonts w:ascii="宋体" w:hAnsi="宋体" w:cs="宋体"/>
          <w:szCs w:val="21"/>
        </w:rPr>
      </w:pPr>
      <w:r>
        <w:rPr>
          <w:rFonts w:hint="eastAsia" w:ascii="宋体" w:hAnsi="宋体" w:cs="宋体"/>
          <w:szCs w:val="21"/>
        </w:rPr>
        <w:t>已标价工程量清单；</w:t>
      </w:r>
    </w:p>
    <w:p w14:paraId="23920F4D">
      <w:pPr>
        <w:pStyle w:val="332"/>
        <w:numPr>
          <w:ilvl w:val="0"/>
          <w:numId w:val="5"/>
        </w:numPr>
        <w:tabs>
          <w:tab w:val="left" w:pos="1753"/>
        </w:tabs>
        <w:spacing w:before="135"/>
        <w:ind w:left="1752" w:hanging="711"/>
        <w:rPr>
          <w:rFonts w:ascii="宋体" w:hAnsi="宋体" w:cs="宋体"/>
          <w:szCs w:val="21"/>
        </w:rPr>
      </w:pPr>
      <w:r>
        <w:rPr>
          <w:rFonts w:hint="eastAsia" w:ascii="宋体" w:hAnsi="宋体" w:cs="宋体"/>
          <w:szCs w:val="21"/>
        </w:rPr>
        <w:t>承包人有关人员、设备投入的承诺及投标文件中的施工组织设计；</w:t>
      </w:r>
    </w:p>
    <w:p w14:paraId="6B3FADED">
      <w:pPr>
        <w:pStyle w:val="332"/>
        <w:numPr>
          <w:ilvl w:val="0"/>
          <w:numId w:val="5"/>
        </w:numPr>
        <w:tabs>
          <w:tab w:val="left" w:pos="1763"/>
        </w:tabs>
        <w:spacing w:before="132"/>
        <w:ind w:left="1762" w:hanging="721"/>
        <w:rPr>
          <w:rFonts w:ascii="宋体" w:hAnsi="宋体" w:cs="宋体"/>
          <w:szCs w:val="21"/>
        </w:rPr>
      </w:pPr>
      <w:r>
        <w:rPr>
          <w:rFonts w:hint="eastAsia" w:ascii="宋体" w:hAnsi="宋体" w:cs="宋体"/>
          <w:szCs w:val="21"/>
        </w:rPr>
        <w:t>其他合同文件。</w:t>
      </w:r>
    </w:p>
    <w:p w14:paraId="454E394A">
      <w:pPr>
        <w:pStyle w:val="2"/>
        <w:spacing w:before="131" w:line="345" w:lineRule="auto"/>
        <w:ind w:left="424" w:right="427" w:firstLine="616"/>
        <w:rPr>
          <w:rFonts w:ascii="宋体" w:hAnsi="宋体" w:cs="宋体"/>
          <w:sz w:val="21"/>
          <w:szCs w:val="21"/>
        </w:rPr>
      </w:pPr>
      <w:r>
        <w:rPr>
          <w:rFonts w:hint="eastAsia" w:ascii="宋体" w:hAnsi="宋体" w:cs="宋体"/>
          <w:sz w:val="21"/>
          <w:szCs w:val="21"/>
        </w:rPr>
        <w:t>上述合同文件互相补充和解释。如果合同文件之间存在矛盾或不一致之处， 以上述文件的排列顺序在先者为准。</w:t>
      </w:r>
    </w:p>
    <w:p w14:paraId="3FBB806C">
      <w:pPr>
        <w:pStyle w:val="332"/>
        <w:numPr>
          <w:ilvl w:val="3"/>
          <w:numId w:val="4"/>
        </w:numPr>
        <w:tabs>
          <w:tab w:val="left" w:pos="1344"/>
          <w:tab w:val="left" w:pos="2584"/>
          <w:tab w:val="left" w:pos="4144"/>
        </w:tabs>
        <w:spacing w:line="343" w:lineRule="auto"/>
        <w:ind w:right="415" w:firstLine="617"/>
        <w:rPr>
          <w:rFonts w:ascii="宋体" w:hAnsi="宋体" w:cs="宋体"/>
          <w:szCs w:val="21"/>
        </w:rPr>
      </w:pPr>
      <w:r>
        <w:rPr>
          <w:rFonts w:hint="eastAsia" w:ascii="宋体" w:hAnsi="宋体" w:cs="宋体"/>
          <w:szCs w:val="21"/>
        </w:rPr>
        <w:t>根据工程量清单所列的预计数量和单价或总额价计算</w:t>
      </w:r>
      <w:r>
        <w:rPr>
          <w:rFonts w:hint="eastAsia" w:ascii="宋体" w:hAnsi="宋体" w:cs="宋体"/>
          <w:spacing w:val="6"/>
          <w:szCs w:val="21"/>
        </w:rPr>
        <w:t>的</w:t>
      </w:r>
      <w:r>
        <w:rPr>
          <w:rFonts w:hint="eastAsia" w:ascii="宋体" w:hAnsi="宋体" w:cs="宋体"/>
          <w:szCs w:val="21"/>
        </w:rPr>
        <w:t>签约合同价：人</w:t>
      </w:r>
      <w:r>
        <w:rPr>
          <w:rFonts w:hint="eastAsia" w:ascii="宋体" w:hAnsi="宋体" w:cs="宋体"/>
          <w:spacing w:val="-13"/>
          <w:szCs w:val="21"/>
        </w:rPr>
        <w:t>民</w:t>
      </w:r>
      <w:r>
        <w:rPr>
          <w:rFonts w:hint="eastAsia" w:ascii="宋体" w:hAnsi="宋体" w:cs="宋体"/>
          <w:szCs w:val="21"/>
        </w:rPr>
        <w:t>币（大写）</w:t>
      </w:r>
      <w:r>
        <w:rPr>
          <w:rFonts w:hint="eastAsia" w:ascii="宋体" w:hAnsi="宋体" w:cs="宋体"/>
          <w:szCs w:val="21"/>
          <w:u w:val="single"/>
        </w:rPr>
        <w:tab/>
      </w:r>
      <w:r>
        <w:rPr>
          <w:rFonts w:hint="eastAsia" w:ascii="宋体" w:hAnsi="宋体" w:cs="宋体"/>
          <w:szCs w:val="21"/>
        </w:rPr>
        <w:t>元（¥</w:t>
      </w:r>
      <w:r>
        <w:rPr>
          <w:rFonts w:hint="eastAsia" w:ascii="宋体" w:hAnsi="宋体" w:cs="宋体"/>
          <w:szCs w:val="21"/>
          <w:u w:val="single"/>
        </w:rPr>
        <w:tab/>
      </w:r>
      <w:r>
        <w:rPr>
          <w:rFonts w:hint="eastAsia" w:ascii="宋体" w:hAnsi="宋体" w:cs="宋体"/>
          <w:spacing w:val="-120"/>
          <w:szCs w:val="21"/>
        </w:rPr>
        <w:t>）</w:t>
      </w:r>
      <w:r>
        <w:rPr>
          <w:rFonts w:hint="eastAsia" w:ascii="宋体" w:hAnsi="宋体" w:cs="宋体"/>
          <w:szCs w:val="21"/>
        </w:rPr>
        <w:t>。</w:t>
      </w:r>
    </w:p>
    <w:p w14:paraId="7AFE246F">
      <w:pPr>
        <w:pStyle w:val="332"/>
        <w:numPr>
          <w:ilvl w:val="3"/>
          <w:numId w:val="4"/>
        </w:numPr>
        <w:tabs>
          <w:tab w:val="left" w:pos="1342"/>
          <w:tab w:val="left" w:pos="4701"/>
          <w:tab w:val="left" w:pos="8782"/>
        </w:tabs>
        <w:ind w:left="1341"/>
        <w:rPr>
          <w:rFonts w:ascii="宋体" w:hAnsi="宋体" w:cs="宋体"/>
          <w:szCs w:val="21"/>
        </w:rPr>
      </w:pPr>
      <w:r>
        <w:rPr>
          <w:rFonts w:hint="eastAsia" w:ascii="宋体" w:hAnsi="宋体" w:cs="宋体"/>
          <w:szCs w:val="21"/>
        </w:rPr>
        <w:t>承包人项目经理：</w:t>
      </w:r>
      <w:r>
        <w:rPr>
          <w:rFonts w:hint="eastAsia" w:ascii="宋体" w:hAnsi="宋体" w:cs="宋体"/>
          <w:szCs w:val="21"/>
          <w:u w:val="single"/>
        </w:rPr>
        <w:tab/>
      </w:r>
      <w:r>
        <w:rPr>
          <w:rFonts w:hint="eastAsia" w:ascii="宋体" w:hAnsi="宋体" w:cs="宋体"/>
          <w:szCs w:val="21"/>
        </w:rPr>
        <w:t>。承包人项目总工：</w:t>
      </w:r>
      <w:r>
        <w:rPr>
          <w:rFonts w:hint="eastAsia" w:ascii="宋体" w:hAnsi="宋体" w:cs="宋体"/>
          <w:szCs w:val="21"/>
          <w:u w:val="single"/>
        </w:rPr>
        <w:tab/>
      </w:r>
      <w:r>
        <w:rPr>
          <w:rFonts w:hint="eastAsia" w:ascii="宋体" w:hAnsi="宋体" w:cs="宋体"/>
          <w:szCs w:val="21"/>
        </w:rPr>
        <w:t>。</w:t>
      </w:r>
    </w:p>
    <w:p w14:paraId="1726BB26">
      <w:pPr>
        <w:pStyle w:val="332"/>
        <w:numPr>
          <w:ilvl w:val="3"/>
          <w:numId w:val="4"/>
        </w:numPr>
        <w:tabs>
          <w:tab w:val="left" w:pos="1342"/>
          <w:tab w:val="left" w:pos="4341"/>
          <w:tab w:val="left" w:pos="8662"/>
        </w:tabs>
        <w:spacing w:before="129"/>
        <w:ind w:left="1341"/>
        <w:rPr>
          <w:rFonts w:ascii="宋体" w:hAnsi="宋体" w:cs="宋体"/>
          <w:szCs w:val="21"/>
        </w:rPr>
      </w:pPr>
      <w:r>
        <w:rPr>
          <w:rFonts w:hint="eastAsia" w:ascii="宋体" w:hAnsi="宋体" w:cs="宋体"/>
          <w:szCs w:val="21"/>
        </w:rPr>
        <w:t>工程质量:</w:t>
      </w:r>
      <w:r>
        <w:rPr>
          <w:rFonts w:hint="eastAsia" w:ascii="宋体" w:hAnsi="宋体" w:cs="宋体"/>
          <w:szCs w:val="21"/>
          <w:u w:val="single"/>
        </w:rPr>
        <w:t xml:space="preserve"> 交工验收的质量评定合格,竣工验收的质量评定优良 </w:t>
      </w:r>
      <w:r>
        <w:rPr>
          <w:rFonts w:hint="eastAsia" w:ascii="宋体" w:hAnsi="宋体" w:cs="宋体"/>
          <w:szCs w:val="21"/>
        </w:rPr>
        <w:t>标准。工程安全目标：</w:t>
      </w:r>
      <w:r>
        <w:rPr>
          <w:rFonts w:hint="eastAsia" w:ascii="宋体" w:hAnsi="宋体" w:cs="宋体"/>
          <w:szCs w:val="21"/>
          <w:u w:val="single"/>
        </w:rPr>
        <w:t xml:space="preserve"> 无安全生产责任事故 。</w:t>
      </w:r>
    </w:p>
    <w:p w14:paraId="6CB670CD">
      <w:pPr>
        <w:pStyle w:val="332"/>
        <w:numPr>
          <w:ilvl w:val="3"/>
          <w:numId w:val="4"/>
        </w:numPr>
        <w:tabs>
          <w:tab w:val="left" w:pos="1342"/>
        </w:tabs>
        <w:spacing w:before="132"/>
        <w:ind w:left="1341"/>
        <w:rPr>
          <w:rFonts w:ascii="宋体" w:hAnsi="宋体" w:cs="宋体"/>
          <w:szCs w:val="21"/>
        </w:rPr>
      </w:pPr>
      <w:r>
        <w:rPr>
          <w:rFonts w:hint="eastAsia" w:ascii="宋体" w:hAnsi="宋体" w:cs="宋体"/>
          <w:szCs w:val="21"/>
        </w:rPr>
        <w:t>承包人承诺按合同约定承担工程的实施、完成及缺陷修复。</w:t>
      </w:r>
    </w:p>
    <w:p w14:paraId="190A7DB4">
      <w:pPr>
        <w:pStyle w:val="332"/>
        <w:numPr>
          <w:ilvl w:val="3"/>
          <w:numId w:val="4"/>
        </w:numPr>
        <w:tabs>
          <w:tab w:val="left" w:pos="1342"/>
        </w:tabs>
        <w:spacing w:before="134"/>
        <w:ind w:left="1341"/>
        <w:rPr>
          <w:rFonts w:ascii="宋体" w:hAnsi="宋体" w:cs="宋体"/>
          <w:szCs w:val="21"/>
        </w:rPr>
      </w:pPr>
      <w:r>
        <w:rPr>
          <w:rFonts w:hint="eastAsia" w:ascii="宋体" w:hAnsi="宋体" w:cs="宋体"/>
          <w:szCs w:val="21"/>
        </w:rPr>
        <w:t>发包人承诺按合同约定的条件、时间和方式向承包人支付合同价款。</w:t>
      </w:r>
    </w:p>
    <w:p w14:paraId="16DFE4C8">
      <w:pPr>
        <w:pStyle w:val="332"/>
        <w:numPr>
          <w:ilvl w:val="3"/>
          <w:numId w:val="4"/>
        </w:numPr>
        <w:tabs>
          <w:tab w:val="left" w:pos="1342"/>
          <w:tab w:val="left" w:pos="5902"/>
        </w:tabs>
        <w:spacing w:before="74"/>
        <w:ind w:left="1341"/>
        <w:rPr>
          <w:rFonts w:ascii="宋体" w:hAnsi="宋体" w:cs="宋体"/>
          <w:szCs w:val="21"/>
        </w:rPr>
      </w:pPr>
      <w:r>
        <w:rPr>
          <w:rFonts w:hint="eastAsia" w:ascii="宋体" w:hAnsi="宋体" w:cs="宋体"/>
          <w:szCs w:val="21"/>
        </w:rPr>
        <w:t>承包人应按照监理人指示开工，工期为</w:t>
      </w:r>
      <w:r>
        <w:rPr>
          <w:rFonts w:hint="eastAsia" w:ascii="宋体" w:hAnsi="宋体" w:cs="宋体"/>
          <w:szCs w:val="21"/>
          <w:u w:val="single"/>
        </w:rPr>
        <w:tab/>
      </w:r>
      <w:r>
        <w:rPr>
          <w:rFonts w:hint="eastAsia" w:ascii="宋体" w:hAnsi="宋体" w:cs="宋体"/>
          <w:szCs w:val="21"/>
        </w:rPr>
        <w:t>日历天。</w:t>
      </w:r>
    </w:p>
    <w:p w14:paraId="46A8D131">
      <w:pPr>
        <w:pStyle w:val="332"/>
        <w:numPr>
          <w:ilvl w:val="3"/>
          <w:numId w:val="4"/>
        </w:numPr>
        <w:tabs>
          <w:tab w:val="left" w:pos="1344"/>
        </w:tabs>
        <w:spacing w:before="132" w:line="343" w:lineRule="auto"/>
        <w:ind w:right="382" w:firstLine="617"/>
        <w:rPr>
          <w:rFonts w:ascii="宋体" w:hAnsi="宋体" w:cs="宋体"/>
          <w:szCs w:val="21"/>
        </w:rPr>
      </w:pPr>
      <w:r>
        <w:rPr>
          <w:rFonts w:hint="eastAsia" w:ascii="宋体" w:hAnsi="宋体" w:cs="宋体"/>
          <w:szCs w:val="21"/>
        </w:rPr>
        <w:t>本协议书在承包人提供履约保证金后，由双方法定代表人或其委托代理人签署并加盖单位章后生效。全部工程完工后经交工验收合格、缺陷责任期满签发缺陷责任终止证书后失效。</w:t>
      </w:r>
    </w:p>
    <w:p w14:paraId="5896321C">
      <w:pPr>
        <w:pStyle w:val="332"/>
        <w:numPr>
          <w:ilvl w:val="3"/>
          <w:numId w:val="4"/>
        </w:numPr>
        <w:tabs>
          <w:tab w:val="left" w:pos="1462"/>
          <w:tab w:val="left" w:pos="4581"/>
          <w:tab w:val="left" w:pos="8662"/>
        </w:tabs>
        <w:spacing w:line="343" w:lineRule="auto"/>
        <w:ind w:right="341" w:firstLine="617"/>
        <w:rPr>
          <w:rFonts w:ascii="宋体" w:hAnsi="宋体" w:cs="宋体"/>
          <w:szCs w:val="21"/>
        </w:rPr>
      </w:pPr>
      <w:r>
        <w:rPr>
          <w:rFonts w:hint="eastAsia" w:ascii="宋体" w:hAnsi="宋体" w:cs="宋体"/>
          <w:szCs w:val="21"/>
        </w:rPr>
        <w:t>本协议书一式六份，合同双方各执三份。</w:t>
      </w:r>
    </w:p>
    <w:p w14:paraId="08E2D418">
      <w:pPr>
        <w:pStyle w:val="332"/>
        <w:numPr>
          <w:ilvl w:val="3"/>
          <w:numId w:val="4"/>
        </w:numPr>
        <w:tabs>
          <w:tab w:val="left" w:pos="1452"/>
        </w:tabs>
        <w:spacing w:before="2"/>
        <w:ind w:left="1451" w:hanging="410"/>
        <w:rPr>
          <w:rFonts w:ascii="宋体" w:hAnsi="宋体" w:cs="宋体"/>
          <w:szCs w:val="21"/>
        </w:rPr>
      </w:pPr>
      <w:r>
        <w:rPr>
          <w:rFonts w:hint="eastAsia" w:ascii="宋体" w:hAnsi="宋体" w:cs="宋体"/>
          <w:szCs w:val="21"/>
        </w:rPr>
        <w:t>合同未尽事宜，双方另行签订补充协议。补充协议是合同的组成部分。</w:t>
      </w:r>
    </w:p>
    <w:p w14:paraId="1BD3A2F5">
      <w:pPr>
        <w:pStyle w:val="2"/>
        <w:rPr>
          <w:rFonts w:ascii="宋体" w:hAnsi="宋体" w:cs="宋体"/>
          <w:sz w:val="21"/>
          <w:szCs w:val="21"/>
        </w:rPr>
      </w:pPr>
    </w:p>
    <w:p w14:paraId="301FAB35">
      <w:pPr>
        <w:pStyle w:val="2"/>
        <w:spacing w:before="7"/>
        <w:rPr>
          <w:rFonts w:ascii="宋体" w:hAnsi="宋体" w:cs="宋体"/>
          <w:sz w:val="21"/>
          <w:szCs w:val="21"/>
        </w:rPr>
      </w:pPr>
    </w:p>
    <w:p w14:paraId="46B94857">
      <w:pPr>
        <w:pStyle w:val="2"/>
        <w:tabs>
          <w:tab w:val="left" w:pos="3151"/>
          <w:tab w:val="left" w:pos="4934"/>
          <w:tab w:val="left" w:pos="5174"/>
          <w:tab w:val="left" w:pos="7781"/>
        </w:tabs>
        <w:spacing w:line="345" w:lineRule="auto"/>
        <w:ind w:left="424" w:right="262"/>
        <w:rPr>
          <w:rFonts w:ascii="宋体" w:hAnsi="宋体" w:cs="宋体"/>
          <w:spacing w:val="-17"/>
          <w:sz w:val="21"/>
          <w:szCs w:val="21"/>
        </w:rPr>
      </w:pPr>
      <w:r>
        <w:rPr>
          <w:rFonts w:hint="eastAsia" w:ascii="宋体" w:hAnsi="宋体" w:cs="宋体"/>
          <w:sz w:val="21"/>
          <w:szCs w:val="21"/>
        </w:rPr>
        <w:t>发包人</w:t>
      </w:r>
      <w:r>
        <w:rPr>
          <w:rFonts w:hint="eastAsia" w:ascii="宋体" w:hAnsi="宋体" w:cs="宋体"/>
          <w:spacing w:val="-17"/>
          <w:sz w:val="21"/>
          <w:szCs w:val="21"/>
        </w:rPr>
        <w:t>：</w:t>
      </w:r>
      <w:r>
        <w:rPr>
          <w:rFonts w:hint="eastAsia" w:ascii="宋体" w:hAnsi="宋体" w:cs="宋体"/>
          <w:sz w:val="21"/>
          <w:szCs w:val="21"/>
        </w:rPr>
        <w:t>（盖单位章）承包人</w:t>
      </w:r>
      <w:r>
        <w:rPr>
          <w:rFonts w:hint="eastAsia" w:ascii="宋体" w:hAnsi="宋体" w:cs="宋体"/>
          <w:spacing w:val="-17"/>
          <w:sz w:val="21"/>
          <w:szCs w:val="21"/>
        </w:rPr>
        <w:t>：</w:t>
      </w:r>
      <w:r>
        <w:rPr>
          <w:rFonts w:hint="eastAsia" w:ascii="宋体" w:hAnsi="宋体" w:cs="宋体"/>
          <w:sz w:val="21"/>
          <w:szCs w:val="21"/>
        </w:rPr>
        <w:t>（盖单位章</w:t>
      </w:r>
      <w:r>
        <w:rPr>
          <w:rFonts w:hint="eastAsia" w:ascii="宋体" w:hAnsi="宋体" w:cs="宋体"/>
          <w:spacing w:val="-17"/>
          <w:sz w:val="21"/>
          <w:szCs w:val="21"/>
        </w:rPr>
        <w:t xml:space="preserve">） </w:t>
      </w:r>
    </w:p>
    <w:p w14:paraId="3740CA73">
      <w:pPr>
        <w:pStyle w:val="2"/>
        <w:tabs>
          <w:tab w:val="left" w:pos="3151"/>
          <w:tab w:val="left" w:pos="4934"/>
          <w:tab w:val="left" w:pos="5174"/>
          <w:tab w:val="left" w:pos="7781"/>
        </w:tabs>
        <w:spacing w:line="345" w:lineRule="auto"/>
        <w:ind w:left="424" w:right="37"/>
        <w:rPr>
          <w:rFonts w:ascii="宋体" w:hAnsi="宋体" w:cs="宋体"/>
          <w:sz w:val="21"/>
          <w:szCs w:val="21"/>
        </w:rPr>
      </w:pPr>
      <w:r>
        <w:rPr>
          <w:rFonts w:hint="eastAsia" w:ascii="宋体" w:hAnsi="宋体" w:cs="宋体"/>
          <w:sz w:val="21"/>
          <w:szCs w:val="21"/>
        </w:rPr>
        <w:t>法定代表人或其委托代理人</w:t>
      </w:r>
      <w:r>
        <w:rPr>
          <w:rFonts w:hint="eastAsia" w:ascii="宋体" w:hAnsi="宋体" w:cs="宋体"/>
          <w:spacing w:val="-17"/>
          <w:sz w:val="21"/>
          <w:szCs w:val="21"/>
        </w:rPr>
        <w:t>：</w:t>
      </w:r>
      <w:r>
        <w:rPr>
          <w:rFonts w:hint="eastAsia" w:ascii="宋体" w:hAnsi="宋体" w:cs="宋体"/>
          <w:sz w:val="21"/>
          <w:szCs w:val="21"/>
        </w:rPr>
        <w:t>（签字）法定代表人或其委托代理人</w:t>
      </w:r>
      <w:r>
        <w:rPr>
          <w:rFonts w:hint="eastAsia" w:ascii="宋体" w:hAnsi="宋体" w:cs="宋体"/>
          <w:spacing w:val="-16"/>
          <w:sz w:val="21"/>
          <w:szCs w:val="21"/>
        </w:rPr>
        <w:t>：</w:t>
      </w:r>
      <w:r>
        <w:rPr>
          <w:rFonts w:hint="eastAsia" w:ascii="宋体" w:hAnsi="宋体" w:cs="宋体"/>
          <w:sz w:val="21"/>
          <w:szCs w:val="21"/>
        </w:rPr>
        <w:t>（签字</w:t>
      </w:r>
      <w:r>
        <w:rPr>
          <w:rFonts w:hint="eastAsia" w:ascii="宋体" w:hAnsi="宋体" w:cs="宋体"/>
          <w:spacing w:val="-17"/>
          <w:sz w:val="21"/>
          <w:szCs w:val="21"/>
        </w:rPr>
        <w:t>）</w:t>
      </w:r>
    </w:p>
    <w:p w14:paraId="70E7D38C">
      <w:pPr>
        <w:pStyle w:val="2"/>
        <w:tabs>
          <w:tab w:val="left" w:pos="2344"/>
          <w:tab w:val="left" w:pos="3184"/>
          <w:tab w:val="left" w:pos="4024"/>
          <w:tab w:val="left" w:pos="5945"/>
          <w:tab w:val="left" w:pos="7025"/>
          <w:tab w:val="left" w:pos="7865"/>
          <w:tab w:val="left" w:pos="8705"/>
        </w:tabs>
        <w:spacing w:line="303" w:lineRule="exact"/>
        <w:ind w:left="1264"/>
        <w:rPr>
          <w:rFonts w:ascii="宋体" w:hAnsi="宋体" w:cs="宋体"/>
          <w:sz w:val="21"/>
          <w:szCs w:val="21"/>
        </w:rPr>
        <w:sectPr>
          <w:pgSz w:w="11911" w:h="16849"/>
          <w:pgMar w:top="1417" w:right="1417" w:bottom="1417" w:left="1417" w:header="720" w:footer="720" w:gutter="0"/>
          <w:cols w:space="720" w:num="1"/>
        </w:sectPr>
      </w:pPr>
      <w:r>
        <w:rPr>
          <w:rFonts w:hint="eastAsia" w:ascii="宋体" w:hAnsi="宋体" w:cs="宋体"/>
          <w:sz w:val="21"/>
          <w:szCs w:val="21"/>
          <w:u w:val="single"/>
        </w:rPr>
        <w:tab/>
      </w:r>
      <w:r>
        <w:rPr>
          <w:rFonts w:hint="eastAsia" w:ascii="宋体" w:hAnsi="宋体" w:cs="宋体"/>
          <w:sz w:val="21"/>
          <w:szCs w:val="21"/>
        </w:rPr>
        <w:t>年</w:t>
      </w:r>
      <w:r>
        <w:rPr>
          <w:rFonts w:hint="eastAsia" w:ascii="宋体" w:hAnsi="宋体" w:cs="宋体"/>
          <w:sz w:val="21"/>
          <w:szCs w:val="21"/>
          <w:u w:val="single"/>
        </w:rPr>
        <w:tab/>
      </w:r>
      <w:r>
        <w:rPr>
          <w:rFonts w:hint="eastAsia" w:ascii="宋体" w:hAnsi="宋体" w:cs="宋体"/>
          <w:sz w:val="21"/>
          <w:szCs w:val="21"/>
        </w:rPr>
        <w:t>月</w:t>
      </w:r>
      <w:r>
        <w:rPr>
          <w:rFonts w:hint="eastAsia" w:ascii="宋体" w:hAnsi="宋体" w:cs="宋体"/>
          <w:sz w:val="21"/>
          <w:szCs w:val="21"/>
          <w:u w:val="single"/>
        </w:rPr>
        <w:tab/>
      </w:r>
      <w:r>
        <w:rPr>
          <w:rFonts w:hint="eastAsia" w:ascii="宋体" w:hAnsi="宋体" w:cs="宋体"/>
          <w:sz w:val="21"/>
          <w:szCs w:val="21"/>
        </w:rPr>
        <w:t>日</w:t>
      </w:r>
      <w:r>
        <w:rPr>
          <w:rFonts w:hint="eastAsia" w:ascii="宋体" w:hAnsi="宋体" w:cs="宋体"/>
          <w:sz w:val="21"/>
          <w:szCs w:val="21"/>
        </w:rPr>
        <w:tab/>
      </w:r>
      <w:r>
        <w:rPr>
          <w:rFonts w:hint="eastAsia" w:ascii="宋体" w:hAnsi="宋体" w:cs="宋体"/>
          <w:sz w:val="21"/>
          <w:szCs w:val="21"/>
          <w:u w:val="single"/>
        </w:rPr>
        <w:tab/>
      </w:r>
      <w:r>
        <w:rPr>
          <w:rFonts w:hint="eastAsia" w:ascii="宋体" w:hAnsi="宋体" w:cs="宋体"/>
          <w:sz w:val="21"/>
          <w:szCs w:val="21"/>
        </w:rPr>
        <w:t>年</w:t>
      </w:r>
      <w:r>
        <w:rPr>
          <w:rFonts w:hint="eastAsia" w:ascii="宋体" w:hAnsi="宋体" w:cs="宋体"/>
          <w:sz w:val="21"/>
          <w:szCs w:val="21"/>
          <w:u w:val="single"/>
        </w:rPr>
        <w:tab/>
      </w:r>
      <w:r>
        <w:rPr>
          <w:rFonts w:hint="eastAsia" w:ascii="宋体" w:hAnsi="宋体" w:cs="宋体"/>
          <w:sz w:val="21"/>
          <w:szCs w:val="21"/>
        </w:rPr>
        <w:t>月</w:t>
      </w:r>
      <w:r>
        <w:rPr>
          <w:rFonts w:hint="eastAsia" w:ascii="宋体" w:hAnsi="宋体" w:cs="宋体"/>
          <w:sz w:val="21"/>
          <w:szCs w:val="21"/>
          <w:u w:val="single"/>
        </w:rPr>
        <w:tab/>
      </w:r>
      <w:r>
        <w:rPr>
          <w:rFonts w:hint="eastAsia" w:ascii="宋体" w:hAnsi="宋体" w:cs="宋体"/>
          <w:sz w:val="21"/>
          <w:szCs w:val="21"/>
        </w:rPr>
        <w:t>日</w:t>
      </w:r>
    </w:p>
    <w:p w14:paraId="45691482">
      <w:pPr>
        <w:spacing w:line="420" w:lineRule="exact"/>
        <w:jc w:val="left"/>
        <w:rPr>
          <w:rFonts w:ascii="宋体" w:hAnsi="宋体" w:cs="宋体"/>
          <w:b/>
          <w:sz w:val="24"/>
        </w:rPr>
      </w:pPr>
      <w:r>
        <w:rPr>
          <w:rFonts w:hint="eastAsia" w:ascii="宋体" w:hAnsi="宋体" w:cs="宋体"/>
          <w:b/>
          <w:sz w:val="24"/>
        </w:rPr>
        <w:t>附件二：廉政合同</w:t>
      </w:r>
    </w:p>
    <w:p w14:paraId="3EA0CAEE">
      <w:pPr>
        <w:spacing w:line="420" w:lineRule="exact"/>
        <w:jc w:val="center"/>
        <w:rPr>
          <w:rFonts w:ascii="宋体" w:hAnsi="宋体" w:cs="宋体"/>
          <w:b/>
          <w:sz w:val="32"/>
          <w:szCs w:val="32"/>
        </w:rPr>
      </w:pPr>
      <w:r>
        <w:rPr>
          <w:rFonts w:hint="eastAsia" w:ascii="宋体" w:hAnsi="宋体" w:cs="宋体"/>
          <w:b/>
          <w:sz w:val="32"/>
          <w:szCs w:val="32"/>
        </w:rPr>
        <w:t xml:space="preserve">  廉政合同</w:t>
      </w:r>
    </w:p>
    <w:p w14:paraId="2320DC5B">
      <w:pPr>
        <w:spacing w:line="420" w:lineRule="exact"/>
        <w:jc w:val="center"/>
        <w:rPr>
          <w:rFonts w:ascii="宋体" w:hAnsi="宋体" w:cs="宋体"/>
          <w:b/>
          <w:sz w:val="32"/>
          <w:szCs w:val="32"/>
        </w:rPr>
      </w:pPr>
    </w:p>
    <w:p w14:paraId="57B63732">
      <w:pPr>
        <w:spacing w:line="420" w:lineRule="exact"/>
        <w:ind w:firstLine="420" w:firstLineChars="200"/>
        <w:rPr>
          <w:rFonts w:ascii="宋体" w:hAnsi="宋体" w:cs="宋体"/>
          <w:szCs w:val="21"/>
        </w:rPr>
      </w:pPr>
      <w:r>
        <w:rPr>
          <w:rFonts w:hint="eastAsia" w:ascii="宋体" w:hAnsi="宋体" w:cs="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60E3B30A">
      <w:pPr>
        <w:spacing w:line="420" w:lineRule="exact"/>
        <w:ind w:firstLine="420" w:firstLineChars="200"/>
        <w:rPr>
          <w:rFonts w:ascii="宋体" w:hAnsi="宋体" w:cs="宋体"/>
          <w:szCs w:val="21"/>
        </w:rPr>
      </w:pPr>
      <w:r>
        <w:rPr>
          <w:rFonts w:hint="eastAsia" w:ascii="宋体" w:hAnsi="宋体" w:cs="宋体"/>
          <w:szCs w:val="21"/>
        </w:rPr>
        <w:t>1.发包人和承包人双方的权利和义务</w:t>
      </w:r>
    </w:p>
    <w:p w14:paraId="2ED764BA">
      <w:pPr>
        <w:spacing w:line="420" w:lineRule="exact"/>
        <w:ind w:firstLine="210" w:firstLineChars="100"/>
        <w:rPr>
          <w:rFonts w:ascii="宋体" w:hAnsi="宋体" w:cs="宋体"/>
          <w:szCs w:val="21"/>
        </w:rPr>
      </w:pPr>
      <w:r>
        <w:rPr>
          <w:rFonts w:hint="eastAsia" w:ascii="宋体" w:hAnsi="宋体" w:cs="宋体"/>
          <w:szCs w:val="21"/>
        </w:rPr>
        <w:t>（1）严格遵守党的政策规定和国家有关法律法规及交通运输部的有关规定。</w:t>
      </w:r>
    </w:p>
    <w:p w14:paraId="757949F4">
      <w:pPr>
        <w:spacing w:line="420" w:lineRule="exact"/>
        <w:ind w:firstLine="210" w:firstLineChars="100"/>
        <w:rPr>
          <w:rFonts w:ascii="宋体" w:hAnsi="宋体" w:cs="宋体"/>
          <w:szCs w:val="21"/>
        </w:rPr>
      </w:pPr>
      <w:r>
        <w:rPr>
          <w:rFonts w:hint="eastAsia" w:ascii="宋体" w:hAnsi="宋体" w:cs="宋体"/>
          <w:szCs w:val="21"/>
        </w:rPr>
        <w:t>（2）严格执行（项目名称）标段施工合同文件，自觉按合同办事。</w:t>
      </w:r>
    </w:p>
    <w:p w14:paraId="14DF070D">
      <w:pPr>
        <w:spacing w:line="420" w:lineRule="exact"/>
        <w:ind w:firstLine="210" w:firstLineChars="100"/>
        <w:rPr>
          <w:rFonts w:ascii="宋体" w:hAnsi="宋体" w:cs="宋体"/>
          <w:szCs w:val="21"/>
        </w:rPr>
      </w:pPr>
      <w:r>
        <w:rPr>
          <w:rFonts w:hint="eastAsia" w:ascii="宋体" w:hAnsi="宋体" w:cs="宋体"/>
          <w:szCs w:val="21"/>
        </w:rPr>
        <w:t>（3）双方的业务活动坚持公开、公正、诚信、透明的原则（法律认定的商业秘密和合同文件另有规定除外），不得损害国家和集体利益，不得违反工程建设管理规章制度。</w:t>
      </w:r>
    </w:p>
    <w:p w14:paraId="5DE05B6A">
      <w:pPr>
        <w:spacing w:line="420" w:lineRule="exact"/>
        <w:ind w:firstLine="210" w:firstLineChars="100"/>
        <w:rPr>
          <w:rFonts w:ascii="宋体" w:hAnsi="宋体" w:cs="宋体"/>
          <w:szCs w:val="21"/>
        </w:rPr>
      </w:pPr>
      <w:r>
        <w:rPr>
          <w:rFonts w:hint="eastAsia" w:ascii="宋体" w:hAnsi="宋体" w:cs="宋体"/>
          <w:szCs w:val="21"/>
        </w:rPr>
        <w:t>（4）建立健全廉政制度，开展廉政教育，设立廉政告示牌，公布举报电话， 监督并认真查处违法违纪行为。</w:t>
      </w:r>
    </w:p>
    <w:p w14:paraId="7173298F">
      <w:pPr>
        <w:spacing w:line="420" w:lineRule="exact"/>
        <w:ind w:firstLine="210" w:firstLineChars="100"/>
        <w:rPr>
          <w:rFonts w:ascii="宋体" w:hAnsi="宋体" w:cs="宋体"/>
          <w:szCs w:val="21"/>
        </w:rPr>
      </w:pPr>
      <w:r>
        <w:rPr>
          <w:rFonts w:hint="eastAsia" w:ascii="宋体" w:hAnsi="宋体" w:cs="宋体"/>
          <w:szCs w:val="21"/>
        </w:rPr>
        <w:t>（5）发现对方在业务活动中有违反廉政规定的行为，有及时提醒对方纠正的权利和义务。</w:t>
      </w:r>
    </w:p>
    <w:p w14:paraId="6F7529C4">
      <w:pPr>
        <w:spacing w:line="420" w:lineRule="exact"/>
        <w:ind w:firstLine="210" w:firstLineChars="100"/>
        <w:rPr>
          <w:rFonts w:ascii="宋体" w:hAnsi="宋体" w:cs="宋体"/>
          <w:szCs w:val="21"/>
        </w:rPr>
      </w:pPr>
      <w:r>
        <w:rPr>
          <w:rFonts w:hint="eastAsia" w:ascii="宋体" w:hAnsi="宋体" w:cs="宋体"/>
          <w:szCs w:val="21"/>
        </w:rPr>
        <w:t>（6）发现对方严重违反本合同义务条款的行为，有向其上级有关部门举报、建议给予处理并要求告知处理结果的权利。</w:t>
      </w:r>
    </w:p>
    <w:p w14:paraId="58039E8C">
      <w:pPr>
        <w:spacing w:line="420" w:lineRule="exact"/>
        <w:ind w:firstLine="420" w:firstLineChars="200"/>
        <w:rPr>
          <w:rFonts w:ascii="宋体" w:hAnsi="宋体" w:cs="宋体"/>
          <w:szCs w:val="21"/>
        </w:rPr>
      </w:pPr>
      <w:r>
        <w:rPr>
          <w:rFonts w:hint="eastAsia" w:ascii="宋体" w:hAnsi="宋体" w:cs="宋体"/>
          <w:szCs w:val="21"/>
        </w:rPr>
        <w:t>2.发包人的义务</w:t>
      </w:r>
    </w:p>
    <w:p w14:paraId="7EACC262">
      <w:pPr>
        <w:spacing w:line="420" w:lineRule="exact"/>
        <w:ind w:firstLine="210" w:firstLineChars="100"/>
        <w:rPr>
          <w:rFonts w:ascii="宋体" w:hAnsi="宋体" w:cs="宋体"/>
          <w:szCs w:val="21"/>
        </w:rPr>
      </w:pPr>
      <w:r>
        <w:rPr>
          <w:rFonts w:hint="eastAsia" w:ascii="宋体" w:hAnsi="宋体" w:cs="宋体"/>
          <w:szCs w:val="21"/>
        </w:rPr>
        <w:t>（1）发包人及其工作人员不得索要或接受承包人的礼金、有价证券和贵重物品，不得让承包人报销任何应由发包人或发包人工作人员个人支付的费用等。</w:t>
      </w:r>
    </w:p>
    <w:p w14:paraId="2BDA1307">
      <w:pPr>
        <w:spacing w:line="420" w:lineRule="exact"/>
        <w:ind w:firstLine="210" w:firstLineChars="100"/>
        <w:rPr>
          <w:rFonts w:ascii="宋体" w:hAnsi="宋体" w:cs="宋体"/>
          <w:szCs w:val="21"/>
        </w:rPr>
      </w:pPr>
      <w:r>
        <w:rPr>
          <w:rFonts w:hint="eastAsia" w:ascii="宋体" w:hAnsi="宋体" w:cs="宋体"/>
          <w:szCs w:val="21"/>
        </w:rPr>
        <w:t>（2）发包人工作人员不得参加承包人安排的超标准宴请和娱乐活动；不得接受承包人提供的通信工具、交通工具和高档办公用品等。</w:t>
      </w:r>
    </w:p>
    <w:p w14:paraId="1770094F">
      <w:pPr>
        <w:spacing w:line="420" w:lineRule="exact"/>
        <w:ind w:firstLine="210" w:firstLineChars="100"/>
        <w:rPr>
          <w:rFonts w:ascii="宋体" w:hAnsi="宋体" w:cs="宋体"/>
          <w:szCs w:val="21"/>
        </w:rPr>
      </w:pPr>
      <w:r>
        <w:rPr>
          <w:rFonts w:hint="eastAsia" w:ascii="宋体" w:hAnsi="宋体" w:cs="宋体"/>
          <w:szCs w:val="21"/>
        </w:rPr>
        <w:t>（3）发包人及其工作人员不得要求或者接受承包人为其住房装修、婚丧嫁娶活动、配偶子女的工作安排以及出国出境、旅游等提供方便等。</w:t>
      </w:r>
    </w:p>
    <w:p w14:paraId="612A217E">
      <w:pPr>
        <w:spacing w:line="420" w:lineRule="exact"/>
        <w:ind w:firstLine="210" w:firstLineChars="100"/>
        <w:rPr>
          <w:rFonts w:ascii="宋体" w:hAnsi="宋体" w:cs="宋体"/>
          <w:szCs w:val="21"/>
        </w:rPr>
      </w:pPr>
      <w:r>
        <w:rPr>
          <w:rFonts w:hint="eastAsia" w:ascii="宋体" w:hAnsi="宋体" w:cs="宋体"/>
          <w:szCs w:val="21"/>
        </w:rPr>
        <w:t>（4）发包人工作人员及其配偶、子女不得从事与发包人工程有关的材料设备供应、工程分包、劳务等经济活动等。</w:t>
      </w:r>
    </w:p>
    <w:p w14:paraId="37DCE97C">
      <w:pPr>
        <w:spacing w:line="420" w:lineRule="exact"/>
        <w:ind w:firstLine="210" w:firstLineChars="100"/>
        <w:rPr>
          <w:rFonts w:ascii="宋体" w:hAnsi="宋体" w:cs="宋体"/>
          <w:szCs w:val="21"/>
        </w:rPr>
      </w:pPr>
      <w:r>
        <w:rPr>
          <w:rFonts w:hint="eastAsia" w:ascii="宋体" w:hAnsi="宋体" w:cs="宋体"/>
          <w:szCs w:val="21"/>
        </w:rPr>
        <w:t>（5）发包人及其工作人员不得以任何理由向承包人推荐分包单位或推销材料，不得要求承包人购买合同规定外的材料和设备。</w:t>
      </w:r>
    </w:p>
    <w:p w14:paraId="32A697F9">
      <w:pPr>
        <w:spacing w:line="420" w:lineRule="exact"/>
        <w:ind w:firstLine="210" w:firstLineChars="100"/>
        <w:rPr>
          <w:rFonts w:ascii="宋体" w:hAnsi="宋体" w:cs="宋体"/>
          <w:szCs w:val="21"/>
        </w:rPr>
      </w:pPr>
      <w:r>
        <w:rPr>
          <w:rFonts w:hint="eastAsia" w:ascii="宋体" w:hAnsi="宋体" w:cs="宋体"/>
          <w:szCs w:val="21"/>
        </w:rPr>
        <w:t>（6）发包人工作人员要秉公办事，不准营私舞弊，不准利用职权从事各种个人有偿中介活动和安排个人施工队伍。</w:t>
      </w:r>
    </w:p>
    <w:p w14:paraId="0D96D557">
      <w:pPr>
        <w:spacing w:line="420" w:lineRule="exact"/>
        <w:ind w:firstLine="420" w:firstLineChars="200"/>
        <w:rPr>
          <w:rFonts w:ascii="宋体" w:hAnsi="宋体" w:cs="宋体"/>
          <w:szCs w:val="21"/>
        </w:rPr>
      </w:pPr>
      <w:r>
        <w:rPr>
          <w:rFonts w:hint="eastAsia" w:ascii="宋体" w:hAnsi="宋体" w:cs="宋体"/>
          <w:szCs w:val="21"/>
        </w:rPr>
        <w:t>3.承包人的义务</w:t>
      </w:r>
    </w:p>
    <w:p w14:paraId="4D6331A9">
      <w:pPr>
        <w:spacing w:line="420" w:lineRule="exact"/>
        <w:ind w:firstLine="210" w:firstLineChars="100"/>
        <w:rPr>
          <w:rFonts w:ascii="宋体" w:hAnsi="宋体" w:cs="宋体"/>
          <w:szCs w:val="21"/>
        </w:rPr>
      </w:pPr>
      <w:r>
        <w:rPr>
          <w:rFonts w:hint="eastAsia" w:ascii="宋体" w:hAnsi="宋体" w:cs="宋体"/>
          <w:szCs w:val="21"/>
        </w:rPr>
        <w:t>（1）承包人不得以任何理由向发包人及其工作人员行贿或馈赠礼金、有价证券、贵重礼品。</w:t>
      </w:r>
    </w:p>
    <w:p w14:paraId="6FA92245">
      <w:pPr>
        <w:spacing w:line="420" w:lineRule="exact"/>
        <w:ind w:firstLine="210" w:firstLineChars="100"/>
        <w:rPr>
          <w:rFonts w:ascii="宋体" w:hAnsi="宋体" w:cs="宋体"/>
          <w:szCs w:val="21"/>
        </w:rPr>
      </w:pPr>
      <w:r>
        <w:rPr>
          <w:rFonts w:hint="eastAsia" w:ascii="宋体" w:hAnsi="宋体" w:cs="宋体"/>
          <w:szCs w:val="21"/>
        </w:rPr>
        <w:t>（2）承包人不得以任何名义为发包人及其工作人员报销应由发包人单位或个人支付的任何费用。</w:t>
      </w:r>
    </w:p>
    <w:p w14:paraId="3F296369">
      <w:pPr>
        <w:spacing w:line="420" w:lineRule="exact"/>
        <w:ind w:firstLine="210" w:firstLineChars="100"/>
        <w:rPr>
          <w:rFonts w:ascii="宋体" w:hAnsi="宋体" w:cs="宋体"/>
          <w:szCs w:val="21"/>
        </w:rPr>
      </w:pPr>
      <w:r>
        <w:rPr>
          <w:rFonts w:hint="eastAsia" w:ascii="宋体" w:hAnsi="宋体" w:cs="宋体"/>
          <w:szCs w:val="21"/>
        </w:rPr>
        <w:t>（3）承包人不得以任何理由安排发包人工作人员参加超标准宴请及娱乐活动。</w:t>
      </w:r>
    </w:p>
    <w:p w14:paraId="346D2A1E">
      <w:pPr>
        <w:spacing w:line="420" w:lineRule="exact"/>
        <w:ind w:firstLine="210" w:firstLineChars="100"/>
        <w:rPr>
          <w:rFonts w:ascii="宋体" w:hAnsi="宋体" w:cs="宋体"/>
          <w:szCs w:val="21"/>
        </w:rPr>
      </w:pPr>
      <w:r>
        <w:rPr>
          <w:rFonts w:hint="eastAsia" w:ascii="宋体" w:hAnsi="宋体" w:cs="宋体"/>
          <w:szCs w:val="21"/>
        </w:rPr>
        <w:t>（4）承包人不得为发包人单位和个人购置或提供通信工具、交通工具和高档办公用品等。</w:t>
      </w:r>
    </w:p>
    <w:p w14:paraId="588EC69F">
      <w:pPr>
        <w:spacing w:line="420" w:lineRule="exact"/>
        <w:ind w:firstLine="420" w:firstLineChars="200"/>
        <w:rPr>
          <w:rFonts w:ascii="宋体" w:hAnsi="宋体" w:cs="宋体"/>
          <w:szCs w:val="21"/>
        </w:rPr>
      </w:pPr>
      <w:r>
        <w:rPr>
          <w:rFonts w:hint="eastAsia" w:ascii="宋体" w:hAnsi="宋体" w:cs="宋体"/>
          <w:szCs w:val="21"/>
        </w:rPr>
        <w:t>4.违约责任</w:t>
      </w:r>
    </w:p>
    <w:p w14:paraId="5BED5CCD">
      <w:pPr>
        <w:spacing w:line="420" w:lineRule="exact"/>
        <w:ind w:firstLine="210" w:firstLineChars="100"/>
        <w:rPr>
          <w:rFonts w:ascii="宋体" w:hAnsi="宋体" w:cs="宋体"/>
          <w:szCs w:val="21"/>
        </w:rPr>
      </w:pPr>
      <w:r>
        <w:rPr>
          <w:rFonts w:hint="eastAsia" w:ascii="宋体" w:hAnsi="宋体" w:cs="宋体"/>
          <w:szCs w:val="21"/>
        </w:rPr>
        <w:t>（1）发包人及其工作人员违反本合同第 1、2 条，按管理权限，依据有关规定给予党纪、政纪或组织处理；涉嫌犯罪的，移交司法机关追究刑事责任；给承包人单位造成经济损失的，应予以赔偿。</w:t>
      </w:r>
    </w:p>
    <w:p w14:paraId="3A2C2EB8">
      <w:pPr>
        <w:spacing w:line="420" w:lineRule="exact"/>
        <w:ind w:firstLine="210" w:firstLineChars="100"/>
        <w:rPr>
          <w:rFonts w:ascii="宋体" w:hAnsi="宋体" w:cs="宋体"/>
          <w:szCs w:val="21"/>
        </w:rPr>
      </w:pPr>
      <w:r>
        <w:rPr>
          <w:rFonts w:hint="eastAsia" w:ascii="宋体" w:hAnsi="宋体" w:cs="宋体"/>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41D4AF6">
      <w:pPr>
        <w:spacing w:line="420" w:lineRule="exact"/>
        <w:ind w:firstLine="420" w:firstLineChars="200"/>
        <w:rPr>
          <w:rFonts w:ascii="宋体" w:hAnsi="宋体" w:cs="宋体"/>
          <w:szCs w:val="21"/>
        </w:rPr>
      </w:pPr>
      <w:r>
        <w:rPr>
          <w:rFonts w:hint="eastAsia" w:ascii="宋体" w:hAnsi="宋体" w:cs="宋体"/>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159A970">
      <w:pPr>
        <w:spacing w:line="420" w:lineRule="exact"/>
        <w:ind w:firstLine="420" w:firstLineChars="200"/>
        <w:rPr>
          <w:rFonts w:ascii="宋体" w:hAnsi="宋体" w:cs="宋体"/>
          <w:szCs w:val="21"/>
        </w:rPr>
      </w:pPr>
      <w:r>
        <w:rPr>
          <w:rFonts w:hint="eastAsia" w:ascii="宋体" w:hAnsi="宋体" w:cs="宋体"/>
          <w:szCs w:val="21"/>
        </w:rPr>
        <w:t>6.本合同有效期为发包人和承包人签署之日起至该工程项目竣工验收后止。</w:t>
      </w:r>
    </w:p>
    <w:p w14:paraId="48259F5A">
      <w:pPr>
        <w:spacing w:line="420" w:lineRule="exact"/>
        <w:ind w:firstLine="420" w:firstLineChars="200"/>
        <w:rPr>
          <w:rFonts w:ascii="宋体" w:hAnsi="宋体" w:cs="宋体"/>
          <w:szCs w:val="21"/>
        </w:rPr>
      </w:pPr>
      <w:r>
        <w:rPr>
          <w:rFonts w:hint="eastAsia" w:ascii="宋体" w:hAnsi="宋体" w:cs="宋体"/>
          <w:szCs w:val="21"/>
        </w:rPr>
        <w:t>7.本合同作为（项目名称）标段施工合同的附件，与工程施工合同具有同等的法律效力，经合同双方签署后立即生效。</w:t>
      </w:r>
    </w:p>
    <w:p w14:paraId="45818136">
      <w:pPr>
        <w:spacing w:line="420" w:lineRule="exact"/>
        <w:ind w:firstLine="420" w:firstLineChars="200"/>
        <w:rPr>
          <w:rFonts w:ascii="宋体" w:hAnsi="宋体" w:cs="宋体"/>
          <w:szCs w:val="21"/>
        </w:rPr>
      </w:pPr>
      <w:r>
        <w:rPr>
          <w:rFonts w:hint="eastAsia" w:ascii="宋体" w:hAnsi="宋体" w:cs="宋体"/>
          <w:szCs w:val="21"/>
        </w:rPr>
        <w:t>8.本合同一式六份，由发包人和承包人各执三份。</w:t>
      </w:r>
    </w:p>
    <w:p w14:paraId="34D35175">
      <w:pPr>
        <w:spacing w:line="420" w:lineRule="exact"/>
        <w:ind w:firstLine="420" w:firstLineChars="200"/>
        <w:rPr>
          <w:rFonts w:ascii="宋体" w:hAnsi="宋体" w:cs="宋体"/>
          <w:szCs w:val="21"/>
        </w:rPr>
      </w:pPr>
    </w:p>
    <w:p w14:paraId="4A7DD30E">
      <w:pPr>
        <w:spacing w:line="420" w:lineRule="exact"/>
        <w:rPr>
          <w:rFonts w:ascii="宋体" w:hAnsi="宋体" w:cs="宋体"/>
          <w:szCs w:val="21"/>
        </w:rPr>
      </w:pPr>
    </w:p>
    <w:p w14:paraId="7B5B15E7">
      <w:pPr>
        <w:spacing w:line="420" w:lineRule="exact"/>
        <w:ind w:firstLine="420" w:firstLineChars="200"/>
        <w:jc w:val="left"/>
        <w:rPr>
          <w:rFonts w:ascii="宋体" w:hAnsi="宋体" w:cs="宋体"/>
          <w:szCs w:val="21"/>
          <w:u w:val="single"/>
        </w:rPr>
      </w:pPr>
      <w:r>
        <w:rPr>
          <w:rFonts w:hint="eastAsia" w:ascii="宋体" w:hAnsi="宋体" w:cs="宋体"/>
          <w:szCs w:val="21"/>
        </w:rPr>
        <w:t>发包人：承包人</w:t>
      </w:r>
      <w:r>
        <w:rPr>
          <w:rFonts w:hint="eastAsia" w:ascii="宋体" w:hAnsi="宋体" w:cs="宋体"/>
          <w:spacing w:val="-17"/>
          <w:szCs w:val="21"/>
        </w:rPr>
        <w:t>：</w:t>
      </w:r>
    </w:p>
    <w:p w14:paraId="68580277">
      <w:pPr>
        <w:spacing w:line="420" w:lineRule="exact"/>
        <w:ind w:firstLine="1680" w:firstLineChars="800"/>
        <w:rPr>
          <w:rFonts w:ascii="宋体" w:hAnsi="宋体" w:cs="宋体"/>
          <w:szCs w:val="21"/>
        </w:rPr>
      </w:pPr>
      <w:r>
        <w:rPr>
          <w:rFonts w:hint="eastAsia" w:ascii="宋体" w:hAnsi="宋体" w:cs="宋体"/>
          <w:szCs w:val="21"/>
        </w:rPr>
        <w:t>（盖单位章）                              （盖单位章）</w:t>
      </w:r>
    </w:p>
    <w:p w14:paraId="68FE0DCC">
      <w:pPr>
        <w:spacing w:line="420" w:lineRule="exact"/>
        <w:ind w:firstLine="420" w:firstLineChars="200"/>
        <w:rPr>
          <w:rFonts w:ascii="宋体" w:hAnsi="宋体" w:cs="宋体"/>
          <w:szCs w:val="21"/>
        </w:rPr>
      </w:pPr>
      <w:r>
        <w:rPr>
          <w:rFonts w:hint="eastAsia" w:ascii="宋体" w:hAnsi="宋体" w:cs="宋体"/>
          <w:szCs w:val="21"/>
        </w:rPr>
        <w:t>法定代表人：                                 法定代表人：</w:t>
      </w:r>
    </w:p>
    <w:p w14:paraId="46358B1D">
      <w:pPr>
        <w:spacing w:line="420" w:lineRule="exact"/>
        <w:ind w:firstLine="420" w:firstLineChars="200"/>
        <w:rPr>
          <w:rFonts w:ascii="宋体" w:hAnsi="宋体" w:cs="宋体"/>
          <w:szCs w:val="21"/>
        </w:rPr>
      </w:pPr>
      <w:r>
        <w:rPr>
          <w:rFonts w:hint="eastAsia" w:ascii="宋体" w:hAnsi="宋体" w:cs="宋体"/>
          <w:szCs w:val="21"/>
        </w:rPr>
        <w:t>或其委托代理人：（签字）             或其委托代理人：（签字）</w:t>
      </w:r>
    </w:p>
    <w:p w14:paraId="056B671E">
      <w:pPr>
        <w:spacing w:line="420" w:lineRule="exact"/>
        <w:ind w:firstLine="420" w:firstLineChars="200"/>
        <w:rPr>
          <w:rFonts w:ascii="宋体" w:hAnsi="宋体" w:cs="宋体"/>
          <w:szCs w:val="21"/>
        </w:rPr>
      </w:pPr>
      <w:r>
        <w:rPr>
          <w:rFonts w:hint="eastAsia" w:ascii="宋体" w:hAnsi="宋体" w:cs="宋体"/>
          <w:szCs w:val="21"/>
        </w:rPr>
        <w:t xml:space="preserve">        年   月   日                               年   月    日</w:t>
      </w:r>
    </w:p>
    <w:p w14:paraId="04692C1C">
      <w:pPr>
        <w:widowControl/>
        <w:spacing w:line="420" w:lineRule="exact"/>
        <w:ind w:firstLine="480" w:firstLineChars="200"/>
        <w:jc w:val="center"/>
        <w:rPr>
          <w:rFonts w:ascii="宋体" w:hAnsi="宋体" w:cs="宋体"/>
          <w:sz w:val="24"/>
        </w:rPr>
      </w:pPr>
    </w:p>
    <w:p w14:paraId="6D409D22">
      <w:pPr>
        <w:widowControl/>
        <w:spacing w:line="420" w:lineRule="exact"/>
        <w:ind w:firstLine="480" w:firstLineChars="200"/>
        <w:jc w:val="left"/>
        <w:rPr>
          <w:rFonts w:ascii="宋体" w:hAnsi="宋体" w:cs="宋体"/>
          <w:sz w:val="24"/>
        </w:rPr>
      </w:pPr>
      <w:r>
        <w:rPr>
          <w:rFonts w:hint="eastAsia" w:ascii="宋体" w:hAnsi="宋体" w:cs="宋体"/>
          <w:sz w:val="24"/>
        </w:rPr>
        <w:br w:type="page"/>
      </w:r>
      <w:r>
        <w:rPr>
          <w:rFonts w:hint="eastAsia" w:ascii="宋体" w:hAnsi="宋体" w:cs="宋体"/>
          <w:b/>
          <w:bCs/>
          <w:sz w:val="24"/>
        </w:rPr>
        <w:t>附件三：安全生产合同</w:t>
      </w:r>
    </w:p>
    <w:p w14:paraId="7ED9567B">
      <w:pPr>
        <w:widowControl/>
        <w:spacing w:line="420" w:lineRule="exact"/>
        <w:ind w:firstLine="643" w:firstLineChars="200"/>
        <w:jc w:val="center"/>
        <w:rPr>
          <w:rFonts w:ascii="宋体" w:hAnsi="宋体" w:cs="宋体"/>
          <w:b/>
          <w:sz w:val="32"/>
          <w:szCs w:val="32"/>
        </w:rPr>
      </w:pPr>
      <w:r>
        <w:rPr>
          <w:rFonts w:hint="eastAsia" w:ascii="宋体" w:hAnsi="宋体" w:cs="宋体"/>
          <w:b/>
          <w:sz w:val="32"/>
          <w:szCs w:val="32"/>
        </w:rPr>
        <w:t>安全生产合同</w:t>
      </w:r>
    </w:p>
    <w:p w14:paraId="56964858">
      <w:pPr>
        <w:widowControl/>
        <w:spacing w:line="420" w:lineRule="exact"/>
        <w:ind w:firstLine="643" w:firstLineChars="200"/>
        <w:jc w:val="center"/>
        <w:rPr>
          <w:rFonts w:ascii="宋体" w:hAnsi="宋体" w:cs="宋体"/>
          <w:b/>
          <w:sz w:val="32"/>
          <w:szCs w:val="32"/>
        </w:rPr>
      </w:pPr>
    </w:p>
    <w:p w14:paraId="15C4F0A4">
      <w:pPr>
        <w:spacing w:line="420" w:lineRule="exact"/>
        <w:ind w:firstLine="420" w:firstLineChars="200"/>
        <w:rPr>
          <w:rFonts w:ascii="宋体" w:hAnsi="宋体" w:cs="宋体"/>
          <w:szCs w:val="21"/>
        </w:rPr>
      </w:pPr>
      <w:r>
        <w:rPr>
          <w:rFonts w:hint="eastAsia" w:ascii="宋体" w:hAnsi="宋体" w:cs="宋体"/>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2462F8A3">
      <w:pPr>
        <w:spacing w:line="420" w:lineRule="exact"/>
        <w:ind w:firstLine="420" w:firstLineChars="200"/>
        <w:rPr>
          <w:rFonts w:ascii="宋体" w:hAnsi="宋体" w:cs="宋体"/>
          <w:szCs w:val="21"/>
        </w:rPr>
      </w:pPr>
      <w:r>
        <w:rPr>
          <w:rFonts w:hint="eastAsia" w:ascii="宋体" w:hAnsi="宋体" w:cs="宋体"/>
          <w:szCs w:val="21"/>
        </w:rPr>
        <w:t>1.发包人职责</w:t>
      </w:r>
    </w:p>
    <w:p w14:paraId="40117435">
      <w:pPr>
        <w:spacing w:line="420" w:lineRule="exact"/>
        <w:ind w:firstLine="210" w:firstLineChars="100"/>
        <w:rPr>
          <w:rFonts w:ascii="宋体" w:hAnsi="宋体" w:cs="宋体"/>
          <w:szCs w:val="21"/>
        </w:rPr>
      </w:pPr>
      <w:r>
        <w:rPr>
          <w:rFonts w:hint="eastAsia" w:ascii="宋体" w:hAnsi="宋体" w:cs="宋体"/>
          <w:szCs w:val="21"/>
        </w:rPr>
        <w:t>（1）严格遵守国家有关安全生产的法律法规，认真执行工程承包合同中的有关安全要求。</w:t>
      </w:r>
    </w:p>
    <w:p w14:paraId="0DFE2318">
      <w:pPr>
        <w:spacing w:line="420" w:lineRule="exact"/>
        <w:ind w:firstLine="210" w:firstLineChars="100"/>
        <w:rPr>
          <w:rFonts w:ascii="宋体" w:hAnsi="宋体" w:cs="宋体"/>
          <w:szCs w:val="21"/>
        </w:rPr>
      </w:pPr>
      <w:r>
        <w:rPr>
          <w:rFonts w:hint="eastAsia" w:ascii="宋体" w:hAnsi="宋体" w:cs="宋体"/>
          <w:szCs w:val="21"/>
        </w:rPr>
        <w:t>（2）按照“安全第一、预防为主、综合治理”和坚持“管生产必须管安全”的原则进行安全生产管理，做到生产与安全工作同时计划、布置、检查、总结和评比。</w:t>
      </w:r>
    </w:p>
    <w:p w14:paraId="2A787B79">
      <w:pPr>
        <w:spacing w:line="420" w:lineRule="exact"/>
        <w:ind w:firstLine="210" w:firstLineChars="100"/>
        <w:rPr>
          <w:rFonts w:ascii="宋体" w:hAnsi="宋体" w:cs="宋体"/>
          <w:szCs w:val="21"/>
        </w:rPr>
      </w:pPr>
      <w:r>
        <w:rPr>
          <w:rFonts w:hint="eastAsia" w:ascii="宋体" w:hAnsi="宋体" w:cs="宋体"/>
          <w:szCs w:val="21"/>
        </w:rPr>
        <w:t>（3）重要的安全设施必须坚持与主体工程“三同时”的原则，即：同时设计、审批，同时施工，同时验收，投入使用。</w:t>
      </w:r>
    </w:p>
    <w:p w14:paraId="69E4BF79">
      <w:pPr>
        <w:spacing w:line="420" w:lineRule="exact"/>
        <w:ind w:firstLine="210" w:firstLineChars="100"/>
        <w:rPr>
          <w:rFonts w:ascii="宋体" w:hAnsi="宋体" w:cs="宋体"/>
          <w:szCs w:val="21"/>
        </w:rPr>
      </w:pPr>
      <w:r>
        <w:rPr>
          <w:rFonts w:hint="eastAsia" w:ascii="宋体" w:hAnsi="宋体" w:cs="宋体"/>
          <w:szCs w:val="21"/>
        </w:rPr>
        <w:t>（4）定期召开安全生产调度会，及时传达中央及地方有关安全生产的精神。</w:t>
      </w:r>
    </w:p>
    <w:p w14:paraId="05C0C15D">
      <w:pPr>
        <w:spacing w:line="420" w:lineRule="exact"/>
        <w:ind w:firstLine="210" w:firstLineChars="100"/>
        <w:rPr>
          <w:rFonts w:ascii="宋体" w:hAnsi="宋体" w:cs="宋体"/>
          <w:szCs w:val="21"/>
        </w:rPr>
      </w:pPr>
      <w:r>
        <w:rPr>
          <w:rFonts w:hint="eastAsia" w:ascii="宋体" w:hAnsi="宋体" w:cs="宋体"/>
          <w:szCs w:val="21"/>
        </w:rPr>
        <w:t>（5）组织对承包人施工现场进行安全生产检查，监督承包人及时处理发现的各种安全隐患。</w:t>
      </w:r>
    </w:p>
    <w:p w14:paraId="77F8E6A1">
      <w:pPr>
        <w:spacing w:line="420" w:lineRule="exact"/>
        <w:ind w:firstLine="420" w:firstLineChars="200"/>
        <w:rPr>
          <w:rFonts w:ascii="宋体" w:hAnsi="宋体" w:cs="宋体"/>
          <w:szCs w:val="21"/>
        </w:rPr>
      </w:pPr>
      <w:r>
        <w:rPr>
          <w:rFonts w:hint="eastAsia" w:ascii="宋体" w:hAnsi="宋体" w:cs="宋体"/>
          <w:szCs w:val="21"/>
        </w:rPr>
        <w:t>2.承包人职责</w:t>
      </w:r>
    </w:p>
    <w:p w14:paraId="4FB6BCAD">
      <w:pPr>
        <w:spacing w:line="420" w:lineRule="exact"/>
        <w:ind w:firstLine="210" w:firstLineChars="100"/>
        <w:rPr>
          <w:rFonts w:ascii="宋体" w:hAnsi="宋体" w:cs="宋体"/>
          <w:szCs w:val="21"/>
        </w:rPr>
      </w:pPr>
      <w:r>
        <w:rPr>
          <w:rFonts w:hint="eastAsia" w:ascii="宋体" w:hAnsi="宋体" w:cs="宋体"/>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5AD73139">
      <w:pPr>
        <w:spacing w:line="420" w:lineRule="exact"/>
        <w:ind w:firstLine="210" w:firstLineChars="100"/>
        <w:rPr>
          <w:rFonts w:ascii="宋体" w:hAnsi="宋体" w:cs="宋体"/>
          <w:szCs w:val="21"/>
        </w:rPr>
      </w:pPr>
      <w:r>
        <w:rPr>
          <w:rFonts w:hint="eastAsia" w:ascii="宋体" w:hAnsi="宋体" w:cs="宋体"/>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B7F6BF0">
      <w:pPr>
        <w:spacing w:line="420" w:lineRule="exact"/>
        <w:ind w:firstLine="210" w:firstLineChars="100"/>
        <w:rPr>
          <w:rFonts w:ascii="宋体" w:hAnsi="宋体" w:cs="宋体"/>
          <w:szCs w:val="21"/>
        </w:rPr>
      </w:pPr>
      <w:r>
        <w:rPr>
          <w:rFonts w:hint="eastAsia" w:ascii="宋体" w:hAnsi="宋体" w:cs="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51E971C">
      <w:pPr>
        <w:spacing w:line="420" w:lineRule="exact"/>
        <w:ind w:firstLine="210" w:firstLineChars="100"/>
        <w:rPr>
          <w:rFonts w:ascii="宋体" w:hAnsi="宋体" w:cs="宋体"/>
          <w:szCs w:val="21"/>
        </w:rPr>
      </w:pPr>
      <w:r>
        <w:rPr>
          <w:rFonts w:hint="eastAsia" w:ascii="宋体" w:hAnsi="宋体" w:cs="宋体"/>
          <w:szCs w:val="21"/>
        </w:rPr>
        <w:t>（4）承包人在任何时候都应采取各种合理的预防措施，防止其员工发生任何违法、违禁、暴力或妨碍治安的行为。</w:t>
      </w:r>
    </w:p>
    <w:p w14:paraId="63F0D051">
      <w:pPr>
        <w:spacing w:line="420" w:lineRule="exact"/>
        <w:ind w:firstLine="210" w:firstLineChars="100"/>
        <w:rPr>
          <w:rFonts w:ascii="宋体" w:hAnsi="宋体" w:cs="宋体"/>
          <w:szCs w:val="21"/>
        </w:rPr>
      </w:pPr>
      <w:r>
        <w:rPr>
          <w:rFonts w:hint="eastAsia" w:ascii="宋体" w:hAnsi="宋体" w:cs="宋体"/>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E935C6D">
      <w:pPr>
        <w:spacing w:line="420" w:lineRule="exact"/>
        <w:ind w:firstLine="210" w:firstLineChars="100"/>
        <w:rPr>
          <w:rFonts w:ascii="宋体" w:hAnsi="宋体" w:cs="宋体"/>
          <w:szCs w:val="21"/>
        </w:rPr>
      </w:pPr>
      <w:r>
        <w:rPr>
          <w:rFonts w:hint="eastAsia" w:ascii="宋体" w:hAnsi="宋体" w:cs="宋体"/>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6A305E8">
      <w:pPr>
        <w:spacing w:line="420" w:lineRule="exact"/>
        <w:ind w:firstLine="210" w:firstLineChars="100"/>
        <w:rPr>
          <w:rFonts w:ascii="宋体" w:hAnsi="宋体" w:cs="宋体"/>
          <w:szCs w:val="21"/>
        </w:rPr>
      </w:pPr>
      <w:r>
        <w:rPr>
          <w:rFonts w:hint="eastAsia" w:ascii="宋体" w:hAnsi="宋体" w:cs="宋体"/>
          <w:szCs w:val="21"/>
        </w:rPr>
        <w:t>（7）操作人员上岗，必须按规定穿戴防护用品。施工负责人和安全检查员应随时检查劳动防护用品的穿戴情况，不按规定穿戴防护用品的人员不得上岗。</w:t>
      </w:r>
    </w:p>
    <w:p w14:paraId="42222F6B">
      <w:pPr>
        <w:spacing w:line="420" w:lineRule="exact"/>
        <w:ind w:firstLine="210" w:firstLineChars="100"/>
        <w:rPr>
          <w:rFonts w:ascii="宋体" w:hAnsi="宋体" w:cs="宋体"/>
          <w:szCs w:val="21"/>
        </w:rPr>
      </w:pPr>
      <w:r>
        <w:rPr>
          <w:rFonts w:hint="eastAsia" w:ascii="宋体" w:hAnsi="宋体" w:cs="宋体"/>
          <w:szCs w:val="21"/>
        </w:rPr>
        <w:t>（8）所有施工机具设备和高空作业的设备均应定期检查，并有安全员的签字记录，保证其经常处于完好状态；不合格的机具、设备和劳动保护用品严禁使用。</w:t>
      </w:r>
    </w:p>
    <w:p w14:paraId="444DC62E">
      <w:pPr>
        <w:spacing w:line="420" w:lineRule="exact"/>
        <w:ind w:firstLine="210" w:firstLineChars="100"/>
        <w:rPr>
          <w:rFonts w:ascii="宋体" w:hAnsi="宋体" w:cs="宋体"/>
          <w:szCs w:val="21"/>
        </w:rPr>
      </w:pPr>
      <w:r>
        <w:rPr>
          <w:rFonts w:hint="eastAsia" w:ascii="宋体" w:hAnsi="宋体" w:cs="宋体"/>
          <w:szCs w:val="21"/>
        </w:rPr>
        <w:t>（9）施工中采用新技术、新工艺、新设备、新材料时，必须制定相应的安全技术措施，施工现场必须具有相关的安全标志牌。</w:t>
      </w:r>
    </w:p>
    <w:p w14:paraId="34DC83A3">
      <w:pPr>
        <w:spacing w:line="420" w:lineRule="exact"/>
        <w:ind w:firstLine="210" w:firstLineChars="100"/>
        <w:rPr>
          <w:rFonts w:ascii="宋体" w:hAnsi="宋体" w:cs="宋体"/>
          <w:szCs w:val="21"/>
        </w:rPr>
      </w:pPr>
      <w:r>
        <w:rPr>
          <w:rFonts w:hint="eastAsia" w:ascii="宋体" w:hAnsi="宋体" w:cs="宋体"/>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7DBC535">
      <w:pPr>
        <w:spacing w:line="420" w:lineRule="exact"/>
        <w:ind w:firstLine="210" w:firstLineChars="100"/>
        <w:rPr>
          <w:rFonts w:ascii="宋体" w:hAnsi="宋体" w:cs="宋体"/>
          <w:szCs w:val="21"/>
        </w:rPr>
      </w:pPr>
      <w:r>
        <w:rPr>
          <w:rFonts w:hint="eastAsia" w:ascii="宋体" w:hAnsi="宋体" w:cs="宋体"/>
          <w:szCs w:val="21"/>
        </w:rPr>
        <w:t>（11）安全生产费用按照《公路水运工程安全生产监督管理办法》的相关规定使用和管理。</w:t>
      </w:r>
    </w:p>
    <w:p w14:paraId="236530CE">
      <w:pPr>
        <w:spacing w:line="420" w:lineRule="exact"/>
        <w:ind w:firstLine="420" w:firstLineChars="200"/>
        <w:rPr>
          <w:rFonts w:ascii="宋体" w:hAnsi="宋体" w:cs="宋体"/>
          <w:szCs w:val="21"/>
        </w:rPr>
      </w:pPr>
      <w:r>
        <w:rPr>
          <w:rFonts w:hint="eastAsia" w:ascii="宋体" w:hAnsi="宋体" w:cs="宋体"/>
          <w:szCs w:val="21"/>
        </w:rPr>
        <w:t>3.违约责任</w:t>
      </w:r>
    </w:p>
    <w:p w14:paraId="75019551">
      <w:pPr>
        <w:spacing w:line="420" w:lineRule="exact"/>
        <w:ind w:firstLine="420" w:firstLineChars="200"/>
        <w:rPr>
          <w:rFonts w:ascii="宋体" w:hAnsi="宋体" w:cs="宋体"/>
          <w:szCs w:val="21"/>
        </w:rPr>
      </w:pPr>
      <w:r>
        <w:rPr>
          <w:rFonts w:hint="eastAsia" w:ascii="宋体" w:hAnsi="宋体" w:cs="宋体"/>
          <w:szCs w:val="21"/>
        </w:rPr>
        <w:t>如因发包人或承包人违约造成安全事故，将依法追究责任。</w:t>
      </w:r>
    </w:p>
    <w:p w14:paraId="20FBABA3">
      <w:pPr>
        <w:spacing w:line="420" w:lineRule="exact"/>
        <w:ind w:firstLine="420" w:firstLineChars="200"/>
        <w:rPr>
          <w:rFonts w:ascii="宋体" w:hAnsi="宋体" w:cs="宋体"/>
          <w:szCs w:val="21"/>
        </w:rPr>
      </w:pPr>
      <w:r>
        <w:rPr>
          <w:rFonts w:hint="eastAsia" w:ascii="宋体" w:hAnsi="宋体" w:cs="宋体"/>
          <w:szCs w:val="21"/>
        </w:rPr>
        <w:t>4.本合同由双方法定代表人或其授权的代理人签署并加盖单位章后生效， 全部工程竣工验收后失效。</w:t>
      </w:r>
    </w:p>
    <w:p w14:paraId="215005D4">
      <w:pPr>
        <w:spacing w:line="420" w:lineRule="exact"/>
        <w:ind w:firstLine="420" w:firstLineChars="200"/>
        <w:rPr>
          <w:rFonts w:ascii="宋体" w:hAnsi="宋体" w:cs="宋体"/>
          <w:szCs w:val="21"/>
        </w:rPr>
      </w:pPr>
      <w:r>
        <w:rPr>
          <w:rFonts w:hint="eastAsia" w:ascii="宋体" w:hAnsi="宋体" w:cs="宋体"/>
          <w:szCs w:val="21"/>
        </w:rPr>
        <w:t>5.本合同一式六份，由发包人和承包人各执三份。</w:t>
      </w:r>
    </w:p>
    <w:p w14:paraId="0976A259">
      <w:pPr>
        <w:autoSpaceDE w:val="0"/>
        <w:autoSpaceDN w:val="0"/>
        <w:spacing w:line="420" w:lineRule="exact"/>
        <w:rPr>
          <w:rFonts w:ascii="宋体" w:hAnsi="宋体" w:cs="宋体"/>
          <w:szCs w:val="21"/>
        </w:rPr>
      </w:pPr>
    </w:p>
    <w:p w14:paraId="4B0D2B25">
      <w:pPr>
        <w:autoSpaceDE w:val="0"/>
        <w:autoSpaceDN w:val="0"/>
        <w:spacing w:line="420" w:lineRule="exact"/>
        <w:rPr>
          <w:rFonts w:ascii="宋体" w:hAnsi="宋体" w:cs="宋体"/>
          <w:szCs w:val="21"/>
        </w:rPr>
      </w:pPr>
    </w:p>
    <w:p w14:paraId="1C07337C">
      <w:pPr>
        <w:spacing w:line="420" w:lineRule="exact"/>
        <w:rPr>
          <w:rFonts w:ascii="宋体" w:hAnsi="宋体" w:cs="宋体"/>
          <w:szCs w:val="21"/>
        </w:rPr>
      </w:pPr>
    </w:p>
    <w:p w14:paraId="06B7000F">
      <w:pPr>
        <w:spacing w:line="420" w:lineRule="exact"/>
        <w:ind w:firstLine="210" w:firstLineChars="100"/>
        <w:rPr>
          <w:rFonts w:ascii="宋体" w:hAnsi="宋体" w:cs="宋体"/>
          <w:szCs w:val="21"/>
          <w:u w:val="single"/>
        </w:rPr>
      </w:pPr>
      <w:r>
        <w:rPr>
          <w:rFonts w:hint="eastAsia" w:ascii="宋体" w:hAnsi="宋体" w:cs="宋体"/>
          <w:szCs w:val="21"/>
        </w:rPr>
        <w:t>发包人：承包人：</w:t>
      </w:r>
    </w:p>
    <w:p w14:paraId="628D73CF">
      <w:pPr>
        <w:spacing w:line="420" w:lineRule="exact"/>
        <w:ind w:firstLine="1680" w:firstLineChars="800"/>
        <w:rPr>
          <w:rFonts w:ascii="宋体" w:hAnsi="宋体" w:cs="宋体"/>
          <w:szCs w:val="21"/>
        </w:rPr>
      </w:pPr>
      <w:r>
        <w:rPr>
          <w:rFonts w:hint="eastAsia" w:ascii="宋体" w:hAnsi="宋体" w:cs="宋体"/>
          <w:szCs w:val="21"/>
        </w:rPr>
        <w:t>（盖单位章）                              （盖单位章）</w:t>
      </w:r>
    </w:p>
    <w:p w14:paraId="0337E257">
      <w:pPr>
        <w:spacing w:line="420" w:lineRule="exact"/>
        <w:ind w:firstLine="210" w:firstLineChars="100"/>
        <w:rPr>
          <w:rFonts w:ascii="宋体" w:hAnsi="宋体" w:cs="宋体"/>
          <w:szCs w:val="21"/>
        </w:rPr>
      </w:pPr>
      <w:r>
        <w:rPr>
          <w:rFonts w:hint="eastAsia" w:ascii="宋体" w:hAnsi="宋体" w:cs="宋体"/>
          <w:szCs w:val="21"/>
        </w:rPr>
        <w:t>法定代表人：                                 法定代表人：</w:t>
      </w:r>
    </w:p>
    <w:p w14:paraId="5B501B51">
      <w:pPr>
        <w:spacing w:line="420" w:lineRule="exact"/>
        <w:ind w:firstLine="210" w:firstLineChars="100"/>
        <w:rPr>
          <w:rFonts w:ascii="宋体" w:hAnsi="宋体" w:cs="宋体"/>
          <w:szCs w:val="21"/>
        </w:rPr>
      </w:pPr>
      <w:r>
        <w:rPr>
          <w:rFonts w:hint="eastAsia" w:ascii="宋体" w:hAnsi="宋体" w:cs="宋体"/>
          <w:szCs w:val="21"/>
        </w:rPr>
        <w:t>或其委托代理人：（签字）             或其委托代理人：（签字）</w:t>
      </w:r>
    </w:p>
    <w:p w14:paraId="38E960B4">
      <w:pPr>
        <w:spacing w:line="420" w:lineRule="exact"/>
        <w:ind w:firstLine="420" w:firstLineChars="200"/>
        <w:rPr>
          <w:rFonts w:ascii="宋体" w:hAnsi="宋体" w:cs="宋体"/>
          <w:szCs w:val="21"/>
        </w:rPr>
      </w:pPr>
      <w:r>
        <w:rPr>
          <w:rFonts w:hint="eastAsia" w:ascii="宋体" w:hAnsi="宋体" w:cs="宋体"/>
          <w:szCs w:val="21"/>
        </w:rPr>
        <w:t>年   月   日                            年   月    日</w:t>
      </w:r>
    </w:p>
    <w:p w14:paraId="61977261">
      <w:pPr>
        <w:rPr>
          <w:szCs w:val="21"/>
        </w:rPr>
      </w:pPr>
    </w:p>
    <w:p w14:paraId="6DC2B3D6">
      <w:pPr>
        <w:tabs>
          <w:tab w:val="left" w:pos="1080"/>
        </w:tabs>
        <w:spacing w:line="280" w:lineRule="exact"/>
        <w:ind w:left="420" w:firstLine="420"/>
        <w:rPr>
          <w:rFonts w:ascii="宋体" w:hAnsi="宋体" w:cs="宋体"/>
          <w:szCs w:val="21"/>
        </w:rPr>
      </w:pPr>
      <w:r>
        <w:rPr>
          <w:rFonts w:hint="eastAsia" w:ascii="宋体" w:hAnsi="宋体" w:cs="宋体"/>
          <w:szCs w:val="21"/>
        </w:rPr>
        <w:br w:type="page"/>
      </w:r>
    </w:p>
    <w:p w14:paraId="0F3BEC9C">
      <w:pPr>
        <w:pStyle w:val="6"/>
        <w:rPr>
          <w:rFonts w:ascii="宋体" w:hAnsi="宋体" w:cs="宋体"/>
          <w:sz w:val="24"/>
          <w:szCs w:val="24"/>
        </w:rPr>
      </w:pPr>
      <w:bookmarkStart w:id="325" w:name="_Toc394929419"/>
      <w:r>
        <w:rPr>
          <w:rFonts w:hint="eastAsia" w:ascii="宋体" w:hAnsi="宋体" w:cs="宋体"/>
          <w:sz w:val="24"/>
          <w:szCs w:val="24"/>
        </w:rPr>
        <w:t>附件四  其他主要管理人员和技术人员最低要求</w:t>
      </w:r>
      <w:bookmarkEnd w:id="325"/>
    </w:p>
    <w:p w14:paraId="1305DA1F"/>
    <w:tbl>
      <w:tblPr>
        <w:tblStyle w:val="52"/>
        <w:tblW w:w="7914" w:type="dxa"/>
        <w:jc w:val="center"/>
        <w:tblLayout w:type="fixed"/>
        <w:tblCellMar>
          <w:top w:w="0" w:type="dxa"/>
          <w:left w:w="108" w:type="dxa"/>
          <w:bottom w:w="0" w:type="dxa"/>
          <w:right w:w="108" w:type="dxa"/>
        </w:tblCellMar>
      </w:tblPr>
      <w:tblGrid>
        <w:gridCol w:w="2127"/>
        <w:gridCol w:w="851"/>
        <w:gridCol w:w="4936"/>
      </w:tblGrid>
      <w:tr w14:paraId="2FA1524E">
        <w:tblPrEx>
          <w:tblCellMar>
            <w:top w:w="0" w:type="dxa"/>
            <w:left w:w="108" w:type="dxa"/>
            <w:bottom w:w="0" w:type="dxa"/>
            <w:right w:w="108" w:type="dxa"/>
          </w:tblCellMar>
        </w:tblPrEx>
        <w:trPr>
          <w:trHeight w:val="672" w:hRule="atLeast"/>
          <w:jc w:val="center"/>
        </w:trPr>
        <w:tc>
          <w:tcPr>
            <w:tcW w:w="2127" w:type="dxa"/>
            <w:tcBorders>
              <w:top w:val="single" w:color="auto" w:sz="4" w:space="0"/>
              <w:left w:val="single" w:color="auto" w:sz="4" w:space="0"/>
              <w:bottom w:val="single" w:color="auto" w:sz="4" w:space="0"/>
              <w:right w:val="single" w:color="auto" w:sz="4" w:space="0"/>
            </w:tcBorders>
            <w:noWrap/>
            <w:vAlign w:val="center"/>
          </w:tcPr>
          <w:p w14:paraId="5D94A544">
            <w:pPr>
              <w:widowControl/>
              <w:ind w:left="420"/>
              <w:jc w:val="center"/>
              <w:rPr>
                <w:rFonts w:ascii="宋体" w:hAnsi="宋体" w:cs="宋体"/>
                <w:kern w:val="0"/>
                <w:szCs w:val="21"/>
              </w:rPr>
            </w:pPr>
            <w:r>
              <w:rPr>
                <w:rFonts w:hint="eastAsia" w:ascii="宋体" w:hAnsi="宋体" w:cs="宋体"/>
                <w:kern w:val="0"/>
                <w:szCs w:val="21"/>
              </w:rPr>
              <w:t>人员</w:t>
            </w:r>
          </w:p>
        </w:tc>
        <w:tc>
          <w:tcPr>
            <w:tcW w:w="851" w:type="dxa"/>
            <w:tcBorders>
              <w:top w:val="single" w:color="auto" w:sz="4" w:space="0"/>
              <w:left w:val="nil"/>
              <w:bottom w:val="single" w:color="auto" w:sz="4" w:space="0"/>
              <w:right w:val="single" w:color="auto" w:sz="4" w:space="0"/>
            </w:tcBorders>
            <w:noWrap/>
            <w:vAlign w:val="center"/>
          </w:tcPr>
          <w:p w14:paraId="44BF1164">
            <w:pPr>
              <w:widowControl/>
              <w:jc w:val="center"/>
              <w:rPr>
                <w:rFonts w:ascii="宋体" w:hAnsi="宋体" w:cs="宋体"/>
                <w:kern w:val="0"/>
                <w:szCs w:val="21"/>
              </w:rPr>
            </w:pPr>
            <w:r>
              <w:rPr>
                <w:rFonts w:hint="eastAsia" w:ascii="宋体" w:hAnsi="宋体" w:cs="宋体"/>
                <w:kern w:val="0"/>
                <w:szCs w:val="21"/>
              </w:rPr>
              <w:t>数量</w:t>
            </w:r>
          </w:p>
        </w:tc>
        <w:tc>
          <w:tcPr>
            <w:tcW w:w="4936" w:type="dxa"/>
            <w:tcBorders>
              <w:top w:val="single" w:color="auto" w:sz="4" w:space="0"/>
              <w:left w:val="nil"/>
              <w:bottom w:val="single" w:color="auto" w:sz="4" w:space="0"/>
              <w:right w:val="single" w:color="auto" w:sz="4" w:space="0"/>
            </w:tcBorders>
            <w:noWrap/>
            <w:vAlign w:val="center"/>
          </w:tcPr>
          <w:p w14:paraId="64250928">
            <w:pPr>
              <w:widowControl/>
              <w:jc w:val="center"/>
              <w:rPr>
                <w:rFonts w:ascii="宋体" w:hAnsi="宋体" w:cs="宋体"/>
                <w:kern w:val="0"/>
                <w:szCs w:val="21"/>
              </w:rPr>
            </w:pPr>
            <w:r>
              <w:rPr>
                <w:rFonts w:hint="eastAsia" w:ascii="宋体" w:hAnsi="宋体" w:cs="宋体"/>
                <w:kern w:val="0"/>
                <w:szCs w:val="21"/>
              </w:rPr>
              <w:t>资格要求</w:t>
            </w:r>
          </w:p>
        </w:tc>
      </w:tr>
      <w:tr w14:paraId="7EA38DED">
        <w:tblPrEx>
          <w:tblCellMar>
            <w:top w:w="0" w:type="dxa"/>
            <w:left w:w="108" w:type="dxa"/>
            <w:bottom w:w="0" w:type="dxa"/>
            <w:right w:w="108" w:type="dxa"/>
          </w:tblCellMar>
        </w:tblPrEx>
        <w:trPr>
          <w:trHeight w:val="1210" w:hRule="atLeast"/>
          <w:jc w:val="center"/>
        </w:trPr>
        <w:tc>
          <w:tcPr>
            <w:tcW w:w="2127" w:type="dxa"/>
            <w:tcBorders>
              <w:top w:val="nil"/>
              <w:left w:val="single" w:color="auto" w:sz="4" w:space="0"/>
              <w:bottom w:val="single" w:color="auto" w:sz="4" w:space="0"/>
              <w:right w:val="single" w:color="auto" w:sz="4" w:space="0"/>
            </w:tcBorders>
            <w:noWrap/>
            <w:vAlign w:val="center"/>
          </w:tcPr>
          <w:p w14:paraId="31B86D8C">
            <w:pPr>
              <w:widowControl/>
              <w:jc w:val="center"/>
              <w:rPr>
                <w:rFonts w:ascii="宋体" w:hAnsi="宋体" w:cs="宋体"/>
                <w:kern w:val="0"/>
                <w:szCs w:val="21"/>
              </w:rPr>
            </w:pPr>
            <w:r>
              <w:rPr>
                <w:rFonts w:hint="eastAsia" w:ascii="宋体" w:hAnsi="宋体" w:cs="宋体"/>
                <w:kern w:val="0"/>
                <w:szCs w:val="21"/>
              </w:rPr>
              <w:t>桥梁专业工程师</w:t>
            </w:r>
          </w:p>
        </w:tc>
        <w:tc>
          <w:tcPr>
            <w:tcW w:w="851" w:type="dxa"/>
            <w:tcBorders>
              <w:top w:val="nil"/>
              <w:left w:val="nil"/>
              <w:bottom w:val="single" w:color="auto" w:sz="4" w:space="0"/>
              <w:right w:val="single" w:color="auto" w:sz="4" w:space="0"/>
            </w:tcBorders>
            <w:noWrap/>
            <w:vAlign w:val="center"/>
          </w:tcPr>
          <w:p w14:paraId="3C675B11">
            <w:pPr>
              <w:widowControl/>
              <w:jc w:val="center"/>
              <w:rPr>
                <w:rFonts w:ascii="宋体" w:hAnsi="宋体" w:cs="宋体"/>
                <w:kern w:val="0"/>
                <w:szCs w:val="21"/>
              </w:rPr>
            </w:pPr>
            <w:r>
              <w:rPr>
                <w:rFonts w:hint="eastAsia" w:ascii="宋体" w:hAnsi="宋体" w:cs="宋体"/>
                <w:kern w:val="0"/>
                <w:szCs w:val="21"/>
              </w:rPr>
              <w:t>1</w:t>
            </w:r>
          </w:p>
        </w:tc>
        <w:tc>
          <w:tcPr>
            <w:tcW w:w="4936" w:type="dxa"/>
            <w:tcBorders>
              <w:top w:val="nil"/>
              <w:left w:val="nil"/>
              <w:bottom w:val="single" w:color="auto" w:sz="4" w:space="0"/>
              <w:right w:val="single" w:color="auto" w:sz="4" w:space="0"/>
            </w:tcBorders>
            <w:noWrap/>
            <w:vAlign w:val="center"/>
          </w:tcPr>
          <w:p w14:paraId="0A5A2482">
            <w:pPr>
              <w:widowControl/>
              <w:jc w:val="left"/>
              <w:rPr>
                <w:rFonts w:ascii="宋体" w:hAnsi="宋体" w:cs="宋体"/>
                <w:kern w:val="0"/>
                <w:szCs w:val="21"/>
              </w:rPr>
            </w:pPr>
            <w:r>
              <w:rPr>
                <w:rFonts w:hint="eastAsia" w:ascii="宋体" w:hAnsi="宋体" w:cs="宋体"/>
                <w:b/>
                <w:bCs/>
                <w:kern w:val="0"/>
                <w:szCs w:val="21"/>
              </w:rPr>
              <w:t>具有土建类专业工程师或以上职称。</w:t>
            </w:r>
          </w:p>
        </w:tc>
      </w:tr>
      <w:tr w14:paraId="32CF0C37">
        <w:tblPrEx>
          <w:tblCellMar>
            <w:top w:w="0" w:type="dxa"/>
            <w:left w:w="108" w:type="dxa"/>
            <w:bottom w:w="0" w:type="dxa"/>
            <w:right w:w="108" w:type="dxa"/>
          </w:tblCellMar>
        </w:tblPrEx>
        <w:trPr>
          <w:trHeight w:val="1054" w:hRule="atLeast"/>
          <w:jc w:val="center"/>
        </w:trPr>
        <w:tc>
          <w:tcPr>
            <w:tcW w:w="2127" w:type="dxa"/>
            <w:tcBorders>
              <w:top w:val="nil"/>
              <w:left w:val="single" w:color="auto" w:sz="4" w:space="0"/>
              <w:bottom w:val="single" w:color="auto" w:sz="4" w:space="0"/>
              <w:right w:val="single" w:color="auto" w:sz="4" w:space="0"/>
            </w:tcBorders>
            <w:noWrap/>
            <w:vAlign w:val="center"/>
          </w:tcPr>
          <w:p w14:paraId="452451F3">
            <w:pPr>
              <w:widowControl/>
              <w:jc w:val="center"/>
              <w:rPr>
                <w:rFonts w:ascii="宋体" w:hAnsi="宋体" w:cs="宋体"/>
                <w:kern w:val="0"/>
                <w:szCs w:val="21"/>
              </w:rPr>
            </w:pPr>
            <w:r>
              <w:rPr>
                <w:rFonts w:hint="eastAsia" w:ascii="宋体" w:hAnsi="宋体" w:cs="宋体"/>
                <w:kern w:val="0"/>
                <w:szCs w:val="21"/>
              </w:rPr>
              <w:t>测量计量支付专业工程师</w:t>
            </w:r>
          </w:p>
        </w:tc>
        <w:tc>
          <w:tcPr>
            <w:tcW w:w="851" w:type="dxa"/>
            <w:tcBorders>
              <w:top w:val="nil"/>
              <w:left w:val="nil"/>
              <w:bottom w:val="single" w:color="auto" w:sz="4" w:space="0"/>
              <w:right w:val="single" w:color="auto" w:sz="4" w:space="0"/>
            </w:tcBorders>
            <w:noWrap/>
            <w:vAlign w:val="center"/>
          </w:tcPr>
          <w:p w14:paraId="1AEDB17E">
            <w:pPr>
              <w:widowControl/>
              <w:jc w:val="center"/>
              <w:rPr>
                <w:rFonts w:ascii="宋体" w:hAnsi="宋体" w:cs="宋体"/>
                <w:kern w:val="0"/>
                <w:szCs w:val="21"/>
              </w:rPr>
            </w:pPr>
            <w:r>
              <w:rPr>
                <w:rFonts w:hint="eastAsia" w:ascii="宋体" w:hAnsi="宋体" w:cs="宋体"/>
                <w:kern w:val="0"/>
                <w:szCs w:val="21"/>
              </w:rPr>
              <w:t>1</w:t>
            </w:r>
          </w:p>
        </w:tc>
        <w:tc>
          <w:tcPr>
            <w:tcW w:w="4936" w:type="dxa"/>
            <w:tcBorders>
              <w:top w:val="nil"/>
              <w:left w:val="nil"/>
              <w:bottom w:val="single" w:color="auto" w:sz="4" w:space="0"/>
              <w:right w:val="single" w:color="auto" w:sz="4" w:space="0"/>
            </w:tcBorders>
            <w:noWrap/>
            <w:vAlign w:val="center"/>
          </w:tcPr>
          <w:p w14:paraId="7F4A1069">
            <w:pPr>
              <w:widowControl/>
              <w:jc w:val="left"/>
              <w:rPr>
                <w:rFonts w:ascii="宋体" w:hAnsi="宋体" w:cs="宋体"/>
                <w:kern w:val="0"/>
                <w:szCs w:val="21"/>
              </w:rPr>
            </w:pPr>
            <w:r>
              <w:rPr>
                <w:rFonts w:hint="eastAsia" w:ascii="宋体" w:hAnsi="宋体" w:cs="宋体"/>
                <w:kern w:val="0"/>
                <w:szCs w:val="21"/>
              </w:rPr>
              <w:t>具有工程师或以上职称。</w:t>
            </w:r>
          </w:p>
        </w:tc>
      </w:tr>
      <w:tr w14:paraId="4F2DED39">
        <w:tblPrEx>
          <w:tblCellMar>
            <w:top w:w="0" w:type="dxa"/>
            <w:left w:w="108" w:type="dxa"/>
            <w:bottom w:w="0" w:type="dxa"/>
            <w:right w:w="108" w:type="dxa"/>
          </w:tblCellMar>
        </w:tblPrEx>
        <w:trPr>
          <w:trHeight w:val="1413" w:hRule="atLeast"/>
          <w:jc w:val="center"/>
        </w:trPr>
        <w:tc>
          <w:tcPr>
            <w:tcW w:w="2127" w:type="dxa"/>
            <w:tcBorders>
              <w:top w:val="nil"/>
              <w:left w:val="single" w:color="auto" w:sz="4" w:space="0"/>
              <w:bottom w:val="single" w:color="auto" w:sz="4" w:space="0"/>
              <w:right w:val="single" w:color="auto" w:sz="4" w:space="0"/>
            </w:tcBorders>
            <w:noWrap/>
            <w:vAlign w:val="center"/>
          </w:tcPr>
          <w:p w14:paraId="2C9E51AF">
            <w:pPr>
              <w:widowControl/>
              <w:jc w:val="center"/>
              <w:rPr>
                <w:rFonts w:ascii="宋体" w:hAnsi="宋体" w:cs="宋体"/>
                <w:bCs/>
                <w:kern w:val="0"/>
                <w:szCs w:val="21"/>
              </w:rPr>
            </w:pPr>
            <w:r>
              <w:rPr>
                <w:rFonts w:hint="eastAsia" w:ascii="宋体" w:hAnsi="宋体" w:cs="宋体"/>
                <w:bCs/>
                <w:kern w:val="0"/>
                <w:szCs w:val="21"/>
              </w:rPr>
              <w:t>专职安全员</w:t>
            </w:r>
          </w:p>
        </w:tc>
        <w:tc>
          <w:tcPr>
            <w:tcW w:w="851" w:type="dxa"/>
            <w:tcBorders>
              <w:top w:val="nil"/>
              <w:left w:val="nil"/>
              <w:bottom w:val="single" w:color="auto" w:sz="4" w:space="0"/>
              <w:right w:val="single" w:color="auto" w:sz="4" w:space="0"/>
            </w:tcBorders>
            <w:noWrap/>
            <w:vAlign w:val="center"/>
          </w:tcPr>
          <w:p w14:paraId="3AAE34B1">
            <w:pPr>
              <w:widowControl/>
              <w:jc w:val="center"/>
              <w:rPr>
                <w:rFonts w:ascii="宋体" w:hAnsi="宋体" w:cs="宋体"/>
                <w:b/>
                <w:bCs/>
                <w:kern w:val="0"/>
                <w:szCs w:val="21"/>
              </w:rPr>
            </w:pPr>
            <w:r>
              <w:rPr>
                <w:rFonts w:hint="eastAsia" w:ascii="宋体" w:hAnsi="宋体" w:cs="宋体"/>
                <w:kern w:val="0"/>
                <w:szCs w:val="21"/>
              </w:rPr>
              <w:t>1</w:t>
            </w:r>
          </w:p>
        </w:tc>
        <w:tc>
          <w:tcPr>
            <w:tcW w:w="4936" w:type="dxa"/>
            <w:tcBorders>
              <w:top w:val="nil"/>
              <w:left w:val="nil"/>
              <w:bottom w:val="single" w:color="auto" w:sz="4" w:space="0"/>
              <w:right w:val="single" w:color="auto" w:sz="4" w:space="0"/>
            </w:tcBorders>
            <w:noWrap/>
            <w:vAlign w:val="center"/>
          </w:tcPr>
          <w:p w14:paraId="5DA5F90B">
            <w:pPr>
              <w:widowControl/>
              <w:jc w:val="left"/>
              <w:rPr>
                <w:rFonts w:ascii="宋体" w:hAnsi="宋体" w:cs="宋体"/>
                <w:kern w:val="0"/>
                <w:szCs w:val="21"/>
              </w:rPr>
            </w:pPr>
            <w:r>
              <w:rPr>
                <w:rFonts w:hint="eastAsia" w:ascii="宋体" w:hAnsi="宋体" w:cs="宋体"/>
                <w:kern w:val="0"/>
                <w:szCs w:val="21"/>
              </w:rPr>
              <w:t>具有省级（或以上）交通主管部门颁发的《安全生产考核合格证书》C证。</w:t>
            </w:r>
          </w:p>
        </w:tc>
      </w:tr>
    </w:tbl>
    <w:p w14:paraId="560448C3">
      <w:pPr>
        <w:ind w:firstLine="420"/>
        <w:rPr>
          <w:rFonts w:ascii="宋体" w:hAnsi="宋体" w:cs="宋体"/>
          <w:szCs w:val="21"/>
        </w:rPr>
      </w:pPr>
    </w:p>
    <w:p w14:paraId="64CD4087">
      <w:pPr>
        <w:ind w:firstLine="420"/>
        <w:rPr>
          <w:rFonts w:ascii="宋体" w:hAnsi="宋体" w:cs="宋体"/>
          <w:szCs w:val="21"/>
        </w:rPr>
      </w:pPr>
      <w:r>
        <w:rPr>
          <w:rFonts w:hint="eastAsia" w:ascii="宋体" w:hAnsi="宋体" w:cs="宋体"/>
          <w:szCs w:val="21"/>
        </w:rPr>
        <w:t>注：采购人将在发出中标通知书之前要求成交人按照本表的最低要求填报派驻本标段的其他主要管理人员和技术人员，在经采购人审批后，作为派驻本标段的项目管理机构主要人员且不允许更换。</w:t>
      </w:r>
    </w:p>
    <w:p w14:paraId="1774EF5A">
      <w:pPr>
        <w:ind w:firstLine="420"/>
        <w:rPr>
          <w:rFonts w:ascii="宋体" w:hAnsi="宋体" w:cs="宋体"/>
          <w:szCs w:val="21"/>
        </w:rPr>
      </w:pPr>
      <w:r>
        <w:rPr>
          <w:rFonts w:hint="eastAsia" w:ascii="宋体" w:hAnsi="宋体" w:cs="宋体"/>
          <w:szCs w:val="21"/>
        </w:rPr>
        <w:br w:type="page"/>
      </w:r>
    </w:p>
    <w:p w14:paraId="0629A9A6">
      <w:pPr>
        <w:pStyle w:val="6"/>
        <w:rPr>
          <w:rFonts w:ascii="宋体" w:hAnsi="宋体" w:cs="宋体"/>
        </w:rPr>
      </w:pPr>
      <w:bookmarkStart w:id="326" w:name="_Toc394929420"/>
      <w:r>
        <w:rPr>
          <w:rFonts w:hint="eastAsia" w:ascii="宋体" w:hAnsi="宋体" w:cs="宋体"/>
        </w:rPr>
        <w:t xml:space="preserve">附件五  </w:t>
      </w:r>
      <w:bookmarkEnd w:id="326"/>
      <w:r>
        <w:rPr>
          <w:rFonts w:hint="eastAsia" w:ascii="宋体" w:hAnsi="宋体" w:cs="宋体"/>
        </w:rPr>
        <w:t>主要机械设备和试验检测设备最低要求</w:t>
      </w:r>
    </w:p>
    <w:p w14:paraId="34CA6665"/>
    <w:tbl>
      <w:tblPr>
        <w:tblStyle w:val="52"/>
        <w:tblW w:w="964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8"/>
        <w:gridCol w:w="3417"/>
        <w:gridCol w:w="1553"/>
        <w:gridCol w:w="2970"/>
      </w:tblGrid>
      <w:tr w14:paraId="38160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tcBorders>
              <w:top w:val="single" w:color="auto" w:sz="12" w:space="0"/>
            </w:tcBorders>
            <w:noWrap/>
            <w:vAlign w:val="center"/>
          </w:tcPr>
          <w:p w14:paraId="182E9442">
            <w:pPr>
              <w:jc w:val="center"/>
              <w:rPr>
                <w:rFonts w:ascii="宋体" w:hAnsi="宋体" w:cs="宋体"/>
                <w:szCs w:val="21"/>
              </w:rPr>
            </w:pPr>
            <w:r>
              <w:rPr>
                <w:rFonts w:hint="eastAsia" w:ascii="宋体" w:hAnsi="宋体" w:cs="宋体"/>
                <w:szCs w:val="21"/>
              </w:rPr>
              <w:t>设备名称</w:t>
            </w:r>
          </w:p>
        </w:tc>
        <w:tc>
          <w:tcPr>
            <w:tcW w:w="3417" w:type="dxa"/>
            <w:tcBorders>
              <w:top w:val="single" w:color="auto" w:sz="12" w:space="0"/>
            </w:tcBorders>
            <w:noWrap/>
            <w:vAlign w:val="center"/>
          </w:tcPr>
          <w:p w14:paraId="26C09002">
            <w:pPr>
              <w:jc w:val="center"/>
              <w:rPr>
                <w:rFonts w:ascii="宋体" w:hAnsi="宋体" w:cs="宋体"/>
                <w:szCs w:val="21"/>
              </w:rPr>
            </w:pPr>
            <w:r>
              <w:rPr>
                <w:rFonts w:hint="eastAsia" w:ascii="宋体" w:hAnsi="宋体" w:cs="宋体"/>
                <w:szCs w:val="21"/>
              </w:rPr>
              <w:t>规格、功率及容量</w:t>
            </w:r>
          </w:p>
        </w:tc>
        <w:tc>
          <w:tcPr>
            <w:tcW w:w="1553" w:type="dxa"/>
            <w:tcBorders>
              <w:top w:val="single" w:color="auto" w:sz="12" w:space="0"/>
            </w:tcBorders>
            <w:noWrap/>
            <w:vAlign w:val="center"/>
          </w:tcPr>
          <w:p w14:paraId="05426847">
            <w:pPr>
              <w:jc w:val="center"/>
              <w:rPr>
                <w:rFonts w:ascii="宋体" w:hAnsi="宋体" w:cs="宋体"/>
                <w:szCs w:val="21"/>
              </w:rPr>
            </w:pPr>
            <w:r>
              <w:rPr>
                <w:rFonts w:hint="eastAsia" w:ascii="宋体" w:hAnsi="宋体" w:cs="宋体"/>
                <w:szCs w:val="21"/>
              </w:rPr>
              <w:t>单位</w:t>
            </w:r>
          </w:p>
        </w:tc>
        <w:tc>
          <w:tcPr>
            <w:tcW w:w="2970" w:type="dxa"/>
            <w:tcBorders>
              <w:top w:val="single" w:color="auto" w:sz="12" w:space="0"/>
            </w:tcBorders>
            <w:noWrap/>
            <w:vAlign w:val="center"/>
          </w:tcPr>
          <w:p w14:paraId="363D3D22">
            <w:pPr>
              <w:jc w:val="center"/>
              <w:rPr>
                <w:rFonts w:ascii="宋体" w:hAnsi="宋体" w:cs="宋体"/>
                <w:szCs w:val="21"/>
              </w:rPr>
            </w:pPr>
            <w:r>
              <w:rPr>
                <w:rFonts w:hint="eastAsia" w:ascii="宋体" w:hAnsi="宋体" w:cs="宋体"/>
                <w:szCs w:val="21"/>
              </w:rPr>
              <w:t>最低数量要求</w:t>
            </w:r>
          </w:p>
        </w:tc>
      </w:tr>
      <w:tr w14:paraId="34CF79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79764466">
            <w:pPr>
              <w:jc w:val="center"/>
              <w:rPr>
                <w:rFonts w:ascii="宋体" w:hAnsi="宋体" w:cs="宋体"/>
                <w:szCs w:val="21"/>
              </w:rPr>
            </w:pPr>
            <w:r>
              <w:rPr>
                <w:rFonts w:hint="eastAsia" w:ascii="宋体" w:hAnsi="宋体" w:cs="宋体"/>
                <w:szCs w:val="21"/>
              </w:rPr>
              <w:t>挖掘机</w:t>
            </w:r>
          </w:p>
        </w:tc>
        <w:tc>
          <w:tcPr>
            <w:tcW w:w="3417" w:type="dxa"/>
            <w:noWrap/>
            <w:vAlign w:val="center"/>
          </w:tcPr>
          <w:p w14:paraId="4E304667">
            <w:pPr>
              <w:tabs>
                <w:tab w:val="left" w:pos="1080"/>
              </w:tabs>
              <w:spacing w:line="280" w:lineRule="exact"/>
              <w:jc w:val="center"/>
              <w:rPr>
                <w:rFonts w:ascii="宋体" w:hAnsi="宋体" w:cs="宋体"/>
                <w:b/>
                <w:bCs/>
                <w:szCs w:val="21"/>
              </w:rPr>
            </w:pPr>
            <w:r>
              <w:rPr>
                <w:rFonts w:hint="eastAsia" w:ascii="宋体" w:hAnsi="宋体" w:cs="宋体"/>
                <w:szCs w:val="21"/>
              </w:rPr>
              <w:t>1m3以上</w:t>
            </w:r>
          </w:p>
        </w:tc>
        <w:tc>
          <w:tcPr>
            <w:tcW w:w="1553" w:type="dxa"/>
            <w:noWrap/>
            <w:vAlign w:val="center"/>
          </w:tcPr>
          <w:p w14:paraId="58E1A540">
            <w:pPr>
              <w:jc w:val="center"/>
              <w:rPr>
                <w:rFonts w:ascii="宋体" w:hAnsi="宋体" w:cs="宋体"/>
                <w:szCs w:val="21"/>
              </w:rPr>
            </w:pPr>
            <w:r>
              <w:rPr>
                <w:rFonts w:hint="eastAsia" w:ascii="宋体" w:hAnsi="宋体" w:cs="宋体"/>
                <w:szCs w:val="21"/>
              </w:rPr>
              <w:t>台</w:t>
            </w:r>
          </w:p>
        </w:tc>
        <w:tc>
          <w:tcPr>
            <w:tcW w:w="2970" w:type="dxa"/>
            <w:noWrap/>
            <w:vAlign w:val="center"/>
          </w:tcPr>
          <w:p w14:paraId="32F22130">
            <w:pPr>
              <w:jc w:val="center"/>
              <w:rPr>
                <w:rFonts w:ascii="宋体" w:hAnsi="宋体" w:cs="宋体"/>
                <w:szCs w:val="21"/>
              </w:rPr>
            </w:pPr>
            <w:r>
              <w:rPr>
                <w:rFonts w:hint="eastAsia" w:ascii="宋体" w:hAnsi="宋体" w:cs="宋体"/>
                <w:szCs w:val="21"/>
              </w:rPr>
              <w:t>2</w:t>
            </w:r>
          </w:p>
        </w:tc>
      </w:tr>
      <w:tr w14:paraId="3B6A36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08B96BB3">
            <w:pPr>
              <w:jc w:val="center"/>
              <w:rPr>
                <w:rFonts w:ascii="宋体" w:hAnsi="宋体" w:cs="宋体"/>
                <w:szCs w:val="21"/>
              </w:rPr>
            </w:pPr>
            <w:r>
              <w:rPr>
                <w:rFonts w:hint="eastAsia" w:ascii="宋体" w:hAnsi="宋体" w:cs="宋体"/>
                <w:szCs w:val="21"/>
              </w:rPr>
              <w:t>振动压路机</w:t>
            </w:r>
          </w:p>
        </w:tc>
        <w:tc>
          <w:tcPr>
            <w:tcW w:w="3417" w:type="dxa"/>
            <w:noWrap/>
            <w:vAlign w:val="center"/>
          </w:tcPr>
          <w:p w14:paraId="23D854AF">
            <w:pPr>
              <w:tabs>
                <w:tab w:val="left" w:pos="1080"/>
              </w:tabs>
              <w:spacing w:line="280" w:lineRule="exact"/>
              <w:jc w:val="center"/>
              <w:rPr>
                <w:rFonts w:ascii="宋体" w:hAnsi="宋体" w:cs="宋体"/>
                <w:b/>
                <w:bCs/>
                <w:szCs w:val="21"/>
              </w:rPr>
            </w:pPr>
            <w:r>
              <w:rPr>
                <w:rFonts w:hint="eastAsia" w:ascii="宋体" w:hAnsi="宋体" w:cs="宋体"/>
                <w:szCs w:val="21"/>
              </w:rPr>
              <w:t>15T以上</w:t>
            </w:r>
          </w:p>
        </w:tc>
        <w:tc>
          <w:tcPr>
            <w:tcW w:w="1553" w:type="dxa"/>
            <w:noWrap/>
            <w:vAlign w:val="center"/>
          </w:tcPr>
          <w:p w14:paraId="6C7ACDB7">
            <w:pPr>
              <w:jc w:val="center"/>
              <w:rPr>
                <w:rFonts w:ascii="宋体" w:hAnsi="宋体" w:cs="宋体"/>
                <w:szCs w:val="21"/>
              </w:rPr>
            </w:pPr>
            <w:r>
              <w:rPr>
                <w:rFonts w:hint="eastAsia" w:ascii="宋体" w:hAnsi="宋体" w:cs="宋体"/>
                <w:szCs w:val="21"/>
              </w:rPr>
              <w:t>台</w:t>
            </w:r>
          </w:p>
        </w:tc>
        <w:tc>
          <w:tcPr>
            <w:tcW w:w="2970" w:type="dxa"/>
            <w:noWrap/>
            <w:vAlign w:val="center"/>
          </w:tcPr>
          <w:p w14:paraId="11AD4AD1">
            <w:pPr>
              <w:jc w:val="center"/>
              <w:rPr>
                <w:rFonts w:ascii="宋体" w:hAnsi="宋体" w:cs="宋体"/>
                <w:szCs w:val="21"/>
              </w:rPr>
            </w:pPr>
            <w:r>
              <w:rPr>
                <w:rFonts w:hint="eastAsia" w:ascii="宋体" w:hAnsi="宋体" w:cs="宋体"/>
                <w:szCs w:val="21"/>
              </w:rPr>
              <w:t>1</w:t>
            </w:r>
          </w:p>
        </w:tc>
      </w:tr>
      <w:tr w14:paraId="6BC37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32971514">
            <w:pPr>
              <w:jc w:val="center"/>
              <w:rPr>
                <w:rFonts w:ascii="宋体" w:hAnsi="宋体" w:cs="宋体"/>
                <w:szCs w:val="21"/>
              </w:rPr>
            </w:pPr>
            <w:r>
              <w:rPr>
                <w:rFonts w:hint="eastAsia" w:ascii="宋体" w:hAnsi="宋体" w:cs="宋体"/>
                <w:szCs w:val="21"/>
              </w:rPr>
              <w:t>冲击钻机</w:t>
            </w:r>
          </w:p>
        </w:tc>
        <w:tc>
          <w:tcPr>
            <w:tcW w:w="3417" w:type="dxa"/>
            <w:noWrap/>
            <w:vAlign w:val="center"/>
          </w:tcPr>
          <w:p w14:paraId="4910C0B5">
            <w:pPr>
              <w:jc w:val="center"/>
              <w:rPr>
                <w:rFonts w:ascii="宋体" w:hAnsi="宋体" w:cs="宋体"/>
                <w:szCs w:val="21"/>
              </w:rPr>
            </w:pPr>
          </w:p>
        </w:tc>
        <w:tc>
          <w:tcPr>
            <w:tcW w:w="1553" w:type="dxa"/>
            <w:noWrap/>
            <w:vAlign w:val="center"/>
          </w:tcPr>
          <w:p w14:paraId="237D5CC5">
            <w:pPr>
              <w:jc w:val="center"/>
              <w:rPr>
                <w:rFonts w:ascii="宋体" w:hAnsi="宋体" w:cs="宋体"/>
                <w:szCs w:val="21"/>
              </w:rPr>
            </w:pPr>
            <w:r>
              <w:rPr>
                <w:rFonts w:hint="eastAsia" w:ascii="宋体" w:hAnsi="宋体" w:cs="宋体"/>
                <w:szCs w:val="21"/>
              </w:rPr>
              <w:t>台</w:t>
            </w:r>
          </w:p>
        </w:tc>
        <w:tc>
          <w:tcPr>
            <w:tcW w:w="2970" w:type="dxa"/>
            <w:noWrap/>
            <w:vAlign w:val="center"/>
          </w:tcPr>
          <w:p w14:paraId="6E60BB78">
            <w:pPr>
              <w:jc w:val="center"/>
              <w:rPr>
                <w:rFonts w:ascii="宋体" w:hAnsi="宋体" w:cs="宋体"/>
                <w:szCs w:val="21"/>
              </w:rPr>
            </w:pPr>
            <w:r>
              <w:rPr>
                <w:rFonts w:hint="eastAsia" w:ascii="宋体" w:hAnsi="宋体" w:cs="宋体"/>
                <w:szCs w:val="21"/>
              </w:rPr>
              <w:t>1</w:t>
            </w:r>
          </w:p>
        </w:tc>
      </w:tr>
      <w:tr w14:paraId="360A5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1F21239D">
            <w:pPr>
              <w:jc w:val="center"/>
              <w:rPr>
                <w:rFonts w:ascii="宋体" w:hAnsi="宋体" w:cs="宋体"/>
                <w:szCs w:val="21"/>
              </w:rPr>
            </w:pPr>
            <w:r>
              <w:rPr>
                <w:rFonts w:hint="eastAsia" w:ascii="宋体" w:hAnsi="宋体" w:cs="宋体"/>
                <w:szCs w:val="21"/>
              </w:rPr>
              <w:t>强制式砼拌和楼</w:t>
            </w:r>
          </w:p>
        </w:tc>
        <w:tc>
          <w:tcPr>
            <w:tcW w:w="3417" w:type="dxa"/>
            <w:noWrap/>
            <w:vAlign w:val="center"/>
          </w:tcPr>
          <w:p w14:paraId="1B818B5C">
            <w:pPr>
              <w:tabs>
                <w:tab w:val="left" w:pos="1080"/>
              </w:tabs>
              <w:spacing w:line="280" w:lineRule="exact"/>
              <w:jc w:val="center"/>
              <w:rPr>
                <w:rFonts w:ascii="宋体" w:hAnsi="宋体" w:cs="宋体"/>
                <w:b/>
                <w:bCs/>
                <w:szCs w:val="21"/>
              </w:rPr>
            </w:pPr>
          </w:p>
        </w:tc>
        <w:tc>
          <w:tcPr>
            <w:tcW w:w="1553" w:type="dxa"/>
            <w:noWrap/>
            <w:vAlign w:val="center"/>
          </w:tcPr>
          <w:p w14:paraId="50624ECE">
            <w:pPr>
              <w:jc w:val="center"/>
              <w:rPr>
                <w:rFonts w:ascii="宋体" w:hAnsi="宋体" w:cs="宋体"/>
                <w:szCs w:val="21"/>
              </w:rPr>
            </w:pPr>
            <w:r>
              <w:rPr>
                <w:rFonts w:hint="eastAsia" w:ascii="宋体" w:hAnsi="宋体" w:cs="宋体"/>
                <w:szCs w:val="21"/>
              </w:rPr>
              <w:t>座</w:t>
            </w:r>
          </w:p>
        </w:tc>
        <w:tc>
          <w:tcPr>
            <w:tcW w:w="2970" w:type="dxa"/>
            <w:noWrap/>
            <w:vAlign w:val="center"/>
          </w:tcPr>
          <w:p w14:paraId="4917B231">
            <w:pPr>
              <w:jc w:val="center"/>
              <w:rPr>
                <w:rFonts w:ascii="宋体" w:hAnsi="宋体" w:cs="宋体"/>
                <w:szCs w:val="21"/>
              </w:rPr>
            </w:pPr>
            <w:r>
              <w:rPr>
                <w:rFonts w:hint="eastAsia" w:ascii="宋体" w:hAnsi="宋体" w:cs="宋体"/>
                <w:szCs w:val="21"/>
              </w:rPr>
              <w:t>1</w:t>
            </w:r>
          </w:p>
        </w:tc>
      </w:tr>
      <w:tr w14:paraId="565E0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trPr>
        <w:tc>
          <w:tcPr>
            <w:tcW w:w="1708" w:type="dxa"/>
            <w:noWrap/>
            <w:vAlign w:val="center"/>
          </w:tcPr>
          <w:p w14:paraId="54549CB2">
            <w:pPr>
              <w:jc w:val="center"/>
              <w:rPr>
                <w:rFonts w:ascii="宋体" w:hAnsi="宋体" w:cs="宋体"/>
                <w:szCs w:val="21"/>
              </w:rPr>
            </w:pPr>
            <w:r>
              <w:rPr>
                <w:rFonts w:hint="eastAsia" w:ascii="宋体" w:hAnsi="宋体" w:cs="宋体"/>
                <w:szCs w:val="21"/>
              </w:rPr>
              <w:t>砂浆拌和机</w:t>
            </w:r>
          </w:p>
        </w:tc>
        <w:tc>
          <w:tcPr>
            <w:tcW w:w="3417" w:type="dxa"/>
            <w:noWrap/>
            <w:vAlign w:val="center"/>
          </w:tcPr>
          <w:p w14:paraId="0108E43A">
            <w:pPr>
              <w:tabs>
                <w:tab w:val="left" w:pos="1080"/>
              </w:tabs>
              <w:spacing w:line="280" w:lineRule="exact"/>
              <w:jc w:val="center"/>
              <w:rPr>
                <w:rFonts w:ascii="宋体" w:hAnsi="宋体" w:cs="宋体"/>
                <w:b/>
                <w:bCs/>
                <w:szCs w:val="21"/>
              </w:rPr>
            </w:pPr>
          </w:p>
        </w:tc>
        <w:tc>
          <w:tcPr>
            <w:tcW w:w="1553" w:type="dxa"/>
            <w:noWrap/>
            <w:vAlign w:val="center"/>
          </w:tcPr>
          <w:p w14:paraId="2DB9F878">
            <w:pPr>
              <w:jc w:val="center"/>
              <w:rPr>
                <w:rFonts w:ascii="宋体" w:hAnsi="宋体" w:cs="宋体"/>
                <w:szCs w:val="21"/>
              </w:rPr>
            </w:pPr>
            <w:r>
              <w:rPr>
                <w:rFonts w:hint="eastAsia" w:ascii="宋体" w:hAnsi="宋体" w:cs="宋体"/>
                <w:szCs w:val="21"/>
              </w:rPr>
              <w:t>台</w:t>
            </w:r>
          </w:p>
        </w:tc>
        <w:tc>
          <w:tcPr>
            <w:tcW w:w="2970" w:type="dxa"/>
            <w:noWrap/>
            <w:vAlign w:val="center"/>
          </w:tcPr>
          <w:p w14:paraId="4E6C3002">
            <w:pPr>
              <w:jc w:val="center"/>
              <w:rPr>
                <w:rFonts w:ascii="宋体" w:hAnsi="宋体" w:cs="宋体"/>
                <w:szCs w:val="21"/>
              </w:rPr>
            </w:pPr>
            <w:r>
              <w:rPr>
                <w:rFonts w:hint="eastAsia" w:ascii="宋体" w:hAnsi="宋体" w:cs="宋体"/>
                <w:szCs w:val="21"/>
              </w:rPr>
              <w:t>1</w:t>
            </w:r>
          </w:p>
        </w:tc>
      </w:tr>
      <w:tr w14:paraId="42DDB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4D1D26F6">
            <w:pPr>
              <w:jc w:val="center"/>
              <w:rPr>
                <w:rFonts w:ascii="宋体" w:hAnsi="宋体" w:cs="宋体"/>
                <w:szCs w:val="21"/>
              </w:rPr>
            </w:pPr>
            <w:r>
              <w:rPr>
                <w:rFonts w:hint="eastAsia" w:ascii="宋体" w:hAnsi="宋体" w:cs="宋体"/>
                <w:szCs w:val="21"/>
              </w:rPr>
              <w:t>试验设备</w:t>
            </w:r>
          </w:p>
        </w:tc>
        <w:tc>
          <w:tcPr>
            <w:tcW w:w="3417" w:type="dxa"/>
            <w:noWrap/>
            <w:vAlign w:val="center"/>
          </w:tcPr>
          <w:p w14:paraId="6EEF90B0">
            <w:pPr>
              <w:tabs>
                <w:tab w:val="left" w:pos="1080"/>
              </w:tabs>
              <w:spacing w:line="280" w:lineRule="exact"/>
              <w:jc w:val="center"/>
              <w:rPr>
                <w:rFonts w:ascii="宋体" w:hAnsi="宋体" w:cs="宋体"/>
                <w:b/>
                <w:bCs/>
                <w:szCs w:val="21"/>
              </w:rPr>
            </w:pPr>
          </w:p>
        </w:tc>
        <w:tc>
          <w:tcPr>
            <w:tcW w:w="1553" w:type="dxa"/>
            <w:noWrap/>
            <w:vAlign w:val="center"/>
          </w:tcPr>
          <w:p w14:paraId="700DA71E">
            <w:pPr>
              <w:jc w:val="center"/>
              <w:rPr>
                <w:rFonts w:ascii="宋体" w:hAnsi="宋体" w:cs="宋体"/>
                <w:szCs w:val="21"/>
              </w:rPr>
            </w:pPr>
            <w:r>
              <w:rPr>
                <w:rFonts w:hint="eastAsia" w:ascii="宋体" w:hAnsi="宋体" w:cs="宋体"/>
                <w:szCs w:val="21"/>
              </w:rPr>
              <w:t>套</w:t>
            </w:r>
          </w:p>
        </w:tc>
        <w:tc>
          <w:tcPr>
            <w:tcW w:w="2970" w:type="dxa"/>
            <w:noWrap/>
            <w:vAlign w:val="center"/>
          </w:tcPr>
          <w:p w14:paraId="57E8BA44">
            <w:pPr>
              <w:jc w:val="center"/>
              <w:rPr>
                <w:rFonts w:ascii="宋体" w:hAnsi="宋体" w:cs="宋体"/>
                <w:szCs w:val="21"/>
              </w:rPr>
            </w:pPr>
            <w:r>
              <w:rPr>
                <w:rFonts w:hint="eastAsia" w:ascii="宋体" w:hAnsi="宋体" w:cs="宋体"/>
                <w:szCs w:val="21"/>
              </w:rPr>
              <w:t>1</w:t>
            </w:r>
          </w:p>
        </w:tc>
      </w:tr>
      <w:tr w14:paraId="060BD6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578E0291">
            <w:pPr>
              <w:jc w:val="center"/>
              <w:rPr>
                <w:rFonts w:ascii="宋体" w:hAnsi="宋体" w:cs="宋体"/>
                <w:szCs w:val="21"/>
              </w:rPr>
            </w:pPr>
            <w:r>
              <w:rPr>
                <w:rFonts w:hint="eastAsia" w:ascii="宋体" w:hAnsi="宋体" w:cs="宋体"/>
                <w:szCs w:val="21"/>
              </w:rPr>
              <w:t>全站仪</w:t>
            </w:r>
          </w:p>
        </w:tc>
        <w:tc>
          <w:tcPr>
            <w:tcW w:w="3417" w:type="dxa"/>
            <w:noWrap/>
            <w:vAlign w:val="center"/>
          </w:tcPr>
          <w:p w14:paraId="0079073D">
            <w:pPr>
              <w:tabs>
                <w:tab w:val="left" w:pos="1080"/>
              </w:tabs>
              <w:spacing w:line="280" w:lineRule="exact"/>
              <w:jc w:val="center"/>
              <w:rPr>
                <w:rFonts w:ascii="宋体" w:hAnsi="宋体" w:cs="宋体"/>
                <w:b/>
                <w:bCs/>
                <w:szCs w:val="21"/>
              </w:rPr>
            </w:pPr>
          </w:p>
        </w:tc>
        <w:tc>
          <w:tcPr>
            <w:tcW w:w="1553" w:type="dxa"/>
            <w:noWrap/>
            <w:vAlign w:val="center"/>
          </w:tcPr>
          <w:p w14:paraId="308DEFEC">
            <w:pPr>
              <w:jc w:val="center"/>
              <w:rPr>
                <w:rFonts w:ascii="宋体" w:hAnsi="宋体" w:cs="宋体"/>
                <w:szCs w:val="21"/>
              </w:rPr>
            </w:pPr>
            <w:r>
              <w:rPr>
                <w:rFonts w:hint="eastAsia" w:ascii="宋体" w:hAnsi="宋体" w:cs="宋体"/>
                <w:szCs w:val="21"/>
              </w:rPr>
              <w:t>台</w:t>
            </w:r>
          </w:p>
        </w:tc>
        <w:tc>
          <w:tcPr>
            <w:tcW w:w="2970" w:type="dxa"/>
            <w:noWrap/>
            <w:vAlign w:val="center"/>
          </w:tcPr>
          <w:p w14:paraId="47B0A03B">
            <w:pPr>
              <w:jc w:val="center"/>
              <w:rPr>
                <w:rFonts w:ascii="宋体" w:hAnsi="宋体" w:cs="宋体"/>
                <w:szCs w:val="21"/>
              </w:rPr>
            </w:pPr>
            <w:r>
              <w:rPr>
                <w:rFonts w:hint="eastAsia" w:ascii="宋体" w:hAnsi="宋体" w:cs="宋体"/>
                <w:szCs w:val="21"/>
              </w:rPr>
              <w:t>1</w:t>
            </w:r>
          </w:p>
        </w:tc>
      </w:tr>
      <w:tr w14:paraId="17E8B6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19EE3802">
            <w:pPr>
              <w:jc w:val="center"/>
              <w:rPr>
                <w:rFonts w:ascii="宋体" w:hAnsi="宋体" w:cs="宋体"/>
                <w:szCs w:val="21"/>
              </w:rPr>
            </w:pPr>
            <w:r>
              <w:rPr>
                <w:rFonts w:hint="eastAsia" w:ascii="宋体" w:hAnsi="宋体" w:cs="宋体"/>
                <w:szCs w:val="21"/>
              </w:rPr>
              <w:t>经纬仪</w:t>
            </w:r>
          </w:p>
        </w:tc>
        <w:tc>
          <w:tcPr>
            <w:tcW w:w="3417" w:type="dxa"/>
            <w:noWrap/>
            <w:vAlign w:val="center"/>
          </w:tcPr>
          <w:p w14:paraId="408769CA">
            <w:pPr>
              <w:tabs>
                <w:tab w:val="left" w:pos="1080"/>
              </w:tabs>
              <w:spacing w:line="280" w:lineRule="exact"/>
              <w:jc w:val="center"/>
              <w:rPr>
                <w:rFonts w:ascii="宋体" w:hAnsi="宋体" w:cs="宋体"/>
                <w:b/>
                <w:bCs/>
                <w:szCs w:val="21"/>
              </w:rPr>
            </w:pPr>
          </w:p>
        </w:tc>
        <w:tc>
          <w:tcPr>
            <w:tcW w:w="1553" w:type="dxa"/>
            <w:noWrap/>
            <w:vAlign w:val="center"/>
          </w:tcPr>
          <w:p w14:paraId="607D55F4">
            <w:pPr>
              <w:jc w:val="center"/>
              <w:rPr>
                <w:rFonts w:ascii="宋体" w:hAnsi="宋体" w:cs="宋体"/>
                <w:szCs w:val="21"/>
              </w:rPr>
            </w:pPr>
            <w:r>
              <w:rPr>
                <w:rFonts w:hint="eastAsia" w:ascii="宋体" w:hAnsi="宋体" w:cs="宋体"/>
                <w:szCs w:val="21"/>
              </w:rPr>
              <w:t>台</w:t>
            </w:r>
          </w:p>
        </w:tc>
        <w:tc>
          <w:tcPr>
            <w:tcW w:w="2970" w:type="dxa"/>
            <w:noWrap/>
            <w:vAlign w:val="center"/>
          </w:tcPr>
          <w:p w14:paraId="48DD00B6">
            <w:pPr>
              <w:jc w:val="center"/>
              <w:rPr>
                <w:rFonts w:ascii="宋体" w:hAnsi="宋体" w:cs="宋体"/>
                <w:szCs w:val="21"/>
              </w:rPr>
            </w:pPr>
            <w:r>
              <w:rPr>
                <w:rFonts w:hint="eastAsia" w:ascii="宋体" w:hAnsi="宋体" w:cs="宋体"/>
                <w:szCs w:val="21"/>
              </w:rPr>
              <w:t>1</w:t>
            </w:r>
          </w:p>
        </w:tc>
      </w:tr>
      <w:tr w14:paraId="3E4337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027B1CE2">
            <w:pPr>
              <w:jc w:val="center"/>
              <w:rPr>
                <w:rFonts w:ascii="宋体" w:hAnsi="宋体" w:cs="宋体"/>
                <w:szCs w:val="21"/>
              </w:rPr>
            </w:pPr>
            <w:r>
              <w:rPr>
                <w:rFonts w:hint="eastAsia" w:ascii="宋体" w:hAnsi="宋体" w:cs="宋体"/>
                <w:szCs w:val="21"/>
              </w:rPr>
              <w:t>水准仪</w:t>
            </w:r>
          </w:p>
        </w:tc>
        <w:tc>
          <w:tcPr>
            <w:tcW w:w="3417" w:type="dxa"/>
            <w:noWrap/>
            <w:vAlign w:val="center"/>
          </w:tcPr>
          <w:p w14:paraId="10AEC52B">
            <w:pPr>
              <w:tabs>
                <w:tab w:val="left" w:pos="1080"/>
              </w:tabs>
              <w:spacing w:line="280" w:lineRule="exact"/>
              <w:jc w:val="center"/>
              <w:rPr>
                <w:rFonts w:ascii="宋体" w:hAnsi="宋体" w:cs="宋体"/>
                <w:szCs w:val="21"/>
              </w:rPr>
            </w:pPr>
          </w:p>
        </w:tc>
        <w:tc>
          <w:tcPr>
            <w:tcW w:w="1553" w:type="dxa"/>
            <w:noWrap/>
            <w:vAlign w:val="center"/>
          </w:tcPr>
          <w:p w14:paraId="2C59BDD4">
            <w:pPr>
              <w:jc w:val="center"/>
              <w:rPr>
                <w:rFonts w:ascii="宋体" w:hAnsi="宋体" w:cs="宋体"/>
                <w:szCs w:val="21"/>
              </w:rPr>
            </w:pPr>
            <w:r>
              <w:rPr>
                <w:rFonts w:hint="eastAsia" w:ascii="宋体" w:hAnsi="宋体" w:cs="宋体"/>
                <w:szCs w:val="21"/>
              </w:rPr>
              <w:t>台</w:t>
            </w:r>
          </w:p>
        </w:tc>
        <w:tc>
          <w:tcPr>
            <w:tcW w:w="2970" w:type="dxa"/>
            <w:noWrap/>
            <w:vAlign w:val="center"/>
          </w:tcPr>
          <w:p w14:paraId="0872B0C1">
            <w:pPr>
              <w:jc w:val="center"/>
              <w:rPr>
                <w:rFonts w:ascii="宋体" w:hAnsi="宋体" w:cs="宋体"/>
                <w:szCs w:val="21"/>
              </w:rPr>
            </w:pPr>
            <w:r>
              <w:rPr>
                <w:rFonts w:hint="eastAsia" w:ascii="宋体" w:hAnsi="宋体" w:cs="宋体"/>
                <w:szCs w:val="21"/>
              </w:rPr>
              <w:t>1</w:t>
            </w:r>
          </w:p>
        </w:tc>
      </w:tr>
      <w:tr w14:paraId="45ED3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5FE7A66D">
            <w:pPr>
              <w:jc w:val="center"/>
              <w:rPr>
                <w:rFonts w:ascii="宋体" w:hAnsi="宋体" w:cs="宋体"/>
                <w:szCs w:val="21"/>
              </w:rPr>
            </w:pPr>
            <w:r>
              <w:rPr>
                <w:rFonts w:hint="eastAsia" w:ascii="宋体" w:hAnsi="宋体" w:cs="宋体"/>
                <w:szCs w:val="21"/>
              </w:rPr>
              <w:t>发电机组</w:t>
            </w:r>
          </w:p>
        </w:tc>
        <w:tc>
          <w:tcPr>
            <w:tcW w:w="3417" w:type="dxa"/>
            <w:noWrap/>
            <w:vAlign w:val="center"/>
          </w:tcPr>
          <w:p w14:paraId="5AB0F79C">
            <w:pPr>
              <w:tabs>
                <w:tab w:val="left" w:pos="1080"/>
              </w:tabs>
              <w:spacing w:line="280" w:lineRule="exact"/>
              <w:jc w:val="center"/>
              <w:rPr>
                <w:rFonts w:ascii="宋体" w:hAnsi="宋体" w:cs="宋体"/>
                <w:szCs w:val="21"/>
              </w:rPr>
            </w:pPr>
            <w:r>
              <w:rPr>
                <w:rFonts w:hint="eastAsia" w:ascii="宋体" w:hAnsi="宋体" w:cs="宋体"/>
                <w:szCs w:val="21"/>
              </w:rPr>
              <w:t>120KW以上</w:t>
            </w:r>
          </w:p>
        </w:tc>
        <w:tc>
          <w:tcPr>
            <w:tcW w:w="1553" w:type="dxa"/>
            <w:noWrap/>
            <w:vAlign w:val="center"/>
          </w:tcPr>
          <w:p w14:paraId="535DD3D3">
            <w:pPr>
              <w:jc w:val="center"/>
              <w:rPr>
                <w:rFonts w:ascii="宋体" w:hAnsi="宋体" w:cs="宋体"/>
                <w:szCs w:val="21"/>
              </w:rPr>
            </w:pPr>
            <w:r>
              <w:rPr>
                <w:rFonts w:hint="eastAsia" w:ascii="宋体" w:hAnsi="宋体" w:cs="宋体"/>
                <w:szCs w:val="21"/>
              </w:rPr>
              <w:t>台</w:t>
            </w:r>
          </w:p>
        </w:tc>
        <w:tc>
          <w:tcPr>
            <w:tcW w:w="2970" w:type="dxa"/>
            <w:noWrap/>
            <w:vAlign w:val="center"/>
          </w:tcPr>
          <w:p w14:paraId="745A53FA">
            <w:pPr>
              <w:jc w:val="center"/>
              <w:rPr>
                <w:rFonts w:ascii="宋体" w:hAnsi="宋体" w:cs="宋体"/>
                <w:szCs w:val="21"/>
              </w:rPr>
            </w:pPr>
            <w:r>
              <w:rPr>
                <w:rFonts w:hint="eastAsia" w:ascii="宋体" w:hAnsi="宋体" w:cs="宋体"/>
                <w:szCs w:val="21"/>
              </w:rPr>
              <w:t>1</w:t>
            </w:r>
          </w:p>
        </w:tc>
      </w:tr>
      <w:tr w14:paraId="7BC09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0463266F">
            <w:pPr>
              <w:jc w:val="center"/>
              <w:rPr>
                <w:rFonts w:ascii="宋体" w:hAnsi="宋体" w:cs="宋体"/>
                <w:szCs w:val="21"/>
              </w:rPr>
            </w:pPr>
            <w:r>
              <w:rPr>
                <w:rFonts w:hint="eastAsia" w:ascii="宋体" w:hAnsi="宋体" w:cs="宋体"/>
                <w:szCs w:val="21"/>
              </w:rPr>
              <w:t>混凝土水泥路面刚性刻纹机</w:t>
            </w:r>
          </w:p>
        </w:tc>
        <w:tc>
          <w:tcPr>
            <w:tcW w:w="3417" w:type="dxa"/>
            <w:noWrap/>
            <w:vAlign w:val="center"/>
          </w:tcPr>
          <w:p w14:paraId="5A7880E6">
            <w:pPr>
              <w:jc w:val="center"/>
              <w:rPr>
                <w:rFonts w:ascii="宋体" w:hAnsi="宋体" w:cs="宋体"/>
                <w:szCs w:val="21"/>
              </w:rPr>
            </w:pPr>
          </w:p>
        </w:tc>
        <w:tc>
          <w:tcPr>
            <w:tcW w:w="1553" w:type="dxa"/>
            <w:noWrap/>
            <w:vAlign w:val="center"/>
          </w:tcPr>
          <w:p w14:paraId="15C78A84">
            <w:pPr>
              <w:jc w:val="center"/>
              <w:rPr>
                <w:rFonts w:ascii="宋体" w:hAnsi="宋体" w:cs="宋体"/>
                <w:szCs w:val="21"/>
              </w:rPr>
            </w:pPr>
            <w:r>
              <w:rPr>
                <w:rFonts w:hint="eastAsia" w:ascii="宋体" w:hAnsi="宋体" w:cs="宋体"/>
                <w:szCs w:val="21"/>
              </w:rPr>
              <w:t>台</w:t>
            </w:r>
          </w:p>
        </w:tc>
        <w:tc>
          <w:tcPr>
            <w:tcW w:w="2970" w:type="dxa"/>
            <w:noWrap/>
            <w:vAlign w:val="center"/>
          </w:tcPr>
          <w:p w14:paraId="2838143E">
            <w:pPr>
              <w:jc w:val="center"/>
              <w:rPr>
                <w:rFonts w:ascii="宋体" w:hAnsi="宋体" w:cs="宋体"/>
                <w:szCs w:val="21"/>
              </w:rPr>
            </w:pPr>
            <w:r>
              <w:rPr>
                <w:rFonts w:hint="eastAsia" w:ascii="宋体" w:hAnsi="宋体" w:cs="宋体"/>
                <w:szCs w:val="21"/>
              </w:rPr>
              <w:t>1</w:t>
            </w:r>
          </w:p>
        </w:tc>
      </w:tr>
      <w:tr w14:paraId="1A9513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07B9F164">
            <w:pPr>
              <w:jc w:val="center"/>
              <w:rPr>
                <w:rFonts w:ascii="宋体" w:hAnsi="宋体" w:cs="宋体"/>
                <w:szCs w:val="21"/>
              </w:rPr>
            </w:pPr>
            <w:r>
              <w:rPr>
                <w:rFonts w:hint="eastAsia" w:ascii="宋体" w:hAnsi="宋体" w:cs="宋体"/>
                <w:szCs w:val="21"/>
              </w:rPr>
              <w:t>钢模</w:t>
            </w:r>
          </w:p>
        </w:tc>
        <w:tc>
          <w:tcPr>
            <w:tcW w:w="3417" w:type="dxa"/>
            <w:noWrap/>
            <w:vAlign w:val="center"/>
          </w:tcPr>
          <w:p w14:paraId="189AA066">
            <w:pPr>
              <w:jc w:val="center"/>
              <w:rPr>
                <w:rFonts w:ascii="宋体" w:hAnsi="宋体" w:cs="宋体"/>
                <w:szCs w:val="21"/>
              </w:rPr>
            </w:pPr>
            <w:r>
              <w:rPr>
                <w:rFonts w:hint="eastAsia" w:ascii="宋体" w:hAnsi="宋体" w:cs="宋体"/>
                <w:szCs w:val="21"/>
              </w:rPr>
              <w:t>40cm高</w:t>
            </w:r>
          </w:p>
        </w:tc>
        <w:tc>
          <w:tcPr>
            <w:tcW w:w="1553" w:type="dxa"/>
            <w:noWrap/>
            <w:vAlign w:val="center"/>
          </w:tcPr>
          <w:p w14:paraId="39617F91">
            <w:pPr>
              <w:jc w:val="center"/>
              <w:rPr>
                <w:rFonts w:ascii="宋体" w:hAnsi="宋体" w:cs="宋体"/>
                <w:szCs w:val="21"/>
              </w:rPr>
            </w:pPr>
            <w:r>
              <w:rPr>
                <w:rFonts w:hint="eastAsia" w:ascii="宋体" w:hAnsi="宋体" w:cs="宋体"/>
                <w:szCs w:val="21"/>
              </w:rPr>
              <w:t>m</w:t>
            </w:r>
          </w:p>
        </w:tc>
        <w:tc>
          <w:tcPr>
            <w:tcW w:w="2970" w:type="dxa"/>
            <w:noWrap/>
            <w:vAlign w:val="center"/>
          </w:tcPr>
          <w:p w14:paraId="67E2E436">
            <w:pPr>
              <w:jc w:val="center"/>
              <w:rPr>
                <w:rFonts w:ascii="宋体" w:hAnsi="宋体" w:cs="宋体"/>
                <w:szCs w:val="21"/>
              </w:rPr>
            </w:pPr>
            <w:r>
              <w:rPr>
                <w:rFonts w:hint="eastAsia" w:ascii="宋体" w:hAnsi="宋体" w:cs="宋体"/>
                <w:szCs w:val="21"/>
              </w:rPr>
              <w:t>250</w:t>
            </w:r>
          </w:p>
        </w:tc>
      </w:tr>
      <w:tr w14:paraId="127576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0FCE2490">
            <w:pPr>
              <w:jc w:val="center"/>
              <w:rPr>
                <w:rFonts w:ascii="宋体" w:hAnsi="宋体" w:cs="宋体"/>
                <w:szCs w:val="21"/>
              </w:rPr>
            </w:pPr>
            <w:r>
              <w:rPr>
                <w:rFonts w:hint="eastAsia" w:ascii="宋体" w:hAnsi="宋体" w:cs="宋体"/>
                <w:szCs w:val="21"/>
              </w:rPr>
              <w:t>水泥混凝土路面排式振捣机</w:t>
            </w:r>
          </w:p>
        </w:tc>
        <w:tc>
          <w:tcPr>
            <w:tcW w:w="3417" w:type="dxa"/>
            <w:noWrap/>
            <w:vAlign w:val="center"/>
          </w:tcPr>
          <w:p w14:paraId="2167519A">
            <w:pPr>
              <w:jc w:val="center"/>
              <w:rPr>
                <w:rFonts w:ascii="宋体" w:hAnsi="宋体" w:cs="宋体"/>
                <w:szCs w:val="21"/>
              </w:rPr>
            </w:pPr>
          </w:p>
        </w:tc>
        <w:tc>
          <w:tcPr>
            <w:tcW w:w="1553" w:type="dxa"/>
            <w:noWrap/>
            <w:vAlign w:val="center"/>
          </w:tcPr>
          <w:p w14:paraId="2A825542">
            <w:pPr>
              <w:jc w:val="center"/>
              <w:rPr>
                <w:rFonts w:ascii="宋体" w:hAnsi="宋体" w:cs="宋体"/>
                <w:szCs w:val="21"/>
              </w:rPr>
            </w:pPr>
            <w:r>
              <w:rPr>
                <w:rFonts w:hint="eastAsia" w:ascii="宋体" w:hAnsi="宋体" w:cs="宋体"/>
                <w:szCs w:val="21"/>
              </w:rPr>
              <w:t>台</w:t>
            </w:r>
          </w:p>
        </w:tc>
        <w:tc>
          <w:tcPr>
            <w:tcW w:w="2970" w:type="dxa"/>
            <w:noWrap/>
            <w:vAlign w:val="center"/>
          </w:tcPr>
          <w:p w14:paraId="697C5701">
            <w:pPr>
              <w:jc w:val="center"/>
              <w:rPr>
                <w:rFonts w:ascii="宋体" w:hAnsi="宋体" w:cs="宋体"/>
                <w:szCs w:val="21"/>
              </w:rPr>
            </w:pPr>
            <w:r>
              <w:rPr>
                <w:rFonts w:hint="eastAsia" w:ascii="宋体" w:hAnsi="宋体" w:cs="宋体"/>
                <w:szCs w:val="21"/>
              </w:rPr>
              <w:t>1</w:t>
            </w:r>
          </w:p>
        </w:tc>
      </w:tr>
      <w:tr w14:paraId="2CF231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708" w:type="dxa"/>
            <w:noWrap/>
            <w:vAlign w:val="center"/>
          </w:tcPr>
          <w:p w14:paraId="6896410F">
            <w:pPr>
              <w:jc w:val="center"/>
              <w:rPr>
                <w:rFonts w:ascii="宋体" w:hAnsi="宋体" w:cs="宋体"/>
                <w:szCs w:val="21"/>
              </w:rPr>
            </w:pPr>
          </w:p>
        </w:tc>
        <w:tc>
          <w:tcPr>
            <w:tcW w:w="3417" w:type="dxa"/>
            <w:noWrap/>
            <w:vAlign w:val="center"/>
          </w:tcPr>
          <w:p w14:paraId="3ECECFDD">
            <w:pPr>
              <w:tabs>
                <w:tab w:val="left" w:pos="1080"/>
              </w:tabs>
              <w:spacing w:line="280" w:lineRule="exact"/>
              <w:jc w:val="center"/>
              <w:rPr>
                <w:rFonts w:ascii="宋体" w:hAnsi="宋体" w:cs="宋体"/>
                <w:szCs w:val="21"/>
              </w:rPr>
            </w:pPr>
          </w:p>
        </w:tc>
        <w:tc>
          <w:tcPr>
            <w:tcW w:w="1553" w:type="dxa"/>
            <w:noWrap/>
            <w:vAlign w:val="center"/>
          </w:tcPr>
          <w:p w14:paraId="5AB9D55A">
            <w:pPr>
              <w:jc w:val="center"/>
              <w:rPr>
                <w:rFonts w:ascii="宋体" w:hAnsi="宋体" w:cs="宋体"/>
                <w:szCs w:val="21"/>
              </w:rPr>
            </w:pPr>
          </w:p>
        </w:tc>
        <w:tc>
          <w:tcPr>
            <w:tcW w:w="2970" w:type="dxa"/>
            <w:noWrap/>
            <w:vAlign w:val="center"/>
          </w:tcPr>
          <w:p w14:paraId="3E49D62A">
            <w:pPr>
              <w:jc w:val="center"/>
              <w:rPr>
                <w:rFonts w:ascii="宋体" w:hAnsi="宋体" w:cs="宋体"/>
                <w:szCs w:val="21"/>
              </w:rPr>
            </w:pPr>
          </w:p>
        </w:tc>
      </w:tr>
    </w:tbl>
    <w:p w14:paraId="78FC869E">
      <w:pPr>
        <w:ind w:firstLine="411" w:firstLineChars="196"/>
        <w:rPr>
          <w:rFonts w:ascii="宋体" w:hAnsi="宋体" w:cs="宋体"/>
        </w:rPr>
      </w:pPr>
    </w:p>
    <w:p w14:paraId="487957A1">
      <w:pPr>
        <w:ind w:firstLine="411" w:firstLineChars="196"/>
        <w:rPr>
          <w:rFonts w:ascii="宋体" w:hAnsi="宋体" w:cs="宋体"/>
        </w:rPr>
      </w:pPr>
      <w:r>
        <w:rPr>
          <w:rFonts w:hint="eastAsia" w:ascii="宋体" w:hAnsi="宋体" w:cs="宋体"/>
        </w:rPr>
        <w:t>注：采购人将在发出成交通知书之前要求成交人按照本表的最低要求填报为本标段配备的主要设备，在经成交人审批后作为投入本标段的主要设备且不允许更换。</w:t>
      </w:r>
    </w:p>
    <w:p w14:paraId="2846D194">
      <w:pPr>
        <w:ind w:firstLine="411" w:firstLineChars="196"/>
        <w:rPr>
          <w:rFonts w:ascii="宋体" w:hAnsi="宋体" w:cs="宋体"/>
          <w:szCs w:val="21"/>
        </w:rPr>
      </w:pPr>
    </w:p>
    <w:p w14:paraId="1B2F7EEC">
      <w:pPr>
        <w:ind w:firstLine="411" w:firstLineChars="196"/>
        <w:rPr>
          <w:rFonts w:ascii="宋体" w:hAnsi="宋体" w:cs="宋体"/>
          <w:szCs w:val="21"/>
        </w:rPr>
        <w:sectPr>
          <w:pgSz w:w="11911" w:h="16849"/>
          <w:pgMar w:top="1417" w:right="1417" w:bottom="1417" w:left="1417" w:header="720" w:footer="720" w:gutter="0"/>
          <w:cols w:space="720" w:num="1"/>
          <w:docGrid w:linePitch="312" w:charSpace="0"/>
        </w:sectPr>
      </w:pPr>
    </w:p>
    <w:p w14:paraId="6769EE0E">
      <w:pPr>
        <w:pStyle w:val="6"/>
        <w:rPr>
          <w:rFonts w:ascii="宋体" w:hAnsi="宋体" w:cs="宋体"/>
        </w:rPr>
      </w:pPr>
      <w:bookmarkStart w:id="327" w:name="_Toc394929421"/>
      <w:r>
        <w:rPr>
          <w:rFonts w:hint="eastAsia" w:ascii="宋体" w:hAnsi="宋体" w:cs="宋体"/>
        </w:rPr>
        <w:t>附件六  项目经理委任书</w:t>
      </w:r>
      <w:bookmarkEnd w:id="327"/>
    </w:p>
    <w:p w14:paraId="2A929058">
      <w:pPr>
        <w:spacing w:line="360" w:lineRule="auto"/>
        <w:jc w:val="center"/>
        <w:rPr>
          <w:rFonts w:ascii="宋体" w:hAnsi="宋体" w:cs="宋体"/>
          <w:szCs w:val="21"/>
        </w:rPr>
      </w:pPr>
      <w:bookmarkStart w:id="328" w:name="bookmark197"/>
      <w:r>
        <w:rPr>
          <w:rStyle w:val="222"/>
          <w:rFonts w:hint="eastAsia" w:ascii="宋体" w:hAnsi="宋体" w:eastAsia="宋体" w:cs="宋体"/>
          <w:color w:val="auto"/>
          <w:sz w:val="21"/>
          <w:szCs w:val="21"/>
        </w:rPr>
        <w:t>(承包人全称）</w:t>
      </w:r>
      <w:bookmarkEnd w:id="328"/>
    </w:p>
    <w:p w14:paraId="23D67D9E">
      <w:pPr>
        <w:spacing w:line="360" w:lineRule="auto"/>
        <w:jc w:val="center"/>
        <w:rPr>
          <w:rFonts w:ascii="宋体" w:hAnsi="宋体" w:cs="宋体"/>
          <w:szCs w:val="21"/>
        </w:rPr>
      </w:pPr>
      <w:bookmarkStart w:id="329" w:name="bookmark198"/>
      <w:r>
        <w:rPr>
          <w:rStyle w:val="222"/>
          <w:rFonts w:hint="eastAsia" w:ascii="宋体" w:hAnsi="宋体" w:eastAsia="宋体" w:cs="宋体"/>
          <w:color w:val="auto"/>
          <w:sz w:val="21"/>
          <w:szCs w:val="21"/>
        </w:rPr>
        <w:t>(合同工程名称）</w:t>
      </w:r>
      <w:r>
        <w:rPr>
          <w:rStyle w:val="274"/>
          <w:rFonts w:hint="eastAsia" w:ascii="宋体" w:hAnsi="宋体" w:eastAsia="宋体" w:cs="宋体"/>
          <w:color w:val="auto"/>
          <w:sz w:val="21"/>
          <w:szCs w:val="21"/>
        </w:rPr>
        <w:t>项目经理委任书</w:t>
      </w:r>
      <w:bookmarkEnd w:id="329"/>
    </w:p>
    <w:p w14:paraId="1B0E16F9">
      <w:pPr>
        <w:pStyle w:val="292"/>
        <w:shd w:val="clear" w:color="auto" w:fill="auto"/>
        <w:spacing w:before="0" w:line="360" w:lineRule="auto"/>
        <w:jc w:val="both"/>
        <w:rPr>
          <w:rFonts w:ascii="宋体" w:hAnsi="宋体" w:eastAsia="宋体" w:cs="宋体"/>
          <w:sz w:val="21"/>
          <w:szCs w:val="21"/>
        </w:rPr>
      </w:pPr>
      <w:r>
        <w:rPr>
          <w:rStyle w:val="266"/>
          <w:rFonts w:hint="eastAsia" w:ascii="宋体" w:hAnsi="宋体" w:eastAsia="宋体" w:cs="宋体"/>
          <w:color w:val="auto"/>
          <w:sz w:val="21"/>
          <w:szCs w:val="21"/>
        </w:rPr>
        <w:t>致：</w:t>
      </w:r>
      <w:r>
        <w:rPr>
          <w:rStyle w:val="135"/>
          <w:rFonts w:hint="eastAsia" w:ascii="宋体" w:hAnsi="宋体" w:eastAsia="宋体" w:cs="宋体"/>
          <w:color w:val="auto"/>
          <w:sz w:val="21"/>
          <w:szCs w:val="21"/>
        </w:rPr>
        <w:t>（发包人全称）</w:t>
      </w:r>
    </w:p>
    <w:p w14:paraId="12AEF397">
      <w:pPr>
        <w:pStyle w:val="292"/>
        <w:shd w:val="clear" w:color="auto" w:fill="auto"/>
        <w:spacing w:before="0" w:after="360" w:line="360" w:lineRule="auto"/>
        <w:ind w:firstLine="1020"/>
        <w:jc w:val="both"/>
        <w:rPr>
          <w:rFonts w:ascii="宋体" w:hAnsi="宋体" w:eastAsia="宋体" w:cs="宋体"/>
          <w:sz w:val="21"/>
          <w:szCs w:val="21"/>
        </w:rPr>
      </w:pPr>
      <w:r>
        <w:rPr>
          <w:rStyle w:val="135"/>
          <w:rFonts w:hint="eastAsia" w:ascii="宋体" w:hAnsi="宋体" w:eastAsia="宋体" w:cs="宋体"/>
          <w:color w:val="auto"/>
          <w:sz w:val="21"/>
          <w:szCs w:val="21"/>
        </w:rPr>
        <w:t>(承包人全称）</w:t>
      </w:r>
      <w:r>
        <w:rPr>
          <w:rStyle w:val="266"/>
          <w:rFonts w:hint="eastAsia" w:ascii="宋体" w:hAnsi="宋体" w:eastAsia="宋体" w:cs="宋体"/>
          <w:color w:val="auto"/>
          <w:sz w:val="21"/>
          <w:szCs w:val="21"/>
        </w:rPr>
        <w:t>法定代表人</w:t>
      </w:r>
      <w:r>
        <w:rPr>
          <w:rStyle w:val="135"/>
          <w:rFonts w:hint="eastAsia" w:ascii="宋体" w:hAnsi="宋体" w:eastAsia="宋体" w:cs="宋体"/>
          <w:color w:val="auto"/>
          <w:sz w:val="21"/>
          <w:szCs w:val="21"/>
        </w:rPr>
        <w:t>（职务、姓名）</w:t>
      </w:r>
      <w:r>
        <w:rPr>
          <w:rStyle w:val="266"/>
          <w:rFonts w:hint="eastAsia" w:ascii="宋体" w:hAnsi="宋体" w:eastAsia="宋体" w:cs="宋体"/>
          <w:color w:val="auto"/>
          <w:sz w:val="21"/>
          <w:szCs w:val="21"/>
        </w:rPr>
        <w:t>代表本单位委任</w:t>
      </w:r>
      <w:r>
        <w:rPr>
          <w:rStyle w:val="135"/>
          <w:rFonts w:hint="eastAsia" w:ascii="宋体" w:hAnsi="宋体" w:eastAsia="宋体" w:cs="宋体"/>
          <w:color w:val="auto"/>
          <w:sz w:val="21"/>
          <w:szCs w:val="21"/>
        </w:rPr>
        <w:t>（职务、姓 名）</w:t>
      </w:r>
      <w:r>
        <w:rPr>
          <w:rStyle w:val="266"/>
          <w:rFonts w:hint="eastAsia" w:ascii="宋体" w:hAnsi="宋体" w:eastAsia="宋体" w:cs="宋体"/>
          <w:color w:val="auto"/>
          <w:sz w:val="21"/>
          <w:szCs w:val="21"/>
        </w:rPr>
        <w:t>为</w:t>
      </w:r>
      <w:r>
        <w:rPr>
          <w:rStyle w:val="135"/>
          <w:rFonts w:hint="eastAsia" w:ascii="宋体" w:hAnsi="宋体" w:eastAsia="宋体" w:cs="宋体"/>
          <w:color w:val="auto"/>
          <w:sz w:val="21"/>
          <w:szCs w:val="21"/>
        </w:rPr>
        <w:t>（合同工程名称）</w:t>
      </w:r>
      <w:r>
        <w:rPr>
          <w:rStyle w:val="266"/>
          <w:rFonts w:hint="eastAsia" w:ascii="宋体" w:hAnsi="宋体" w:eastAsia="宋体" w:cs="宋体"/>
          <w:color w:val="auto"/>
          <w:sz w:val="21"/>
          <w:szCs w:val="21"/>
        </w:rPr>
        <w:t>的项目经理。凡本合同执行中的有关技术、工程进度、现 场管理、质量检验、结算与支付等方面工作，由</w:t>
      </w:r>
      <w:r>
        <w:rPr>
          <w:rStyle w:val="135"/>
          <w:rFonts w:hint="eastAsia" w:ascii="宋体" w:hAnsi="宋体" w:eastAsia="宋体" w:cs="宋体"/>
          <w:color w:val="auto"/>
          <w:sz w:val="21"/>
          <w:szCs w:val="21"/>
        </w:rPr>
        <w:t>（姓名）</w:t>
      </w:r>
      <w:r>
        <w:rPr>
          <w:rStyle w:val="266"/>
          <w:rFonts w:hint="eastAsia" w:ascii="宋体" w:hAnsi="宋体" w:eastAsia="宋体" w:cs="宋体"/>
          <w:color w:val="auto"/>
          <w:sz w:val="21"/>
          <w:szCs w:val="21"/>
        </w:rPr>
        <w:t>代表本单位全面负责。</w:t>
      </w:r>
    </w:p>
    <w:p w14:paraId="6DFC6B8E">
      <w:pPr>
        <w:pStyle w:val="292"/>
        <w:shd w:val="clear" w:color="auto" w:fill="auto"/>
        <w:tabs>
          <w:tab w:val="left" w:leader="underscore" w:pos="7348"/>
        </w:tabs>
        <w:spacing w:before="0" w:line="360" w:lineRule="auto"/>
        <w:ind w:left="3880"/>
        <w:jc w:val="both"/>
        <w:rPr>
          <w:rFonts w:ascii="宋体" w:hAnsi="宋体" w:eastAsia="宋体" w:cs="宋体"/>
          <w:sz w:val="21"/>
          <w:szCs w:val="21"/>
        </w:rPr>
      </w:pPr>
      <w:r>
        <w:rPr>
          <w:rStyle w:val="266"/>
          <w:rFonts w:hint="eastAsia" w:ascii="宋体" w:hAnsi="宋体" w:eastAsia="宋体" w:cs="宋体"/>
          <w:color w:val="auto"/>
          <w:sz w:val="21"/>
          <w:szCs w:val="21"/>
        </w:rPr>
        <w:t>承包人：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(盖单位章）</w:t>
      </w:r>
    </w:p>
    <w:p w14:paraId="6B6C1CD9">
      <w:pPr>
        <w:pStyle w:val="292"/>
        <w:shd w:val="clear" w:color="auto" w:fill="auto"/>
        <w:tabs>
          <w:tab w:val="center" w:pos="7411"/>
        </w:tabs>
        <w:spacing w:before="0" w:line="360" w:lineRule="auto"/>
        <w:ind w:left="655" w:leftChars="312" w:firstLine="3168" w:firstLineChars="1509"/>
        <w:jc w:val="both"/>
        <w:rPr>
          <w:rFonts w:ascii="宋体" w:hAnsi="宋体" w:eastAsia="宋体" w:cs="宋体"/>
          <w:sz w:val="21"/>
          <w:szCs w:val="21"/>
        </w:rPr>
      </w:pPr>
      <w:r>
        <w:rPr>
          <w:rStyle w:val="266"/>
          <w:rFonts w:hint="eastAsia" w:ascii="宋体" w:hAnsi="宋体" w:eastAsia="宋体" w:cs="宋体"/>
          <w:color w:val="auto"/>
          <w:sz w:val="21"/>
          <w:szCs w:val="21"/>
        </w:rPr>
        <w:t>法定代表人：</w:t>
      </w:r>
      <w:r>
        <w:rPr>
          <w:rStyle w:val="266"/>
          <w:rFonts w:hint="eastAsia" w:ascii="宋体" w:hAnsi="宋体" w:eastAsia="宋体" w:cs="宋体"/>
          <w:color w:val="auto"/>
          <w:sz w:val="21"/>
          <w:szCs w:val="21"/>
          <w:u w:val="single"/>
        </w:rPr>
        <w:tab/>
      </w:r>
      <w:r>
        <w:rPr>
          <w:rStyle w:val="135"/>
          <w:rFonts w:hint="eastAsia" w:ascii="宋体" w:hAnsi="宋体" w:eastAsia="宋体" w:cs="宋体"/>
          <w:color w:val="auto"/>
          <w:sz w:val="21"/>
          <w:szCs w:val="21"/>
        </w:rPr>
        <w:t>(职务）</w:t>
      </w:r>
    </w:p>
    <w:p w14:paraId="15F697D7">
      <w:pPr>
        <w:pStyle w:val="292"/>
        <w:shd w:val="clear" w:color="auto" w:fill="auto"/>
        <w:tabs>
          <w:tab w:val="center" w:leader="underscore" w:pos="7411"/>
        </w:tabs>
        <w:spacing w:before="0" w:line="360" w:lineRule="auto"/>
        <w:ind w:left="6140"/>
        <w:jc w:val="both"/>
        <w:rPr>
          <w:rFonts w:ascii="宋体" w:hAnsi="宋体" w:eastAsia="宋体" w:cs="宋体"/>
          <w:sz w:val="21"/>
          <w:szCs w:val="21"/>
        </w:rPr>
      </w:pPr>
      <w:r>
        <w:rPr>
          <w:rStyle w:val="266"/>
          <w:rFonts w:hint="eastAsia" w:ascii="宋体" w:hAnsi="宋体" w:eastAsia="宋体" w:cs="宋体"/>
          <w:color w:val="auto"/>
          <w:sz w:val="21"/>
          <w:szCs w:val="21"/>
        </w:rPr>
        <w:tab/>
      </w:r>
      <w:r>
        <w:rPr>
          <w:rStyle w:val="135"/>
          <w:rFonts w:hint="eastAsia" w:ascii="宋体" w:hAnsi="宋体" w:eastAsia="宋体" w:cs="宋体"/>
          <w:color w:val="auto"/>
          <w:sz w:val="21"/>
          <w:szCs w:val="21"/>
        </w:rPr>
        <w:t>(姓名）</w:t>
      </w:r>
    </w:p>
    <w:p w14:paraId="0A2DC0E8">
      <w:pPr>
        <w:pStyle w:val="169"/>
        <w:shd w:val="clear" w:color="auto" w:fill="auto"/>
        <w:tabs>
          <w:tab w:val="center" w:leader="underscore" w:pos="7411"/>
          <w:tab w:val="left" w:leader="underscore" w:pos="8698"/>
        </w:tabs>
        <w:spacing w:line="360" w:lineRule="auto"/>
        <w:ind w:left="6140" w:firstLine="420"/>
        <w:jc w:val="both"/>
        <w:rPr>
          <w:rFonts w:ascii="宋体" w:hAnsi="宋体" w:eastAsia="宋体" w:cs="宋体"/>
          <w:sz w:val="21"/>
          <w:szCs w:val="21"/>
        </w:rPr>
      </w:pPr>
      <w:r>
        <w:rPr>
          <w:rFonts w:hint="eastAsia" w:ascii="宋体" w:hAnsi="宋体" w:eastAsia="宋体" w:cs="宋体"/>
          <w:sz w:val="21"/>
          <w:szCs w:val="21"/>
        </w:rPr>
        <w:tab/>
      </w:r>
      <w:r>
        <w:rPr>
          <w:rStyle w:val="180"/>
          <w:rFonts w:hint="eastAsia" w:ascii="宋体" w:hAnsi="宋体" w:eastAsia="宋体" w:cs="宋体"/>
          <w:b w:val="0"/>
          <w:bCs w:val="0"/>
          <w:color w:val="auto"/>
          <w:sz w:val="21"/>
          <w:szCs w:val="21"/>
        </w:rPr>
        <w:t>(签字)</w:t>
      </w:r>
      <w:r>
        <w:rPr>
          <w:rFonts w:hint="eastAsia" w:ascii="宋体" w:hAnsi="宋体" w:eastAsia="宋体" w:cs="宋体"/>
          <w:sz w:val="21"/>
          <w:szCs w:val="21"/>
        </w:rPr>
        <w:tab/>
      </w:r>
    </w:p>
    <w:p w14:paraId="451C2C1C">
      <w:pPr>
        <w:pStyle w:val="292"/>
        <w:shd w:val="clear" w:color="auto" w:fill="auto"/>
        <w:tabs>
          <w:tab w:val="left" w:leader="underscore" w:pos="6502"/>
          <w:tab w:val="left" w:leader="underscore" w:pos="7348"/>
          <w:tab w:val="left" w:leader="underscore" w:pos="8182"/>
        </w:tabs>
        <w:spacing w:before="0" w:after="1283" w:line="360" w:lineRule="auto"/>
        <w:ind w:left="5660" w:firstLine="420"/>
        <w:jc w:val="both"/>
        <w:rPr>
          <w:rStyle w:val="266"/>
          <w:rFonts w:ascii="宋体" w:hAnsi="宋体" w:eastAsia="宋体" w:cs="宋体"/>
          <w:color w:val="auto"/>
          <w:sz w:val="21"/>
          <w:szCs w:val="21"/>
        </w:rPr>
      </w:pP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年</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月</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日</w:t>
      </w:r>
    </w:p>
    <w:p w14:paraId="0C58EE25">
      <w:pPr>
        <w:pStyle w:val="292"/>
        <w:shd w:val="clear" w:color="auto" w:fill="auto"/>
        <w:tabs>
          <w:tab w:val="left" w:leader="underscore" w:pos="6502"/>
          <w:tab w:val="left" w:leader="underscore" w:pos="7348"/>
          <w:tab w:val="left" w:leader="underscore" w:pos="8182"/>
        </w:tabs>
        <w:spacing w:before="0" w:after="1283" w:line="240" w:lineRule="auto"/>
        <w:ind w:left="5660" w:firstLine="420"/>
        <w:jc w:val="both"/>
        <w:rPr>
          <w:rStyle w:val="266"/>
          <w:rFonts w:ascii="宋体" w:hAnsi="宋体" w:eastAsia="宋体" w:cs="宋体"/>
          <w:color w:val="auto"/>
        </w:rPr>
      </w:pPr>
    </w:p>
    <w:p w14:paraId="6A054B89">
      <w:pPr>
        <w:ind w:firstLine="440"/>
        <w:rPr>
          <w:rStyle w:val="135"/>
          <w:rFonts w:ascii="宋体" w:hAnsi="宋体" w:eastAsia="宋体" w:cs="宋体"/>
          <w:color w:val="auto"/>
        </w:rPr>
      </w:pPr>
      <w:r>
        <w:rPr>
          <w:rStyle w:val="266"/>
          <w:rFonts w:hint="eastAsia" w:ascii="宋体" w:hAnsi="宋体" w:eastAsia="宋体" w:cs="宋体"/>
          <w:color w:val="auto"/>
        </w:rPr>
        <w:t>抄送：</w:t>
      </w:r>
      <w:r>
        <w:rPr>
          <w:rStyle w:val="266"/>
          <w:rFonts w:hint="eastAsia" w:ascii="宋体" w:hAnsi="宋体" w:eastAsia="宋体" w:cs="宋体"/>
          <w:color w:val="auto"/>
        </w:rPr>
        <w:tab/>
      </w:r>
      <w:r>
        <w:rPr>
          <w:rStyle w:val="135"/>
          <w:rFonts w:hint="eastAsia" w:ascii="宋体" w:hAnsi="宋体" w:eastAsia="宋体" w:cs="宋体"/>
          <w:color w:val="auto"/>
        </w:rPr>
        <w:t>(监理人)</w:t>
      </w:r>
    </w:p>
    <w:p w14:paraId="0E76FF3B">
      <w:pPr>
        <w:pStyle w:val="292"/>
        <w:shd w:val="clear" w:color="auto" w:fill="auto"/>
        <w:tabs>
          <w:tab w:val="left" w:leader="underscore" w:pos="6502"/>
          <w:tab w:val="left" w:leader="underscore" w:pos="7348"/>
          <w:tab w:val="left" w:leader="underscore" w:pos="8182"/>
        </w:tabs>
        <w:spacing w:before="0" w:after="1283" w:line="240" w:lineRule="auto"/>
        <w:ind w:left="5660" w:firstLine="420"/>
        <w:jc w:val="both"/>
        <w:rPr>
          <w:rStyle w:val="266"/>
          <w:rFonts w:ascii="宋体" w:hAnsi="宋体" w:eastAsia="宋体" w:cs="宋体"/>
          <w:color w:val="auto"/>
        </w:rPr>
      </w:pPr>
    </w:p>
    <w:p w14:paraId="602E676F">
      <w:pPr>
        <w:ind w:firstLine="420"/>
        <w:rPr>
          <w:rFonts w:ascii="宋体" w:hAnsi="宋体" w:cs="宋体"/>
        </w:rPr>
      </w:pPr>
      <w:r>
        <w:rPr>
          <w:rFonts w:hint="eastAsia" w:ascii="宋体" w:hAnsi="宋体" w:cs="宋体"/>
        </w:rPr>
        <w:br w:type="page"/>
      </w:r>
    </w:p>
    <w:p w14:paraId="003690DF">
      <w:pPr>
        <w:pStyle w:val="6"/>
        <w:rPr>
          <w:rFonts w:ascii="宋体" w:hAnsi="宋体" w:cs="宋体"/>
          <w:sz w:val="21"/>
          <w:szCs w:val="21"/>
        </w:rPr>
      </w:pPr>
      <w:bookmarkStart w:id="330" w:name="_Toc394929422"/>
      <w:r>
        <w:rPr>
          <w:rFonts w:hint="eastAsia" w:ascii="宋体" w:hAnsi="宋体" w:cs="宋体"/>
          <w:sz w:val="21"/>
          <w:szCs w:val="21"/>
        </w:rPr>
        <w:t>附件七  履约担保格式</w:t>
      </w:r>
      <w:bookmarkEnd w:id="330"/>
    </w:p>
    <w:p w14:paraId="59014E45">
      <w:pPr>
        <w:pStyle w:val="292"/>
        <w:shd w:val="clear" w:color="auto" w:fill="auto"/>
        <w:spacing w:before="0" w:after="508" w:line="240" w:lineRule="auto"/>
        <w:ind w:firstLine="420"/>
        <w:jc w:val="both"/>
        <w:rPr>
          <w:rFonts w:ascii="宋体" w:hAnsi="宋体" w:eastAsia="宋体" w:cs="宋体"/>
          <w:sz w:val="21"/>
          <w:szCs w:val="21"/>
        </w:rPr>
      </w:pPr>
      <w:r>
        <w:rPr>
          <w:rStyle w:val="266"/>
          <w:rFonts w:hint="eastAsia" w:ascii="宋体" w:hAnsi="宋体" w:eastAsia="宋体" w:cs="宋体"/>
          <w:color w:val="auto"/>
          <w:sz w:val="21"/>
          <w:szCs w:val="21"/>
        </w:rPr>
        <w:t>如采用银行保函，格式如下。</w:t>
      </w:r>
    </w:p>
    <w:p w14:paraId="1910FB91">
      <w:pPr>
        <w:jc w:val="center"/>
        <w:rPr>
          <w:rFonts w:ascii="宋体" w:hAnsi="宋体" w:cs="宋体"/>
          <w:szCs w:val="21"/>
        </w:rPr>
      </w:pPr>
      <w:bookmarkStart w:id="331" w:name="bookmark200"/>
      <w:r>
        <w:rPr>
          <w:rStyle w:val="114"/>
          <w:rFonts w:hint="eastAsia" w:ascii="宋体" w:hAnsi="宋体" w:eastAsia="宋体" w:cs="宋体"/>
          <w:color w:val="auto"/>
          <w:sz w:val="21"/>
          <w:szCs w:val="21"/>
        </w:rPr>
        <w:t>履约保证金</w:t>
      </w:r>
      <w:bookmarkEnd w:id="331"/>
    </w:p>
    <w:p w14:paraId="31E12F27">
      <w:pPr>
        <w:pStyle w:val="292"/>
        <w:shd w:val="clear" w:color="auto" w:fill="auto"/>
        <w:tabs>
          <w:tab w:val="left" w:leader="underscore" w:pos="2222"/>
        </w:tabs>
        <w:spacing w:before="0" w:after="388"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(发包人名称）：</w:t>
      </w:r>
    </w:p>
    <w:p w14:paraId="5818319A">
      <w:pPr>
        <w:pStyle w:val="292"/>
        <w:shd w:val="clear" w:color="auto" w:fill="auto"/>
        <w:tabs>
          <w:tab w:val="left" w:leader="underscore" w:pos="2964"/>
          <w:tab w:val="left" w:leader="underscore" w:pos="8141"/>
        </w:tabs>
        <w:spacing w:before="0" w:line="240" w:lineRule="auto"/>
        <w:ind w:left="540"/>
        <w:jc w:val="both"/>
        <w:rPr>
          <w:rFonts w:ascii="宋体" w:hAnsi="宋体" w:eastAsia="宋体" w:cs="宋体"/>
          <w:sz w:val="21"/>
          <w:szCs w:val="21"/>
        </w:rPr>
      </w:pPr>
      <w:r>
        <w:rPr>
          <w:rStyle w:val="266"/>
          <w:rFonts w:hint="eastAsia" w:ascii="宋体" w:hAnsi="宋体" w:eastAsia="宋体" w:cs="宋体"/>
          <w:color w:val="auto"/>
          <w:sz w:val="21"/>
          <w:szCs w:val="21"/>
        </w:rPr>
        <w:t>鉴于</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(发包人名称，以下简称“发包人”）接受</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(承</w:t>
      </w:r>
    </w:p>
    <w:p w14:paraId="26B42BFF">
      <w:pPr>
        <w:pStyle w:val="292"/>
        <w:shd w:val="clear" w:color="auto" w:fill="auto"/>
        <w:tabs>
          <w:tab w:val="left" w:leader="underscore" w:pos="4142"/>
          <w:tab w:val="left" w:leader="underscore" w:pos="7690"/>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包人名称，以下简称“承包人”）于</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年_月_日参加</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(项目名</w:t>
      </w:r>
    </w:p>
    <w:p w14:paraId="03E82602">
      <w:pPr>
        <w:pStyle w:val="292"/>
        <w:shd w:val="clear" w:color="auto" w:fill="auto"/>
        <w:tabs>
          <w:tab w:val="left" w:leader="underscore" w:pos="1594"/>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称）</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标段施工的投标。我方愿意无条件地、不可撤销地就承包人履行与你方订立的合同，向你方提供担保。</w:t>
      </w:r>
    </w:p>
    <w:p w14:paraId="3068AAEE">
      <w:pPr>
        <w:pStyle w:val="292"/>
        <w:numPr>
          <w:ilvl w:val="0"/>
          <w:numId w:val="6"/>
        </w:numPr>
        <w:shd w:val="clear" w:color="auto" w:fill="auto"/>
        <w:tabs>
          <w:tab w:val="left" w:leader="underscore" w:pos="5374"/>
          <w:tab w:val="left" w:leader="underscore" w:pos="7690"/>
        </w:tabs>
        <w:spacing w:before="0" w:line="240" w:lineRule="auto"/>
        <w:ind w:left="540"/>
        <w:jc w:val="both"/>
        <w:rPr>
          <w:rFonts w:ascii="宋体" w:hAnsi="宋体" w:eastAsia="宋体" w:cs="宋体"/>
          <w:sz w:val="21"/>
          <w:szCs w:val="21"/>
        </w:rPr>
      </w:pPr>
      <w:r>
        <w:rPr>
          <w:rStyle w:val="266"/>
          <w:rFonts w:hint="eastAsia" w:ascii="宋体" w:hAnsi="宋体" w:eastAsia="宋体" w:cs="宋体"/>
          <w:color w:val="auto"/>
          <w:sz w:val="21"/>
          <w:szCs w:val="21"/>
        </w:rPr>
        <w:t xml:space="preserve"> 担保金额人民币（大写）</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元（¥</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w:t>
      </w:r>
    </w:p>
    <w:p w14:paraId="2A09165D">
      <w:pPr>
        <w:pStyle w:val="292"/>
        <w:numPr>
          <w:ilvl w:val="0"/>
          <w:numId w:val="6"/>
        </w:numPr>
        <w:shd w:val="clear" w:color="auto" w:fill="auto"/>
        <w:tabs>
          <w:tab w:val="left" w:pos="824"/>
        </w:tabs>
        <w:spacing w:before="0" w:line="240" w:lineRule="auto"/>
        <w:ind w:firstLine="540"/>
        <w:jc w:val="left"/>
        <w:rPr>
          <w:rFonts w:ascii="宋体" w:hAnsi="宋体" w:eastAsia="宋体" w:cs="宋体"/>
          <w:sz w:val="21"/>
          <w:szCs w:val="21"/>
        </w:rPr>
      </w:pPr>
      <w:r>
        <w:rPr>
          <w:rStyle w:val="266"/>
          <w:rFonts w:hint="eastAsia" w:ascii="宋体" w:hAnsi="宋体" w:eastAsia="宋体" w:cs="宋体"/>
          <w:color w:val="auto"/>
          <w:sz w:val="21"/>
          <w:szCs w:val="21"/>
        </w:rPr>
        <w:t>担保有效期自发包人与承包人签订的合同生效之日起至发包人签发交工验收证书且承包人按照合同约定缴纳质量保证金之日止。</w:t>
      </w:r>
    </w:p>
    <w:p w14:paraId="7919670E">
      <w:pPr>
        <w:pStyle w:val="292"/>
        <w:numPr>
          <w:ilvl w:val="0"/>
          <w:numId w:val="6"/>
        </w:numPr>
        <w:shd w:val="clear" w:color="auto" w:fill="auto"/>
        <w:tabs>
          <w:tab w:val="left" w:pos="838"/>
        </w:tabs>
        <w:spacing w:before="0" w:line="240" w:lineRule="auto"/>
        <w:ind w:firstLine="540"/>
        <w:jc w:val="left"/>
        <w:rPr>
          <w:rFonts w:ascii="宋体" w:hAnsi="宋体" w:eastAsia="宋体" w:cs="宋体"/>
          <w:sz w:val="21"/>
          <w:szCs w:val="21"/>
        </w:rPr>
      </w:pPr>
      <w:r>
        <w:rPr>
          <w:rStyle w:val="266"/>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2232A900">
      <w:pPr>
        <w:pStyle w:val="292"/>
        <w:numPr>
          <w:ilvl w:val="0"/>
          <w:numId w:val="6"/>
        </w:numPr>
        <w:shd w:val="clear" w:color="auto" w:fill="auto"/>
        <w:tabs>
          <w:tab w:val="left" w:pos="831"/>
        </w:tabs>
        <w:spacing w:before="0" w:after="782" w:line="240" w:lineRule="auto"/>
        <w:ind w:firstLine="540"/>
        <w:jc w:val="left"/>
        <w:rPr>
          <w:rFonts w:ascii="宋体" w:hAnsi="宋体" w:eastAsia="宋体" w:cs="宋体"/>
          <w:sz w:val="21"/>
          <w:szCs w:val="21"/>
        </w:rPr>
      </w:pPr>
      <w:r>
        <w:rPr>
          <w:rStyle w:val="266"/>
          <w:rFonts w:hint="eastAsia" w:ascii="宋体" w:hAnsi="宋体" w:eastAsia="宋体" w:cs="宋体"/>
          <w:color w:val="auto"/>
          <w:sz w:val="21"/>
          <w:szCs w:val="21"/>
        </w:rPr>
        <w:t>发包人和承包人按合同条款第15条变更合同时，无论我方是否收到该变更，我方承担本担保规定的义务不变。</w:t>
      </w:r>
    </w:p>
    <w:p w14:paraId="478218C0">
      <w:pPr>
        <w:pStyle w:val="292"/>
        <w:shd w:val="clear" w:color="auto" w:fill="auto"/>
        <w:tabs>
          <w:tab w:val="left" w:leader="underscore" w:pos="6557"/>
        </w:tabs>
        <w:spacing w:before="0" w:line="240" w:lineRule="auto"/>
        <w:ind w:left="3540"/>
        <w:jc w:val="both"/>
        <w:rPr>
          <w:rFonts w:ascii="宋体" w:hAnsi="宋体" w:eastAsia="宋体" w:cs="宋体"/>
          <w:sz w:val="21"/>
          <w:szCs w:val="21"/>
        </w:rPr>
      </w:pPr>
      <w:r>
        <w:rPr>
          <w:rFonts w:ascii="宋体" w:hAnsi="宋体" w:eastAsia="宋体" w:cs="宋体"/>
          <w:sz w:val="21"/>
          <w:szCs w:val="21"/>
        </w:rPr>
        <mc:AlternateContent>
          <mc:Choice Requires="wps">
            <w:drawing>
              <wp:anchor distT="0" distB="413385" distL="567055" distR="63500" simplePos="0" relativeHeight="251659264"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1"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579D3F99">
                            <w:pPr>
                              <w:pStyle w:val="292"/>
                              <w:shd w:val="clear" w:color="auto" w:fill="auto"/>
                              <w:tabs>
                                <w:tab w:val="left" w:leader="underscore" w:pos="470"/>
                              </w:tabs>
                              <w:spacing w:before="0" w:line="396" w:lineRule="exact"/>
                              <w:jc w:val="both"/>
                            </w:pPr>
                            <w:r>
                              <w:rPr>
                                <w:rStyle w:val="235"/>
                              </w:rPr>
                              <w:t>(</w:t>
                            </w:r>
                            <w:r>
                              <w:rPr>
                                <w:rStyle w:val="235"/>
                                <w:rFonts w:hint="eastAsia"/>
                              </w:rPr>
                              <w:t>盖单位章）</w:t>
                            </w:r>
                            <w:r>
                              <w:rPr>
                                <w:rStyle w:val="235"/>
                              </w:rPr>
                              <w:tab/>
                            </w:r>
                            <w:r>
                              <w:rPr>
                                <w:rStyle w:val="235"/>
                              </w:rPr>
                              <w:t>(</w:t>
                            </w:r>
                            <w:r>
                              <w:rPr>
                                <w:rStyle w:val="235"/>
                                <w:rFonts w:hint="eastAsia"/>
                              </w:rPr>
                              <w:t>签字</w:t>
                            </w:r>
                            <w:r>
                              <w:rPr>
                                <w:rStyle w:val="235"/>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7216;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CGiFkm6wEAAMwDAAAOAAAAAAAAAAEAIAAAACYBAABkcnMvZTJvRG9jLnhtbFBLBQYAAAAABgAG&#10;AFkBAACDBQAAAAA=&#10;">
                <v:fill on="f" focussize="0,0"/>
                <v:stroke on="f"/>
                <v:imagedata o:title=""/>
                <o:lock v:ext="edit" aspectratio="f"/>
                <v:textbox inset="0mm,0mm,0mm,0mm" style="mso-fit-shape-to-text:t;">
                  <w:txbxContent>
                    <w:p w14:paraId="579D3F99">
                      <w:pPr>
                        <w:pStyle w:val="292"/>
                        <w:shd w:val="clear" w:color="auto" w:fill="auto"/>
                        <w:tabs>
                          <w:tab w:val="left" w:leader="underscore" w:pos="470"/>
                        </w:tabs>
                        <w:spacing w:before="0" w:line="396" w:lineRule="exact"/>
                        <w:jc w:val="both"/>
                      </w:pPr>
                      <w:r>
                        <w:rPr>
                          <w:rStyle w:val="235"/>
                        </w:rPr>
                        <w:t>(</w:t>
                      </w:r>
                      <w:r>
                        <w:rPr>
                          <w:rStyle w:val="235"/>
                          <w:rFonts w:hint="eastAsia"/>
                        </w:rPr>
                        <w:t>盖单位章）</w:t>
                      </w:r>
                      <w:r>
                        <w:rPr>
                          <w:rStyle w:val="235"/>
                        </w:rPr>
                        <w:tab/>
                      </w:r>
                      <w:r>
                        <w:rPr>
                          <w:rStyle w:val="235"/>
                        </w:rPr>
                        <w:t>(</w:t>
                      </w:r>
                      <w:r>
                        <w:rPr>
                          <w:rStyle w:val="235"/>
                          <w:rFonts w:hint="eastAsia"/>
                        </w:rPr>
                        <w:t>签字</w:t>
                      </w:r>
                      <w:r>
                        <w:rPr>
                          <w:rStyle w:val="235"/>
                          <w:rFonts w:hint="eastAsia"/>
                          <w:lang w:eastAsia="en-US"/>
                        </w:rPr>
                        <w:t>）</w:t>
                      </w:r>
                    </w:p>
                  </w:txbxContent>
                </v:textbox>
                <w10:wrap type="square" side="left"/>
              </v:shape>
            </w:pict>
          </mc:Fallback>
        </mc:AlternateContent>
      </w:r>
      <w:r>
        <w:rPr>
          <w:rStyle w:val="266"/>
          <w:rFonts w:hint="eastAsia" w:ascii="宋体" w:hAnsi="宋体" w:eastAsia="宋体" w:cs="宋体"/>
          <w:color w:val="auto"/>
          <w:sz w:val="21"/>
          <w:szCs w:val="21"/>
        </w:rPr>
        <w:t>担保人名称:</w:t>
      </w:r>
      <w:r>
        <w:rPr>
          <w:rStyle w:val="266"/>
          <w:rFonts w:hint="eastAsia" w:ascii="宋体" w:hAnsi="宋体" w:eastAsia="宋体" w:cs="宋体"/>
          <w:color w:val="auto"/>
          <w:sz w:val="21"/>
          <w:szCs w:val="21"/>
        </w:rPr>
        <w:tab/>
      </w:r>
    </w:p>
    <w:p w14:paraId="00EC479B">
      <w:pPr>
        <w:pStyle w:val="292"/>
        <w:shd w:val="clear" w:color="auto" w:fill="auto"/>
        <w:spacing w:before="0" w:line="240" w:lineRule="auto"/>
        <w:ind w:left="3540"/>
        <w:jc w:val="both"/>
        <w:rPr>
          <w:rStyle w:val="266"/>
          <w:rFonts w:ascii="宋体" w:hAnsi="宋体" w:eastAsia="宋体" w:cs="宋体"/>
          <w:color w:val="auto"/>
          <w:sz w:val="21"/>
          <w:szCs w:val="21"/>
        </w:rPr>
      </w:pPr>
      <w:r>
        <w:rPr>
          <w:rStyle w:val="266"/>
          <w:rFonts w:hint="eastAsia" w:ascii="宋体" w:hAnsi="宋体" w:eastAsia="宋体" w:cs="宋体"/>
          <w:color w:val="auto"/>
          <w:sz w:val="21"/>
          <w:szCs w:val="21"/>
        </w:rPr>
        <w:t>法定代表人或其委托代理人:</w:t>
      </w:r>
    </w:p>
    <w:p w14:paraId="26737712">
      <w:pPr>
        <w:pStyle w:val="292"/>
        <w:shd w:val="clear" w:color="auto" w:fill="auto"/>
        <w:spacing w:before="0" w:line="240" w:lineRule="auto"/>
        <w:ind w:left="3540"/>
        <w:jc w:val="both"/>
        <w:rPr>
          <w:rFonts w:ascii="宋体" w:hAnsi="宋体" w:eastAsia="宋体" w:cs="宋体"/>
          <w:sz w:val="21"/>
          <w:szCs w:val="21"/>
        </w:rPr>
      </w:pPr>
      <w:r>
        <w:rPr>
          <w:rStyle w:val="266"/>
          <w:rFonts w:hint="eastAsia" w:ascii="宋体" w:hAnsi="宋体" w:eastAsia="宋体" w:cs="宋体"/>
          <w:color w:val="auto"/>
          <w:sz w:val="21"/>
          <w:szCs w:val="21"/>
        </w:rPr>
        <w:t xml:space="preserve"> 地 址：</w:t>
      </w:r>
    </w:p>
    <w:p w14:paraId="07B58E59">
      <w:pPr>
        <w:pStyle w:val="292"/>
        <w:shd w:val="clear" w:color="auto" w:fill="auto"/>
        <w:spacing w:before="0" w:line="240" w:lineRule="auto"/>
        <w:ind w:left="3541" w:leftChars="1686"/>
        <w:jc w:val="both"/>
        <w:rPr>
          <w:rFonts w:ascii="宋体" w:hAnsi="宋体" w:eastAsia="宋体" w:cs="宋体"/>
          <w:sz w:val="21"/>
          <w:szCs w:val="21"/>
        </w:rPr>
      </w:pPr>
      <w:r>
        <w:rPr>
          <w:rFonts w:ascii="宋体" w:hAnsi="宋体" w:eastAsia="宋体" w:cs="宋体"/>
          <w:sz w:val="21"/>
          <w:szCs w:val="21"/>
        </w:rPr>
        <mc:AlternateContent>
          <mc:Choice Requires="wps">
            <w:drawing>
              <wp:anchor distT="0" distB="222250" distL="114300" distR="114300" simplePos="0" relativeHeight="251660288"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2"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4B4CE637">
                            <w:pPr>
                              <w:pStyle w:val="292"/>
                              <w:shd w:val="clear" w:color="auto" w:fill="auto"/>
                              <w:spacing w:before="0" w:after="121" w:line="220" w:lineRule="exact"/>
                              <w:jc w:val="left"/>
                            </w:pPr>
                            <w:r>
                              <w:rPr>
                                <w:rStyle w:val="235"/>
                                <w:rFonts w:hint="eastAsia"/>
                              </w:rPr>
                              <w:t>电</w:t>
                            </w:r>
                          </w:p>
                          <w:p w14:paraId="4878B164">
                            <w:pPr>
                              <w:pStyle w:val="292"/>
                              <w:shd w:val="clear" w:color="auto" w:fill="auto"/>
                              <w:spacing w:before="0" w:line="220" w:lineRule="exact"/>
                              <w:jc w:val="left"/>
                            </w:pPr>
                            <w:r>
                              <w:rPr>
                                <w:rStyle w:val="235"/>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56192;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GCAQu1gEAAKcDAAAOAAAAAAAA&#10;AAEAIAAAACYBAABkcnMvZTJvRG9jLnhtbFBLBQYAAAAABgAGAFkBAABuBQAAAAA=&#10;">
                <v:fill on="f" focussize="0,0"/>
                <v:stroke on="f"/>
                <v:imagedata o:title=""/>
                <o:lock v:ext="edit" aspectratio="f"/>
                <v:textbox inset="0mm,0mm,0mm,0mm" style="mso-fit-shape-to-text:t;">
                  <w:txbxContent>
                    <w:p w14:paraId="4B4CE637">
                      <w:pPr>
                        <w:pStyle w:val="292"/>
                        <w:shd w:val="clear" w:color="auto" w:fill="auto"/>
                        <w:spacing w:before="0" w:after="121" w:line="220" w:lineRule="exact"/>
                        <w:jc w:val="left"/>
                      </w:pPr>
                      <w:r>
                        <w:rPr>
                          <w:rStyle w:val="235"/>
                          <w:rFonts w:hint="eastAsia"/>
                        </w:rPr>
                        <w:t>电</w:t>
                      </w:r>
                    </w:p>
                    <w:p w14:paraId="4878B164">
                      <w:pPr>
                        <w:pStyle w:val="292"/>
                        <w:shd w:val="clear" w:color="auto" w:fill="auto"/>
                        <w:spacing w:before="0" w:line="220" w:lineRule="exact"/>
                        <w:jc w:val="left"/>
                      </w:pPr>
                      <w:r>
                        <w:rPr>
                          <w:rStyle w:val="235"/>
                          <w:rFonts w:hint="eastAsia"/>
                        </w:rPr>
                        <w:t>传</w:t>
                      </w:r>
                    </w:p>
                  </w:txbxContent>
                </v:textbox>
                <w10:wrap type="topAndBottom"/>
              </v:shape>
            </w:pict>
          </mc:Fallback>
        </mc:AlternateContent>
      </w:r>
      <w:r>
        <w:rPr>
          <w:rFonts w:ascii="宋体" w:hAnsi="宋体" w:eastAsia="宋体" w:cs="宋体"/>
          <w:sz w:val="21"/>
          <w:szCs w:val="21"/>
        </w:rPr>
        <mc:AlternateContent>
          <mc:Choice Requires="wps">
            <w:drawing>
              <wp:anchor distT="0" distB="222250" distL="114300" distR="114300" simplePos="0" relativeHeight="251661312"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3"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681F1201">
                            <w:pPr>
                              <w:pStyle w:val="292"/>
                              <w:shd w:val="clear" w:color="auto" w:fill="auto"/>
                              <w:spacing w:before="0" w:after="121" w:line="220" w:lineRule="exact"/>
                              <w:jc w:val="left"/>
                            </w:pPr>
                            <w:r>
                              <w:rPr>
                                <w:rStyle w:val="235"/>
                                <w:rFonts w:hint="eastAsia"/>
                              </w:rPr>
                              <w:t>话</w:t>
                            </w:r>
                          </w:p>
                          <w:p w14:paraId="46B5884A">
                            <w:pPr>
                              <w:pStyle w:val="292"/>
                              <w:shd w:val="clear" w:color="auto" w:fill="auto"/>
                              <w:spacing w:before="0" w:line="220" w:lineRule="exact"/>
                              <w:jc w:val="left"/>
                            </w:pPr>
                            <w:r>
                              <w:rPr>
                                <w:rStyle w:val="235"/>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55168;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9HhOx1gAAAAkBAAAPAAAAAAAAAAEAIAAA&#10;ACIAAABkcnMvZG93bnJldi54bWxQSwECFAAUAAAACACHTuJA/b3AxtUBAACnAwAADgAAAAAAAAAB&#10;ACAAAAAlAQAAZHJzL2Uyb0RvYy54bWxQSwUGAAAAAAYABgBZAQAAbAUAAAAA&#10;">
                <v:fill on="f" focussize="0,0"/>
                <v:stroke on="f"/>
                <v:imagedata o:title=""/>
                <o:lock v:ext="edit" aspectratio="f"/>
                <v:textbox inset="0mm,0mm,0mm,0mm" style="mso-fit-shape-to-text:t;">
                  <w:txbxContent>
                    <w:p w14:paraId="681F1201">
                      <w:pPr>
                        <w:pStyle w:val="292"/>
                        <w:shd w:val="clear" w:color="auto" w:fill="auto"/>
                        <w:spacing w:before="0" w:after="121" w:line="220" w:lineRule="exact"/>
                        <w:jc w:val="left"/>
                      </w:pPr>
                      <w:r>
                        <w:rPr>
                          <w:rStyle w:val="235"/>
                          <w:rFonts w:hint="eastAsia"/>
                        </w:rPr>
                        <w:t>话</w:t>
                      </w:r>
                    </w:p>
                    <w:p w14:paraId="46B5884A">
                      <w:pPr>
                        <w:pStyle w:val="292"/>
                        <w:shd w:val="clear" w:color="auto" w:fill="auto"/>
                        <w:spacing w:before="0" w:line="220" w:lineRule="exact"/>
                        <w:jc w:val="left"/>
                      </w:pPr>
                      <w:r>
                        <w:rPr>
                          <w:rStyle w:val="235"/>
                          <w:rFonts w:hint="eastAsia"/>
                        </w:rPr>
                        <w:t>真</w:t>
                      </w:r>
                    </w:p>
                  </w:txbxContent>
                </v:textbox>
                <w10:wrap type="topAndBottom"/>
              </v:shape>
            </w:pict>
          </mc:Fallback>
        </mc:AlternateContent>
      </w:r>
      <w:r>
        <w:rPr>
          <w:rFonts w:ascii="宋体" w:hAnsi="宋体" w:eastAsia="宋体" w:cs="宋体"/>
          <w:sz w:val="21"/>
          <w:szCs w:val="21"/>
        </w:rPr>
        <mc:AlternateContent>
          <mc:Choice Requires="wps">
            <w:drawing>
              <wp:anchor distT="0" distB="0" distL="114300" distR="114300" simplePos="0" relativeHeight="251662336"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4"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23A3A5EF">
                            <w:pPr>
                              <w:pStyle w:val="292"/>
                              <w:shd w:val="clear" w:color="auto" w:fill="auto"/>
                              <w:spacing w:before="0" w:line="220" w:lineRule="exact"/>
                              <w:jc w:val="left"/>
                            </w:pPr>
                            <w:r>
                              <w:rPr>
                                <w:rStyle w:val="235"/>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54144;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7uk4vXAAAACwEAAA8AAAAAAAAAAQAg&#10;AAAAIgAAAGRycy9kb3ducmV2LnhtbFBLAQIUABQAAAAIAIdO4kCya2Li1gEAAKcDAAAOAAAAAAAA&#10;AAEAIAAAACYBAABkcnMvZTJvRG9jLnhtbFBLBQYAAAAABgAGAFkBAABuBQAAAAA=&#10;">
                <v:fill on="f" focussize="0,0"/>
                <v:stroke on="f"/>
                <v:imagedata o:title=""/>
                <o:lock v:ext="edit" aspectratio="f"/>
                <v:textbox inset="0mm,0mm,0mm,0mm" style="mso-fit-shape-to-text:t;">
                  <w:txbxContent>
                    <w:p w14:paraId="23A3A5EF">
                      <w:pPr>
                        <w:pStyle w:val="292"/>
                        <w:shd w:val="clear" w:color="auto" w:fill="auto"/>
                        <w:spacing w:before="0" w:line="220" w:lineRule="exact"/>
                        <w:jc w:val="left"/>
                      </w:pPr>
                      <w:r>
                        <w:rPr>
                          <w:rStyle w:val="235"/>
                          <w:rFonts w:hint="eastAsia"/>
                        </w:rPr>
                        <w:t>年</w:t>
                      </w:r>
                    </w:p>
                  </w:txbxContent>
                </v:textbox>
                <w10:wrap type="topAndBottom"/>
              </v:shape>
            </w:pict>
          </mc:Fallback>
        </mc:AlternateContent>
      </w:r>
      <w:r>
        <w:rPr>
          <w:rFonts w:ascii="宋体" w:hAnsi="宋体" w:eastAsia="宋体" w:cs="宋体"/>
          <w:sz w:val="21"/>
          <w:szCs w:val="21"/>
        </w:rPr>
        <mc:AlternateContent>
          <mc:Choice Requires="wps">
            <w:drawing>
              <wp:anchor distT="0" distB="0" distL="114300" distR="114300" simplePos="0" relativeHeight="251663360"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5"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5B88D359">
                            <w:pPr>
                              <w:pStyle w:val="292"/>
                              <w:shd w:val="clear" w:color="auto" w:fill="auto"/>
                              <w:spacing w:before="0" w:line="220" w:lineRule="exact"/>
                              <w:jc w:val="left"/>
                            </w:pPr>
                            <w:r>
                              <w:rPr>
                                <w:rStyle w:val="235"/>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53120;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tfcPXAAAACwEAAA8AAAAAAAAAAQAgAAAA&#10;IgAAAGRycy9kb3ducmV2LnhtbFBLAQIUABQAAAAIAIdO4kAwHrb10wEAAKcDAAAOAAAAAAAAAAEA&#10;IAAAACYBAABkcnMvZTJvRG9jLnhtbFBLBQYAAAAABgAGAFkBAABrBQAAAAA=&#10;">
                <v:fill on="f" focussize="0,0"/>
                <v:stroke on="f"/>
                <v:imagedata o:title=""/>
                <o:lock v:ext="edit" aspectratio="f"/>
                <v:textbox inset="0mm,0mm,0mm,0mm" style="mso-fit-shape-to-text:t;">
                  <w:txbxContent>
                    <w:p w14:paraId="5B88D359">
                      <w:pPr>
                        <w:pStyle w:val="292"/>
                        <w:shd w:val="clear" w:color="auto" w:fill="auto"/>
                        <w:spacing w:before="0" w:line="220" w:lineRule="exact"/>
                        <w:jc w:val="left"/>
                      </w:pPr>
                      <w:r>
                        <w:rPr>
                          <w:rStyle w:val="235"/>
                          <w:rFonts w:hint="eastAsia"/>
                        </w:rPr>
                        <w:t>月</w:t>
                      </w:r>
                    </w:p>
                  </w:txbxContent>
                </v:textbox>
                <w10:wrap type="topAndBottom"/>
              </v:shape>
            </w:pict>
          </mc:Fallback>
        </mc:AlternateContent>
      </w:r>
      <w:r>
        <w:rPr>
          <w:rFonts w:ascii="宋体" w:hAnsi="宋体" w:eastAsia="宋体" w:cs="宋体"/>
          <w:sz w:val="21"/>
          <w:szCs w:val="21"/>
        </w:rPr>
        <mc:AlternateContent>
          <mc:Choice Requires="wps">
            <w:drawing>
              <wp:anchor distT="0" distB="0" distL="114300" distR="114300" simplePos="0" relativeHeight="251664384"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6"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6BC3DF10">
                            <w:pPr>
                              <w:pStyle w:val="292"/>
                              <w:shd w:val="clear" w:color="auto" w:fill="auto"/>
                              <w:spacing w:before="0" w:line="220" w:lineRule="exact"/>
                              <w:jc w:val="left"/>
                            </w:pPr>
                            <w:r>
                              <w:rPr>
                                <w:rStyle w:val="235"/>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52096;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wu7ezdQBAACnAwAADgAAAAAAAAAB&#10;ACAAAAAmAQAAZHJzL2Uyb0RvYy54bWxQSwUGAAAAAAYABgBZAQAAbAUAAAAA&#10;">
                <v:fill on="f" focussize="0,0"/>
                <v:stroke on="f"/>
                <v:imagedata o:title=""/>
                <o:lock v:ext="edit" aspectratio="f"/>
                <v:textbox inset="0mm,0mm,0mm,0mm" style="mso-fit-shape-to-text:t;">
                  <w:txbxContent>
                    <w:p w14:paraId="6BC3DF10">
                      <w:pPr>
                        <w:pStyle w:val="292"/>
                        <w:shd w:val="clear" w:color="auto" w:fill="auto"/>
                        <w:spacing w:before="0" w:line="220" w:lineRule="exact"/>
                        <w:jc w:val="left"/>
                      </w:pPr>
                      <w:r>
                        <w:rPr>
                          <w:rStyle w:val="235"/>
                          <w:rFonts w:hint="eastAsia"/>
                        </w:rPr>
                        <w:t>曰</w:t>
                      </w:r>
                    </w:p>
                  </w:txbxContent>
                </v:textbox>
                <w10:wrap type="topAndBottom"/>
              </v:shape>
            </w:pict>
          </mc:Fallback>
        </mc:AlternateContent>
      </w:r>
      <w:r>
        <w:rPr>
          <w:rStyle w:val="266"/>
          <w:rFonts w:hint="eastAsia" w:ascii="宋体" w:hAnsi="宋体" w:eastAsia="宋体" w:cs="宋体"/>
          <w:color w:val="auto"/>
          <w:sz w:val="21"/>
          <w:szCs w:val="21"/>
        </w:rPr>
        <w:t>邮政编码</w:t>
      </w:r>
    </w:p>
    <w:p w14:paraId="54310994">
      <w:pPr>
        <w:pStyle w:val="98"/>
        <w:shd w:val="clear" w:color="auto" w:fill="auto"/>
        <w:tabs>
          <w:tab w:val="left" w:leader="underscore" w:pos="3434"/>
          <w:tab w:val="left" w:leader="underscore" w:pos="6547"/>
        </w:tabs>
        <w:spacing w:before="0" w:line="240" w:lineRule="auto"/>
        <w:jc w:val="both"/>
        <w:rPr>
          <w:rFonts w:ascii="宋体" w:hAnsi="宋体" w:eastAsia="宋体" w:cs="宋体"/>
          <w:sz w:val="21"/>
          <w:szCs w:val="21"/>
        </w:rPr>
      </w:pPr>
    </w:p>
    <w:p w14:paraId="223CC36A">
      <w:pPr>
        <w:pStyle w:val="98"/>
        <w:shd w:val="clear" w:color="auto" w:fill="auto"/>
        <w:tabs>
          <w:tab w:val="left" w:leader="underscore" w:pos="3434"/>
          <w:tab w:val="left" w:leader="underscore" w:pos="6547"/>
        </w:tabs>
        <w:spacing w:before="0" w:line="240" w:lineRule="auto"/>
        <w:jc w:val="both"/>
        <w:rPr>
          <w:rFonts w:ascii="宋体" w:hAnsi="宋体" w:eastAsia="宋体" w:cs="宋体"/>
          <w:sz w:val="21"/>
          <w:szCs w:val="21"/>
        </w:rPr>
      </w:pPr>
      <w:r>
        <w:rPr>
          <w:rFonts w:hint="eastAsia" w:ascii="宋体" w:hAnsi="宋体" w:eastAsia="宋体" w:cs="宋体"/>
          <w:sz w:val="21"/>
          <w:szCs w:val="21"/>
        </w:rPr>
        <w:t>®本条内容可修改为：“本担保自</w:t>
      </w:r>
      <w:r>
        <w:rPr>
          <w:rFonts w:hint="eastAsia" w:ascii="宋体" w:hAnsi="宋体" w:eastAsia="宋体" w:cs="宋体"/>
          <w:sz w:val="21"/>
          <w:szCs w:val="21"/>
        </w:rPr>
        <w:tab/>
      </w:r>
      <w:r>
        <w:rPr>
          <w:rFonts w:hint="eastAsia" w:ascii="宋体" w:hAnsi="宋体" w:eastAsia="宋体" w:cs="宋体"/>
          <w:sz w:val="21"/>
          <w:szCs w:val="21"/>
        </w:rPr>
        <w:t>(生效日期）之日起生效，至</w:t>
      </w:r>
      <w:r>
        <w:rPr>
          <w:rFonts w:hint="eastAsia" w:ascii="宋体" w:hAnsi="宋体" w:eastAsia="宋体" w:cs="宋体"/>
          <w:sz w:val="21"/>
          <w:szCs w:val="21"/>
        </w:rPr>
        <w:tab/>
      </w:r>
      <w:r>
        <w:rPr>
          <w:rFonts w:hint="eastAsia" w:ascii="宋体" w:hAnsi="宋体" w:eastAsia="宋体" w:cs="宋体"/>
          <w:sz w:val="21"/>
          <w:szCs w:val="21"/>
        </w:rPr>
        <w:t>(失效日期）之日失效。”</w:t>
      </w:r>
    </w:p>
    <w:p w14:paraId="0E3E765D">
      <w:pPr>
        <w:ind w:firstLine="420"/>
        <w:rPr>
          <w:rFonts w:ascii="宋体" w:hAnsi="宋体" w:cs="宋体"/>
          <w:szCs w:val="21"/>
        </w:rPr>
      </w:pPr>
      <w:r>
        <w:rPr>
          <w:rFonts w:hint="eastAsia" w:ascii="宋体" w:hAnsi="宋体" w:cs="宋体"/>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7FD262EB">
      <w:pPr>
        <w:ind w:firstLine="420"/>
        <w:rPr>
          <w:rFonts w:ascii="宋体" w:hAnsi="宋体" w:cs="宋体"/>
        </w:rPr>
      </w:pPr>
    </w:p>
    <w:p w14:paraId="42312FC9">
      <w:pPr>
        <w:pStyle w:val="6"/>
        <w:rPr>
          <w:rFonts w:ascii="宋体" w:hAnsi="宋体" w:cs="宋体"/>
          <w:sz w:val="21"/>
          <w:szCs w:val="21"/>
        </w:rPr>
      </w:pPr>
      <w:r>
        <w:rPr>
          <w:rFonts w:hint="eastAsia" w:ascii="宋体" w:hAnsi="宋体" w:cs="宋体"/>
        </w:rPr>
        <w:br w:type="page"/>
      </w:r>
      <w:bookmarkStart w:id="332" w:name="_Toc394929424"/>
      <w:r>
        <w:rPr>
          <w:rFonts w:hint="eastAsia" w:ascii="宋体" w:hAnsi="宋体" w:cs="宋体"/>
          <w:sz w:val="21"/>
          <w:szCs w:val="21"/>
        </w:rPr>
        <w:t>附件八  工程资金监管协议格式</w:t>
      </w:r>
      <w:bookmarkEnd w:id="332"/>
    </w:p>
    <w:p w14:paraId="03082F70">
      <w:pPr>
        <w:rPr>
          <w:szCs w:val="21"/>
        </w:rPr>
      </w:pPr>
    </w:p>
    <w:p w14:paraId="4AC87891">
      <w:pPr>
        <w:pStyle w:val="292"/>
        <w:shd w:val="clear" w:color="auto" w:fill="auto"/>
        <w:spacing w:before="0" w:after="362" w:line="240" w:lineRule="auto"/>
        <w:ind w:firstLine="420"/>
        <w:jc w:val="both"/>
        <w:rPr>
          <w:rFonts w:ascii="宋体" w:hAnsi="宋体" w:eastAsia="宋体" w:cs="宋体"/>
          <w:sz w:val="21"/>
          <w:szCs w:val="21"/>
        </w:rPr>
      </w:pPr>
      <w:r>
        <w:rPr>
          <w:rStyle w:val="266"/>
          <w:rFonts w:hint="eastAsia" w:ascii="宋体" w:hAnsi="宋体" w:eastAsia="宋体" w:cs="宋体"/>
          <w:color w:val="auto"/>
          <w:sz w:val="21"/>
          <w:szCs w:val="21"/>
        </w:rPr>
        <w:t xml:space="preserve"> (发包人与承包人签订合同协议书时应与发包人指定的银行签署工程资金监管 协议，工程资金监管协议内容在保证本项目资金有效监管的前提下由三方共同商定)</w:t>
      </w:r>
    </w:p>
    <w:p w14:paraId="242C145E">
      <w:pPr>
        <w:jc w:val="center"/>
        <w:rPr>
          <w:rFonts w:ascii="宋体" w:hAnsi="宋体" w:cs="宋体"/>
          <w:szCs w:val="21"/>
        </w:rPr>
      </w:pPr>
      <w:bookmarkStart w:id="333" w:name="bookmark202"/>
      <w:r>
        <w:rPr>
          <w:rStyle w:val="114"/>
          <w:rFonts w:hint="eastAsia" w:ascii="宋体" w:hAnsi="宋体" w:eastAsia="宋体" w:cs="宋体"/>
          <w:color w:val="auto"/>
          <w:sz w:val="21"/>
          <w:szCs w:val="21"/>
        </w:rPr>
        <w:t>工程资金监管协议</w:t>
      </w:r>
      <w:bookmarkEnd w:id="333"/>
    </w:p>
    <w:p w14:paraId="31D7C299">
      <w:pPr>
        <w:pStyle w:val="292"/>
        <w:shd w:val="clear" w:color="auto" w:fill="auto"/>
        <w:tabs>
          <w:tab w:val="left" w:leader="underscore" w:pos="2930"/>
        </w:tabs>
        <w:spacing w:before="0" w:line="240" w:lineRule="auto"/>
        <w:jc w:val="both"/>
        <w:rPr>
          <w:rFonts w:ascii="宋体" w:hAnsi="宋体" w:eastAsia="宋体" w:cs="宋体"/>
          <w:sz w:val="21"/>
          <w:szCs w:val="21"/>
        </w:rPr>
      </w:pPr>
      <w:r>
        <w:rPr>
          <w:rStyle w:val="262"/>
          <w:rFonts w:hint="eastAsia" w:ascii="宋体" w:hAnsi="宋体" w:eastAsia="宋体" w:cs="宋体"/>
          <w:i w:val="0"/>
          <w:color w:val="auto"/>
          <w:sz w:val="21"/>
          <w:szCs w:val="21"/>
        </w:rPr>
        <w:t>发包人: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(以下简称“甲方”）</w:t>
      </w:r>
    </w:p>
    <w:p w14:paraId="1941F9E7">
      <w:pPr>
        <w:pStyle w:val="292"/>
        <w:shd w:val="clear" w:color="auto" w:fill="auto"/>
        <w:tabs>
          <w:tab w:val="left" w:leader="underscore" w:pos="2930"/>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承包人：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(以下简称“乙方”）</w:t>
      </w:r>
    </w:p>
    <w:p w14:paraId="3F9DBDC0">
      <w:pPr>
        <w:pStyle w:val="292"/>
        <w:shd w:val="clear" w:color="auto" w:fill="auto"/>
        <w:tabs>
          <w:tab w:val="left" w:leader="underscore" w:pos="2930"/>
        </w:tabs>
        <w:spacing w:before="0" w:after="30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经办银行：</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(以下简称“丙方”）</w:t>
      </w:r>
    </w:p>
    <w:p w14:paraId="6E5F4900">
      <w:pPr>
        <w:pStyle w:val="292"/>
        <w:shd w:val="clear" w:color="auto" w:fill="auto"/>
        <w:tabs>
          <w:tab w:val="left" w:leader="underscore" w:pos="2482"/>
        </w:tabs>
        <w:spacing w:before="0" w:line="240" w:lineRule="auto"/>
        <w:ind w:left="520"/>
        <w:jc w:val="both"/>
        <w:rPr>
          <w:rFonts w:ascii="宋体" w:hAnsi="宋体" w:eastAsia="宋体" w:cs="宋体"/>
          <w:sz w:val="21"/>
          <w:szCs w:val="21"/>
        </w:rPr>
      </w:pPr>
      <w:r>
        <w:rPr>
          <w:rStyle w:val="266"/>
          <w:rFonts w:hint="eastAsia" w:ascii="宋体" w:hAnsi="宋体" w:eastAsia="宋体" w:cs="宋体"/>
          <w:color w:val="auto"/>
          <w:sz w:val="21"/>
          <w:szCs w:val="21"/>
        </w:rPr>
        <w:t>为了促进</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(项目名称)合同条款有关规定，经甲、乙、丙三方协商，达成协议如下：</w:t>
      </w:r>
    </w:p>
    <w:p w14:paraId="4EEDA3B8">
      <w:pPr>
        <w:pStyle w:val="292"/>
        <w:numPr>
          <w:ilvl w:val="0"/>
          <w:numId w:val="7"/>
        </w:numPr>
        <w:shd w:val="clear" w:color="auto" w:fill="auto"/>
        <w:tabs>
          <w:tab w:val="left" w:pos="854"/>
        </w:tabs>
        <w:spacing w:before="0" w:line="240" w:lineRule="auto"/>
        <w:ind w:left="520"/>
        <w:jc w:val="both"/>
        <w:rPr>
          <w:rFonts w:ascii="宋体" w:hAnsi="宋体" w:eastAsia="宋体" w:cs="宋体"/>
          <w:sz w:val="21"/>
          <w:szCs w:val="21"/>
        </w:rPr>
      </w:pPr>
      <w:r>
        <w:rPr>
          <w:rStyle w:val="266"/>
          <w:rFonts w:hint="eastAsia" w:ascii="宋体" w:hAnsi="宋体" w:eastAsia="宋体" w:cs="宋体"/>
          <w:color w:val="auto"/>
          <w:sz w:val="21"/>
          <w:szCs w:val="21"/>
        </w:rPr>
        <w:t>资金管理的内容</w:t>
      </w:r>
    </w:p>
    <w:p w14:paraId="609F30B3">
      <w:pPr>
        <w:pStyle w:val="292"/>
        <w:numPr>
          <w:ilvl w:val="0"/>
          <w:numId w:val="8"/>
        </w:numPr>
        <w:shd w:val="clear" w:color="auto" w:fill="auto"/>
        <w:tabs>
          <w:tab w:val="left" w:pos="1169"/>
          <w:tab w:val="left" w:leader="underscore" w:pos="3237"/>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乙方为完成</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(项目名称）工程成立的项目经理部在丙方开设基本结算户；</w:t>
      </w:r>
    </w:p>
    <w:p w14:paraId="432B1FDF">
      <w:pPr>
        <w:pStyle w:val="292"/>
        <w:numPr>
          <w:ilvl w:val="0"/>
          <w:numId w:val="8"/>
        </w:numPr>
        <w:shd w:val="clear" w:color="auto" w:fill="auto"/>
        <w:tabs>
          <w:tab w:val="left" w:pos="1169"/>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甲方应按合同规定将工程款汇入乙方在丙方开设的账户；</w:t>
      </w:r>
    </w:p>
    <w:p w14:paraId="0B673A69">
      <w:pPr>
        <w:pStyle w:val="292"/>
        <w:numPr>
          <w:ilvl w:val="0"/>
          <w:numId w:val="8"/>
        </w:numPr>
        <w:shd w:val="clear" w:color="auto" w:fill="auto"/>
        <w:tabs>
          <w:tab w:val="left" w:leader="underscore" w:pos="6866"/>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 xml:space="preserve"> 乙方应将流动资金及甲方所拨付资金专项用于</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(项目名称）；</w:t>
      </w:r>
    </w:p>
    <w:p w14:paraId="00A3AD47">
      <w:pPr>
        <w:pStyle w:val="292"/>
        <w:numPr>
          <w:ilvl w:val="0"/>
          <w:numId w:val="8"/>
        </w:numPr>
        <w:shd w:val="clear" w:color="auto" w:fill="auto"/>
        <w:tabs>
          <w:tab w:val="left" w:pos="1136"/>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丙方应为乙方提供便捷有效的银行业务服务，并接受甲方委托对乙方在丙 方开设的基本结算户资金使用情况进行监督。</w:t>
      </w:r>
    </w:p>
    <w:p w14:paraId="6C2DA3D9">
      <w:pPr>
        <w:pStyle w:val="292"/>
        <w:numPr>
          <w:ilvl w:val="0"/>
          <w:numId w:val="7"/>
        </w:numPr>
        <w:shd w:val="clear" w:color="auto" w:fill="auto"/>
        <w:tabs>
          <w:tab w:val="left" w:pos="878"/>
        </w:tabs>
        <w:spacing w:before="0" w:line="240" w:lineRule="auto"/>
        <w:ind w:left="520"/>
        <w:jc w:val="both"/>
        <w:rPr>
          <w:rFonts w:ascii="宋体" w:hAnsi="宋体" w:eastAsia="宋体" w:cs="宋体"/>
          <w:sz w:val="21"/>
          <w:szCs w:val="21"/>
        </w:rPr>
      </w:pPr>
      <w:r>
        <w:rPr>
          <w:rStyle w:val="266"/>
          <w:rFonts w:hint="eastAsia" w:ascii="宋体" w:hAnsi="宋体" w:eastAsia="宋体" w:cs="宋体"/>
          <w:color w:val="auto"/>
          <w:sz w:val="21"/>
          <w:szCs w:val="21"/>
        </w:rPr>
        <w:t>甲方的权责</w:t>
      </w:r>
    </w:p>
    <w:p w14:paraId="6C0C913B">
      <w:pPr>
        <w:pStyle w:val="292"/>
        <w:numPr>
          <w:ilvl w:val="0"/>
          <w:numId w:val="9"/>
        </w:numPr>
        <w:shd w:val="clear" w:color="auto" w:fill="auto"/>
        <w:tabs>
          <w:tab w:val="left" w:pos="1169"/>
          <w:tab w:val="left" w:leader="underscore" w:pos="2482"/>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按照</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(项目名称）合同有关条款规定的时间和方式，向乙方支付工程款；</w:t>
      </w:r>
    </w:p>
    <w:p w14:paraId="160A1F4F">
      <w:pPr>
        <w:pStyle w:val="292"/>
        <w:numPr>
          <w:ilvl w:val="0"/>
          <w:numId w:val="9"/>
        </w:numPr>
        <w:shd w:val="clear" w:color="auto" w:fill="auto"/>
        <w:tabs>
          <w:tab w:val="left" w:pos="1136"/>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在发现乙方将本项目资金挪用、转移时，甲方有权中止工程支付，直至乙 方改正为止；</w:t>
      </w:r>
    </w:p>
    <w:p w14:paraId="625FDD06">
      <w:pPr>
        <w:pStyle w:val="292"/>
        <w:numPr>
          <w:ilvl w:val="0"/>
          <w:numId w:val="9"/>
        </w:numPr>
        <w:shd w:val="clear" w:color="auto" w:fill="auto"/>
        <w:tabs>
          <w:tab w:val="left" w:pos="1136"/>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不定期审查丙方对乙方的资金使用监督情况，如丙方不能履行其责任，甲 方有权随时终止本协议；</w:t>
      </w:r>
    </w:p>
    <w:p w14:paraId="0E996CA0">
      <w:pPr>
        <w:pStyle w:val="292"/>
        <w:numPr>
          <w:ilvl w:val="0"/>
          <w:numId w:val="9"/>
        </w:numPr>
        <w:shd w:val="clear" w:color="auto" w:fill="auto"/>
        <w:tabs>
          <w:tab w:val="left" w:pos="1169"/>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在乙、丙双方发生争议时，甲方应负责协调、解决。</w:t>
      </w:r>
    </w:p>
    <w:p w14:paraId="7EAA59FE">
      <w:pPr>
        <w:pStyle w:val="292"/>
        <w:numPr>
          <w:ilvl w:val="0"/>
          <w:numId w:val="7"/>
        </w:numPr>
        <w:shd w:val="clear" w:color="auto" w:fill="auto"/>
        <w:tabs>
          <w:tab w:val="left" w:pos="878"/>
        </w:tabs>
        <w:spacing w:before="0" w:line="240" w:lineRule="auto"/>
        <w:ind w:left="520"/>
        <w:jc w:val="both"/>
        <w:rPr>
          <w:rFonts w:ascii="宋体" w:hAnsi="宋体" w:eastAsia="宋体" w:cs="宋体"/>
          <w:sz w:val="21"/>
          <w:szCs w:val="21"/>
        </w:rPr>
      </w:pPr>
      <w:r>
        <w:rPr>
          <w:rStyle w:val="266"/>
          <w:rFonts w:hint="eastAsia" w:ascii="宋体" w:hAnsi="宋体" w:eastAsia="宋体" w:cs="宋体"/>
          <w:color w:val="auto"/>
          <w:sz w:val="21"/>
          <w:szCs w:val="21"/>
        </w:rPr>
        <w:t>乙方的权责</w:t>
      </w:r>
    </w:p>
    <w:p w14:paraId="2126882B">
      <w:pPr>
        <w:pStyle w:val="292"/>
        <w:numPr>
          <w:ilvl w:val="0"/>
          <w:numId w:val="10"/>
        </w:numPr>
        <w:shd w:val="clear" w:color="auto" w:fill="auto"/>
        <w:tabs>
          <w:tab w:val="left" w:pos="1169"/>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项目经理部成立以后，乙方应尽快在丙方开设基本结算户；</w:t>
      </w:r>
    </w:p>
    <w:p w14:paraId="64D775CC">
      <w:pPr>
        <w:pStyle w:val="292"/>
        <w:numPr>
          <w:ilvl w:val="0"/>
          <w:numId w:val="10"/>
        </w:numPr>
        <w:shd w:val="clear" w:color="auto" w:fill="auto"/>
        <w:tabs>
          <w:tab w:val="left" w:pos="1134"/>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3726E62A">
      <w:pPr>
        <w:pStyle w:val="292"/>
        <w:numPr>
          <w:ilvl w:val="0"/>
          <w:numId w:val="10"/>
        </w:numPr>
        <w:shd w:val="clear" w:color="auto" w:fill="auto"/>
        <w:tabs>
          <w:tab w:val="left" w:pos="1138"/>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702FD0F4">
      <w:pPr>
        <w:pStyle w:val="292"/>
        <w:numPr>
          <w:ilvl w:val="0"/>
          <w:numId w:val="10"/>
        </w:numPr>
        <w:shd w:val="clear" w:color="auto" w:fill="auto"/>
        <w:tabs>
          <w:tab w:val="left" w:pos="529"/>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用银行转账支票办理支付款项时，必须将转账支票送交丙方，由丙方负责 办理支票转付手续；</w:t>
      </w:r>
    </w:p>
    <w:p w14:paraId="48CB0ADE">
      <w:pPr>
        <w:pStyle w:val="292"/>
        <w:numPr>
          <w:ilvl w:val="0"/>
          <w:numId w:val="10"/>
        </w:numPr>
        <w:shd w:val="clear" w:color="auto" w:fill="auto"/>
        <w:tabs>
          <w:tab w:val="left" w:pos="1169"/>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向分包单位支付工程进度款时，应附甲方批准分包的文件；</w:t>
      </w:r>
    </w:p>
    <w:p w14:paraId="5F96F7C0">
      <w:pPr>
        <w:pStyle w:val="292"/>
        <w:numPr>
          <w:ilvl w:val="0"/>
          <w:numId w:val="10"/>
        </w:numPr>
        <w:shd w:val="clear" w:color="auto" w:fill="auto"/>
        <w:tabs>
          <w:tab w:val="left" w:pos="1134"/>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5920DFBD">
      <w:pPr>
        <w:pStyle w:val="292"/>
        <w:numPr>
          <w:ilvl w:val="0"/>
          <w:numId w:val="7"/>
        </w:numPr>
        <w:shd w:val="clear" w:color="auto" w:fill="auto"/>
        <w:tabs>
          <w:tab w:val="left" w:pos="858"/>
        </w:tabs>
        <w:spacing w:before="0" w:line="240" w:lineRule="auto"/>
        <w:ind w:left="500"/>
        <w:jc w:val="both"/>
        <w:rPr>
          <w:rFonts w:ascii="宋体" w:hAnsi="宋体" w:eastAsia="宋体" w:cs="宋体"/>
          <w:sz w:val="21"/>
          <w:szCs w:val="21"/>
        </w:rPr>
      </w:pPr>
      <w:r>
        <w:rPr>
          <w:rStyle w:val="266"/>
          <w:rFonts w:hint="eastAsia" w:ascii="宋体" w:hAnsi="宋体" w:eastAsia="宋体" w:cs="宋体"/>
          <w:color w:val="auto"/>
          <w:sz w:val="21"/>
          <w:szCs w:val="21"/>
        </w:rPr>
        <w:t>丙方的权责</w:t>
      </w:r>
    </w:p>
    <w:p w14:paraId="425B53F2">
      <w:pPr>
        <w:pStyle w:val="292"/>
        <w:numPr>
          <w:ilvl w:val="0"/>
          <w:numId w:val="11"/>
        </w:numPr>
        <w:shd w:val="clear" w:color="auto" w:fill="auto"/>
        <w:tabs>
          <w:tab w:val="left" w:pos="1169"/>
          <w:tab w:val="left" w:leader="underscore" w:pos="2529"/>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成立</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(项目名称）工程资金管理服务小组，明确业务流程，提高工作效率，杜绝“压票”现象；</w:t>
      </w:r>
    </w:p>
    <w:p w14:paraId="06635C46">
      <w:pPr>
        <w:pStyle w:val="292"/>
        <w:numPr>
          <w:ilvl w:val="0"/>
          <w:numId w:val="11"/>
        </w:numPr>
        <w:shd w:val="clear" w:color="auto" w:fill="auto"/>
        <w:tabs>
          <w:tab w:val="left" w:pos="1169"/>
        </w:tabs>
        <w:spacing w:before="0" w:line="240" w:lineRule="auto"/>
        <w:ind w:left="160" w:firstLine="480"/>
        <w:jc w:val="left"/>
        <w:rPr>
          <w:rFonts w:ascii="宋体" w:hAnsi="宋体" w:eastAsia="宋体" w:cs="宋体"/>
          <w:sz w:val="21"/>
          <w:szCs w:val="21"/>
        </w:rPr>
      </w:pPr>
      <w:r>
        <w:rPr>
          <w:rStyle w:val="266"/>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55D67FA2">
      <w:pPr>
        <w:pStyle w:val="292"/>
        <w:numPr>
          <w:ilvl w:val="0"/>
          <w:numId w:val="11"/>
        </w:numPr>
        <w:shd w:val="clear" w:color="auto" w:fill="auto"/>
        <w:tabs>
          <w:tab w:val="left" w:pos="1131"/>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0F30E66F">
      <w:pPr>
        <w:pStyle w:val="292"/>
        <w:numPr>
          <w:ilvl w:val="0"/>
          <w:numId w:val="11"/>
        </w:numPr>
        <w:shd w:val="clear" w:color="auto" w:fill="auto"/>
        <w:tabs>
          <w:tab w:val="left" w:pos="1136"/>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4FA10CD9">
      <w:pPr>
        <w:pStyle w:val="292"/>
        <w:numPr>
          <w:ilvl w:val="0"/>
          <w:numId w:val="11"/>
        </w:numPr>
        <w:shd w:val="clear" w:color="auto" w:fill="auto"/>
        <w:tabs>
          <w:tab w:val="left" w:pos="1117"/>
        </w:tabs>
        <w:spacing w:before="0" w:line="240" w:lineRule="auto"/>
        <w:ind w:firstLine="640"/>
        <w:jc w:val="both"/>
        <w:rPr>
          <w:rFonts w:ascii="宋体" w:hAnsi="宋体" w:eastAsia="宋体" w:cs="宋体"/>
          <w:sz w:val="21"/>
          <w:szCs w:val="21"/>
        </w:rPr>
      </w:pPr>
      <w:r>
        <w:rPr>
          <w:rStyle w:val="266"/>
          <w:rFonts w:hint="eastAsia" w:ascii="宋体" w:hAnsi="宋体" w:eastAsia="宋体" w:cs="宋体"/>
          <w:color w:val="auto"/>
          <w:sz w:val="21"/>
          <w:szCs w:val="21"/>
        </w:rPr>
        <w:t>定期将乙方前一个周期的支付情况，整理后书面报送甲方；乙方复印备案的材料一并送甲方。</w:t>
      </w:r>
    </w:p>
    <w:p w14:paraId="6D2357E4">
      <w:pPr>
        <w:pStyle w:val="292"/>
        <w:numPr>
          <w:ilvl w:val="0"/>
          <w:numId w:val="7"/>
        </w:numPr>
        <w:shd w:val="clear" w:color="auto" w:fill="auto"/>
        <w:tabs>
          <w:tab w:val="left" w:pos="812"/>
        </w:tabs>
        <w:spacing w:before="0" w:line="240" w:lineRule="auto"/>
        <w:ind w:firstLine="500"/>
        <w:jc w:val="left"/>
        <w:rPr>
          <w:rFonts w:ascii="宋体" w:hAnsi="宋体" w:eastAsia="宋体" w:cs="宋体"/>
          <w:sz w:val="21"/>
          <w:szCs w:val="21"/>
        </w:rPr>
      </w:pPr>
      <w:r>
        <w:rPr>
          <w:rStyle w:val="266"/>
          <w:rFonts w:hint="eastAsia" w:ascii="宋体" w:hAnsi="宋体" w:eastAsia="宋体" w:cs="宋体"/>
          <w:color w:val="auto"/>
          <w:sz w:val="21"/>
          <w:szCs w:val="21"/>
        </w:rPr>
        <w:t>甲、乙、丙三方都应履行保密责任，不得将其他两方的业务情况透露给三方以外的其他单位或个人。</w:t>
      </w:r>
    </w:p>
    <w:p w14:paraId="419C153B">
      <w:pPr>
        <w:pStyle w:val="292"/>
        <w:numPr>
          <w:ilvl w:val="0"/>
          <w:numId w:val="7"/>
        </w:numPr>
        <w:shd w:val="clear" w:color="auto" w:fill="auto"/>
        <w:tabs>
          <w:tab w:val="left" w:pos="829"/>
        </w:tabs>
        <w:spacing w:before="0" w:line="240" w:lineRule="auto"/>
        <w:ind w:firstLine="500"/>
        <w:jc w:val="left"/>
        <w:rPr>
          <w:rFonts w:ascii="宋体" w:hAnsi="宋体" w:eastAsia="宋体" w:cs="宋体"/>
          <w:sz w:val="21"/>
          <w:szCs w:val="21"/>
        </w:rPr>
      </w:pPr>
      <w:r>
        <w:rPr>
          <w:rStyle w:val="266"/>
          <w:rFonts w:hint="eastAsia" w:ascii="宋体" w:hAnsi="宋体" w:eastAsia="宋体" w:cs="宋体"/>
          <w:color w:val="auto"/>
          <w:sz w:val="21"/>
          <w:szCs w:val="21"/>
        </w:rPr>
        <w:t>本协议有效期自乙方在丙方开户起，至工程交工验收甲方向乙方颁发交工验收证书后结束。</w:t>
      </w:r>
    </w:p>
    <w:p w14:paraId="14F10C5F">
      <w:pPr>
        <w:pStyle w:val="292"/>
        <w:numPr>
          <w:ilvl w:val="0"/>
          <w:numId w:val="7"/>
        </w:numPr>
        <w:shd w:val="clear" w:color="auto" w:fill="auto"/>
        <w:tabs>
          <w:tab w:val="left" w:pos="858"/>
        </w:tabs>
        <w:spacing w:before="0" w:line="240" w:lineRule="auto"/>
        <w:ind w:left="500"/>
        <w:jc w:val="both"/>
        <w:rPr>
          <w:rFonts w:ascii="宋体" w:hAnsi="宋体" w:eastAsia="宋体" w:cs="宋体"/>
          <w:sz w:val="21"/>
          <w:szCs w:val="21"/>
        </w:rPr>
      </w:pPr>
      <w:r>
        <w:rPr>
          <w:rStyle w:val="266"/>
          <w:rFonts w:hint="eastAsia" w:ascii="宋体" w:hAnsi="宋体" w:eastAsia="宋体" w:cs="宋体"/>
          <w:color w:val="auto"/>
          <w:sz w:val="21"/>
          <w:szCs w:val="21"/>
        </w:rPr>
        <w:t>本协议未尽事宜，由甲方牵头，三方协商解决。</w:t>
      </w:r>
    </w:p>
    <w:p w14:paraId="4528EF4D">
      <w:pPr>
        <w:pStyle w:val="292"/>
        <w:numPr>
          <w:ilvl w:val="0"/>
          <w:numId w:val="7"/>
        </w:numPr>
        <w:shd w:val="clear" w:color="auto" w:fill="auto"/>
        <w:tabs>
          <w:tab w:val="left" w:pos="838"/>
        </w:tabs>
        <w:spacing w:before="0" w:after="269" w:line="240" w:lineRule="auto"/>
        <w:ind w:firstLine="500"/>
        <w:jc w:val="left"/>
        <w:rPr>
          <w:rFonts w:ascii="宋体" w:hAnsi="宋体" w:eastAsia="宋体" w:cs="宋体"/>
          <w:sz w:val="21"/>
          <w:szCs w:val="21"/>
        </w:rPr>
      </w:pPr>
      <w:r>
        <w:rPr>
          <w:rStyle w:val="266"/>
          <w:rFonts w:hint="eastAsia" w:ascii="宋体" w:hAnsi="宋体" w:eastAsia="宋体" w:cs="宋体"/>
          <w:color w:val="auto"/>
          <w:sz w:val="21"/>
          <w:szCs w:val="21"/>
        </w:rPr>
        <w:t>本协议正本三份、副本_份。合同三方各执正本一份、副本_份，当正本与副本内容不一致时，以正本为准。</w:t>
      </w:r>
    </w:p>
    <w:p w14:paraId="685755E3">
      <w:pPr>
        <w:pStyle w:val="292"/>
        <w:shd w:val="clear" w:color="auto" w:fill="auto"/>
        <w:tabs>
          <w:tab w:val="left" w:leader="underscore" w:pos="4086"/>
        </w:tabs>
        <w:spacing w:before="0" w:line="240" w:lineRule="auto"/>
        <w:jc w:val="both"/>
        <w:rPr>
          <w:rFonts w:ascii="宋体" w:hAnsi="宋体" w:eastAsia="宋体" w:cs="宋体"/>
          <w:sz w:val="21"/>
          <w:szCs w:val="21"/>
        </w:rPr>
      </w:pPr>
      <w:r>
        <w:rPr>
          <w:rStyle w:val="262"/>
          <w:rFonts w:hint="eastAsia" w:ascii="宋体" w:hAnsi="宋体" w:eastAsia="宋体" w:cs="宋体"/>
          <w:i w:val="0"/>
          <w:color w:val="auto"/>
          <w:sz w:val="21"/>
          <w:szCs w:val="21"/>
        </w:rPr>
        <w:t>发包人: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(盖单位章)</w:t>
      </w:r>
    </w:p>
    <w:p w14:paraId="67A309A8">
      <w:pPr>
        <w:pStyle w:val="292"/>
        <w:shd w:val="clear" w:color="auto" w:fill="auto"/>
        <w:tabs>
          <w:tab w:val="left" w:leader="underscore" w:pos="4689"/>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法定代表人或其委托代理人：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(签字)</w:t>
      </w:r>
    </w:p>
    <w:p w14:paraId="58B831D9">
      <w:pPr>
        <w:pStyle w:val="292"/>
        <w:shd w:val="clear" w:color="auto" w:fill="auto"/>
        <w:tabs>
          <w:tab w:val="left" w:leader="underscore" w:pos="3022"/>
          <w:tab w:val="left" w:leader="underscore" w:pos="4086"/>
        </w:tabs>
        <w:spacing w:before="0" w:after="242" w:line="240" w:lineRule="auto"/>
        <w:ind w:left="1940"/>
        <w:jc w:val="both"/>
        <w:rPr>
          <w:rFonts w:ascii="宋体" w:hAnsi="宋体" w:eastAsia="宋体" w:cs="宋体"/>
          <w:sz w:val="21"/>
          <w:szCs w:val="21"/>
        </w:rPr>
      </w:pP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年</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月日</w:t>
      </w:r>
    </w:p>
    <w:p w14:paraId="5FE47123">
      <w:pPr>
        <w:pStyle w:val="292"/>
        <w:shd w:val="clear" w:color="auto" w:fill="auto"/>
        <w:tabs>
          <w:tab w:val="left" w:leader="underscore" w:pos="4086"/>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承包人：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(盖单位章)</w:t>
      </w:r>
    </w:p>
    <w:p w14:paraId="3F0681C7">
      <w:pPr>
        <w:pStyle w:val="292"/>
        <w:shd w:val="clear" w:color="auto" w:fill="auto"/>
        <w:tabs>
          <w:tab w:val="left" w:leader="underscore" w:pos="4689"/>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法定代表人或其委托代理人：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（签字)</w:t>
      </w:r>
    </w:p>
    <w:p w14:paraId="5F98911C">
      <w:pPr>
        <w:pStyle w:val="292"/>
        <w:shd w:val="clear" w:color="auto" w:fill="auto"/>
        <w:tabs>
          <w:tab w:val="left" w:leader="underscore" w:pos="3022"/>
          <w:tab w:val="left" w:leader="underscore" w:pos="4086"/>
        </w:tabs>
        <w:spacing w:before="0" w:after="240" w:line="240" w:lineRule="auto"/>
        <w:ind w:left="1940"/>
        <w:jc w:val="both"/>
        <w:rPr>
          <w:rFonts w:ascii="宋体" w:hAnsi="宋体" w:eastAsia="宋体" w:cs="宋体"/>
          <w:sz w:val="21"/>
          <w:szCs w:val="21"/>
        </w:rPr>
      </w:pP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年</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月日</w:t>
      </w:r>
    </w:p>
    <w:p w14:paraId="6891AC73">
      <w:pPr>
        <w:pStyle w:val="292"/>
        <w:shd w:val="clear" w:color="auto" w:fill="auto"/>
        <w:tabs>
          <w:tab w:val="left" w:leader="underscore" w:pos="4086"/>
        </w:tabs>
        <w:spacing w:before="0" w:line="240" w:lineRule="auto"/>
        <w:jc w:val="both"/>
        <w:rPr>
          <w:rFonts w:ascii="宋体" w:hAnsi="宋体" w:eastAsia="宋体" w:cs="宋体"/>
          <w:sz w:val="21"/>
          <w:szCs w:val="21"/>
        </w:rPr>
      </w:pPr>
      <w:r>
        <w:rPr>
          <w:rStyle w:val="266"/>
          <w:rFonts w:hint="eastAsia" w:ascii="宋体" w:hAnsi="宋体" w:eastAsia="宋体" w:cs="宋体"/>
          <w:color w:val="auto"/>
          <w:sz w:val="21"/>
          <w:szCs w:val="21"/>
        </w:rPr>
        <w:t>经办银行：</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 xml:space="preserve"> (盖单位章)</w:t>
      </w:r>
    </w:p>
    <w:p w14:paraId="02845513">
      <w:pPr>
        <w:pStyle w:val="292"/>
        <w:shd w:val="clear" w:color="auto" w:fill="auto"/>
        <w:tabs>
          <w:tab w:val="left" w:leader="underscore" w:pos="4689"/>
        </w:tabs>
        <w:spacing w:before="0" w:line="240" w:lineRule="auto"/>
        <w:ind w:firstLine="420"/>
        <w:jc w:val="both"/>
        <w:rPr>
          <w:rFonts w:ascii="宋体" w:hAnsi="宋体" w:eastAsia="宋体" w:cs="宋体"/>
          <w:sz w:val="21"/>
          <w:szCs w:val="21"/>
        </w:rPr>
      </w:pPr>
      <w:r>
        <w:rPr>
          <w:rStyle w:val="266"/>
          <w:rFonts w:hint="eastAsia" w:ascii="宋体" w:hAnsi="宋体" w:eastAsia="宋体" w:cs="宋体"/>
          <w:color w:val="auto"/>
          <w:sz w:val="21"/>
          <w:szCs w:val="21"/>
        </w:rPr>
        <w:t>法定代表人或其委托代理人：</w:t>
      </w:r>
      <w:r>
        <w:rPr>
          <w:rStyle w:val="266"/>
          <w:rFonts w:hint="eastAsia" w:ascii="宋体" w:hAnsi="宋体" w:eastAsia="宋体" w:cs="宋体"/>
          <w:color w:val="auto"/>
          <w:sz w:val="21"/>
          <w:szCs w:val="21"/>
        </w:rPr>
        <w:tab/>
      </w:r>
      <w:r>
        <w:rPr>
          <w:rStyle w:val="266"/>
          <w:rFonts w:hint="eastAsia" w:ascii="宋体" w:hAnsi="宋体" w:eastAsia="宋体" w:cs="宋体"/>
          <w:color w:val="auto"/>
          <w:sz w:val="21"/>
          <w:szCs w:val="21"/>
        </w:rPr>
        <w:t>（签字)</w:t>
      </w:r>
    </w:p>
    <w:p w14:paraId="74270BBC">
      <w:pPr>
        <w:spacing w:line="360" w:lineRule="auto"/>
        <w:ind w:firstLine="570"/>
        <w:rPr>
          <w:szCs w:val="21"/>
        </w:rPr>
      </w:pPr>
      <w:r>
        <w:rPr>
          <w:rStyle w:val="266"/>
          <w:rFonts w:hint="eastAsia" w:ascii="宋体" w:hAnsi="宋体" w:eastAsia="宋体" w:cs="宋体"/>
          <w:color w:val="auto"/>
          <w:sz w:val="21"/>
          <w:szCs w:val="21"/>
        </w:rPr>
        <w:t>年月日</w:t>
      </w:r>
      <w:bookmarkEnd w:id="301"/>
    </w:p>
    <w:p w14:paraId="0E69EAFD">
      <w:pPr>
        <w:pStyle w:val="2"/>
      </w:pPr>
    </w:p>
    <w:p w14:paraId="42BA0492">
      <w:pPr>
        <w:rPr>
          <w:rFonts w:ascii="宋体" w:hAnsi="宋体"/>
          <w:szCs w:val="21"/>
        </w:rPr>
      </w:pPr>
    </w:p>
    <w:p w14:paraId="4417AF8A">
      <w:pPr>
        <w:rPr>
          <w:rFonts w:ascii="宋体" w:hAnsi="宋体"/>
          <w:szCs w:val="21"/>
        </w:rPr>
        <w:sectPr>
          <w:headerReference r:id="rId7" w:type="default"/>
          <w:footerReference r:id="rId8" w:type="default"/>
          <w:pgSz w:w="11911" w:h="16849"/>
          <w:pgMar w:top="1417" w:right="1417" w:bottom="1417" w:left="1417" w:header="720" w:footer="720" w:gutter="0"/>
          <w:cols w:space="720" w:num="1"/>
          <w:docGrid w:linePitch="312" w:charSpace="0"/>
        </w:sectPr>
      </w:pPr>
    </w:p>
    <w:p w14:paraId="65CF9059">
      <w:pPr>
        <w:pStyle w:val="3"/>
        <w:tabs>
          <w:tab w:val="left" w:pos="6300"/>
        </w:tabs>
        <w:spacing w:line="240" w:lineRule="auto"/>
        <w:jc w:val="center"/>
      </w:pPr>
      <w:bookmarkStart w:id="334" w:name="_Toc24687"/>
      <w:bookmarkStart w:id="335" w:name="_Toc15018"/>
      <w:bookmarkStart w:id="336" w:name="_Toc11806"/>
      <w:bookmarkStart w:id="337" w:name="_Toc22831"/>
      <w:bookmarkStart w:id="338" w:name="_Toc2967"/>
      <w:bookmarkStart w:id="339" w:name="_Toc21107"/>
      <w:bookmarkStart w:id="340" w:name="_Toc234382957"/>
      <w:r>
        <w:rPr>
          <w:rFonts w:hint="eastAsia"/>
        </w:rPr>
        <w:t>第六章、响应文件格</w:t>
      </w:r>
      <w:bookmarkEnd w:id="334"/>
      <w:bookmarkEnd w:id="335"/>
      <w:bookmarkEnd w:id="336"/>
      <w:bookmarkEnd w:id="337"/>
      <w:bookmarkEnd w:id="338"/>
      <w:r>
        <w:rPr>
          <w:rFonts w:hint="eastAsia"/>
        </w:rPr>
        <w:t>式</w:t>
      </w:r>
      <w:bookmarkEnd w:id="339"/>
    </w:p>
    <w:p w14:paraId="11522B22">
      <w:pPr>
        <w:widowControl/>
        <w:jc w:val="left"/>
        <w:rPr>
          <w:sz w:val="36"/>
          <w:szCs w:val="36"/>
        </w:rPr>
      </w:pPr>
    </w:p>
    <w:p w14:paraId="446B1CC6">
      <w:pPr>
        <w:pStyle w:val="26"/>
        <w:rPr>
          <w:rFonts w:hAnsi="宋体" w:cs="宋体"/>
          <w:b/>
          <w:sz w:val="32"/>
        </w:rPr>
      </w:pPr>
      <w:bookmarkStart w:id="341" w:name="_Toc21496"/>
      <w:bookmarkStart w:id="342" w:name="_Toc497927069"/>
      <w:bookmarkStart w:id="343" w:name="_Toc18351"/>
      <w:bookmarkStart w:id="344" w:name="_Toc234659821"/>
      <w:bookmarkStart w:id="345" w:name="_Toc271557265"/>
      <w:r>
        <w:rPr>
          <w:rFonts w:hint="eastAsia" w:hAnsi="宋体" w:cs="宋体"/>
          <w:b/>
          <w:sz w:val="32"/>
        </w:rPr>
        <w:t>一、响应文件标记</w:t>
      </w:r>
      <w:bookmarkEnd w:id="341"/>
      <w:bookmarkEnd w:id="342"/>
      <w:bookmarkEnd w:id="343"/>
    </w:p>
    <w:p w14:paraId="456CE1B3">
      <w:pPr>
        <w:adjustRightInd w:val="0"/>
        <w:snapToGrid w:val="0"/>
        <w:rPr>
          <w:rFonts w:ascii="宋体" w:hAnsi="宋体" w:cs="宋体"/>
          <w:b/>
          <w:sz w:val="44"/>
          <w:szCs w:val="44"/>
        </w:rPr>
      </w:pPr>
    </w:p>
    <w:p w14:paraId="5D6F823D">
      <w:pPr>
        <w:pStyle w:val="30"/>
        <w:ind w:firstLine="400"/>
      </w:pPr>
    </w:p>
    <w:p w14:paraId="6AE867D2">
      <w:pPr>
        <w:pStyle w:val="355"/>
        <w:rPr>
          <w:rFonts w:ascii="宋体" w:hAnsi="宋体" w:cs="宋体"/>
          <w:color w:val="auto"/>
        </w:rPr>
      </w:pPr>
    </w:p>
    <w:p w14:paraId="6EB5A3EF">
      <w:pPr>
        <w:snapToGrid w:val="0"/>
        <w:spacing w:beforeLines="50" w:after="50"/>
        <w:jc w:val="center"/>
        <w:rPr>
          <w:rFonts w:ascii="宋体" w:hAnsi="宋体" w:cs="宋体"/>
          <w:b/>
          <w:sz w:val="44"/>
          <w:szCs w:val="44"/>
        </w:rPr>
      </w:pPr>
      <w:r>
        <w:rPr>
          <w:rFonts w:hint="eastAsia" w:ascii="宋体" w:hAnsi="宋体" w:cs="宋体"/>
          <w:b/>
          <w:sz w:val="44"/>
          <w:szCs w:val="44"/>
        </w:rPr>
        <w:t>响 应 文 件</w:t>
      </w:r>
    </w:p>
    <w:p w14:paraId="77874B0E">
      <w:pPr>
        <w:snapToGrid w:val="0"/>
        <w:spacing w:beforeLines="50" w:after="50"/>
        <w:ind w:firstLine="422" w:firstLineChars="150"/>
        <w:rPr>
          <w:rFonts w:ascii="宋体" w:hAnsi="宋体" w:cs="宋体"/>
          <w:b/>
          <w:sz w:val="28"/>
          <w:szCs w:val="28"/>
        </w:rPr>
      </w:pPr>
    </w:p>
    <w:p w14:paraId="07D5474E">
      <w:pPr>
        <w:snapToGrid w:val="0"/>
        <w:spacing w:beforeLines="50" w:after="50"/>
        <w:ind w:firstLine="422" w:firstLineChars="150"/>
        <w:rPr>
          <w:rFonts w:ascii="宋体" w:hAnsi="宋体" w:cs="宋体"/>
          <w:b/>
          <w:sz w:val="28"/>
          <w:szCs w:val="28"/>
        </w:rPr>
      </w:pPr>
    </w:p>
    <w:p w14:paraId="6DB42CE0">
      <w:pPr>
        <w:snapToGrid w:val="0"/>
        <w:spacing w:beforeLines="50" w:after="50"/>
        <w:ind w:firstLine="422" w:firstLineChars="150"/>
        <w:rPr>
          <w:rFonts w:ascii="宋体" w:hAnsi="宋体" w:cs="宋体"/>
          <w:b/>
          <w:sz w:val="28"/>
          <w:szCs w:val="28"/>
        </w:rPr>
      </w:pPr>
    </w:p>
    <w:p w14:paraId="7366D27D">
      <w:pPr>
        <w:pStyle w:val="30"/>
        <w:ind w:firstLine="400"/>
      </w:pPr>
    </w:p>
    <w:p w14:paraId="4E616EEC">
      <w:pPr>
        <w:rPr>
          <w:rFonts w:ascii="宋体" w:hAnsi="宋体" w:cs="宋体"/>
          <w:b/>
        </w:rPr>
      </w:pPr>
    </w:p>
    <w:p w14:paraId="2E8B6A0E">
      <w:pPr>
        <w:spacing w:line="400" w:lineRule="exact"/>
        <w:ind w:firstLine="2704" w:firstLineChars="962"/>
        <w:rPr>
          <w:rFonts w:ascii="宋体" w:hAnsi="宋体" w:cs="宋体"/>
          <w:b/>
          <w:sz w:val="28"/>
          <w:szCs w:val="28"/>
        </w:rPr>
      </w:pPr>
    </w:p>
    <w:p w14:paraId="29AA0617">
      <w:pPr>
        <w:pStyle w:val="355"/>
        <w:rPr>
          <w:rFonts w:ascii="宋体" w:hAnsi="宋体" w:cs="宋体"/>
          <w:b/>
          <w:color w:val="auto"/>
          <w:sz w:val="28"/>
          <w:szCs w:val="28"/>
        </w:rPr>
      </w:pPr>
    </w:p>
    <w:p w14:paraId="2C0DD8BC">
      <w:pPr>
        <w:pStyle w:val="355"/>
        <w:rPr>
          <w:rFonts w:ascii="宋体" w:hAnsi="宋体" w:cs="宋体"/>
          <w:b/>
          <w:color w:val="auto"/>
          <w:sz w:val="28"/>
          <w:szCs w:val="28"/>
        </w:rPr>
      </w:pPr>
    </w:p>
    <w:p w14:paraId="2C7742AB">
      <w:pPr>
        <w:pStyle w:val="355"/>
        <w:rPr>
          <w:rFonts w:ascii="宋体" w:hAnsi="宋体" w:cs="宋体"/>
          <w:b/>
          <w:color w:val="auto"/>
          <w:sz w:val="28"/>
          <w:szCs w:val="28"/>
        </w:rPr>
      </w:pPr>
    </w:p>
    <w:p w14:paraId="630BF931">
      <w:pPr>
        <w:pStyle w:val="355"/>
        <w:rPr>
          <w:rFonts w:ascii="宋体" w:hAnsi="宋体" w:cs="宋体"/>
          <w:b/>
          <w:color w:val="auto"/>
          <w:sz w:val="32"/>
          <w:szCs w:val="32"/>
        </w:rPr>
      </w:pPr>
    </w:p>
    <w:p w14:paraId="1D3D44F0">
      <w:pPr>
        <w:spacing w:line="360" w:lineRule="auto"/>
        <w:ind w:left="1400" w:hanging="1400" w:hangingChars="500"/>
        <w:rPr>
          <w:sz w:val="28"/>
          <w:szCs w:val="28"/>
        </w:rPr>
      </w:pPr>
      <w:bookmarkStart w:id="346" w:name="_Toc20319_WPSOffice_Level2"/>
      <w:bookmarkStart w:id="347" w:name="_Toc4932_WPSOffice_Level2"/>
      <w:r>
        <w:rPr>
          <w:rFonts w:hint="eastAsia"/>
          <w:sz w:val="28"/>
          <w:szCs w:val="28"/>
        </w:rPr>
        <w:t>项目名称：2024年普通国道危旧桥梁改造工程G241线K2814+890石山寨桥</w:t>
      </w:r>
    </w:p>
    <w:p w14:paraId="1DC07F3D">
      <w:pPr>
        <w:spacing w:line="360" w:lineRule="auto"/>
        <w:rPr>
          <w:sz w:val="28"/>
          <w:szCs w:val="28"/>
        </w:rPr>
      </w:pPr>
      <w:r>
        <w:rPr>
          <w:rFonts w:hint="eastAsia"/>
          <w:sz w:val="28"/>
          <w:szCs w:val="28"/>
        </w:rPr>
        <w:t>采购项目编号：</w:t>
      </w:r>
    </w:p>
    <w:p w14:paraId="608666BB">
      <w:pPr>
        <w:spacing w:line="360" w:lineRule="auto"/>
        <w:rPr>
          <w:spacing w:val="-5"/>
          <w:sz w:val="28"/>
          <w:szCs w:val="28"/>
        </w:rPr>
      </w:pPr>
      <w:r>
        <w:rPr>
          <w:rFonts w:hint="eastAsia"/>
          <w:sz w:val="28"/>
          <w:szCs w:val="28"/>
        </w:rPr>
        <w:t>分标号：（若无留空或写</w:t>
      </w:r>
      <w:r>
        <w:rPr>
          <w:rFonts w:hint="eastAsia"/>
          <w:spacing w:val="-5"/>
          <w:sz w:val="28"/>
          <w:szCs w:val="28"/>
        </w:rPr>
        <w:t>“/”）</w:t>
      </w:r>
    </w:p>
    <w:p w14:paraId="21ED8A10">
      <w:pPr>
        <w:spacing w:line="360" w:lineRule="auto"/>
        <w:rPr>
          <w:sz w:val="28"/>
          <w:szCs w:val="28"/>
        </w:rPr>
      </w:pPr>
      <w:r>
        <w:rPr>
          <w:rFonts w:hint="eastAsia"/>
          <w:sz w:val="28"/>
          <w:szCs w:val="28"/>
        </w:rPr>
        <w:t>供应商名称：</w:t>
      </w:r>
    </w:p>
    <w:p w14:paraId="496F7F07">
      <w:pPr>
        <w:spacing w:line="360" w:lineRule="auto"/>
        <w:rPr>
          <w:sz w:val="28"/>
          <w:szCs w:val="28"/>
        </w:rPr>
      </w:pPr>
      <w:r>
        <w:rPr>
          <w:rFonts w:hint="eastAsia"/>
          <w:sz w:val="28"/>
          <w:szCs w:val="28"/>
        </w:rPr>
        <w:t>供应商地址：</w:t>
      </w:r>
    </w:p>
    <w:p w14:paraId="3DBDD6DB">
      <w:pPr>
        <w:spacing w:line="360" w:lineRule="auto"/>
        <w:rPr>
          <w:sz w:val="28"/>
          <w:szCs w:val="28"/>
        </w:rPr>
      </w:pPr>
      <w:r>
        <w:rPr>
          <w:rFonts w:hint="eastAsia"/>
          <w:sz w:val="28"/>
          <w:szCs w:val="28"/>
        </w:rPr>
        <w:t>日期：</w:t>
      </w:r>
      <w:r>
        <w:rPr>
          <w:rFonts w:hint="eastAsia"/>
          <w:sz w:val="28"/>
          <w:szCs w:val="28"/>
        </w:rPr>
        <w:tab/>
      </w:r>
      <w:r>
        <w:rPr>
          <w:rFonts w:hint="eastAsia"/>
          <w:sz w:val="28"/>
          <w:szCs w:val="28"/>
        </w:rPr>
        <w:t>年</w:t>
      </w:r>
      <w:r>
        <w:rPr>
          <w:rFonts w:hint="eastAsia"/>
          <w:sz w:val="28"/>
          <w:szCs w:val="28"/>
        </w:rPr>
        <w:tab/>
      </w:r>
      <w:r>
        <w:rPr>
          <w:rFonts w:hint="eastAsia"/>
          <w:sz w:val="28"/>
          <w:szCs w:val="28"/>
        </w:rPr>
        <w:t>月</w:t>
      </w:r>
      <w:r>
        <w:rPr>
          <w:rFonts w:hint="eastAsia"/>
          <w:sz w:val="28"/>
          <w:szCs w:val="28"/>
        </w:rPr>
        <w:tab/>
      </w:r>
      <w:r>
        <w:rPr>
          <w:rFonts w:hint="eastAsia"/>
          <w:sz w:val="28"/>
          <w:szCs w:val="28"/>
        </w:rPr>
        <w:t>日</w:t>
      </w:r>
    </w:p>
    <w:bookmarkEnd w:id="340"/>
    <w:bookmarkEnd w:id="344"/>
    <w:bookmarkEnd w:id="345"/>
    <w:bookmarkEnd w:id="346"/>
    <w:bookmarkEnd w:id="347"/>
    <w:p w14:paraId="5625B953">
      <w:pPr>
        <w:spacing w:line="300" w:lineRule="auto"/>
        <w:rPr>
          <w:rFonts w:ascii="宋体" w:hAnsi="宋体"/>
          <w:szCs w:val="21"/>
        </w:rPr>
      </w:pPr>
    </w:p>
    <w:p w14:paraId="26D4F0D8">
      <w:pPr>
        <w:pStyle w:val="30"/>
        <w:ind w:firstLine="400"/>
        <w:rPr>
          <w:rFonts w:ascii="宋体" w:hAnsi="宋体"/>
          <w:szCs w:val="21"/>
        </w:rPr>
      </w:pPr>
    </w:p>
    <w:p w14:paraId="3AB06653">
      <w:pPr>
        <w:pStyle w:val="22"/>
        <w:ind w:left="0" w:firstLine="0"/>
        <w:rPr>
          <w:rFonts w:ascii="宋体" w:hAnsi="宋体"/>
          <w:b/>
          <w:szCs w:val="21"/>
        </w:rPr>
      </w:pPr>
    </w:p>
    <w:p w14:paraId="4BB24255">
      <w:pPr>
        <w:pStyle w:val="22"/>
        <w:ind w:left="0" w:firstLine="0"/>
        <w:rPr>
          <w:rFonts w:ascii="宋体" w:hAnsi="宋体"/>
          <w:b/>
          <w:sz w:val="28"/>
          <w:szCs w:val="22"/>
        </w:rPr>
      </w:pPr>
    </w:p>
    <w:p w14:paraId="4B297BD1">
      <w:pPr>
        <w:pStyle w:val="22"/>
        <w:ind w:left="0" w:firstLine="0"/>
        <w:rPr>
          <w:rFonts w:ascii="宋体" w:hAnsi="宋体"/>
          <w:b/>
          <w:sz w:val="28"/>
          <w:szCs w:val="22"/>
        </w:rPr>
      </w:pPr>
    </w:p>
    <w:p w14:paraId="3E1987A4">
      <w:pPr>
        <w:spacing w:line="320" w:lineRule="exact"/>
        <w:jc w:val="center"/>
        <w:rPr>
          <w:rFonts w:ascii="宋体" w:hAnsi="宋体"/>
          <w:sz w:val="22"/>
          <w:szCs w:val="22"/>
        </w:rPr>
      </w:pPr>
    </w:p>
    <w:p w14:paraId="190A80EE">
      <w:pPr>
        <w:numPr>
          <w:ilvl w:val="0"/>
          <w:numId w:val="12"/>
        </w:numPr>
        <w:jc w:val="center"/>
        <w:rPr>
          <w:rFonts w:ascii="宋体" w:hAnsi="宋体" w:cs="宋体"/>
          <w:b/>
          <w:bCs/>
          <w:sz w:val="36"/>
          <w:szCs w:val="36"/>
        </w:rPr>
      </w:pPr>
      <w:bookmarkStart w:id="348" w:name="_Toc497927070"/>
      <w:bookmarkStart w:id="349" w:name="_Toc19430"/>
      <w:bookmarkStart w:id="350" w:name="_Toc21615"/>
      <w:r>
        <w:rPr>
          <w:rFonts w:hint="eastAsia" w:ascii="宋体" w:hAnsi="宋体" w:cs="宋体"/>
          <w:b/>
          <w:bCs/>
          <w:sz w:val="36"/>
          <w:szCs w:val="36"/>
        </w:rPr>
        <w:t>响应文件组成</w:t>
      </w:r>
      <w:bookmarkEnd w:id="348"/>
      <w:bookmarkEnd w:id="349"/>
      <w:bookmarkEnd w:id="350"/>
    </w:p>
    <w:p w14:paraId="73B2F542">
      <w:pPr>
        <w:spacing w:line="400" w:lineRule="exact"/>
        <w:rPr>
          <w:rFonts w:ascii="宋体" w:hAnsi="宋体" w:cs="宋体"/>
          <w:b/>
          <w:bCs/>
          <w:sz w:val="28"/>
          <w:szCs w:val="28"/>
        </w:rPr>
      </w:pPr>
    </w:p>
    <w:p w14:paraId="2ADA8285">
      <w:pPr>
        <w:pStyle w:val="2"/>
        <w:rPr>
          <w:rFonts w:ascii="宋体" w:hAnsi="宋体" w:cs="宋体"/>
          <w:b/>
          <w:bCs/>
          <w:sz w:val="28"/>
          <w:szCs w:val="28"/>
        </w:rPr>
      </w:pPr>
    </w:p>
    <w:p w14:paraId="63A587E9">
      <w:pPr>
        <w:numPr>
          <w:ilvl w:val="0"/>
          <w:numId w:val="13"/>
        </w:numPr>
        <w:spacing w:line="400" w:lineRule="exact"/>
        <w:ind w:firstLine="649" w:firstLineChars="202"/>
        <w:rPr>
          <w:rFonts w:ascii="宋体" w:hAnsi="宋体" w:cs="宋体"/>
          <w:b/>
          <w:bCs/>
          <w:sz w:val="32"/>
          <w:szCs w:val="32"/>
        </w:rPr>
      </w:pPr>
      <w:r>
        <w:rPr>
          <w:rFonts w:hint="eastAsia" w:ascii="宋体" w:hAnsi="宋体" w:cs="宋体"/>
          <w:b/>
          <w:bCs/>
          <w:sz w:val="32"/>
          <w:szCs w:val="32"/>
        </w:rPr>
        <w:t>资格性响应证明材料</w:t>
      </w:r>
    </w:p>
    <w:p w14:paraId="7B7A42F2">
      <w:pPr>
        <w:pStyle w:val="2"/>
        <w:rPr>
          <w:rFonts w:ascii="宋体" w:hAnsi="宋体" w:cs="宋体"/>
          <w:b/>
          <w:bCs/>
          <w:sz w:val="28"/>
          <w:szCs w:val="28"/>
        </w:rPr>
      </w:pPr>
    </w:p>
    <w:p w14:paraId="424E1C10">
      <w:pPr>
        <w:pStyle w:val="2"/>
        <w:rPr>
          <w:rFonts w:ascii="宋体" w:hAnsi="宋体" w:cs="宋体"/>
          <w:b/>
          <w:bCs/>
          <w:sz w:val="28"/>
          <w:szCs w:val="28"/>
        </w:rPr>
      </w:pPr>
    </w:p>
    <w:p w14:paraId="32EA6576">
      <w:pPr>
        <w:numPr>
          <w:ilvl w:val="0"/>
          <w:numId w:val="13"/>
        </w:numPr>
        <w:spacing w:line="400" w:lineRule="exact"/>
        <w:ind w:firstLine="649" w:firstLineChars="202"/>
        <w:rPr>
          <w:rFonts w:ascii="宋体" w:hAnsi="宋体" w:cs="宋体"/>
          <w:b/>
          <w:bCs/>
          <w:sz w:val="32"/>
          <w:szCs w:val="32"/>
        </w:rPr>
      </w:pPr>
      <w:r>
        <w:rPr>
          <w:rFonts w:hint="eastAsia" w:ascii="宋体" w:hAnsi="宋体" w:cs="宋体"/>
          <w:b/>
          <w:bCs/>
          <w:sz w:val="32"/>
          <w:szCs w:val="32"/>
        </w:rPr>
        <w:t>符合性响应证明材料</w:t>
      </w:r>
    </w:p>
    <w:p w14:paraId="37F63C7A">
      <w:pPr>
        <w:pStyle w:val="2"/>
        <w:rPr>
          <w:rFonts w:ascii="宋体" w:hAnsi="宋体" w:cs="宋体"/>
          <w:b/>
          <w:bCs/>
          <w:sz w:val="28"/>
          <w:szCs w:val="28"/>
        </w:rPr>
      </w:pPr>
    </w:p>
    <w:p w14:paraId="266D5CBD">
      <w:pPr>
        <w:pStyle w:val="2"/>
        <w:rPr>
          <w:rFonts w:ascii="宋体" w:hAnsi="宋体" w:cs="宋体"/>
          <w:b/>
          <w:bCs/>
          <w:sz w:val="28"/>
          <w:szCs w:val="28"/>
        </w:rPr>
      </w:pPr>
    </w:p>
    <w:p w14:paraId="494620A9">
      <w:pPr>
        <w:numPr>
          <w:ilvl w:val="0"/>
          <w:numId w:val="13"/>
        </w:numPr>
        <w:spacing w:line="400" w:lineRule="exact"/>
        <w:ind w:firstLine="649" w:firstLineChars="202"/>
        <w:rPr>
          <w:rFonts w:ascii="宋体" w:hAnsi="宋体" w:cs="宋体"/>
          <w:b/>
          <w:bCs/>
          <w:sz w:val="32"/>
          <w:szCs w:val="32"/>
        </w:rPr>
      </w:pPr>
      <w:r>
        <w:rPr>
          <w:rFonts w:hint="eastAsia" w:ascii="宋体" w:hAnsi="宋体" w:cs="宋体"/>
          <w:b/>
          <w:bCs/>
          <w:sz w:val="32"/>
          <w:szCs w:val="32"/>
        </w:rPr>
        <w:t>其他有效证明材料</w:t>
      </w:r>
    </w:p>
    <w:p w14:paraId="21E98B09">
      <w:pPr>
        <w:tabs>
          <w:tab w:val="left" w:pos="1080"/>
        </w:tabs>
        <w:jc w:val="center"/>
        <w:rPr>
          <w:rFonts w:ascii="黑体" w:hAnsi="宋体" w:eastAsia="黑体"/>
          <w:sz w:val="30"/>
          <w:szCs w:val="30"/>
        </w:rPr>
      </w:pPr>
    </w:p>
    <w:p w14:paraId="0B7D0463">
      <w:pPr>
        <w:tabs>
          <w:tab w:val="left" w:pos="1080"/>
        </w:tabs>
        <w:jc w:val="center"/>
        <w:rPr>
          <w:rFonts w:ascii="黑体" w:hAnsi="宋体" w:eastAsia="黑体"/>
          <w:sz w:val="30"/>
          <w:szCs w:val="30"/>
        </w:rPr>
      </w:pPr>
    </w:p>
    <w:p w14:paraId="48C45CCD">
      <w:pPr>
        <w:tabs>
          <w:tab w:val="left" w:pos="1080"/>
        </w:tabs>
        <w:jc w:val="center"/>
        <w:rPr>
          <w:rFonts w:ascii="黑体" w:hAnsi="宋体" w:eastAsia="黑体"/>
          <w:sz w:val="30"/>
          <w:szCs w:val="30"/>
        </w:rPr>
      </w:pPr>
    </w:p>
    <w:p w14:paraId="0DBEB9B3">
      <w:pPr>
        <w:tabs>
          <w:tab w:val="left" w:pos="1080"/>
        </w:tabs>
        <w:jc w:val="center"/>
        <w:rPr>
          <w:rFonts w:ascii="黑体" w:hAnsi="宋体" w:eastAsia="黑体"/>
          <w:sz w:val="30"/>
          <w:szCs w:val="30"/>
        </w:rPr>
      </w:pPr>
    </w:p>
    <w:p w14:paraId="6F99DACE">
      <w:pPr>
        <w:tabs>
          <w:tab w:val="left" w:pos="1080"/>
        </w:tabs>
        <w:jc w:val="center"/>
        <w:rPr>
          <w:rFonts w:ascii="黑体" w:hAnsi="宋体" w:eastAsia="黑体"/>
          <w:sz w:val="30"/>
          <w:szCs w:val="30"/>
        </w:rPr>
      </w:pPr>
    </w:p>
    <w:p w14:paraId="3082126E">
      <w:pPr>
        <w:tabs>
          <w:tab w:val="left" w:pos="1080"/>
        </w:tabs>
        <w:jc w:val="center"/>
        <w:rPr>
          <w:rFonts w:ascii="黑体" w:hAnsi="宋体" w:eastAsia="黑体"/>
          <w:sz w:val="30"/>
          <w:szCs w:val="30"/>
        </w:rPr>
      </w:pPr>
    </w:p>
    <w:p w14:paraId="4F1B46B3">
      <w:pPr>
        <w:tabs>
          <w:tab w:val="left" w:pos="1080"/>
        </w:tabs>
        <w:jc w:val="center"/>
        <w:rPr>
          <w:rFonts w:ascii="黑体" w:hAnsi="宋体" w:eastAsia="黑体"/>
          <w:sz w:val="30"/>
          <w:szCs w:val="30"/>
        </w:rPr>
      </w:pPr>
    </w:p>
    <w:p w14:paraId="3364FA65">
      <w:pPr>
        <w:pStyle w:val="30"/>
        <w:ind w:firstLine="600"/>
        <w:rPr>
          <w:rFonts w:ascii="黑体" w:hAnsi="宋体" w:eastAsia="黑体"/>
          <w:sz w:val="30"/>
          <w:szCs w:val="30"/>
        </w:rPr>
      </w:pPr>
    </w:p>
    <w:p w14:paraId="430F5E2F">
      <w:pPr>
        <w:pStyle w:val="30"/>
        <w:ind w:firstLine="600"/>
        <w:rPr>
          <w:rFonts w:ascii="黑体" w:hAnsi="宋体" w:eastAsia="黑体"/>
          <w:sz w:val="30"/>
          <w:szCs w:val="30"/>
        </w:rPr>
      </w:pPr>
    </w:p>
    <w:p w14:paraId="6A5E2DC3">
      <w:pPr>
        <w:pStyle w:val="30"/>
        <w:ind w:firstLine="600"/>
        <w:rPr>
          <w:rFonts w:ascii="黑体" w:hAnsi="宋体" w:eastAsia="黑体"/>
          <w:sz w:val="30"/>
          <w:szCs w:val="30"/>
        </w:rPr>
      </w:pPr>
    </w:p>
    <w:p w14:paraId="47F5DB0A"/>
    <w:p w14:paraId="75B585BE">
      <w:bookmarkStart w:id="351" w:name="_Toc497927071"/>
      <w:bookmarkStart w:id="352" w:name="_Toc11067"/>
      <w:bookmarkStart w:id="353" w:name="_Toc7185"/>
    </w:p>
    <w:p w14:paraId="0B3FEAA6"/>
    <w:p w14:paraId="501B8BB0"/>
    <w:p w14:paraId="03EF0217">
      <w:pPr>
        <w:rPr>
          <w:rFonts w:ascii="宋体" w:hAnsi="宋体" w:cs="宋体"/>
        </w:rPr>
      </w:pPr>
      <w:r>
        <w:rPr>
          <w:rFonts w:hint="eastAsia"/>
        </w:rPr>
        <w:br w:type="page"/>
      </w:r>
      <w:r>
        <w:rPr>
          <w:rFonts w:hint="eastAsia" w:ascii="宋体" w:hAnsi="宋体" w:cs="宋体"/>
          <w:b/>
          <w:bCs/>
          <w:sz w:val="32"/>
          <w:szCs w:val="32"/>
        </w:rPr>
        <w:t>（一）资格性响应证明材料目录</w:t>
      </w:r>
      <w:bookmarkEnd w:id="351"/>
      <w:bookmarkEnd w:id="352"/>
      <w:bookmarkEnd w:id="353"/>
      <w:r>
        <w:rPr>
          <w:rFonts w:hint="eastAsia" w:ascii="宋体" w:hAnsi="宋体" w:cs="宋体"/>
          <w:b/>
          <w:bCs/>
          <w:sz w:val="32"/>
          <w:szCs w:val="32"/>
        </w:rPr>
        <w:t>（根据所提供内容自行编写）</w:t>
      </w:r>
    </w:p>
    <w:p w14:paraId="2830F500">
      <w:pPr>
        <w:pStyle w:val="30"/>
        <w:ind w:left="0" w:leftChars="0" w:firstLine="0" w:firstLineChars="0"/>
      </w:pPr>
    </w:p>
    <w:p w14:paraId="689A304C">
      <w:pPr>
        <w:numPr>
          <w:ilvl w:val="0"/>
          <w:numId w:val="14"/>
        </w:numPr>
        <w:spacing w:line="440" w:lineRule="atLeast"/>
        <w:jc w:val="left"/>
        <w:rPr>
          <w:rFonts w:ascii="宋体" w:hAnsi="宋体" w:cs="宋体"/>
          <w:b/>
          <w:sz w:val="32"/>
          <w:szCs w:val="32"/>
        </w:rPr>
      </w:pPr>
      <w:r>
        <w:rPr>
          <w:rFonts w:hint="eastAsia" w:ascii="宋体" w:hAnsi="宋体" w:cs="宋体"/>
          <w:b/>
          <w:sz w:val="32"/>
          <w:szCs w:val="32"/>
        </w:rPr>
        <w:t>供应商相应的法定代表人、负责人、自然人身份证正反两面复印件（必须提供）；</w:t>
      </w:r>
    </w:p>
    <w:p w14:paraId="2456873B">
      <w:pPr>
        <w:spacing w:line="440" w:lineRule="atLeast"/>
        <w:rPr>
          <w:rFonts w:ascii="宋体" w:hAnsi="宋体" w:cs="宋体"/>
          <w:b/>
          <w:sz w:val="28"/>
          <w:szCs w:val="28"/>
        </w:rPr>
      </w:pPr>
    </w:p>
    <w:p w14:paraId="23DDCF7D">
      <w:pPr>
        <w:pStyle w:val="4"/>
      </w:pPr>
    </w:p>
    <w:p w14:paraId="5B7210DD">
      <w:pPr>
        <w:spacing w:line="440" w:lineRule="atLeast"/>
        <w:rPr>
          <w:rFonts w:ascii="宋体" w:hAnsi="宋体" w:cs="宋体"/>
          <w:b/>
          <w:sz w:val="32"/>
          <w:szCs w:val="32"/>
        </w:rPr>
      </w:pPr>
      <w:r>
        <w:rPr>
          <w:rFonts w:hint="eastAsia" w:ascii="宋体" w:hAnsi="宋体" w:cs="宋体"/>
          <w:b/>
          <w:sz w:val="32"/>
          <w:szCs w:val="32"/>
        </w:rPr>
        <w:t>2.供应商的授权委托书原件、委托代理人身份证正反面复印件以及由县级以上（含县级）社会养老保险经办机构出具的供应商为委托代理人交纳的响应文件递交截止时间前半年内任意连续三个月社保证明复印件（委托代理时必须提供）。除供应商为以下三种情形的：</w:t>
      </w:r>
    </w:p>
    <w:p w14:paraId="35F9E3B5">
      <w:pPr>
        <w:spacing w:line="440" w:lineRule="atLeast"/>
        <w:rPr>
          <w:rFonts w:ascii="宋体" w:hAnsi="宋体" w:cs="宋体"/>
          <w:b/>
          <w:sz w:val="28"/>
          <w:szCs w:val="28"/>
        </w:rPr>
      </w:pPr>
      <w:r>
        <w:rPr>
          <w:rFonts w:hint="eastAsia" w:ascii="宋体" w:hAnsi="宋体" w:cs="宋体"/>
          <w:b/>
          <w:sz w:val="28"/>
          <w:szCs w:val="28"/>
        </w:rPr>
        <w:t>（1） 如供应商为截标时间前60日以内成立的公司，可以提供供应商与委托代理人签订的劳动合同复印件代替社保证明复印件；</w:t>
      </w:r>
    </w:p>
    <w:p w14:paraId="7AB05287">
      <w:pPr>
        <w:spacing w:line="440" w:lineRule="atLeast"/>
        <w:rPr>
          <w:rFonts w:ascii="宋体" w:hAnsi="宋体" w:cs="宋体"/>
          <w:b/>
          <w:sz w:val="28"/>
          <w:szCs w:val="28"/>
        </w:rPr>
      </w:pPr>
      <w:r>
        <w:rPr>
          <w:rFonts w:hint="eastAsia" w:ascii="宋体" w:hAnsi="宋体" w:cs="宋体"/>
          <w:b/>
          <w:sz w:val="28"/>
          <w:szCs w:val="28"/>
        </w:rPr>
        <w:t>（2）如供应商为事业单位，可以提供事业单位机构编制管理证复印件或事业单位机构为其发放工资的工资条复印件代替社保证明复印件；</w:t>
      </w:r>
    </w:p>
    <w:p w14:paraId="094BE4B5">
      <w:pPr>
        <w:spacing w:line="440" w:lineRule="atLeast"/>
        <w:rPr>
          <w:rFonts w:ascii="宋体" w:hAnsi="宋体" w:cs="宋体"/>
          <w:b/>
          <w:sz w:val="28"/>
          <w:szCs w:val="28"/>
        </w:rPr>
      </w:pPr>
      <w:r>
        <w:rPr>
          <w:rFonts w:hint="eastAsia" w:ascii="宋体" w:hAnsi="宋体" w:cs="宋体"/>
          <w:b/>
          <w:sz w:val="28"/>
          <w:szCs w:val="28"/>
        </w:rPr>
        <w:t>（3）如委托代理人为免缴纳社保人员，提供免缴纳社保的证明材料复印件及供应商与委托代理人签订的劳动合同复印件代替社保证明复印件。</w:t>
      </w:r>
    </w:p>
    <w:p w14:paraId="65A9E2C4">
      <w:pPr>
        <w:spacing w:line="440" w:lineRule="atLeast"/>
        <w:rPr>
          <w:rFonts w:ascii="宋体" w:hAnsi="宋体" w:cs="宋体"/>
          <w:b/>
          <w:sz w:val="28"/>
          <w:szCs w:val="28"/>
        </w:rPr>
      </w:pPr>
      <w:r>
        <w:rPr>
          <w:rFonts w:hint="eastAsia" w:ascii="宋体" w:hAnsi="宋体" w:cs="宋体"/>
          <w:b/>
          <w:sz w:val="28"/>
          <w:szCs w:val="28"/>
        </w:rPr>
        <w:t>【属自然人的应提供由县级以上（含县级）社会养老保险经办机构出具的自然人本人及委托代理人所交纳的响应文件递交截止时间前半年内任意连续三个月社保证明复印件】（委托代理时必须提供）</w:t>
      </w:r>
    </w:p>
    <w:p w14:paraId="2E29234E">
      <w:pPr>
        <w:pStyle w:val="26"/>
        <w:rPr>
          <w:rFonts w:hAnsi="宋体" w:cs="宋体"/>
          <w:b/>
          <w:sz w:val="32"/>
        </w:rPr>
      </w:pPr>
    </w:p>
    <w:p w14:paraId="2833B80A">
      <w:pPr>
        <w:pStyle w:val="26"/>
        <w:rPr>
          <w:rFonts w:hAnsi="宋体" w:cs="宋体"/>
          <w:b/>
          <w:sz w:val="32"/>
        </w:rPr>
      </w:pPr>
    </w:p>
    <w:p w14:paraId="7BEE8C3C">
      <w:pPr>
        <w:pStyle w:val="26"/>
        <w:rPr>
          <w:rFonts w:hAnsi="宋体" w:cs="宋体"/>
          <w:b/>
          <w:sz w:val="32"/>
        </w:rPr>
      </w:pPr>
    </w:p>
    <w:p w14:paraId="4110FA1C">
      <w:pPr>
        <w:pStyle w:val="26"/>
        <w:rPr>
          <w:rFonts w:hAnsi="宋体" w:cs="宋体"/>
          <w:b/>
          <w:sz w:val="32"/>
        </w:rPr>
      </w:pPr>
    </w:p>
    <w:p w14:paraId="235ACF25">
      <w:pPr>
        <w:pStyle w:val="26"/>
        <w:rPr>
          <w:rFonts w:hAnsi="宋体" w:cs="宋体"/>
          <w:b/>
          <w:sz w:val="32"/>
        </w:rPr>
      </w:pPr>
    </w:p>
    <w:p w14:paraId="7AF0EDE2">
      <w:pPr>
        <w:pStyle w:val="26"/>
        <w:rPr>
          <w:rFonts w:hAnsi="宋体" w:cs="宋体"/>
          <w:b/>
          <w:sz w:val="32"/>
        </w:rPr>
      </w:pPr>
    </w:p>
    <w:p w14:paraId="01945314">
      <w:pPr>
        <w:pStyle w:val="26"/>
        <w:rPr>
          <w:rFonts w:hAnsi="宋体" w:cs="宋体"/>
          <w:b/>
          <w:sz w:val="32"/>
        </w:rPr>
      </w:pPr>
    </w:p>
    <w:p w14:paraId="05F69E4B">
      <w:pPr>
        <w:pStyle w:val="26"/>
        <w:rPr>
          <w:rFonts w:hAnsi="宋体" w:cs="宋体"/>
          <w:b/>
          <w:sz w:val="32"/>
        </w:rPr>
      </w:pPr>
    </w:p>
    <w:p w14:paraId="15B50397">
      <w:pPr>
        <w:pStyle w:val="26"/>
        <w:rPr>
          <w:rFonts w:hAnsi="宋体" w:cs="宋体"/>
          <w:b/>
          <w:sz w:val="32"/>
        </w:rPr>
      </w:pPr>
    </w:p>
    <w:p w14:paraId="62F89AAB">
      <w:pPr>
        <w:pStyle w:val="26"/>
        <w:rPr>
          <w:rFonts w:hAnsi="宋体" w:cs="宋体"/>
          <w:b/>
          <w:sz w:val="32"/>
        </w:rPr>
      </w:pPr>
    </w:p>
    <w:p w14:paraId="105F86E8">
      <w:pPr>
        <w:pStyle w:val="26"/>
        <w:rPr>
          <w:rFonts w:hAnsi="宋体" w:cs="宋体"/>
          <w:b/>
          <w:sz w:val="32"/>
        </w:rPr>
      </w:pPr>
      <w:r>
        <w:rPr>
          <w:rFonts w:hint="eastAsia" w:hAnsi="宋体" w:cs="宋体"/>
          <w:b/>
          <w:sz w:val="32"/>
        </w:rPr>
        <w:t xml:space="preserve">附件：            </w:t>
      </w:r>
    </w:p>
    <w:p w14:paraId="569BA9F5">
      <w:pPr>
        <w:pStyle w:val="26"/>
        <w:ind w:firstLine="630" w:firstLineChars="196"/>
        <w:jc w:val="center"/>
        <w:rPr>
          <w:rFonts w:hAnsi="宋体" w:cs="宋体"/>
        </w:rPr>
      </w:pPr>
      <w:bookmarkStart w:id="354" w:name="_Toc5420_WPSOffice_Level1"/>
      <w:bookmarkStart w:id="355" w:name="_Toc964_WPSOffice_Level1"/>
      <w:r>
        <w:rPr>
          <w:rFonts w:hint="eastAsia" w:hAnsi="宋体" w:cs="宋体"/>
          <w:b/>
          <w:sz w:val="32"/>
        </w:rPr>
        <w:t>授权委托书（格式一）</w:t>
      </w:r>
      <w:bookmarkEnd w:id="354"/>
      <w:bookmarkEnd w:id="355"/>
    </w:p>
    <w:p w14:paraId="6E18501A">
      <w:pPr>
        <w:spacing w:line="500" w:lineRule="atLeast"/>
        <w:rPr>
          <w:rFonts w:ascii="宋体" w:hAnsi="宋体" w:cs="宋体"/>
          <w:szCs w:val="21"/>
        </w:rPr>
      </w:pPr>
      <w:r>
        <w:rPr>
          <w:rFonts w:hint="eastAsia" w:ascii="宋体" w:hAnsi="宋体" w:cs="宋体"/>
          <w:szCs w:val="21"/>
        </w:rPr>
        <w:t>致：</w:t>
      </w:r>
    </w:p>
    <w:p w14:paraId="6BDE2EDE">
      <w:pPr>
        <w:pStyle w:val="26"/>
        <w:spacing w:line="500" w:lineRule="atLeast"/>
        <w:ind w:firstLine="420" w:firstLineChars="200"/>
        <w:rPr>
          <w:rFonts w:hAnsi="宋体" w:cs="宋体"/>
          <w:sz w:val="21"/>
          <w:szCs w:val="21"/>
        </w:rPr>
      </w:pPr>
      <w:r>
        <w:rPr>
          <w:rFonts w:hint="eastAsia" w:hAnsi="宋体" w:cs="宋体"/>
          <w:sz w:val="21"/>
          <w:szCs w:val="21"/>
        </w:rPr>
        <w:t>我（姓名）系（供应商名称）的法定代表人（负责人），现授权委托本单位在职职工（姓 名）以我公司名义参加</w:t>
      </w:r>
      <w:r>
        <w:rPr>
          <w:rFonts w:hint="eastAsia" w:hAnsi="宋体" w:cs="宋体"/>
          <w:sz w:val="21"/>
          <w:szCs w:val="21"/>
          <w:u w:val="single"/>
        </w:rPr>
        <w:t xml:space="preserve">      （项目名称及项目编号）        </w:t>
      </w:r>
      <w:r>
        <w:rPr>
          <w:rFonts w:hint="eastAsia" w:hAnsi="宋体" w:cs="宋体"/>
          <w:sz w:val="21"/>
          <w:szCs w:val="21"/>
        </w:rPr>
        <w:t>项目的磋商活动，并代表我方全权办理针对上述项目的磋商、签约等具体事务和签署相关文件。</w:t>
      </w:r>
    </w:p>
    <w:p w14:paraId="18A22031">
      <w:pPr>
        <w:pStyle w:val="26"/>
        <w:spacing w:line="500" w:lineRule="atLeast"/>
        <w:ind w:firstLine="420" w:firstLineChars="200"/>
        <w:rPr>
          <w:rFonts w:hAnsi="宋体" w:cs="宋体"/>
          <w:sz w:val="21"/>
          <w:szCs w:val="21"/>
        </w:rPr>
      </w:pPr>
      <w:r>
        <w:rPr>
          <w:rFonts w:hint="eastAsia" w:hAnsi="宋体" w:cs="宋体"/>
          <w:sz w:val="21"/>
          <w:szCs w:val="21"/>
        </w:rPr>
        <w:t>我方对被授权人的签字事项负全部责任。</w:t>
      </w:r>
    </w:p>
    <w:p w14:paraId="7F3E8FC6">
      <w:pPr>
        <w:pStyle w:val="26"/>
        <w:spacing w:line="500" w:lineRule="atLeast"/>
        <w:ind w:firstLine="420" w:firstLineChars="200"/>
        <w:rPr>
          <w:rFonts w:hAnsi="宋体" w:cs="宋体"/>
          <w:sz w:val="21"/>
          <w:szCs w:val="21"/>
          <w:u w:val="single"/>
        </w:rPr>
      </w:pPr>
      <w:r>
        <w:rPr>
          <w:rFonts w:hint="eastAsia" w:hAnsi="宋体" w:cs="宋体"/>
          <w:sz w:val="21"/>
          <w:szCs w:val="21"/>
        </w:rPr>
        <w:t>授权委托代理期限：从年月  日起至年月 日止。</w:t>
      </w:r>
    </w:p>
    <w:p w14:paraId="6FF78D08">
      <w:pPr>
        <w:pStyle w:val="26"/>
        <w:spacing w:line="500" w:lineRule="atLeast"/>
        <w:rPr>
          <w:rFonts w:hAnsi="宋体" w:cs="宋体"/>
          <w:sz w:val="21"/>
          <w:szCs w:val="21"/>
        </w:rPr>
      </w:pPr>
    </w:p>
    <w:p w14:paraId="790ADC37">
      <w:pPr>
        <w:spacing w:line="500" w:lineRule="atLeast"/>
        <w:ind w:firstLine="420" w:firstLineChars="200"/>
        <w:rPr>
          <w:rFonts w:ascii="宋体" w:hAnsi="宋体" w:cs="宋体"/>
          <w:kern w:val="0"/>
          <w:szCs w:val="21"/>
        </w:rPr>
      </w:pPr>
      <w:r>
        <w:rPr>
          <w:rFonts w:hint="eastAsia" w:ascii="宋体" w:hAnsi="宋体" w:cs="宋体"/>
          <w:kern w:val="0"/>
          <w:szCs w:val="21"/>
        </w:rPr>
        <w:t>代理人无转委托权,特此委托。</w:t>
      </w:r>
    </w:p>
    <w:p w14:paraId="4D2B07CD">
      <w:pPr>
        <w:spacing w:line="500" w:lineRule="atLeast"/>
        <w:ind w:firstLine="420" w:firstLineChars="200"/>
        <w:rPr>
          <w:rFonts w:ascii="宋体" w:hAnsi="宋体" w:cs="宋体"/>
          <w:kern w:val="0"/>
          <w:szCs w:val="21"/>
        </w:rPr>
      </w:pPr>
    </w:p>
    <w:p w14:paraId="1F8EA8B7">
      <w:pPr>
        <w:spacing w:line="500" w:lineRule="atLeast"/>
        <w:ind w:firstLine="420" w:firstLineChars="200"/>
        <w:rPr>
          <w:rFonts w:ascii="宋体" w:hAnsi="宋体" w:cs="宋体"/>
          <w:szCs w:val="21"/>
        </w:rPr>
      </w:pPr>
      <w:r>
        <w:rPr>
          <w:rFonts w:hint="eastAsia" w:ascii="宋体" w:hAnsi="宋体" w:cs="宋体"/>
          <w:szCs w:val="21"/>
        </w:rPr>
        <w:t>我已在下面签字，以资证明。</w:t>
      </w:r>
    </w:p>
    <w:p w14:paraId="62A8A708">
      <w:pPr>
        <w:pStyle w:val="30"/>
        <w:ind w:firstLine="420"/>
        <w:rPr>
          <w:sz w:val="21"/>
          <w:szCs w:val="21"/>
        </w:rPr>
      </w:pPr>
    </w:p>
    <w:p w14:paraId="5E2327E7">
      <w:pPr>
        <w:snapToGrid w:val="0"/>
        <w:spacing w:line="500" w:lineRule="atLeast"/>
        <w:ind w:firstLine="420"/>
        <w:rPr>
          <w:rFonts w:ascii="宋体" w:hAnsi="宋体" w:cs="宋体"/>
          <w:szCs w:val="21"/>
        </w:rPr>
      </w:pPr>
      <w:r>
        <w:rPr>
          <w:rFonts w:hint="eastAsia" w:ascii="宋体" w:hAnsi="宋体" w:cs="宋体"/>
          <w:szCs w:val="21"/>
        </w:rPr>
        <w:t>磋商供应商[公章（CA签章）]：</w:t>
      </w:r>
    </w:p>
    <w:p w14:paraId="052BC219">
      <w:pPr>
        <w:snapToGrid w:val="0"/>
        <w:spacing w:line="500" w:lineRule="atLeast"/>
        <w:ind w:firstLine="420"/>
        <w:rPr>
          <w:rFonts w:ascii="宋体" w:hAnsi="宋体" w:cs="宋体"/>
          <w:szCs w:val="21"/>
        </w:rPr>
      </w:pPr>
      <w:r>
        <w:rPr>
          <w:rFonts w:hint="eastAsia" w:ascii="宋体" w:hAnsi="宋体" w:cs="宋体"/>
          <w:szCs w:val="21"/>
        </w:rPr>
        <w:t>法定代表人（负责人）签字（或个人CA签章）：    　 年月日</w:t>
      </w:r>
    </w:p>
    <w:p w14:paraId="541EDF77">
      <w:pPr>
        <w:snapToGrid w:val="0"/>
        <w:spacing w:line="400" w:lineRule="exact"/>
        <w:ind w:firstLine="420"/>
        <w:rPr>
          <w:rFonts w:ascii="宋体" w:hAnsi="宋体" w:cs="宋体"/>
          <w:szCs w:val="21"/>
        </w:rPr>
      </w:pPr>
    </w:p>
    <w:p w14:paraId="43927F2F">
      <w:pPr>
        <w:pStyle w:val="2"/>
        <w:rPr>
          <w:rFonts w:ascii="宋体" w:hAnsi="宋体" w:cs="宋体"/>
          <w:sz w:val="21"/>
          <w:szCs w:val="21"/>
        </w:rPr>
      </w:pPr>
    </w:p>
    <w:p w14:paraId="5DA04AED">
      <w:pPr>
        <w:spacing w:line="440" w:lineRule="atLeast"/>
        <w:rPr>
          <w:rFonts w:ascii="宋体" w:hAnsi="宋体" w:cs="宋体"/>
          <w:b/>
          <w:szCs w:val="21"/>
        </w:rPr>
      </w:pPr>
      <w:r>
        <w:rPr>
          <w:rFonts w:hint="eastAsia" w:ascii="宋体" w:hAnsi="宋体" w:cs="宋体"/>
          <w:b/>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3EEDE8BF">
      <w:pPr>
        <w:spacing w:line="440" w:lineRule="atLeast"/>
        <w:rPr>
          <w:rFonts w:ascii="宋体" w:hAnsi="宋体" w:cs="宋体"/>
          <w:b/>
          <w:szCs w:val="21"/>
        </w:rPr>
      </w:pPr>
      <w:r>
        <w:rPr>
          <w:rFonts w:hint="eastAsia" w:ascii="宋体" w:hAnsi="宋体" w:cs="宋体"/>
          <w:b/>
          <w:szCs w:val="21"/>
        </w:rPr>
        <w:t>（1） 如供应商为截标时间前60日以内成立的公司，可以提供供应商与委托代理人签订的劳动合同复印件代替社保证明复印件；</w:t>
      </w:r>
    </w:p>
    <w:p w14:paraId="20BE933A">
      <w:pPr>
        <w:spacing w:line="440" w:lineRule="atLeast"/>
        <w:rPr>
          <w:rFonts w:ascii="宋体" w:hAnsi="宋体" w:cs="宋体"/>
          <w:b/>
          <w:szCs w:val="21"/>
        </w:rPr>
      </w:pPr>
      <w:r>
        <w:rPr>
          <w:rFonts w:hint="eastAsia" w:ascii="宋体" w:hAnsi="宋体" w:cs="宋体"/>
          <w:b/>
          <w:szCs w:val="21"/>
        </w:rPr>
        <w:t>（2）如供应商为事业单位，可以提供事业单位机构编制管理证复印件或事业单位机构为其发放工资的工资条复印件代替社保证明复印件；</w:t>
      </w:r>
    </w:p>
    <w:p w14:paraId="26B6C6C4">
      <w:pPr>
        <w:spacing w:line="440" w:lineRule="atLeast"/>
        <w:rPr>
          <w:rFonts w:ascii="宋体" w:hAnsi="宋体" w:cs="宋体"/>
          <w:b/>
          <w:szCs w:val="21"/>
        </w:rPr>
      </w:pPr>
      <w:r>
        <w:rPr>
          <w:rFonts w:hint="eastAsia" w:ascii="宋体" w:hAnsi="宋体" w:cs="宋体"/>
          <w:b/>
          <w:szCs w:val="21"/>
        </w:rPr>
        <w:t>（3）如委托代理人为免缴纳社保人员，提供免缴纳社保的证明材料复印件及供应商与委托代理人签订的劳动合同复印件代替社保证明复印件。</w:t>
      </w:r>
    </w:p>
    <w:p w14:paraId="1EAE8C5E">
      <w:pPr>
        <w:pStyle w:val="26"/>
        <w:spacing w:line="340" w:lineRule="exact"/>
        <w:ind w:firstLine="400" w:firstLineChars="200"/>
        <w:rPr>
          <w:rFonts w:hAnsi="宋体" w:cs="宋体"/>
        </w:rPr>
      </w:pPr>
    </w:p>
    <w:p w14:paraId="0D93FC49">
      <w:pPr>
        <w:pStyle w:val="13"/>
        <w:ind w:left="2940"/>
      </w:pPr>
    </w:p>
    <w:p w14:paraId="3D179E0E">
      <w:pPr>
        <w:pStyle w:val="26"/>
        <w:jc w:val="center"/>
        <w:rPr>
          <w:rFonts w:hAnsi="宋体" w:cs="宋体"/>
          <w:b/>
          <w:sz w:val="32"/>
        </w:rPr>
      </w:pPr>
      <w:bookmarkStart w:id="356" w:name="_Toc6975_WPSOffice_Level1"/>
      <w:bookmarkStart w:id="357" w:name="_Toc21370_WPSOffice_Level1"/>
    </w:p>
    <w:p w14:paraId="22C40A85">
      <w:pPr>
        <w:pStyle w:val="26"/>
        <w:jc w:val="center"/>
        <w:rPr>
          <w:rFonts w:hAnsi="宋体" w:cs="宋体"/>
          <w:b/>
          <w:sz w:val="32"/>
        </w:rPr>
      </w:pPr>
    </w:p>
    <w:p w14:paraId="223A8A1A">
      <w:pPr>
        <w:pStyle w:val="26"/>
        <w:jc w:val="center"/>
        <w:rPr>
          <w:rFonts w:hAnsi="宋体" w:cs="宋体"/>
          <w:b/>
          <w:sz w:val="32"/>
        </w:rPr>
      </w:pPr>
    </w:p>
    <w:p w14:paraId="5B62F98B">
      <w:pPr>
        <w:pStyle w:val="26"/>
        <w:jc w:val="center"/>
        <w:rPr>
          <w:rFonts w:hAnsi="宋体" w:cs="宋体"/>
          <w:b/>
          <w:sz w:val="32"/>
        </w:rPr>
      </w:pPr>
    </w:p>
    <w:p w14:paraId="392A8E3A">
      <w:pPr>
        <w:pStyle w:val="26"/>
        <w:jc w:val="center"/>
        <w:rPr>
          <w:rFonts w:hAnsi="宋体" w:cs="宋体"/>
          <w:b/>
          <w:sz w:val="32"/>
        </w:rPr>
      </w:pPr>
      <w:r>
        <w:rPr>
          <w:rFonts w:hint="eastAsia" w:hAnsi="宋体" w:cs="宋体"/>
          <w:b/>
          <w:sz w:val="32"/>
        </w:rPr>
        <w:t>授权委托书（格式二）</w:t>
      </w:r>
      <w:bookmarkEnd w:id="356"/>
      <w:bookmarkEnd w:id="357"/>
    </w:p>
    <w:p w14:paraId="4F3F8C32">
      <w:pPr>
        <w:pStyle w:val="26"/>
        <w:rPr>
          <w:rFonts w:hAnsi="宋体" w:cs="宋体"/>
          <w:b/>
          <w:sz w:val="32"/>
        </w:rPr>
      </w:pPr>
    </w:p>
    <w:p w14:paraId="67242C65"/>
    <w:p w14:paraId="40E56E6C">
      <w:pPr>
        <w:pStyle w:val="26"/>
        <w:spacing w:line="500" w:lineRule="exact"/>
        <w:rPr>
          <w:rFonts w:hAnsi="宋体" w:cs="宋体"/>
          <w:sz w:val="21"/>
          <w:szCs w:val="21"/>
          <w:u w:val="single"/>
        </w:rPr>
      </w:pPr>
      <w:r>
        <w:rPr>
          <w:rFonts w:hint="eastAsia" w:hAnsi="宋体" w:cs="宋体"/>
          <w:b/>
          <w:sz w:val="21"/>
          <w:szCs w:val="21"/>
        </w:rPr>
        <w:t>致</w:t>
      </w:r>
      <w:r>
        <w:rPr>
          <w:rFonts w:hint="eastAsia" w:hAnsi="宋体" w:cs="宋体"/>
          <w:sz w:val="21"/>
          <w:szCs w:val="21"/>
        </w:rPr>
        <w:t>：</w:t>
      </w:r>
    </w:p>
    <w:p w14:paraId="0AB7C268">
      <w:pPr>
        <w:rPr>
          <w:szCs w:val="21"/>
        </w:rPr>
      </w:pPr>
    </w:p>
    <w:p w14:paraId="44BA9A53">
      <w:pPr>
        <w:pStyle w:val="26"/>
        <w:spacing w:line="500" w:lineRule="exact"/>
        <w:ind w:firstLine="420" w:firstLineChars="200"/>
        <w:rPr>
          <w:rFonts w:hAnsi="宋体" w:cs="宋体"/>
          <w:sz w:val="21"/>
          <w:szCs w:val="21"/>
        </w:rPr>
      </w:pPr>
      <w:r>
        <w:rPr>
          <w:rFonts w:hint="eastAsia" w:hAnsi="宋体" w:cs="宋体"/>
          <w:sz w:val="21"/>
          <w:szCs w:val="21"/>
        </w:rPr>
        <w:t>我（姓名）系自然人，现授权委托（姓 名）以本人名义参加</w:t>
      </w:r>
      <w:r>
        <w:rPr>
          <w:rFonts w:hint="eastAsia" w:hAnsi="宋体" w:cs="宋体"/>
          <w:sz w:val="21"/>
          <w:szCs w:val="21"/>
          <w:u w:val="single"/>
        </w:rPr>
        <w:t xml:space="preserve">      （项目名称及项目编号）        </w:t>
      </w:r>
      <w:r>
        <w:rPr>
          <w:rFonts w:hint="eastAsia" w:hAnsi="宋体" w:cs="宋体"/>
          <w:sz w:val="21"/>
          <w:szCs w:val="21"/>
        </w:rPr>
        <w:t>项目的磋商活动，并代表本人全权办理针对上述项目的磋商、签约等具体事务和签署相关文件。</w:t>
      </w:r>
    </w:p>
    <w:p w14:paraId="6F188688">
      <w:pPr>
        <w:pStyle w:val="26"/>
        <w:spacing w:line="500" w:lineRule="exact"/>
        <w:ind w:firstLine="420" w:firstLineChars="200"/>
        <w:rPr>
          <w:rFonts w:hAnsi="宋体" w:cs="宋体"/>
          <w:sz w:val="21"/>
          <w:szCs w:val="21"/>
        </w:rPr>
      </w:pPr>
      <w:r>
        <w:rPr>
          <w:rFonts w:hint="eastAsia" w:hAnsi="宋体" w:cs="宋体"/>
          <w:sz w:val="21"/>
          <w:szCs w:val="21"/>
        </w:rPr>
        <w:t>本人对被授权人的签字事项负全部责任。</w:t>
      </w:r>
    </w:p>
    <w:p w14:paraId="7D96AD39">
      <w:pPr>
        <w:pStyle w:val="26"/>
        <w:spacing w:line="500" w:lineRule="exact"/>
        <w:ind w:firstLine="420" w:firstLineChars="200"/>
        <w:rPr>
          <w:rFonts w:hAnsi="宋体" w:cs="宋体"/>
          <w:sz w:val="21"/>
          <w:szCs w:val="21"/>
          <w:u w:val="single"/>
        </w:rPr>
      </w:pPr>
      <w:r>
        <w:rPr>
          <w:rFonts w:hint="eastAsia" w:hAnsi="宋体" w:cs="宋体"/>
          <w:sz w:val="21"/>
          <w:szCs w:val="21"/>
        </w:rPr>
        <w:t>授权委托代理期限：从年月  日起至年月 日止。</w:t>
      </w:r>
    </w:p>
    <w:p w14:paraId="095CC387">
      <w:pPr>
        <w:pStyle w:val="26"/>
        <w:spacing w:line="500" w:lineRule="exact"/>
        <w:rPr>
          <w:rFonts w:hAnsi="宋体" w:cs="宋体"/>
          <w:sz w:val="21"/>
          <w:szCs w:val="21"/>
          <w:u w:val="single"/>
        </w:rPr>
      </w:pPr>
    </w:p>
    <w:p w14:paraId="5FB77FE7">
      <w:pPr>
        <w:spacing w:line="500" w:lineRule="exact"/>
        <w:ind w:firstLine="420" w:firstLineChars="200"/>
        <w:rPr>
          <w:rFonts w:ascii="宋体" w:hAnsi="宋体" w:cs="宋体"/>
          <w:kern w:val="0"/>
          <w:szCs w:val="21"/>
        </w:rPr>
      </w:pPr>
      <w:r>
        <w:rPr>
          <w:rFonts w:hint="eastAsia" w:ascii="宋体" w:hAnsi="宋体" w:cs="宋体"/>
          <w:kern w:val="0"/>
          <w:szCs w:val="21"/>
        </w:rPr>
        <w:t xml:space="preserve">代理人无转委托权,特此委托。 </w:t>
      </w:r>
    </w:p>
    <w:p w14:paraId="3C511212">
      <w:pPr>
        <w:pStyle w:val="30"/>
        <w:ind w:firstLine="420"/>
        <w:rPr>
          <w:sz w:val="21"/>
          <w:szCs w:val="21"/>
        </w:rPr>
      </w:pPr>
    </w:p>
    <w:p w14:paraId="03DC4CB2">
      <w:pPr>
        <w:spacing w:line="500" w:lineRule="exact"/>
        <w:ind w:firstLine="420" w:firstLineChars="200"/>
        <w:rPr>
          <w:rFonts w:ascii="宋体" w:hAnsi="宋体" w:cs="宋体"/>
          <w:szCs w:val="21"/>
        </w:rPr>
      </w:pPr>
      <w:r>
        <w:rPr>
          <w:rFonts w:hint="eastAsia" w:ascii="宋体" w:hAnsi="宋体" w:cs="宋体"/>
          <w:szCs w:val="21"/>
        </w:rPr>
        <w:t>我已在下面签字，以资证明。</w:t>
      </w:r>
    </w:p>
    <w:p w14:paraId="6318A751">
      <w:pPr>
        <w:pStyle w:val="30"/>
        <w:ind w:firstLine="420"/>
        <w:rPr>
          <w:sz w:val="21"/>
          <w:szCs w:val="21"/>
        </w:rPr>
      </w:pPr>
    </w:p>
    <w:p w14:paraId="24B9BA67">
      <w:pPr>
        <w:snapToGrid w:val="0"/>
        <w:spacing w:line="500" w:lineRule="exact"/>
        <w:ind w:firstLine="420"/>
        <w:rPr>
          <w:rFonts w:ascii="宋体" w:hAnsi="宋体" w:cs="宋体"/>
          <w:szCs w:val="21"/>
        </w:rPr>
      </w:pPr>
      <w:r>
        <w:rPr>
          <w:rFonts w:hint="eastAsia" w:ascii="宋体" w:hAnsi="宋体" w:cs="宋体"/>
          <w:szCs w:val="21"/>
        </w:rPr>
        <w:t>自然人签字并在签名处加盖大拇指指印或个人CA签章：年月日</w:t>
      </w:r>
    </w:p>
    <w:p w14:paraId="32C31150">
      <w:pPr>
        <w:pStyle w:val="26"/>
        <w:spacing w:line="500" w:lineRule="exact"/>
        <w:ind w:left="420" w:leftChars="200"/>
        <w:rPr>
          <w:rFonts w:hAnsi="宋体" w:cs="宋体"/>
          <w:sz w:val="21"/>
          <w:szCs w:val="21"/>
        </w:rPr>
      </w:pPr>
    </w:p>
    <w:p w14:paraId="4790BF9A">
      <w:pPr>
        <w:pStyle w:val="26"/>
        <w:spacing w:line="500" w:lineRule="exact"/>
        <w:ind w:firstLine="211" w:firstLineChars="100"/>
        <w:rPr>
          <w:rFonts w:hAnsi="宋体" w:cs="宋体"/>
          <w:b/>
          <w:sz w:val="21"/>
          <w:szCs w:val="21"/>
        </w:rPr>
      </w:pPr>
    </w:p>
    <w:p w14:paraId="0C4C1BD8">
      <w:pPr>
        <w:pStyle w:val="26"/>
        <w:spacing w:line="500" w:lineRule="exact"/>
        <w:ind w:firstLine="211" w:firstLineChars="100"/>
        <w:rPr>
          <w:rFonts w:hAnsi="宋体" w:cs="宋体"/>
          <w:b/>
          <w:sz w:val="21"/>
          <w:szCs w:val="21"/>
        </w:rPr>
      </w:pPr>
    </w:p>
    <w:p w14:paraId="4214F285">
      <w:pPr>
        <w:pStyle w:val="26"/>
        <w:spacing w:line="500" w:lineRule="exact"/>
        <w:ind w:firstLine="422" w:firstLineChars="200"/>
        <w:rPr>
          <w:rFonts w:hAnsi="宋体" w:cs="宋体"/>
          <w:b/>
          <w:sz w:val="21"/>
          <w:szCs w:val="21"/>
        </w:rPr>
      </w:pPr>
      <w:r>
        <w:rPr>
          <w:rFonts w:hint="eastAsia" w:hAnsi="宋体" w:cs="宋体"/>
          <w:b/>
          <w:sz w:val="21"/>
          <w:szCs w:val="21"/>
        </w:rPr>
        <w:t>附：委托代理人身份证正反面复印件</w:t>
      </w:r>
    </w:p>
    <w:p w14:paraId="26AE1E53">
      <w:pPr>
        <w:rPr>
          <w:rFonts w:ascii="宋体" w:hAnsi="宋体" w:cs="宋体"/>
          <w:b/>
          <w:szCs w:val="21"/>
        </w:rPr>
      </w:pPr>
    </w:p>
    <w:p w14:paraId="2C2F85A4">
      <w:pPr>
        <w:pStyle w:val="2"/>
        <w:rPr>
          <w:rFonts w:ascii="宋体" w:hAnsi="宋体" w:cs="宋体"/>
          <w:b/>
          <w:szCs w:val="21"/>
        </w:rPr>
      </w:pPr>
    </w:p>
    <w:p w14:paraId="0062A01E">
      <w:pPr>
        <w:pStyle w:val="2"/>
        <w:rPr>
          <w:rFonts w:ascii="宋体" w:hAnsi="宋体" w:cs="宋体"/>
          <w:b/>
          <w:szCs w:val="21"/>
        </w:rPr>
      </w:pPr>
    </w:p>
    <w:p w14:paraId="7C222BF9">
      <w:pPr>
        <w:pStyle w:val="2"/>
        <w:rPr>
          <w:rFonts w:ascii="宋体" w:hAnsi="宋体" w:cs="宋体"/>
          <w:b/>
          <w:szCs w:val="21"/>
        </w:rPr>
      </w:pPr>
    </w:p>
    <w:p w14:paraId="2F732ED8">
      <w:pPr>
        <w:pStyle w:val="2"/>
        <w:rPr>
          <w:rFonts w:ascii="宋体" w:hAnsi="宋体" w:cs="宋体"/>
          <w:b/>
          <w:szCs w:val="21"/>
        </w:rPr>
      </w:pPr>
    </w:p>
    <w:p w14:paraId="736F8973">
      <w:pPr>
        <w:pStyle w:val="2"/>
        <w:rPr>
          <w:rFonts w:ascii="宋体" w:hAnsi="宋体" w:cs="宋体"/>
          <w:b/>
          <w:szCs w:val="21"/>
        </w:rPr>
      </w:pPr>
    </w:p>
    <w:p w14:paraId="0F863CF9">
      <w:pPr>
        <w:rPr>
          <w:rFonts w:ascii="宋体" w:hAnsi="宋体" w:cs="宋体"/>
          <w:b/>
          <w:szCs w:val="21"/>
        </w:rPr>
      </w:pPr>
    </w:p>
    <w:p w14:paraId="27A1CDD0">
      <w:pPr>
        <w:pStyle w:val="2"/>
      </w:pPr>
    </w:p>
    <w:p w14:paraId="620FAA69">
      <w:pPr>
        <w:rPr>
          <w:rFonts w:ascii="宋体" w:hAnsi="宋体" w:cs="宋体"/>
          <w:b/>
          <w:szCs w:val="21"/>
        </w:rPr>
      </w:pPr>
    </w:p>
    <w:p w14:paraId="731FC7AC">
      <w:pPr>
        <w:pStyle w:val="30"/>
        <w:ind w:firstLine="402"/>
        <w:rPr>
          <w:rFonts w:ascii="宋体" w:hAnsi="宋体" w:cs="宋体"/>
          <w:b/>
          <w:szCs w:val="21"/>
        </w:rPr>
      </w:pPr>
    </w:p>
    <w:p w14:paraId="169A6102">
      <w:pPr>
        <w:pStyle w:val="30"/>
        <w:ind w:firstLine="402"/>
        <w:rPr>
          <w:rFonts w:ascii="宋体" w:hAnsi="宋体" w:cs="宋体"/>
          <w:b/>
          <w:szCs w:val="21"/>
        </w:rPr>
      </w:pPr>
    </w:p>
    <w:p w14:paraId="0ACBFE06">
      <w:pPr>
        <w:spacing w:line="440" w:lineRule="atLeast"/>
        <w:rPr>
          <w:rFonts w:ascii="宋体" w:hAnsi="宋体" w:cs="宋体"/>
          <w:b/>
          <w:sz w:val="32"/>
          <w:szCs w:val="32"/>
        </w:rPr>
      </w:pPr>
      <w:r>
        <w:rPr>
          <w:rFonts w:hint="eastAsia" w:ascii="宋体" w:hAnsi="宋体" w:cs="宋体"/>
          <w:b/>
          <w:sz w:val="32"/>
          <w:szCs w:val="32"/>
        </w:rPr>
        <w:t>3.供应商参加政府采购活动前3年内在经营活动中没有重大违法记录及有关信用信息的书面声明（必须提供）；</w:t>
      </w:r>
    </w:p>
    <w:p w14:paraId="20111752">
      <w:pPr>
        <w:pStyle w:val="26"/>
        <w:spacing w:line="400" w:lineRule="exact"/>
        <w:ind w:left="420" w:leftChars="200" w:firstLine="157" w:firstLineChars="49"/>
        <w:rPr>
          <w:rFonts w:hAnsi="宋体" w:cs="宋体"/>
          <w:b/>
          <w:sz w:val="32"/>
          <w:szCs w:val="32"/>
        </w:rPr>
      </w:pPr>
    </w:p>
    <w:p w14:paraId="41E6B664">
      <w:pPr>
        <w:pStyle w:val="26"/>
        <w:spacing w:line="400" w:lineRule="exact"/>
        <w:rPr>
          <w:rFonts w:hAnsi="宋体" w:cs="宋体"/>
          <w:b/>
          <w:sz w:val="32"/>
          <w:szCs w:val="32"/>
        </w:rPr>
      </w:pPr>
      <w:r>
        <w:rPr>
          <w:rFonts w:hint="eastAsia" w:hAnsi="宋体" w:cs="宋体"/>
          <w:b/>
          <w:sz w:val="32"/>
          <w:szCs w:val="32"/>
        </w:rPr>
        <w:t>附件：</w:t>
      </w:r>
    </w:p>
    <w:p w14:paraId="2824A6B6">
      <w:pPr>
        <w:pStyle w:val="26"/>
        <w:spacing w:line="400" w:lineRule="exact"/>
        <w:jc w:val="center"/>
        <w:rPr>
          <w:rFonts w:hAnsi="宋体" w:cs="宋体"/>
          <w:b/>
          <w:sz w:val="32"/>
          <w:szCs w:val="32"/>
        </w:rPr>
      </w:pPr>
      <w:bookmarkStart w:id="358" w:name="_Toc30304_WPSOffice_Level1"/>
      <w:bookmarkStart w:id="359" w:name="_Toc30890_WPSOffice_Level1"/>
      <w:r>
        <w:rPr>
          <w:rFonts w:hint="eastAsia" w:hAnsi="宋体" w:cs="宋体"/>
          <w:b/>
          <w:sz w:val="32"/>
          <w:szCs w:val="32"/>
        </w:rPr>
        <w:t>声   明</w:t>
      </w:r>
      <w:bookmarkEnd w:id="358"/>
      <w:bookmarkEnd w:id="359"/>
    </w:p>
    <w:p w14:paraId="45AA992F">
      <w:pPr>
        <w:pStyle w:val="26"/>
        <w:spacing w:line="400" w:lineRule="exact"/>
        <w:rPr>
          <w:rFonts w:hAnsi="宋体" w:cs="宋体"/>
          <w:b/>
          <w:sz w:val="32"/>
          <w:szCs w:val="32"/>
        </w:rPr>
      </w:pPr>
    </w:p>
    <w:p w14:paraId="5A79BAAD">
      <w:pPr>
        <w:pStyle w:val="26"/>
        <w:spacing w:line="500" w:lineRule="exact"/>
        <w:rPr>
          <w:rFonts w:hAnsi="宋体" w:cs="宋体"/>
          <w:sz w:val="21"/>
          <w:szCs w:val="21"/>
        </w:rPr>
      </w:pPr>
      <w:r>
        <w:rPr>
          <w:rFonts w:hint="eastAsia" w:hAnsi="宋体" w:cs="宋体"/>
          <w:b/>
          <w:sz w:val="21"/>
          <w:szCs w:val="21"/>
        </w:rPr>
        <w:t>致</w:t>
      </w:r>
      <w:r>
        <w:rPr>
          <w:rFonts w:hint="eastAsia" w:hAnsi="宋体" w:cs="宋体"/>
          <w:sz w:val="21"/>
          <w:szCs w:val="21"/>
        </w:rPr>
        <w:t>：</w:t>
      </w:r>
    </w:p>
    <w:p w14:paraId="2CFF664B">
      <w:pPr>
        <w:pStyle w:val="26"/>
        <w:spacing w:line="500" w:lineRule="exact"/>
        <w:ind w:firstLine="420" w:firstLineChars="200"/>
        <w:rPr>
          <w:rFonts w:hAnsi="宋体" w:cs="宋体"/>
          <w:sz w:val="21"/>
          <w:szCs w:val="21"/>
        </w:rPr>
      </w:pPr>
      <w:r>
        <w:rPr>
          <w:rFonts w:hint="eastAsia" w:hAnsi="宋体" w:cs="宋体"/>
          <w:sz w:val="21"/>
          <w:szCs w:val="21"/>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1474067">
      <w:pPr>
        <w:spacing w:line="500" w:lineRule="exact"/>
        <w:rPr>
          <w:rFonts w:ascii="宋体" w:hAnsi="宋体" w:cs="宋体"/>
          <w:szCs w:val="21"/>
        </w:rPr>
      </w:pPr>
    </w:p>
    <w:p w14:paraId="2C3DC9EF">
      <w:pPr>
        <w:snapToGrid w:val="0"/>
        <w:spacing w:line="500" w:lineRule="exact"/>
        <w:rPr>
          <w:rFonts w:ascii="宋体" w:hAnsi="宋体" w:cs="宋体"/>
          <w:szCs w:val="21"/>
        </w:rPr>
      </w:pPr>
      <w:r>
        <w:rPr>
          <w:rFonts w:hint="eastAsia" w:ascii="宋体" w:hAnsi="宋体" w:cs="宋体"/>
          <w:szCs w:val="21"/>
        </w:rPr>
        <w:t>供应商[公章(CA签章)，自然人签字或个人CA签章]：</w:t>
      </w:r>
    </w:p>
    <w:p w14:paraId="64687EA1">
      <w:pPr>
        <w:pStyle w:val="26"/>
        <w:spacing w:line="500" w:lineRule="exact"/>
        <w:ind w:firstLine="3990" w:firstLineChars="1900"/>
        <w:rPr>
          <w:rFonts w:hAnsi="宋体" w:cs="宋体"/>
          <w:sz w:val="21"/>
          <w:szCs w:val="21"/>
        </w:rPr>
      </w:pPr>
    </w:p>
    <w:p w14:paraId="23FADF45">
      <w:pPr>
        <w:pStyle w:val="26"/>
        <w:spacing w:line="500" w:lineRule="exact"/>
        <w:rPr>
          <w:rFonts w:hAnsi="宋体" w:cs="宋体"/>
          <w:sz w:val="21"/>
          <w:szCs w:val="21"/>
          <w:u w:val="single"/>
        </w:rPr>
      </w:pPr>
      <w:r>
        <w:rPr>
          <w:rFonts w:hint="eastAsia" w:hAnsi="宋体" w:cs="宋体"/>
          <w:sz w:val="21"/>
          <w:szCs w:val="21"/>
        </w:rPr>
        <w:t>日          期：</w:t>
      </w:r>
    </w:p>
    <w:p w14:paraId="52F3C765">
      <w:pPr>
        <w:pStyle w:val="26"/>
        <w:spacing w:line="340" w:lineRule="exact"/>
        <w:rPr>
          <w:rFonts w:hAnsi="宋体" w:cs="宋体"/>
          <w:b/>
          <w:sz w:val="21"/>
          <w:szCs w:val="21"/>
        </w:rPr>
        <w:sectPr>
          <w:headerReference r:id="rId9" w:type="default"/>
          <w:footerReference r:id="rId10" w:type="default"/>
          <w:pgSz w:w="11911" w:h="16849"/>
          <w:pgMar w:top="1417" w:right="1417" w:bottom="1417" w:left="1417" w:header="720" w:footer="720" w:gutter="0"/>
          <w:cols w:space="720" w:num="1"/>
          <w:docGrid w:linePitch="286" w:charSpace="0"/>
        </w:sectPr>
      </w:pPr>
    </w:p>
    <w:p w14:paraId="28E607D7">
      <w:pPr>
        <w:pStyle w:val="26"/>
        <w:spacing w:line="600" w:lineRule="exact"/>
        <w:jc w:val="left"/>
        <w:rPr>
          <w:rFonts w:hAnsi="宋体" w:cs="宋体"/>
          <w:b/>
          <w:sz w:val="32"/>
          <w:szCs w:val="32"/>
        </w:rPr>
      </w:pPr>
      <w:r>
        <w:rPr>
          <w:rFonts w:hint="eastAsia" w:hAnsi="宋体" w:cs="宋体"/>
          <w:b/>
          <w:sz w:val="32"/>
          <w:szCs w:val="32"/>
        </w:rPr>
        <w:t>4.供应商的法人或者其他组织营业执照等证明文件复印件（必须提供，自然人除外）；</w:t>
      </w:r>
    </w:p>
    <w:p w14:paraId="65924EC6">
      <w:pPr>
        <w:pStyle w:val="6"/>
      </w:pPr>
    </w:p>
    <w:p w14:paraId="4964651B">
      <w:pPr>
        <w:tabs>
          <w:tab w:val="left" w:pos="1305"/>
        </w:tabs>
        <w:spacing w:line="340" w:lineRule="exact"/>
        <w:jc w:val="center"/>
        <w:rPr>
          <w:rFonts w:ascii="宋体" w:hAnsi="宋体" w:cs="宋体"/>
          <w:b/>
          <w:szCs w:val="21"/>
        </w:rPr>
      </w:pPr>
    </w:p>
    <w:p w14:paraId="67E67E31">
      <w:pPr>
        <w:tabs>
          <w:tab w:val="left" w:pos="1305"/>
        </w:tabs>
        <w:spacing w:line="400" w:lineRule="exact"/>
        <w:jc w:val="left"/>
        <w:rPr>
          <w:rFonts w:ascii="宋体" w:hAnsi="宋体" w:cs="宋体"/>
          <w:b/>
          <w:szCs w:val="21"/>
        </w:rPr>
      </w:pPr>
    </w:p>
    <w:p w14:paraId="3A7E7E99">
      <w:pPr>
        <w:tabs>
          <w:tab w:val="left" w:pos="1305"/>
        </w:tabs>
        <w:spacing w:line="400" w:lineRule="exact"/>
        <w:jc w:val="left"/>
        <w:rPr>
          <w:rFonts w:ascii="宋体" w:hAnsi="宋体" w:cs="宋体"/>
          <w:b/>
          <w:szCs w:val="21"/>
        </w:rPr>
      </w:pPr>
      <w:r>
        <w:rPr>
          <w:rFonts w:hint="eastAsia" w:ascii="宋体" w:hAnsi="宋体" w:cs="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C317687">
      <w:pPr>
        <w:pStyle w:val="26"/>
        <w:spacing w:line="600" w:lineRule="exact"/>
        <w:rPr>
          <w:rFonts w:hAnsi="宋体" w:cs="宋体"/>
          <w:b/>
          <w:sz w:val="32"/>
          <w:szCs w:val="32"/>
        </w:rPr>
      </w:pPr>
    </w:p>
    <w:p w14:paraId="646AED0A">
      <w:pPr>
        <w:pStyle w:val="6"/>
      </w:pPr>
    </w:p>
    <w:p w14:paraId="6C52AC9F"/>
    <w:p w14:paraId="0EE16DD1">
      <w:pPr>
        <w:pStyle w:val="4"/>
      </w:pPr>
    </w:p>
    <w:p w14:paraId="2A04AB2A">
      <w:pPr>
        <w:pStyle w:val="26"/>
        <w:spacing w:line="600" w:lineRule="exact"/>
        <w:rPr>
          <w:rFonts w:hAnsi="宋体" w:cs="宋体"/>
          <w:b/>
          <w:sz w:val="32"/>
          <w:szCs w:val="32"/>
        </w:rPr>
      </w:pPr>
      <w:r>
        <w:rPr>
          <w:rFonts w:hint="eastAsia" w:hAnsi="宋体" w:cs="宋体"/>
          <w:b/>
          <w:sz w:val="32"/>
          <w:szCs w:val="32"/>
        </w:rPr>
        <w:t>5.供应商有效的资质证书复印件（必须提供）；</w:t>
      </w:r>
    </w:p>
    <w:p w14:paraId="70682FCD">
      <w:pPr>
        <w:pStyle w:val="26"/>
        <w:spacing w:line="340" w:lineRule="exact"/>
        <w:rPr>
          <w:rFonts w:hAnsi="宋体" w:cs="宋体"/>
          <w:b/>
          <w:sz w:val="28"/>
          <w:szCs w:val="28"/>
        </w:rPr>
      </w:pPr>
    </w:p>
    <w:p w14:paraId="5E4A0000">
      <w:pPr>
        <w:pStyle w:val="6"/>
      </w:pPr>
    </w:p>
    <w:p w14:paraId="491D1AC2"/>
    <w:p w14:paraId="4DF5AC3B">
      <w:pPr>
        <w:pStyle w:val="4"/>
      </w:pPr>
    </w:p>
    <w:p w14:paraId="5811FD40"/>
    <w:p w14:paraId="1BB3BD89">
      <w:pPr>
        <w:pStyle w:val="26"/>
        <w:spacing w:line="340" w:lineRule="exact"/>
        <w:jc w:val="center"/>
        <w:rPr>
          <w:rFonts w:hAnsi="宋体" w:cs="宋体"/>
          <w:b/>
          <w:sz w:val="28"/>
          <w:szCs w:val="28"/>
        </w:rPr>
      </w:pPr>
    </w:p>
    <w:p w14:paraId="3149AA9B">
      <w:pPr>
        <w:pStyle w:val="26"/>
        <w:spacing w:line="600" w:lineRule="exact"/>
        <w:rPr>
          <w:rFonts w:hAnsi="宋体" w:cs="宋体"/>
          <w:b/>
          <w:sz w:val="32"/>
          <w:szCs w:val="32"/>
        </w:rPr>
      </w:pPr>
      <w:r>
        <w:rPr>
          <w:rFonts w:hint="eastAsia" w:hAnsi="宋体" w:cs="宋体"/>
          <w:b/>
          <w:sz w:val="32"/>
          <w:szCs w:val="32"/>
        </w:rPr>
        <w:t>6.供应商有效的安全生产许可证书复印件（必须提供）；</w:t>
      </w:r>
    </w:p>
    <w:p w14:paraId="4D162292">
      <w:pPr>
        <w:rPr>
          <w:sz w:val="20"/>
          <w:szCs w:val="22"/>
        </w:rPr>
      </w:pPr>
    </w:p>
    <w:p w14:paraId="6ED05629">
      <w:pPr>
        <w:pStyle w:val="4"/>
      </w:pPr>
    </w:p>
    <w:p w14:paraId="2AAB8AC2"/>
    <w:p w14:paraId="5EDDF45C">
      <w:pPr>
        <w:pStyle w:val="4"/>
      </w:pPr>
    </w:p>
    <w:p w14:paraId="6C334EF2"/>
    <w:p w14:paraId="1F42E892">
      <w:pPr>
        <w:spacing w:line="400" w:lineRule="exact"/>
        <w:jc w:val="left"/>
        <w:rPr>
          <w:rFonts w:ascii="宋体" w:hAnsi="宋体" w:cs="宋体"/>
          <w:b/>
          <w:sz w:val="32"/>
          <w:szCs w:val="32"/>
        </w:rPr>
      </w:pPr>
      <w:r>
        <w:rPr>
          <w:rFonts w:hint="eastAsia" w:ascii="宋体" w:hAnsi="宋体" w:cs="宋体"/>
          <w:b/>
          <w:sz w:val="32"/>
          <w:szCs w:val="32"/>
        </w:rPr>
        <w:t>7、项目管理机构（必须提供）</w:t>
      </w:r>
    </w:p>
    <w:p w14:paraId="38B2F81F">
      <w:pPr>
        <w:widowControl/>
        <w:spacing w:line="400" w:lineRule="exact"/>
        <w:ind w:firstLine="360" w:firstLineChars="150"/>
        <w:jc w:val="left"/>
        <w:textAlignment w:val="baseline"/>
        <w:rPr>
          <w:rFonts w:ascii="宋体" w:hAnsi="宋体"/>
          <w:sz w:val="24"/>
        </w:rPr>
      </w:pPr>
      <w:r>
        <w:rPr>
          <w:rFonts w:hint="eastAsia" w:ascii="宋体" w:hAnsi="宋体"/>
          <w:sz w:val="24"/>
        </w:rPr>
        <w:t>附件</w:t>
      </w:r>
    </w:p>
    <w:p w14:paraId="05A376C9">
      <w:pPr>
        <w:widowControl/>
        <w:spacing w:line="400" w:lineRule="exact"/>
        <w:ind w:firstLine="422" w:firstLineChars="150"/>
        <w:jc w:val="center"/>
        <w:textAlignment w:val="baseline"/>
        <w:rPr>
          <w:rFonts w:ascii="宋体" w:hAnsi="宋体"/>
          <w:b/>
          <w:sz w:val="28"/>
          <w:szCs w:val="28"/>
        </w:rPr>
      </w:pPr>
      <w:r>
        <w:rPr>
          <w:rFonts w:hint="eastAsia" w:ascii="宋体" w:hAnsi="宋体"/>
          <w:b/>
          <w:sz w:val="28"/>
          <w:szCs w:val="28"/>
        </w:rPr>
        <w:t>项目管理机构组成表</w:t>
      </w:r>
    </w:p>
    <w:p w14:paraId="746FD4CB">
      <w:pPr>
        <w:jc w:val="left"/>
        <w:rPr>
          <w:b/>
          <w:sz w:val="24"/>
        </w:rPr>
      </w:pPr>
      <w:r>
        <w:rPr>
          <w:rFonts w:hint="eastAsia" w:ascii="宋体" w:hAnsi="宋体"/>
          <w:sz w:val="24"/>
        </w:rPr>
        <w:t>项目名称</w:t>
      </w:r>
    </w:p>
    <w:tbl>
      <w:tblPr>
        <w:tblStyle w:val="52"/>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769"/>
        <w:gridCol w:w="769"/>
        <w:gridCol w:w="1403"/>
        <w:gridCol w:w="3563"/>
      </w:tblGrid>
      <w:tr w14:paraId="5F89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10F67FCF">
            <w:pPr>
              <w:widowControl/>
              <w:spacing w:line="300" w:lineRule="auto"/>
              <w:jc w:val="center"/>
              <w:textAlignment w:val="baseline"/>
              <w:rPr>
                <w:rFonts w:ascii="宋体" w:hAnsi="宋体"/>
                <w:szCs w:val="21"/>
              </w:rPr>
            </w:pPr>
            <w:r>
              <w:rPr>
                <w:rFonts w:hint="eastAsia" w:ascii="宋体" w:hAnsi="宋体"/>
                <w:szCs w:val="21"/>
              </w:rPr>
              <w:t>名   称</w:t>
            </w:r>
          </w:p>
        </w:tc>
        <w:tc>
          <w:tcPr>
            <w:tcW w:w="769" w:type="dxa"/>
            <w:noWrap/>
            <w:vAlign w:val="center"/>
          </w:tcPr>
          <w:p w14:paraId="5FE26468">
            <w:pPr>
              <w:widowControl/>
              <w:spacing w:line="300" w:lineRule="auto"/>
              <w:jc w:val="center"/>
              <w:textAlignment w:val="baseline"/>
              <w:rPr>
                <w:rFonts w:ascii="宋体" w:hAnsi="宋体"/>
                <w:szCs w:val="21"/>
              </w:rPr>
            </w:pPr>
            <w:r>
              <w:rPr>
                <w:rFonts w:hint="eastAsia" w:ascii="宋体" w:hAnsi="宋体"/>
                <w:szCs w:val="21"/>
              </w:rPr>
              <w:t>姓名</w:t>
            </w:r>
          </w:p>
        </w:tc>
        <w:tc>
          <w:tcPr>
            <w:tcW w:w="769" w:type="dxa"/>
            <w:noWrap/>
            <w:vAlign w:val="center"/>
          </w:tcPr>
          <w:p w14:paraId="512609DD">
            <w:pPr>
              <w:widowControl/>
              <w:spacing w:line="300" w:lineRule="auto"/>
              <w:jc w:val="center"/>
              <w:textAlignment w:val="baseline"/>
              <w:rPr>
                <w:rFonts w:ascii="宋体" w:hAnsi="宋体"/>
                <w:szCs w:val="21"/>
              </w:rPr>
            </w:pPr>
            <w:r>
              <w:rPr>
                <w:rFonts w:hint="eastAsia" w:ascii="宋体" w:hAnsi="宋体"/>
                <w:szCs w:val="21"/>
              </w:rPr>
              <w:t>职务</w:t>
            </w:r>
          </w:p>
        </w:tc>
        <w:tc>
          <w:tcPr>
            <w:tcW w:w="1403" w:type="dxa"/>
            <w:noWrap/>
            <w:vAlign w:val="center"/>
          </w:tcPr>
          <w:p w14:paraId="14C1C4FD">
            <w:pPr>
              <w:widowControl/>
              <w:spacing w:line="300" w:lineRule="auto"/>
              <w:jc w:val="center"/>
              <w:textAlignment w:val="baseline"/>
              <w:rPr>
                <w:rFonts w:ascii="宋体" w:hAnsi="宋体"/>
                <w:szCs w:val="21"/>
              </w:rPr>
            </w:pPr>
            <w:r>
              <w:rPr>
                <w:rFonts w:hint="eastAsia" w:ascii="宋体" w:hAnsi="宋体"/>
                <w:szCs w:val="21"/>
              </w:rPr>
              <w:t>资质/职称</w:t>
            </w:r>
          </w:p>
        </w:tc>
        <w:tc>
          <w:tcPr>
            <w:tcW w:w="3563" w:type="dxa"/>
            <w:noWrap/>
            <w:vAlign w:val="center"/>
          </w:tcPr>
          <w:p w14:paraId="59FCA120">
            <w:pPr>
              <w:widowControl/>
              <w:spacing w:line="300" w:lineRule="auto"/>
              <w:jc w:val="center"/>
              <w:textAlignment w:val="baseline"/>
              <w:rPr>
                <w:rFonts w:ascii="宋体" w:hAnsi="宋体"/>
                <w:szCs w:val="21"/>
              </w:rPr>
            </w:pPr>
            <w:r>
              <w:rPr>
                <w:rFonts w:hint="eastAsia" w:ascii="宋体" w:hAnsi="宋体"/>
                <w:szCs w:val="21"/>
              </w:rPr>
              <w:t>主要资历、经验及承担的项目</w:t>
            </w:r>
          </w:p>
        </w:tc>
      </w:tr>
      <w:tr w14:paraId="5B0E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259E14A4">
            <w:pPr>
              <w:widowControl/>
              <w:spacing w:line="300" w:lineRule="auto"/>
              <w:textAlignment w:val="baseline"/>
              <w:rPr>
                <w:rFonts w:ascii="宋体" w:hAnsi="宋体"/>
                <w:szCs w:val="21"/>
              </w:rPr>
            </w:pPr>
          </w:p>
        </w:tc>
        <w:tc>
          <w:tcPr>
            <w:tcW w:w="769" w:type="dxa"/>
            <w:noWrap/>
            <w:vAlign w:val="center"/>
          </w:tcPr>
          <w:p w14:paraId="556037CE">
            <w:pPr>
              <w:widowControl/>
              <w:spacing w:line="300" w:lineRule="auto"/>
              <w:textAlignment w:val="baseline"/>
              <w:rPr>
                <w:rFonts w:ascii="宋体" w:hAnsi="宋体"/>
                <w:szCs w:val="21"/>
              </w:rPr>
            </w:pPr>
          </w:p>
        </w:tc>
        <w:tc>
          <w:tcPr>
            <w:tcW w:w="769" w:type="dxa"/>
            <w:noWrap/>
            <w:vAlign w:val="center"/>
          </w:tcPr>
          <w:p w14:paraId="2C22341D">
            <w:pPr>
              <w:widowControl/>
              <w:spacing w:line="300" w:lineRule="auto"/>
              <w:textAlignment w:val="baseline"/>
              <w:rPr>
                <w:rFonts w:ascii="宋体" w:hAnsi="宋体"/>
                <w:szCs w:val="21"/>
              </w:rPr>
            </w:pPr>
          </w:p>
        </w:tc>
        <w:tc>
          <w:tcPr>
            <w:tcW w:w="1403" w:type="dxa"/>
            <w:noWrap/>
            <w:vAlign w:val="center"/>
          </w:tcPr>
          <w:p w14:paraId="339D15B5">
            <w:pPr>
              <w:widowControl/>
              <w:spacing w:line="300" w:lineRule="auto"/>
              <w:textAlignment w:val="baseline"/>
              <w:rPr>
                <w:rFonts w:ascii="宋体" w:hAnsi="宋体"/>
                <w:szCs w:val="21"/>
              </w:rPr>
            </w:pPr>
          </w:p>
        </w:tc>
        <w:tc>
          <w:tcPr>
            <w:tcW w:w="3563" w:type="dxa"/>
            <w:noWrap/>
            <w:vAlign w:val="center"/>
          </w:tcPr>
          <w:p w14:paraId="42D4CFD4">
            <w:pPr>
              <w:widowControl/>
              <w:spacing w:line="300" w:lineRule="auto"/>
              <w:textAlignment w:val="baseline"/>
              <w:rPr>
                <w:rFonts w:ascii="宋体" w:hAnsi="宋体"/>
                <w:szCs w:val="21"/>
              </w:rPr>
            </w:pPr>
          </w:p>
        </w:tc>
      </w:tr>
      <w:tr w14:paraId="77A0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55AEA64D">
            <w:pPr>
              <w:widowControl/>
              <w:spacing w:line="300" w:lineRule="auto"/>
              <w:textAlignment w:val="baseline"/>
              <w:rPr>
                <w:rFonts w:ascii="宋体" w:hAnsi="宋体"/>
                <w:szCs w:val="21"/>
              </w:rPr>
            </w:pPr>
          </w:p>
        </w:tc>
        <w:tc>
          <w:tcPr>
            <w:tcW w:w="769" w:type="dxa"/>
            <w:noWrap/>
            <w:vAlign w:val="center"/>
          </w:tcPr>
          <w:p w14:paraId="1604B8D1">
            <w:pPr>
              <w:widowControl/>
              <w:spacing w:line="300" w:lineRule="auto"/>
              <w:textAlignment w:val="baseline"/>
              <w:rPr>
                <w:rFonts w:ascii="宋体" w:hAnsi="宋体"/>
                <w:szCs w:val="21"/>
              </w:rPr>
            </w:pPr>
          </w:p>
        </w:tc>
        <w:tc>
          <w:tcPr>
            <w:tcW w:w="769" w:type="dxa"/>
            <w:noWrap/>
            <w:vAlign w:val="center"/>
          </w:tcPr>
          <w:p w14:paraId="787D9535">
            <w:pPr>
              <w:widowControl/>
              <w:spacing w:line="300" w:lineRule="auto"/>
              <w:textAlignment w:val="baseline"/>
              <w:rPr>
                <w:rFonts w:ascii="宋体" w:hAnsi="宋体"/>
                <w:szCs w:val="21"/>
              </w:rPr>
            </w:pPr>
          </w:p>
        </w:tc>
        <w:tc>
          <w:tcPr>
            <w:tcW w:w="1403" w:type="dxa"/>
            <w:noWrap/>
            <w:vAlign w:val="center"/>
          </w:tcPr>
          <w:p w14:paraId="4BD0EAB9">
            <w:pPr>
              <w:widowControl/>
              <w:spacing w:line="300" w:lineRule="auto"/>
              <w:textAlignment w:val="baseline"/>
              <w:rPr>
                <w:rFonts w:ascii="宋体" w:hAnsi="宋体"/>
                <w:szCs w:val="21"/>
              </w:rPr>
            </w:pPr>
          </w:p>
        </w:tc>
        <w:tc>
          <w:tcPr>
            <w:tcW w:w="3563" w:type="dxa"/>
            <w:noWrap/>
            <w:vAlign w:val="center"/>
          </w:tcPr>
          <w:p w14:paraId="53D470DC">
            <w:pPr>
              <w:widowControl/>
              <w:spacing w:line="300" w:lineRule="auto"/>
              <w:textAlignment w:val="baseline"/>
              <w:rPr>
                <w:rFonts w:ascii="宋体" w:hAnsi="宋体"/>
                <w:szCs w:val="21"/>
              </w:rPr>
            </w:pPr>
          </w:p>
        </w:tc>
      </w:tr>
      <w:tr w14:paraId="2592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0BB5E26F">
            <w:pPr>
              <w:widowControl/>
              <w:spacing w:line="300" w:lineRule="auto"/>
              <w:textAlignment w:val="baseline"/>
              <w:rPr>
                <w:rFonts w:ascii="宋体" w:hAnsi="宋体"/>
                <w:szCs w:val="21"/>
              </w:rPr>
            </w:pPr>
          </w:p>
        </w:tc>
        <w:tc>
          <w:tcPr>
            <w:tcW w:w="769" w:type="dxa"/>
            <w:noWrap/>
            <w:vAlign w:val="center"/>
          </w:tcPr>
          <w:p w14:paraId="098F21AA">
            <w:pPr>
              <w:widowControl/>
              <w:spacing w:line="300" w:lineRule="auto"/>
              <w:textAlignment w:val="baseline"/>
              <w:rPr>
                <w:rFonts w:ascii="宋体" w:hAnsi="宋体"/>
                <w:szCs w:val="21"/>
              </w:rPr>
            </w:pPr>
          </w:p>
        </w:tc>
        <w:tc>
          <w:tcPr>
            <w:tcW w:w="769" w:type="dxa"/>
            <w:noWrap/>
            <w:vAlign w:val="center"/>
          </w:tcPr>
          <w:p w14:paraId="1DA1296B">
            <w:pPr>
              <w:widowControl/>
              <w:spacing w:line="300" w:lineRule="auto"/>
              <w:textAlignment w:val="baseline"/>
              <w:rPr>
                <w:rFonts w:ascii="宋体" w:hAnsi="宋体"/>
                <w:szCs w:val="21"/>
              </w:rPr>
            </w:pPr>
          </w:p>
        </w:tc>
        <w:tc>
          <w:tcPr>
            <w:tcW w:w="1403" w:type="dxa"/>
            <w:noWrap/>
            <w:vAlign w:val="center"/>
          </w:tcPr>
          <w:p w14:paraId="6BD0CB4E">
            <w:pPr>
              <w:widowControl/>
              <w:spacing w:line="300" w:lineRule="auto"/>
              <w:textAlignment w:val="baseline"/>
              <w:rPr>
                <w:rFonts w:ascii="宋体" w:hAnsi="宋体"/>
                <w:szCs w:val="21"/>
              </w:rPr>
            </w:pPr>
          </w:p>
        </w:tc>
        <w:tc>
          <w:tcPr>
            <w:tcW w:w="3563" w:type="dxa"/>
            <w:noWrap/>
            <w:vAlign w:val="center"/>
          </w:tcPr>
          <w:p w14:paraId="6C0E2EED">
            <w:pPr>
              <w:widowControl/>
              <w:spacing w:line="300" w:lineRule="auto"/>
              <w:textAlignment w:val="baseline"/>
              <w:rPr>
                <w:rFonts w:ascii="宋体" w:hAnsi="宋体"/>
                <w:szCs w:val="21"/>
              </w:rPr>
            </w:pPr>
          </w:p>
        </w:tc>
      </w:tr>
      <w:tr w14:paraId="7A5D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3056" w:type="dxa"/>
            <w:noWrap/>
            <w:vAlign w:val="center"/>
          </w:tcPr>
          <w:p w14:paraId="30A45692">
            <w:pPr>
              <w:widowControl/>
              <w:spacing w:line="300" w:lineRule="auto"/>
              <w:textAlignment w:val="baseline"/>
              <w:rPr>
                <w:rFonts w:ascii="宋体" w:hAnsi="宋体"/>
                <w:szCs w:val="21"/>
              </w:rPr>
            </w:pPr>
          </w:p>
        </w:tc>
        <w:tc>
          <w:tcPr>
            <w:tcW w:w="769" w:type="dxa"/>
            <w:noWrap/>
            <w:vAlign w:val="center"/>
          </w:tcPr>
          <w:p w14:paraId="6CA69985">
            <w:pPr>
              <w:widowControl/>
              <w:spacing w:line="300" w:lineRule="auto"/>
              <w:textAlignment w:val="baseline"/>
              <w:rPr>
                <w:rFonts w:ascii="宋体" w:hAnsi="宋体"/>
                <w:szCs w:val="21"/>
              </w:rPr>
            </w:pPr>
          </w:p>
        </w:tc>
        <w:tc>
          <w:tcPr>
            <w:tcW w:w="769" w:type="dxa"/>
            <w:noWrap/>
            <w:vAlign w:val="center"/>
          </w:tcPr>
          <w:p w14:paraId="19E6F648">
            <w:pPr>
              <w:widowControl/>
              <w:spacing w:line="300" w:lineRule="auto"/>
              <w:textAlignment w:val="baseline"/>
              <w:rPr>
                <w:rFonts w:ascii="宋体" w:hAnsi="宋体"/>
                <w:szCs w:val="21"/>
              </w:rPr>
            </w:pPr>
          </w:p>
        </w:tc>
        <w:tc>
          <w:tcPr>
            <w:tcW w:w="1403" w:type="dxa"/>
            <w:noWrap/>
            <w:vAlign w:val="center"/>
          </w:tcPr>
          <w:p w14:paraId="69CB46BB">
            <w:pPr>
              <w:widowControl/>
              <w:spacing w:line="300" w:lineRule="auto"/>
              <w:textAlignment w:val="baseline"/>
              <w:rPr>
                <w:rFonts w:ascii="宋体" w:hAnsi="宋体"/>
                <w:szCs w:val="21"/>
              </w:rPr>
            </w:pPr>
          </w:p>
        </w:tc>
        <w:tc>
          <w:tcPr>
            <w:tcW w:w="3563" w:type="dxa"/>
            <w:noWrap/>
            <w:vAlign w:val="center"/>
          </w:tcPr>
          <w:p w14:paraId="64E831A6">
            <w:pPr>
              <w:widowControl/>
              <w:spacing w:line="300" w:lineRule="auto"/>
              <w:textAlignment w:val="baseline"/>
              <w:rPr>
                <w:rFonts w:ascii="宋体" w:hAnsi="宋体"/>
                <w:szCs w:val="21"/>
              </w:rPr>
            </w:pPr>
          </w:p>
        </w:tc>
      </w:tr>
      <w:tr w14:paraId="6FE3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0CB659C2">
            <w:pPr>
              <w:widowControl/>
              <w:spacing w:line="300" w:lineRule="auto"/>
              <w:textAlignment w:val="baseline"/>
              <w:rPr>
                <w:rFonts w:ascii="宋体" w:hAnsi="宋体"/>
                <w:szCs w:val="21"/>
              </w:rPr>
            </w:pPr>
          </w:p>
        </w:tc>
        <w:tc>
          <w:tcPr>
            <w:tcW w:w="769" w:type="dxa"/>
            <w:noWrap/>
            <w:vAlign w:val="center"/>
          </w:tcPr>
          <w:p w14:paraId="2B7680D8">
            <w:pPr>
              <w:widowControl/>
              <w:spacing w:line="300" w:lineRule="auto"/>
              <w:textAlignment w:val="baseline"/>
              <w:rPr>
                <w:rFonts w:ascii="宋体" w:hAnsi="宋体"/>
                <w:szCs w:val="21"/>
              </w:rPr>
            </w:pPr>
          </w:p>
        </w:tc>
        <w:tc>
          <w:tcPr>
            <w:tcW w:w="769" w:type="dxa"/>
            <w:noWrap/>
            <w:vAlign w:val="center"/>
          </w:tcPr>
          <w:p w14:paraId="2A40F150">
            <w:pPr>
              <w:widowControl/>
              <w:spacing w:line="300" w:lineRule="auto"/>
              <w:textAlignment w:val="baseline"/>
              <w:rPr>
                <w:rFonts w:ascii="宋体" w:hAnsi="宋体"/>
                <w:szCs w:val="21"/>
              </w:rPr>
            </w:pPr>
          </w:p>
        </w:tc>
        <w:tc>
          <w:tcPr>
            <w:tcW w:w="1403" w:type="dxa"/>
            <w:noWrap/>
            <w:vAlign w:val="center"/>
          </w:tcPr>
          <w:p w14:paraId="72022AF7">
            <w:pPr>
              <w:widowControl/>
              <w:spacing w:line="300" w:lineRule="auto"/>
              <w:textAlignment w:val="baseline"/>
              <w:rPr>
                <w:rFonts w:ascii="宋体" w:hAnsi="宋体"/>
                <w:szCs w:val="21"/>
              </w:rPr>
            </w:pPr>
          </w:p>
        </w:tc>
        <w:tc>
          <w:tcPr>
            <w:tcW w:w="3563" w:type="dxa"/>
            <w:noWrap/>
            <w:vAlign w:val="center"/>
          </w:tcPr>
          <w:p w14:paraId="6D3F6E36">
            <w:pPr>
              <w:widowControl/>
              <w:spacing w:line="300" w:lineRule="auto"/>
              <w:textAlignment w:val="baseline"/>
              <w:rPr>
                <w:rFonts w:ascii="宋体" w:hAnsi="宋体"/>
                <w:szCs w:val="21"/>
              </w:rPr>
            </w:pPr>
          </w:p>
        </w:tc>
      </w:tr>
      <w:tr w14:paraId="2835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7E554A7B">
            <w:pPr>
              <w:widowControl/>
              <w:spacing w:line="300" w:lineRule="auto"/>
              <w:textAlignment w:val="baseline"/>
              <w:rPr>
                <w:rFonts w:ascii="宋体" w:hAnsi="宋体"/>
                <w:szCs w:val="21"/>
              </w:rPr>
            </w:pPr>
          </w:p>
        </w:tc>
        <w:tc>
          <w:tcPr>
            <w:tcW w:w="769" w:type="dxa"/>
            <w:noWrap/>
            <w:vAlign w:val="center"/>
          </w:tcPr>
          <w:p w14:paraId="20A18D65">
            <w:pPr>
              <w:widowControl/>
              <w:spacing w:line="300" w:lineRule="auto"/>
              <w:textAlignment w:val="baseline"/>
              <w:rPr>
                <w:rFonts w:ascii="宋体" w:hAnsi="宋体"/>
                <w:szCs w:val="21"/>
              </w:rPr>
            </w:pPr>
          </w:p>
        </w:tc>
        <w:tc>
          <w:tcPr>
            <w:tcW w:w="769" w:type="dxa"/>
            <w:noWrap/>
            <w:vAlign w:val="center"/>
          </w:tcPr>
          <w:p w14:paraId="40446F3D">
            <w:pPr>
              <w:widowControl/>
              <w:spacing w:line="300" w:lineRule="auto"/>
              <w:textAlignment w:val="baseline"/>
              <w:rPr>
                <w:rFonts w:ascii="宋体" w:hAnsi="宋体"/>
                <w:szCs w:val="21"/>
              </w:rPr>
            </w:pPr>
          </w:p>
        </w:tc>
        <w:tc>
          <w:tcPr>
            <w:tcW w:w="1403" w:type="dxa"/>
            <w:noWrap/>
            <w:vAlign w:val="center"/>
          </w:tcPr>
          <w:p w14:paraId="37900162">
            <w:pPr>
              <w:widowControl/>
              <w:spacing w:line="300" w:lineRule="auto"/>
              <w:textAlignment w:val="baseline"/>
              <w:rPr>
                <w:rFonts w:ascii="宋体" w:hAnsi="宋体"/>
                <w:szCs w:val="21"/>
              </w:rPr>
            </w:pPr>
          </w:p>
        </w:tc>
        <w:tc>
          <w:tcPr>
            <w:tcW w:w="3563" w:type="dxa"/>
            <w:noWrap/>
            <w:vAlign w:val="center"/>
          </w:tcPr>
          <w:p w14:paraId="26C9B0BB">
            <w:pPr>
              <w:widowControl/>
              <w:spacing w:line="300" w:lineRule="auto"/>
              <w:textAlignment w:val="baseline"/>
              <w:rPr>
                <w:rFonts w:ascii="宋体" w:hAnsi="宋体"/>
                <w:szCs w:val="21"/>
              </w:rPr>
            </w:pPr>
          </w:p>
        </w:tc>
      </w:tr>
      <w:tr w14:paraId="1FBF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27506FDD">
            <w:pPr>
              <w:widowControl/>
              <w:spacing w:line="300" w:lineRule="auto"/>
              <w:textAlignment w:val="baseline"/>
              <w:rPr>
                <w:rFonts w:ascii="宋体" w:hAnsi="宋体"/>
                <w:szCs w:val="21"/>
              </w:rPr>
            </w:pPr>
          </w:p>
        </w:tc>
        <w:tc>
          <w:tcPr>
            <w:tcW w:w="769" w:type="dxa"/>
            <w:noWrap/>
            <w:vAlign w:val="center"/>
          </w:tcPr>
          <w:p w14:paraId="31CD45FE">
            <w:pPr>
              <w:widowControl/>
              <w:spacing w:line="300" w:lineRule="auto"/>
              <w:textAlignment w:val="baseline"/>
              <w:rPr>
                <w:rFonts w:ascii="宋体" w:hAnsi="宋体"/>
                <w:szCs w:val="21"/>
              </w:rPr>
            </w:pPr>
          </w:p>
        </w:tc>
        <w:tc>
          <w:tcPr>
            <w:tcW w:w="769" w:type="dxa"/>
            <w:noWrap/>
            <w:vAlign w:val="center"/>
          </w:tcPr>
          <w:p w14:paraId="76B4885A">
            <w:pPr>
              <w:widowControl/>
              <w:spacing w:line="300" w:lineRule="auto"/>
              <w:textAlignment w:val="baseline"/>
              <w:rPr>
                <w:rFonts w:ascii="宋体" w:hAnsi="宋体"/>
                <w:szCs w:val="21"/>
              </w:rPr>
            </w:pPr>
          </w:p>
        </w:tc>
        <w:tc>
          <w:tcPr>
            <w:tcW w:w="1403" w:type="dxa"/>
            <w:noWrap/>
            <w:vAlign w:val="center"/>
          </w:tcPr>
          <w:p w14:paraId="5825C2D5">
            <w:pPr>
              <w:widowControl/>
              <w:spacing w:line="300" w:lineRule="auto"/>
              <w:textAlignment w:val="baseline"/>
              <w:rPr>
                <w:rFonts w:ascii="宋体" w:hAnsi="宋体"/>
                <w:szCs w:val="21"/>
              </w:rPr>
            </w:pPr>
          </w:p>
        </w:tc>
        <w:tc>
          <w:tcPr>
            <w:tcW w:w="3563" w:type="dxa"/>
            <w:noWrap/>
            <w:vAlign w:val="center"/>
          </w:tcPr>
          <w:p w14:paraId="201B443B">
            <w:pPr>
              <w:widowControl/>
              <w:spacing w:line="300" w:lineRule="auto"/>
              <w:textAlignment w:val="baseline"/>
              <w:rPr>
                <w:rFonts w:ascii="宋体" w:hAnsi="宋体"/>
                <w:szCs w:val="21"/>
              </w:rPr>
            </w:pPr>
          </w:p>
        </w:tc>
      </w:tr>
      <w:tr w14:paraId="5BA5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12001CCB">
            <w:pPr>
              <w:widowControl/>
              <w:spacing w:line="300" w:lineRule="auto"/>
              <w:textAlignment w:val="baseline"/>
              <w:rPr>
                <w:rFonts w:ascii="宋体" w:hAnsi="宋体"/>
                <w:szCs w:val="21"/>
              </w:rPr>
            </w:pPr>
          </w:p>
        </w:tc>
        <w:tc>
          <w:tcPr>
            <w:tcW w:w="769" w:type="dxa"/>
            <w:noWrap/>
            <w:vAlign w:val="center"/>
          </w:tcPr>
          <w:p w14:paraId="6CC7AB43">
            <w:pPr>
              <w:widowControl/>
              <w:spacing w:line="300" w:lineRule="auto"/>
              <w:textAlignment w:val="baseline"/>
              <w:rPr>
                <w:rFonts w:ascii="宋体" w:hAnsi="宋体"/>
                <w:szCs w:val="21"/>
              </w:rPr>
            </w:pPr>
          </w:p>
        </w:tc>
        <w:tc>
          <w:tcPr>
            <w:tcW w:w="769" w:type="dxa"/>
            <w:noWrap/>
            <w:vAlign w:val="center"/>
          </w:tcPr>
          <w:p w14:paraId="29427C04">
            <w:pPr>
              <w:widowControl/>
              <w:spacing w:line="300" w:lineRule="auto"/>
              <w:textAlignment w:val="baseline"/>
              <w:rPr>
                <w:rFonts w:ascii="宋体" w:hAnsi="宋体"/>
                <w:szCs w:val="21"/>
              </w:rPr>
            </w:pPr>
          </w:p>
        </w:tc>
        <w:tc>
          <w:tcPr>
            <w:tcW w:w="1403" w:type="dxa"/>
            <w:noWrap/>
            <w:vAlign w:val="center"/>
          </w:tcPr>
          <w:p w14:paraId="519EE223">
            <w:pPr>
              <w:widowControl/>
              <w:spacing w:line="300" w:lineRule="auto"/>
              <w:textAlignment w:val="baseline"/>
              <w:rPr>
                <w:rFonts w:ascii="宋体" w:hAnsi="宋体"/>
                <w:szCs w:val="21"/>
              </w:rPr>
            </w:pPr>
          </w:p>
        </w:tc>
        <w:tc>
          <w:tcPr>
            <w:tcW w:w="3563" w:type="dxa"/>
            <w:noWrap/>
            <w:vAlign w:val="center"/>
          </w:tcPr>
          <w:p w14:paraId="7441F8E7">
            <w:pPr>
              <w:widowControl/>
              <w:spacing w:line="300" w:lineRule="auto"/>
              <w:textAlignment w:val="baseline"/>
              <w:rPr>
                <w:rFonts w:ascii="宋体" w:hAnsi="宋体"/>
                <w:szCs w:val="21"/>
              </w:rPr>
            </w:pPr>
          </w:p>
        </w:tc>
      </w:tr>
      <w:tr w14:paraId="36EB4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5EA76AAE">
            <w:pPr>
              <w:widowControl/>
              <w:spacing w:line="300" w:lineRule="auto"/>
              <w:textAlignment w:val="baseline"/>
              <w:rPr>
                <w:rFonts w:ascii="宋体" w:hAnsi="宋体"/>
                <w:szCs w:val="21"/>
              </w:rPr>
            </w:pPr>
          </w:p>
        </w:tc>
        <w:tc>
          <w:tcPr>
            <w:tcW w:w="769" w:type="dxa"/>
            <w:noWrap/>
            <w:vAlign w:val="center"/>
          </w:tcPr>
          <w:p w14:paraId="13702C24">
            <w:pPr>
              <w:widowControl/>
              <w:spacing w:line="300" w:lineRule="auto"/>
              <w:textAlignment w:val="baseline"/>
              <w:rPr>
                <w:rFonts w:ascii="宋体" w:hAnsi="宋体"/>
                <w:szCs w:val="21"/>
              </w:rPr>
            </w:pPr>
          </w:p>
        </w:tc>
        <w:tc>
          <w:tcPr>
            <w:tcW w:w="769" w:type="dxa"/>
            <w:noWrap/>
            <w:vAlign w:val="center"/>
          </w:tcPr>
          <w:p w14:paraId="1991C150">
            <w:pPr>
              <w:widowControl/>
              <w:spacing w:line="300" w:lineRule="auto"/>
              <w:textAlignment w:val="baseline"/>
              <w:rPr>
                <w:rFonts w:ascii="宋体" w:hAnsi="宋体"/>
                <w:szCs w:val="21"/>
              </w:rPr>
            </w:pPr>
          </w:p>
        </w:tc>
        <w:tc>
          <w:tcPr>
            <w:tcW w:w="1403" w:type="dxa"/>
            <w:noWrap/>
            <w:vAlign w:val="center"/>
          </w:tcPr>
          <w:p w14:paraId="2028C28A">
            <w:pPr>
              <w:widowControl/>
              <w:spacing w:line="300" w:lineRule="auto"/>
              <w:textAlignment w:val="baseline"/>
              <w:rPr>
                <w:rFonts w:ascii="宋体" w:hAnsi="宋体"/>
                <w:szCs w:val="21"/>
              </w:rPr>
            </w:pPr>
          </w:p>
        </w:tc>
        <w:tc>
          <w:tcPr>
            <w:tcW w:w="3563" w:type="dxa"/>
            <w:noWrap/>
            <w:vAlign w:val="center"/>
          </w:tcPr>
          <w:p w14:paraId="791D0768">
            <w:pPr>
              <w:widowControl/>
              <w:spacing w:line="300" w:lineRule="auto"/>
              <w:textAlignment w:val="baseline"/>
              <w:rPr>
                <w:rFonts w:ascii="宋体" w:hAnsi="宋体"/>
                <w:szCs w:val="21"/>
              </w:rPr>
            </w:pPr>
          </w:p>
        </w:tc>
      </w:tr>
      <w:tr w14:paraId="64D3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7D8FEDCD">
            <w:pPr>
              <w:widowControl/>
              <w:spacing w:line="300" w:lineRule="auto"/>
              <w:textAlignment w:val="baseline"/>
              <w:rPr>
                <w:rFonts w:ascii="宋体" w:hAnsi="宋体"/>
                <w:szCs w:val="21"/>
              </w:rPr>
            </w:pPr>
          </w:p>
        </w:tc>
        <w:tc>
          <w:tcPr>
            <w:tcW w:w="769" w:type="dxa"/>
            <w:noWrap/>
            <w:vAlign w:val="center"/>
          </w:tcPr>
          <w:p w14:paraId="63858167">
            <w:pPr>
              <w:widowControl/>
              <w:spacing w:line="300" w:lineRule="auto"/>
              <w:textAlignment w:val="baseline"/>
              <w:rPr>
                <w:rFonts w:ascii="宋体" w:hAnsi="宋体"/>
                <w:szCs w:val="21"/>
              </w:rPr>
            </w:pPr>
          </w:p>
        </w:tc>
        <w:tc>
          <w:tcPr>
            <w:tcW w:w="769" w:type="dxa"/>
            <w:noWrap/>
            <w:vAlign w:val="center"/>
          </w:tcPr>
          <w:p w14:paraId="575A900B">
            <w:pPr>
              <w:widowControl/>
              <w:spacing w:line="300" w:lineRule="auto"/>
              <w:textAlignment w:val="baseline"/>
              <w:rPr>
                <w:rFonts w:ascii="宋体" w:hAnsi="宋体"/>
                <w:szCs w:val="21"/>
              </w:rPr>
            </w:pPr>
          </w:p>
        </w:tc>
        <w:tc>
          <w:tcPr>
            <w:tcW w:w="1403" w:type="dxa"/>
            <w:noWrap/>
            <w:vAlign w:val="center"/>
          </w:tcPr>
          <w:p w14:paraId="74CB7D6E">
            <w:pPr>
              <w:widowControl/>
              <w:spacing w:line="300" w:lineRule="auto"/>
              <w:textAlignment w:val="baseline"/>
              <w:rPr>
                <w:rFonts w:ascii="宋体" w:hAnsi="宋体"/>
                <w:szCs w:val="21"/>
              </w:rPr>
            </w:pPr>
          </w:p>
        </w:tc>
        <w:tc>
          <w:tcPr>
            <w:tcW w:w="3563" w:type="dxa"/>
            <w:noWrap/>
            <w:vAlign w:val="center"/>
          </w:tcPr>
          <w:p w14:paraId="71E18908">
            <w:pPr>
              <w:widowControl/>
              <w:spacing w:line="300" w:lineRule="auto"/>
              <w:textAlignment w:val="baseline"/>
              <w:rPr>
                <w:rFonts w:ascii="宋体" w:hAnsi="宋体"/>
                <w:szCs w:val="21"/>
              </w:rPr>
            </w:pPr>
          </w:p>
        </w:tc>
      </w:tr>
      <w:tr w14:paraId="73A1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76A009A2">
            <w:pPr>
              <w:widowControl/>
              <w:spacing w:line="300" w:lineRule="auto"/>
              <w:textAlignment w:val="baseline"/>
              <w:rPr>
                <w:rFonts w:ascii="宋体" w:hAnsi="宋体"/>
                <w:szCs w:val="21"/>
              </w:rPr>
            </w:pPr>
          </w:p>
        </w:tc>
        <w:tc>
          <w:tcPr>
            <w:tcW w:w="769" w:type="dxa"/>
            <w:noWrap/>
            <w:vAlign w:val="center"/>
          </w:tcPr>
          <w:p w14:paraId="5EF90CA1">
            <w:pPr>
              <w:widowControl/>
              <w:spacing w:line="300" w:lineRule="auto"/>
              <w:textAlignment w:val="baseline"/>
              <w:rPr>
                <w:rFonts w:ascii="宋体" w:hAnsi="宋体"/>
                <w:szCs w:val="21"/>
              </w:rPr>
            </w:pPr>
          </w:p>
        </w:tc>
        <w:tc>
          <w:tcPr>
            <w:tcW w:w="769" w:type="dxa"/>
            <w:noWrap/>
            <w:vAlign w:val="center"/>
          </w:tcPr>
          <w:p w14:paraId="230A3671">
            <w:pPr>
              <w:widowControl/>
              <w:spacing w:line="300" w:lineRule="auto"/>
              <w:textAlignment w:val="baseline"/>
              <w:rPr>
                <w:rFonts w:ascii="宋体" w:hAnsi="宋体"/>
                <w:szCs w:val="21"/>
              </w:rPr>
            </w:pPr>
          </w:p>
        </w:tc>
        <w:tc>
          <w:tcPr>
            <w:tcW w:w="1403" w:type="dxa"/>
            <w:noWrap/>
            <w:vAlign w:val="center"/>
          </w:tcPr>
          <w:p w14:paraId="4574842C">
            <w:pPr>
              <w:widowControl/>
              <w:spacing w:line="300" w:lineRule="auto"/>
              <w:textAlignment w:val="baseline"/>
              <w:rPr>
                <w:rFonts w:ascii="宋体" w:hAnsi="宋体"/>
                <w:szCs w:val="21"/>
              </w:rPr>
            </w:pPr>
          </w:p>
        </w:tc>
        <w:tc>
          <w:tcPr>
            <w:tcW w:w="3563" w:type="dxa"/>
            <w:noWrap/>
            <w:vAlign w:val="center"/>
          </w:tcPr>
          <w:p w14:paraId="1FCEB31C">
            <w:pPr>
              <w:widowControl/>
              <w:spacing w:line="300" w:lineRule="auto"/>
              <w:textAlignment w:val="baseline"/>
              <w:rPr>
                <w:rFonts w:ascii="宋体" w:hAnsi="宋体"/>
                <w:szCs w:val="21"/>
              </w:rPr>
            </w:pPr>
          </w:p>
        </w:tc>
      </w:tr>
      <w:tr w14:paraId="5ACE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052067F6">
            <w:pPr>
              <w:widowControl/>
              <w:spacing w:line="300" w:lineRule="auto"/>
              <w:textAlignment w:val="baseline"/>
              <w:rPr>
                <w:rFonts w:ascii="宋体" w:hAnsi="宋体"/>
                <w:szCs w:val="21"/>
              </w:rPr>
            </w:pPr>
          </w:p>
        </w:tc>
        <w:tc>
          <w:tcPr>
            <w:tcW w:w="769" w:type="dxa"/>
            <w:noWrap/>
            <w:vAlign w:val="center"/>
          </w:tcPr>
          <w:p w14:paraId="165B1DC6">
            <w:pPr>
              <w:widowControl/>
              <w:spacing w:line="300" w:lineRule="auto"/>
              <w:textAlignment w:val="baseline"/>
              <w:rPr>
                <w:rFonts w:ascii="宋体" w:hAnsi="宋体"/>
                <w:szCs w:val="21"/>
              </w:rPr>
            </w:pPr>
          </w:p>
        </w:tc>
        <w:tc>
          <w:tcPr>
            <w:tcW w:w="769" w:type="dxa"/>
            <w:noWrap/>
            <w:vAlign w:val="center"/>
          </w:tcPr>
          <w:p w14:paraId="560EF5EE">
            <w:pPr>
              <w:widowControl/>
              <w:spacing w:line="300" w:lineRule="auto"/>
              <w:textAlignment w:val="baseline"/>
              <w:rPr>
                <w:rFonts w:ascii="宋体" w:hAnsi="宋体"/>
                <w:szCs w:val="21"/>
              </w:rPr>
            </w:pPr>
          </w:p>
        </w:tc>
        <w:tc>
          <w:tcPr>
            <w:tcW w:w="1403" w:type="dxa"/>
            <w:noWrap/>
            <w:vAlign w:val="center"/>
          </w:tcPr>
          <w:p w14:paraId="503B94A0">
            <w:pPr>
              <w:widowControl/>
              <w:spacing w:line="300" w:lineRule="auto"/>
              <w:textAlignment w:val="baseline"/>
              <w:rPr>
                <w:rFonts w:ascii="宋体" w:hAnsi="宋体"/>
                <w:szCs w:val="21"/>
              </w:rPr>
            </w:pPr>
          </w:p>
        </w:tc>
        <w:tc>
          <w:tcPr>
            <w:tcW w:w="3563" w:type="dxa"/>
            <w:noWrap/>
            <w:vAlign w:val="center"/>
          </w:tcPr>
          <w:p w14:paraId="3CDF4AB5">
            <w:pPr>
              <w:widowControl/>
              <w:spacing w:line="300" w:lineRule="auto"/>
              <w:textAlignment w:val="baseline"/>
              <w:rPr>
                <w:rFonts w:ascii="宋体" w:hAnsi="宋体"/>
                <w:szCs w:val="21"/>
              </w:rPr>
            </w:pPr>
          </w:p>
        </w:tc>
      </w:tr>
      <w:tr w14:paraId="3D1B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3E9E1850">
            <w:pPr>
              <w:widowControl/>
              <w:spacing w:line="300" w:lineRule="auto"/>
              <w:textAlignment w:val="baseline"/>
              <w:rPr>
                <w:rFonts w:ascii="宋体" w:hAnsi="宋体"/>
                <w:szCs w:val="21"/>
              </w:rPr>
            </w:pPr>
          </w:p>
        </w:tc>
        <w:tc>
          <w:tcPr>
            <w:tcW w:w="769" w:type="dxa"/>
            <w:noWrap/>
            <w:vAlign w:val="center"/>
          </w:tcPr>
          <w:p w14:paraId="08977A9D">
            <w:pPr>
              <w:widowControl/>
              <w:spacing w:line="300" w:lineRule="auto"/>
              <w:textAlignment w:val="baseline"/>
              <w:rPr>
                <w:rFonts w:ascii="宋体" w:hAnsi="宋体"/>
                <w:szCs w:val="21"/>
              </w:rPr>
            </w:pPr>
          </w:p>
        </w:tc>
        <w:tc>
          <w:tcPr>
            <w:tcW w:w="769" w:type="dxa"/>
            <w:noWrap/>
            <w:vAlign w:val="center"/>
          </w:tcPr>
          <w:p w14:paraId="3BF28B5E">
            <w:pPr>
              <w:widowControl/>
              <w:spacing w:line="300" w:lineRule="auto"/>
              <w:textAlignment w:val="baseline"/>
              <w:rPr>
                <w:rFonts w:ascii="宋体" w:hAnsi="宋体"/>
                <w:szCs w:val="21"/>
              </w:rPr>
            </w:pPr>
          </w:p>
        </w:tc>
        <w:tc>
          <w:tcPr>
            <w:tcW w:w="1403" w:type="dxa"/>
            <w:noWrap/>
            <w:vAlign w:val="center"/>
          </w:tcPr>
          <w:p w14:paraId="0FAC00FA">
            <w:pPr>
              <w:widowControl/>
              <w:spacing w:line="300" w:lineRule="auto"/>
              <w:textAlignment w:val="baseline"/>
              <w:rPr>
                <w:rFonts w:ascii="宋体" w:hAnsi="宋体"/>
                <w:szCs w:val="21"/>
              </w:rPr>
            </w:pPr>
          </w:p>
        </w:tc>
        <w:tc>
          <w:tcPr>
            <w:tcW w:w="3563" w:type="dxa"/>
            <w:noWrap/>
            <w:vAlign w:val="center"/>
          </w:tcPr>
          <w:p w14:paraId="12CD4E89">
            <w:pPr>
              <w:widowControl/>
              <w:spacing w:line="300" w:lineRule="auto"/>
              <w:textAlignment w:val="baseline"/>
              <w:rPr>
                <w:rFonts w:ascii="宋体" w:hAnsi="宋体"/>
                <w:szCs w:val="21"/>
              </w:rPr>
            </w:pPr>
          </w:p>
        </w:tc>
      </w:tr>
      <w:tr w14:paraId="0FE2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1DF0DCA4">
            <w:pPr>
              <w:widowControl/>
              <w:spacing w:line="300" w:lineRule="auto"/>
              <w:textAlignment w:val="baseline"/>
              <w:rPr>
                <w:rFonts w:ascii="宋体" w:hAnsi="宋体"/>
                <w:szCs w:val="21"/>
              </w:rPr>
            </w:pPr>
          </w:p>
        </w:tc>
        <w:tc>
          <w:tcPr>
            <w:tcW w:w="769" w:type="dxa"/>
            <w:noWrap/>
            <w:vAlign w:val="center"/>
          </w:tcPr>
          <w:p w14:paraId="18ED7587">
            <w:pPr>
              <w:widowControl/>
              <w:spacing w:line="300" w:lineRule="auto"/>
              <w:textAlignment w:val="baseline"/>
              <w:rPr>
                <w:rFonts w:ascii="宋体" w:hAnsi="宋体"/>
                <w:szCs w:val="21"/>
              </w:rPr>
            </w:pPr>
          </w:p>
        </w:tc>
        <w:tc>
          <w:tcPr>
            <w:tcW w:w="769" w:type="dxa"/>
            <w:noWrap/>
            <w:vAlign w:val="center"/>
          </w:tcPr>
          <w:p w14:paraId="5AF596B0">
            <w:pPr>
              <w:widowControl/>
              <w:spacing w:line="300" w:lineRule="auto"/>
              <w:textAlignment w:val="baseline"/>
              <w:rPr>
                <w:rFonts w:ascii="宋体" w:hAnsi="宋体"/>
                <w:szCs w:val="21"/>
              </w:rPr>
            </w:pPr>
          </w:p>
        </w:tc>
        <w:tc>
          <w:tcPr>
            <w:tcW w:w="1403" w:type="dxa"/>
            <w:noWrap/>
            <w:vAlign w:val="center"/>
          </w:tcPr>
          <w:p w14:paraId="4DD3B215">
            <w:pPr>
              <w:widowControl/>
              <w:spacing w:line="300" w:lineRule="auto"/>
              <w:textAlignment w:val="baseline"/>
              <w:rPr>
                <w:rFonts w:ascii="宋体" w:hAnsi="宋体"/>
                <w:szCs w:val="21"/>
              </w:rPr>
            </w:pPr>
          </w:p>
        </w:tc>
        <w:tc>
          <w:tcPr>
            <w:tcW w:w="3563" w:type="dxa"/>
            <w:noWrap/>
            <w:vAlign w:val="center"/>
          </w:tcPr>
          <w:p w14:paraId="4AD26D69">
            <w:pPr>
              <w:widowControl/>
              <w:spacing w:line="300" w:lineRule="auto"/>
              <w:textAlignment w:val="baseline"/>
              <w:rPr>
                <w:rFonts w:ascii="宋体" w:hAnsi="宋体"/>
                <w:szCs w:val="21"/>
              </w:rPr>
            </w:pPr>
          </w:p>
        </w:tc>
      </w:tr>
      <w:tr w14:paraId="0B08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3056" w:type="dxa"/>
            <w:noWrap/>
            <w:vAlign w:val="center"/>
          </w:tcPr>
          <w:p w14:paraId="0D23CBBD">
            <w:pPr>
              <w:widowControl/>
              <w:spacing w:line="300" w:lineRule="auto"/>
              <w:textAlignment w:val="baseline"/>
              <w:rPr>
                <w:rFonts w:ascii="宋体" w:hAnsi="宋体"/>
                <w:szCs w:val="21"/>
              </w:rPr>
            </w:pPr>
          </w:p>
        </w:tc>
        <w:tc>
          <w:tcPr>
            <w:tcW w:w="769" w:type="dxa"/>
            <w:noWrap/>
            <w:vAlign w:val="center"/>
          </w:tcPr>
          <w:p w14:paraId="69A8E603">
            <w:pPr>
              <w:widowControl/>
              <w:spacing w:line="300" w:lineRule="auto"/>
              <w:textAlignment w:val="baseline"/>
              <w:rPr>
                <w:rFonts w:ascii="宋体" w:hAnsi="宋体"/>
                <w:szCs w:val="21"/>
              </w:rPr>
            </w:pPr>
          </w:p>
        </w:tc>
        <w:tc>
          <w:tcPr>
            <w:tcW w:w="769" w:type="dxa"/>
            <w:noWrap/>
            <w:vAlign w:val="center"/>
          </w:tcPr>
          <w:p w14:paraId="223BBB16">
            <w:pPr>
              <w:widowControl/>
              <w:spacing w:line="300" w:lineRule="auto"/>
              <w:textAlignment w:val="baseline"/>
              <w:rPr>
                <w:rFonts w:ascii="宋体" w:hAnsi="宋体"/>
                <w:szCs w:val="21"/>
              </w:rPr>
            </w:pPr>
          </w:p>
        </w:tc>
        <w:tc>
          <w:tcPr>
            <w:tcW w:w="1403" w:type="dxa"/>
            <w:noWrap/>
            <w:vAlign w:val="center"/>
          </w:tcPr>
          <w:p w14:paraId="62A68FAD">
            <w:pPr>
              <w:widowControl/>
              <w:spacing w:line="300" w:lineRule="auto"/>
              <w:textAlignment w:val="baseline"/>
              <w:rPr>
                <w:rFonts w:ascii="宋体" w:hAnsi="宋体"/>
                <w:szCs w:val="21"/>
              </w:rPr>
            </w:pPr>
          </w:p>
        </w:tc>
        <w:tc>
          <w:tcPr>
            <w:tcW w:w="3563" w:type="dxa"/>
            <w:noWrap/>
            <w:vAlign w:val="center"/>
          </w:tcPr>
          <w:p w14:paraId="594FC197">
            <w:pPr>
              <w:widowControl/>
              <w:spacing w:line="300" w:lineRule="auto"/>
              <w:textAlignment w:val="baseline"/>
              <w:rPr>
                <w:rFonts w:ascii="宋体" w:hAnsi="宋体"/>
                <w:szCs w:val="21"/>
              </w:rPr>
            </w:pPr>
          </w:p>
        </w:tc>
      </w:tr>
    </w:tbl>
    <w:p w14:paraId="0852040D">
      <w:pPr>
        <w:widowControl/>
        <w:textAlignment w:val="baseline"/>
        <w:rPr>
          <w:rFonts w:ascii="宋体" w:hAnsi="宋体"/>
          <w:b/>
        </w:rPr>
      </w:pPr>
    </w:p>
    <w:p w14:paraId="25DC5C26">
      <w:pPr>
        <w:widowControl/>
        <w:snapToGrid w:val="0"/>
        <w:spacing w:line="500" w:lineRule="exact"/>
        <w:jc w:val="left"/>
        <w:textAlignment w:val="baseline"/>
        <w:rPr>
          <w:rFonts w:ascii="宋体" w:hAnsi="宋体"/>
          <w:b/>
          <w:szCs w:val="21"/>
        </w:rPr>
      </w:pPr>
      <w:r>
        <w:rPr>
          <w:rFonts w:hint="eastAsia" w:ascii="宋体" w:hAnsi="宋体"/>
          <w:b/>
          <w:szCs w:val="21"/>
        </w:rPr>
        <w:t>注：项目经理应附身份证、注册建造师执业资格证书、安全生产考核合格证书（B类）、职称证书的扫描件、业绩证明；项目总工应附身份证扫描件、职称证书扫描件、安全生产考核合格证书（B类）、业绩证明；专职安全生产管理人员应附身份证、专职安全员安全生产考核合格证书（C类）、职称证书（如有）扫描件、业绩证明；其他主要人员应附执业证或上岗证书、职称证书扫描件；提供以上人员由社保部门出具的供应商为其交纳的响应文件递交截止时间前</w:t>
      </w:r>
      <w:r>
        <w:rPr>
          <w:rFonts w:hint="eastAsia" w:ascii="宋体" w:hAnsi="宋体" w:cs="宋体"/>
          <w:b/>
          <w:bCs/>
          <w:szCs w:val="21"/>
        </w:rPr>
        <w:t>半年内任意连续三个月社保证明复印件</w:t>
      </w:r>
      <w:r>
        <w:rPr>
          <w:rFonts w:hint="eastAsia" w:ascii="宋体" w:hAnsi="宋体"/>
          <w:b/>
          <w:szCs w:val="21"/>
        </w:rPr>
        <w:t>； 若为新进员工，请提供劳动合同扫描件。（根据招标文件第三章“项目经理和项目总工最低要求”和“其他主要管理人员和技术人员最低要求”执行）</w:t>
      </w:r>
    </w:p>
    <w:p w14:paraId="0849A7F0">
      <w:pPr>
        <w:pStyle w:val="2"/>
        <w:rPr>
          <w:rFonts w:ascii="宋体" w:hAnsi="宋体"/>
          <w:b/>
          <w:szCs w:val="21"/>
        </w:rPr>
      </w:pPr>
    </w:p>
    <w:p w14:paraId="3ED05AA9">
      <w:pPr>
        <w:rPr>
          <w:rFonts w:ascii="宋体" w:hAnsi="宋体"/>
          <w:b/>
          <w:szCs w:val="21"/>
        </w:rPr>
      </w:pPr>
    </w:p>
    <w:p w14:paraId="699E77D8">
      <w:pPr>
        <w:pStyle w:val="2"/>
        <w:rPr>
          <w:rFonts w:ascii="宋体" w:hAnsi="宋体"/>
          <w:b/>
          <w:szCs w:val="21"/>
        </w:rPr>
      </w:pPr>
    </w:p>
    <w:p w14:paraId="452AEC2B">
      <w:pPr>
        <w:rPr>
          <w:rFonts w:ascii="宋体" w:hAnsi="宋体"/>
          <w:b/>
          <w:szCs w:val="21"/>
        </w:rPr>
      </w:pPr>
    </w:p>
    <w:p w14:paraId="350DAE70">
      <w:pPr>
        <w:pStyle w:val="2"/>
        <w:rPr>
          <w:rFonts w:ascii="宋体" w:hAnsi="宋体"/>
          <w:b/>
          <w:szCs w:val="21"/>
        </w:rPr>
      </w:pPr>
    </w:p>
    <w:p w14:paraId="77C3CE41">
      <w:pPr>
        <w:rPr>
          <w:rFonts w:ascii="宋体" w:hAnsi="宋体"/>
          <w:b/>
          <w:szCs w:val="21"/>
        </w:rPr>
      </w:pPr>
    </w:p>
    <w:p w14:paraId="14DF2D51">
      <w:pPr>
        <w:spacing w:line="440" w:lineRule="exact"/>
        <w:jc w:val="left"/>
        <w:rPr>
          <w:rFonts w:ascii="宋体" w:hAnsi="宋体" w:cs="宋体"/>
          <w:b/>
          <w:sz w:val="32"/>
          <w:szCs w:val="32"/>
        </w:rPr>
      </w:pPr>
    </w:p>
    <w:p w14:paraId="70D20DB9">
      <w:pPr>
        <w:spacing w:line="440" w:lineRule="exact"/>
        <w:jc w:val="left"/>
        <w:rPr>
          <w:rFonts w:ascii="宋体" w:hAnsi="宋体" w:cs="宋体"/>
          <w:b/>
          <w:sz w:val="32"/>
          <w:szCs w:val="32"/>
        </w:rPr>
      </w:pPr>
    </w:p>
    <w:p w14:paraId="2DCD6904">
      <w:pPr>
        <w:spacing w:line="440" w:lineRule="exact"/>
        <w:jc w:val="left"/>
        <w:rPr>
          <w:rFonts w:ascii="宋体" w:hAnsi="宋体" w:cs="宋体"/>
          <w:b/>
          <w:bCs/>
          <w:sz w:val="32"/>
          <w:szCs w:val="32"/>
        </w:rPr>
        <w:sectPr>
          <w:pgSz w:w="11911" w:h="16849"/>
          <w:pgMar w:top="1417" w:right="1417" w:bottom="1417" w:left="1417" w:header="720" w:footer="720" w:gutter="0"/>
          <w:cols w:space="720" w:num="1"/>
          <w:docGrid w:linePitch="286" w:charSpace="0"/>
        </w:sectPr>
      </w:pPr>
      <w:r>
        <w:rPr>
          <w:rFonts w:hint="eastAsia" w:ascii="宋体" w:hAnsi="宋体" w:cs="宋体"/>
          <w:b/>
          <w:sz w:val="32"/>
          <w:szCs w:val="32"/>
        </w:rPr>
        <w:t>8</w:t>
      </w:r>
      <w:r>
        <w:rPr>
          <w:rFonts w:hint="eastAsia" w:ascii="宋体" w:hAnsi="宋体"/>
          <w:b/>
          <w:bCs/>
          <w:sz w:val="32"/>
          <w:szCs w:val="32"/>
        </w:rPr>
        <w:t>.供应商2020年、2021年及2022年的年度财务报表复印件（新成立的公司应提供公司成立日之后的财务报表复印件）或供应商基本开户银行出具的资信证明复印件</w:t>
      </w:r>
      <w:r>
        <w:rPr>
          <w:rFonts w:hint="eastAsia" w:ascii="宋体" w:hAnsi="宋体" w:cs="宋体"/>
          <w:b/>
          <w:bCs/>
          <w:sz w:val="32"/>
          <w:szCs w:val="32"/>
        </w:rPr>
        <w:t>（必须提供）；</w:t>
      </w:r>
    </w:p>
    <w:p w14:paraId="5C5573A4">
      <w:pPr>
        <w:pStyle w:val="26"/>
        <w:jc w:val="left"/>
        <w:rPr>
          <w:rFonts w:hAnsi="宋体" w:cs="宋体"/>
          <w:b/>
          <w:bCs/>
          <w:sz w:val="32"/>
          <w:szCs w:val="32"/>
        </w:rPr>
      </w:pPr>
      <w:r>
        <w:rPr>
          <w:rFonts w:hint="eastAsia" w:hAnsi="宋体" w:cs="宋体"/>
          <w:b/>
          <w:bCs/>
          <w:sz w:val="32"/>
          <w:szCs w:val="32"/>
        </w:rPr>
        <w:t>9.供应商为符合政策要求的中小企业，响应文件中提供《中小企业声明函》。（必须提供）</w:t>
      </w:r>
    </w:p>
    <w:p w14:paraId="673D6B58">
      <w:pPr>
        <w:pStyle w:val="26"/>
        <w:ind w:left="420"/>
        <w:rPr>
          <w:rFonts w:hAnsi="宋体"/>
          <w:b/>
          <w:sz w:val="32"/>
          <w:szCs w:val="32"/>
        </w:rPr>
      </w:pPr>
    </w:p>
    <w:p w14:paraId="514C6364">
      <w:pPr>
        <w:pStyle w:val="26"/>
        <w:ind w:left="420"/>
        <w:rPr>
          <w:rFonts w:hAnsi="宋体"/>
          <w:b/>
          <w:sz w:val="32"/>
          <w:szCs w:val="32"/>
        </w:rPr>
      </w:pPr>
      <w:r>
        <w:rPr>
          <w:rFonts w:hint="eastAsia" w:hAnsi="宋体"/>
          <w:b/>
          <w:sz w:val="32"/>
          <w:szCs w:val="32"/>
        </w:rPr>
        <w:t>附件：</w:t>
      </w:r>
    </w:p>
    <w:p w14:paraId="60FFAC8F">
      <w:pPr>
        <w:jc w:val="center"/>
        <w:rPr>
          <w:rStyle w:val="286"/>
          <w:rFonts w:ascii="宋体" w:hAnsi="宋体" w:cs="宋体"/>
          <w:b/>
          <w:bCs/>
          <w:kern w:val="0"/>
          <w:sz w:val="24"/>
        </w:rPr>
      </w:pPr>
      <w:r>
        <w:rPr>
          <w:rStyle w:val="286"/>
          <w:rFonts w:ascii="宋体" w:hAnsi="宋体" w:cs="宋体"/>
          <w:b/>
          <w:bCs/>
          <w:kern w:val="0"/>
          <w:sz w:val="24"/>
        </w:rPr>
        <w:t>中小企业声明函（</w:t>
      </w:r>
      <w:r>
        <w:rPr>
          <w:rStyle w:val="286"/>
          <w:rFonts w:hint="eastAsia" w:ascii="宋体" w:hAnsi="宋体" w:cs="宋体"/>
          <w:b/>
          <w:bCs/>
          <w:kern w:val="0"/>
          <w:sz w:val="24"/>
        </w:rPr>
        <w:t>工程</w:t>
      </w:r>
      <w:r>
        <w:rPr>
          <w:rStyle w:val="286"/>
          <w:rFonts w:ascii="宋体" w:hAnsi="宋体" w:cs="宋体"/>
          <w:b/>
          <w:bCs/>
          <w:kern w:val="0"/>
          <w:sz w:val="24"/>
        </w:rPr>
        <w:t>）</w:t>
      </w:r>
    </w:p>
    <w:p w14:paraId="51E2123C">
      <w:pPr>
        <w:pStyle w:val="437"/>
        <w:ind w:left="63" w:right="63"/>
        <w:rPr>
          <w:sz w:val="21"/>
          <w:szCs w:val="21"/>
        </w:rPr>
      </w:pPr>
    </w:p>
    <w:p w14:paraId="53B02401">
      <w:pPr>
        <w:spacing w:line="360" w:lineRule="exact"/>
        <w:ind w:firstLine="482"/>
        <w:jc w:val="left"/>
        <w:rPr>
          <w:rStyle w:val="286"/>
          <w:rFonts w:ascii="宋体" w:hAnsi="宋体"/>
          <w:kern w:val="0"/>
          <w:szCs w:val="21"/>
        </w:rPr>
      </w:pPr>
      <w:r>
        <w:rPr>
          <w:rStyle w:val="286"/>
          <w:rFonts w:ascii="宋体" w:hAnsi="宋体"/>
          <w:kern w:val="0"/>
          <w:szCs w:val="21"/>
        </w:rPr>
        <w:t>本公司郑重声明，根据《政府采购促进中小企业发展管理办法》（财库﹝2020﹞46 号）的规定，本公司参加</w:t>
      </w:r>
      <w:r>
        <w:rPr>
          <w:rStyle w:val="286"/>
          <w:rFonts w:ascii="宋体" w:hAnsi="宋体"/>
          <w:kern w:val="0"/>
          <w:szCs w:val="21"/>
          <w:u w:val="single" w:color="000000"/>
        </w:rPr>
        <w:t>（单位名称）</w:t>
      </w:r>
      <w:r>
        <w:rPr>
          <w:rStyle w:val="286"/>
          <w:rFonts w:ascii="宋体" w:hAnsi="宋体"/>
          <w:kern w:val="0"/>
          <w:szCs w:val="21"/>
        </w:rPr>
        <w:t>的</w:t>
      </w:r>
      <w:r>
        <w:rPr>
          <w:rStyle w:val="286"/>
          <w:rFonts w:ascii="宋体" w:hAnsi="宋体"/>
          <w:kern w:val="0"/>
          <w:szCs w:val="21"/>
          <w:u w:val="single" w:color="000000"/>
        </w:rPr>
        <w:t>（项目名称）</w:t>
      </w:r>
      <w:r>
        <w:rPr>
          <w:rStyle w:val="286"/>
          <w:rFonts w:ascii="宋体" w:hAnsi="宋体"/>
          <w:kern w:val="0"/>
          <w:szCs w:val="21"/>
        </w:rPr>
        <w:t>采购活动，</w:t>
      </w:r>
      <w:r>
        <w:rPr>
          <w:rStyle w:val="286"/>
          <w:rFonts w:hint="eastAsia" w:ascii="宋体" w:hAnsi="宋体"/>
          <w:kern w:val="0"/>
          <w:szCs w:val="21"/>
        </w:rPr>
        <w:t>工程的施工单位</w:t>
      </w:r>
      <w:r>
        <w:rPr>
          <w:rStyle w:val="286"/>
          <w:rFonts w:ascii="宋体" w:hAnsi="宋体"/>
          <w:kern w:val="0"/>
          <w:szCs w:val="21"/>
        </w:rPr>
        <w:t>全部</w:t>
      </w:r>
      <w:r>
        <w:rPr>
          <w:rStyle w:val="286"/>
          <w:rFonts w:hint="eastAsia" w:ascii="宋体" w:hAnsi="宋体"/>
          <w:kern w:val="0"/>
          <w:szCs w:val="21"/>
        </w:rPr>
        <w:t>为</w:t>
      </w:r>
      <w:r>
        <w:rPr>
          <w:rStyle w:val="286"/>
          <w:rFonts w:ascii="宋体" w:hAnsi="宋体"/>
          <w:kern w:val="0"/>
          <w:szCs w:val="21"/>
        </w:rPr>
        <w:t>符合政策要求的中小企业。相关企业（含联合体中的中小企业、签订分包意向协议的中小企业）的具体情况如下：</w:t>
      </w:r>
    </w:p>
    <w:p w14:paraId="58C47906">
      <w:pPr>
        <w:spacing w:line="360" w:lineRule="exact"/>
        <w:ind w:firstLine="482"/>
        <w:jc w:val="left"/>
        <w:rPr>
          <w:rStyle w:val="286"/>
          <w:rFonts w:ascii="宋体" w:hAnsi="宋体"/>
          <w:kern w:val="0"/>
          <w:szCs w:val="21"/>
        </w:rPr>
      </w:pPr>
      <w:r>
        <w:rPr>
          <w:rStyle w:val="286"/>
          <w:rFonts w:ascii="宋体" w:hAnsi="宋体"/>
          <w:kern w:val="0"/>
          <w:szCs w:val="21"/>
        </w:rPr>
        <w:t xml:space="preserve">1. </w:t>
      </w:r>
      <w:r>
        <w:rPr>
          <w:rStyle w:val="286"/>
          <w:rFonts w:ascii="宋体" w:hAnsi="宋体"/>
          <w:kern w:val="0"/>
          <w:szCs w:val="21"/>
          <w:u w:val="single" w:color="000000"/>
        </w:rPr>
        <w:t xml:space="preserve">（标的名称） </w:t>
      </w:r>
      <w:r>
        <w:rPr>
          <w:rStyle w:val="286"/>
          <w:rFonts w:ascii="宋体" w:hAnsi="宋体"/>
          <w:kern w:val="0"/>
          <w:szCs w:val="21"/>
        </w:rPr>
        <w:t>，属于</w:t>
      </w:r>
      <w:r>
        <w:rPr>
          <w:rStyle w:val="286"/>
          <w:rFonts w:hint="eastAsia" w:ascii="宋体" w:hAnsi="宋体"/>
          <w:kern w:val="0"/>
          <w:szCs w:val="21"/>
          <w:u w:val="single" w:color="000000"/>
        </w:rPr>
        <w:t>建筑业</w:t>
      </w:r>
      <w:r>
        <w:rPr>
          <w:rStyle w:val="286"/>
          <w:rFonts w:ascii="宋体" w:hAnsi="宋体"/>
          <w:kern w:val="0"/>
          <w:szCs w:val="21"/>
        </w:rPr>
        <w:t>； 承接企业为</w:t>
      </w:r>
      <w:r>
        <w:rPr>
          <w:rStyle w:val="286"/>
          <w:rFonts w:ascii="宋体" w:hAnsi="宋体"/>
          <w:kern w:val="0"/>
          <w:szCs w:val="21"/>
          <w:u w:val="single" w:color="000000"/>
        </w:rPr>
        <w:t>（企业名称）</w:t>
      </w:r>
      <w:r>
        <w:rPr>
          <w:rStyle w:val="286"/>
          <w:rFonts w:ascii="宋体" w:hAnsi="宋体"/>
          <w:kern w:val="0"/>
          <w:szCs w:val="21"/>
        </w:rPr>
        <w:t>，从业人员人，营业收入为万元，资产总额为万元，属于</w:t>
      </w:r>
      <w:r>
        <w:rPr>
          <w:rStyle w:val="286"/>
          <w:rFonts w:ascii="宋体" w:hAnsi="宋体"/>
          <w:kern w:val="0"/>
          <w:szCs w:val="21"/>
          <w:u w:val="single" w:color="000000"/>
        </w:rPr>
        <w:t>（中型企业、 小型企业、微型企业）</w:t>
      </w:r>
      <w:r>
        <w:rPr>
          <w:rStyle w:val="286"/>
          <w:rFonts w:ascii="宋体" w:hAnsi="宋体"/>
          <w:kern w:val="0"/>
          <w:szCs w:val="21"/>
        </w:rPr>
        <w:t xml:space="preserve">； </w:t>
      </w:r>
    </w:p>
    <w:p w14:paraId="4F2F09BB">
      <w:pPr>
        <w:spacing w:line="360" w:lineRule="exact"/>
        <w:ind w:firstLine="482"/>
        <w:jc w:val="left"/>
        <w:rPr>
          <w:rStyle w:val="286"/>
          <w:rFonts w:ascii="宋体" w:hAnsi="宋体"/>
          <w:kern w:val="0"/>
          <w:szCs w:val="21"/>
        </w:rPr>
      </w:pPr>
      <w:r>
        <w:rPr>
          <w:rStyle w:val="286"/>
          <w:rFonts w:ascii="宋体" w:hAnsi="宋体"/>
          <w:kern w:val="0"/>
          <w:szCs w:val="21"/>
        </w:rPr>
        <w:t>以上企业，不属于大企业的分支机构，不存在控股股东为大企业的情形，也不存在与大企业的负责人为同一人的情形。</w:t>
      </w:r>
    </w:p>
    <w:p w14:paraId="2F3AE341">
      <w:pPr>
        <w:spacing w:line="360" w:lineRule="exact"/>
        <w:ind w:firstLine="482"/>
        <w:jc w:val="left"/>
        <w:rPr>
          <w:rStyle w:val="286"/>
          <w:rFonts w:ascii="宋体" w:hAnsi="宋体"/>
          <w:kern w:val="0"/>
          <w:szCs w:val="21"/>
        </w:rPr>
      </w:pPr>
      <w:r>
        <w:rPr>
          <w:rStyle w:val="286"/>
          <w:rFonts w:ascii="宋体" w:hAnsi="宋体"/>
          <w:kern w:val="0"/>
          <w:szCs w:val="21"/>
        </w:rPr>
        <w:t xml:space="preserve">本企业对上述声明内容的真实性负责。如有虚假，将依法承担相应责任。 </w:t>
      </w:r>
    </w:p>
    <w:p w14:paraId="025D976E">
      <w:pPr>
        <w:spacing w:line="360" w:lineRule="exact"/>
        <w:ind w:firstLine="482"/>
        <w:jc w:val="left"/>
        <w:rPr>
          <w:rStyle w:val="286"/>
          <w:rFonts w:ascii="宋体" w:hAnsi="宋体"/>
          <w:kern w:val="0"/>
          <w:szCs w:val="21"/>
        </w:rPr>
      </w:pPr>
    </w:p>
    <w:p w14:paraId="3A98552A">
      <w:pPr>
        <w:widowControl/>
        <w:jc w:val="left"/>
        <w:rPr>
          <w:rFonts w:ascii="宋体" w:hAnsi="宋体" w:cs="宋体"/>
          <w:szCs w:val="21"/>
        </w:rPr>
      </w:pPr>
      <w:r>
        <w:rPr>
          <w:rFonts w:hint="eastAsia" w:ascii="宋体" w:hAnsi="宋体" w:cs="宋体"/>
          <w:szCs w:val="21"/>
        </w:rPr>
        <w:t>供应商[公章(CA签章)]：</w:t>
      </w:r>
    </w:p>
    <w:p w14:paraId="686F86AB">
      <w:pPr>
        <w:pStyle w:val="26"/>
        <w:spacing w:line="300" w:lineRule="exact"/>
        <w:ind w:left="2940" w:leftChars="1400" w:firstLine="630" w:firstLineChars="300"/>
        <w:rPr>
          <w:rFonts w:hAnsi="宋体" w:cs="宋体"/>
          <w:sz w:val="21"/>
          <w:szCs w:val="21"/>
        </w:rPr>
      </w:pPr>
    </w:p>
    <w:p w14:paraId="2957E8EA">
      <w:pPr>
        <w:spacing w:line="340" w:lineRule="exact"/>
      </w:pPr>
      <w:r>
        <w:rPr>
          <w:rFonts w:hint="eastAsia" w:ascii="宋体" w:hAnsi="宋体" w:cs="宋体"/>
          <w:szCs w:val="21"/>
        </w:rPr>
        <w:t>日          期：</w:t>
      </w:r>
    </w:p>
    <w:p w14:paraId="44BBB5CB">
      <w:pPr>
        <w:spacing w:line="360" w:lineRule="exact"/>
        <w:ind w:firstLine="482"/>
        <w:jc w:val="left"/>
        <w:rPr>
          <w:rStyle w:val="286"/>
          <w:rFonts w:ascii="宋体" w:hAnsi="宋体"/>
          <w:kern w:val="0"/>
          <w:szCs w:val="21"/>
        </w:rPr>
      </w:pPr>
    </w:p>
    <w:p w14:paraId="14D7BF22">
      <w:pPr>
        <w:pStyle w:val="46"/>
        <w:rPr>
          <w:b/>
          <w:sz w:val="21"/>
          <w:szCs w:val="21"/>
        </w:rPr>
      </w:pPr>
      <w:r>
        <w:rPr>
          <w:rFonts w:hint="eastAsia"/>
          <w:b/>
          <w:sz w:val="21"/>
          <w:szCs w:val="21"/>
        </w:rPr>
        <w:t>备注：</w:t>
      </w:r>
    </w:p>
    <w:p w14:paraId="19872D8C">
      <w:pPr>
        <w:pStyle w:val="46"/>
        <w:ind w:firstLine="422" w:firstLineChars="200"/>
        <w:rPr>
          <w:b/>
          <w:sz w:val="21"/>
          <w:szCs w:val="21"/>
        </w:rPr>
      </w:pPr>
      <w:r>
        <w:rPr>
          <w:rFonts w:hint="eastAsia"/>
          <w:b/>
          <w:sz w:val="21"/>
          <w:szCs w:val="21"/>
        </w:rPr>
        <w:t>1.</w:t>
      </w:r>
      <w:r>
        <w:rPr>
          <w:rStyle w:val="111"/>
          <w:rFonts w:hint="default" w:ascii="宋体" w:eastAsia="宋体"/>
          <w:b/>
          <w:color w:val="auto"/>
          <w:sz w:val="21"/>
          <w:szCs w:val="21"/>
        </w:rPr>
        <w:t>从业人员、营业收入、资产总额填报上一年度数据，无上一年度数据的新成立企业可不填报</w:t>
      </w:r>
      <w:r>
        <w:rPr>
          <w:rFonts w:hint="eastAsia"/>
          <w:b/>
          <w:sz w:val="21"/>
          <w:szCs w:val="21"/>
        </w:rPr>
        <w:t>；</w:t>
      </w:r>
    </w:p>
    <w:p w14:paraId="1D7824C1">
      <w:pPr>
        <w:pStyle w:val="46"/>
        <w:ind w:firstLine="422" w:firstLineChars="200"/>
        <w:rPr>
          <w:b/>
          <w:sz w:val="21"/>
          <w:szCs w:val="21"/>
        </w:rPr>
        <w:sectPr>
          <w:pgSz w:w="11911" w:h="16849"/>
          <w:pgMar w:top="1417" w:right="1417" w:bottom="1417" w:left="1417" w:header="720" w:footer="720" w:gutter="0"/>
          <w:cols w:space="720" w:num="1"/>
          <w:docGrid w:linePitch="286" w:charSpace="0"/>
        </w:sectPr>
      </w:pPr>
      <w:r>
        <w:rPr>
          <w:rFonts w:hint="eastAsia"/>
          <w:b/>
          <w:sz w:val="21"/>
          <w:szCs w:val="21"/>
        </w:rPr>
        <w:t>2.供应商应按照中小微型企业划分标准按照《国家统计局关于印发《统计上大中小微型企业划分办法〔2017〕》的通知》（国统字〔2017〕213号）的划分标准进行如实申明，如提供虚假申明应依法承担相应法律责任。如成交人为小型和微型企业的，成交结果将同时公告（或成交人的《中小企业声明函》，接受社会监督。</w:t>
      </w:r>
    </w:p>
    <w:p w14:paraId="463C6690">
      <w:pPr>
        <w:rPr>
          <w:rStyle w:val="286"/>
          <w:rFonts w:ascii="宋体" w:hAnsi="宋体" w:cs="宋体"/>
          <w:b/>
          <w:bCs/>
        </w:rPr>
      </w:pPr>
      <w:r>
        <w:rPr>
          <w:rStyle w:val="286"/>
          <w:rFonts w:ascii="宋体" w:hAnsi="宋体" w:cs="宋体"/>
          <w:b/>
          <w:bCs/>
          <w:sz w:val="30"/>
          <w:szCs w:val="30"/>
        </w:rPr>
        <w:t>附表</w:t>
      </w:r>
    </w:p>
    <w:p w14:paraId="6E772F24">
      <w:pPr>
        <w:spacing w:before="120" w:after="120" w:line="400" w:lineRule="exact"/>
        <w:jc w:val="center"/>
        <w:rPr>
          <w:rStyle w:val="286"/>
          <w:rFonts w:ascii="宋体" w:hAnsi="宋体" w:cs="宋体"/>
          <w:b/>
          <w:bCs/>
          <w:kern w:val="0"/>
          <w:sz w:val="30"/>
          <w:szCs w:val="30"/>
        </w:rPr>
      </w:pPr>
      <w:r>
        <w:rPr>
          <w:rStyle w:val="286"/>
          <w:rFonts w:ascii="宋体" w:hAnsi="宋体" w:cs="宋体"/>
          <w:b/>
          <w:bCs/>
          <w:kern w:val="0"/>
          <w:sz w:val="30"/>
          <w:szCs w:val="30"/>
        </w:rPr>
        <w:t>统计上大中小微型企业划分标准</w:t>
      </w:r>
    </w:p>
    <w:tbl>
      <w:tblPr>
        <w:tblStyle w:val="52"/>
        <w:tblW w:w="94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4814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2910D9A3">
            <w:pPr>
              <w:spacing w:line="240" w:lineRule="exact"/>
              <w:jc w:val="center"/>
              <w:rPr>
                <w:rStyle w:val="286"/>
                <w:rFonts w:ascii="宋体" w:hAnsi="宋体" w:cs="宋体"/>
                <w:b/>
                <w:bCs/>
                <w:kern w:val="0"/>
                <w:sz w:val="18"/>
                <w:szCs w:val="21"/>
              </w:rPr>
            </w:pPr>
            <w:r>
              <w:rPr>
                <w:rStyle w:val="286"/>
                <w:rFonts w:ascii="宋体" w:hAnsi="宋体" w:cs="宋体"/>
                <w:b/>
                <w:bCs/>
                <w:kern w:val="0"/>
                <w:sz w:val="18"/>
                <w:szCs w:val="21"/>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4362E539">
            <w:pPr>
              <w:jc w:val="center"/>
              <w:rPr>
                <w:rStyle w:val="286"/>
                <w:rFonts w:ascii="宋体" w:hAnsi="宋体" w:cs="宋体"/>
                <w:b/>
                <w:bCs/>
                <w:kern w:val="0"/>
                <w:sz w:val="18"/>
                <w:szCs w:val="18"/>
              </w:rPr>
            </w:pPr>
            <w:r>
              <w:rPr>
                <w:rStyle w:val="286"/>
                <w:rFonts w:ascii="宋体" w:hAnsi="宋体" w:cs="宋体"/>
                <w:b/>
                <w:bCs/>
                <w:kern w:val="0"/>
                <w:sz w:val="18"/>
                <w:szCs w:val="18"/>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2BC3A4D8">
            <w:pPr>
              <w:jc w:val="center"/>
              <w:rPr>
                <w:rStyle w:val="286"/>
                <w:rFonts w:ascii="宋体" w:hAnsi="宋体" w:cs="宋体"/>
                <w:b/>
                <w:bCs/>
                <w:kern w:val="0"/>
                <w:sz w:val="18"/>
                <w:szCs w:val="18"/>
              </w:rPr>
            </w:pPr>
            <w:r>
              <w:rPr>
                <w:rStyle w:val="286"/>
                <w:rFonts w:ascii="宋体" w:hAnsi="宋体" w:cs="宋体"/>
                <w:b/>
                <w:bCs/>
                <w:kern w:val="0"/>
                <w:sz w:val="18"/>
                <w:szCs w:val="18"/>
              </w:rPr>
              <w:t>计量</w:t>
            </w:r>
          </w:p>
          <w:p w14:paraId="5059774C">
            <w:pPr>
              <w:jc w:val="center"/>
              <w:rPr>
                <w:rStyle w:val="286"/>
                <w:rFonts w:ascii="宋体" w:hAnsi="宋体" w:cs="宋体"/>
                <w:b/>
                <w:bCs/>
                <w:kern w:val="0"/>
                <w:sz w:val="18"/>
                <w:szCs w:val="18"/>
              </w:rPr>
            </w:pPr>
            <w:r>
              <w:rPr>
                <w:rStyle w:val="286"/>
                <w:rFonts w:ascii="宋体" w:hAnsi="宋体" w:cs="宋体"/>
                <w:b/>
                <w:bCs/>
                <w:kern w:val="0"/>
                <w:sz w:val="18"/>
                <w:szCs w:val="18"/>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490DA2D3">
            <w:pPr>
              <w:jc w:val="center"/>
              <w:rPr>
                <w:rStyle w:val="286"/>
                <w:rFonts w:ascii="宋体" w:hAnsi="宋体" w:cs="宋体"/>
                <w:b/>
                <w:bCs/>
                <w:kern w:val="0"/>
                <w:sz w:val="18"/>
                <w:szCs w:val="18"/>
              </w:rPr>
            </w:pPr>
            <w:r>
              <w:rPr>
                <w:rStyle w:val="286"/>
                <w:rFonts w:ascii="宋体" w:hAnsi="宋体" w:cs="宋体"/>
                <w:b/>
                <w:bCs/>
                <w:kern w:val="0"/>
                <w:sz w:val="18"/>
                <w:szCs w:val="18"/>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3DAEEB48">
            <w:pPr>
              <w:jc w:val="center"/>
              <w:rPr>
                <w:rStyle w:val="286"/>
                <w:rFonts w:ascii="宋体" w:hAnsi="宋体" w:cs="宋体"/>
                <w:b/>
                <w:bCs/>
                <w:kern w:val="0"/>
                <w:sz w:val="18"/>
                <w:szCs w:val="18"/>
              </w:rPr>
            </w:pPr>
            <w:r>
              <w:rPr>
                <w:rStyle w:val="286"/>
                <w:rFonts w:ascii="宋体" w:hAnsi="宋体" w:cs="宋体"/>
                <w:b/>
                <w:bCs/>
                <w:kern w:val="0"/>
                <w:sz w:val="18"/>
                <w:szCs w:val="18"/>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5C64DD7D">
            <w:pPr>
              <w:jc w:val="center"/>
              <w:rPr>
                <w:rStyle w:val="286"/>
                <w:rFonts w:ascii="宋体" w:hAnsi="宋体" w:cs="宋体"/>
                <w:b/>
                <w:bCs/>
                <w:kern w:val="0"/>
                <w:sz w:val="18"/>
                <w:szCs w:val="18"/>
              </w:rPr>
            </w:pPr>
            <w:r>
              <w:rPr>
                <w:rStyle w:val="286"/>
                <w:rFonts w:ascii="宋体" w:hAnsi="宋体" w:cs="宋体"/>
                <w:b/>
                <w:bCs/>
                <w:kern w:val="0"/>
                <w:sz w:val="18"/>
                <w:szCs w:val="18"/>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noWrap/>
            <w:vAlign w:val="center"/>
          </w:tcPr>
          <w:p w14:paraId="57D3596A">
            <w:pPr>
              <w:jc w:val="center"/>
              <w:rPr>
                <w:rStyle w:val="286"/>
                <w:rFonts w:ascii="宋体" w:hAnsi="宋体" w:cs="宋体"/>
                <w:b/>
                <w:bCs/>
                <w:kern w:val="0"/>
                <w:sz w:val="18"/>
                <w:szCs w:val="18"/>
              </w:rPr>
            </w:pPr>
            <w:r>
              <w:rPr>
                <w:rStyle w:val="286"/>
                <w:rFonts w:ascii="宋体" w:hAnsi="宋体" w:cs="宋体"/>
                <w:b/>
                <w:bCs/>
                <w:kern w:val="0"/>
                <w:sz w:val="18"/>
                <w:szCs w:val="18"/>
              </w:rPr>
              <w:t>微型</w:t>
            </w:r>
          </w:p>
        </w:tc>
      </w:tr>
      <w:tr w14:paraId="4BB5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ign w:val="center"/>
          </w:tcPr>
          <w:p w14:paraId="67AA72C5">
            <w:pPr>
              <w:spacing w:line="240" w:lineRule="exact"/>
              <w:jc w:val="left"/>
              <w:rPr>
                <w:rStyle w:val="286"/>
                <w:rFonts w:ascii="宋体" w:hAnsi="宋体"/>
                <w:kern w:val="0"/>
                <w:sz w:val="18"/>
                <w:szCs w:val="18"/>
              </w:rPr>
            </w:pPr>
            <w:r>
              <w:rPr>
                <w:rStyle w:val="286"/>
                <w:rFonts w:ascii="宋体" w:hAnsi="宋体"/>
                <w:kern w:val="0"/>
                <w:sz w:val="18"/>
                <w:szCs w:val="18"/>
              </w:rPr>
              <w:t>农、林、牧、渔业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6B7F3B2">
            <w:pPr>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1FBB0EB">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853C82E">
            <w:pPr>
              <w:jc w:val="center"/>
              <w:rPr>
                <w:rStyle w:val="286"/>
                <w:rFonts w:ascii="宋体" w:hAnsi="宋体"/>
                <w:kern w:val="0"/>
                <w:sz w:val="18"/>
                <w:szCs w:val="18"/>
              </w:rPr>
            </w:pPr>
            <w:r>
              <w:rPr>
                <w:rStyle w:val="286"/>
                <w:rFonts w:ascii="宋体" w:hAnsi="宋体"/>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4889426">
            <w:pPr>
              <w:jc w:val="center"/>
              <w:rPr>
                <w:rStyle w:val="286"/>
                <w:rFonts w:ascii="宋体" w:hAnsi="宋体"/>
                <w:kern w:val="0"/>
                <w:sz w:val="18"/>
                <w:szCs w:val="18"/>
              </w:rPr>
            </w:pPr>
            <w:r>
              <w:rPr>
                <w:rStyle w:val="286"/>
                <w:rFonts w:ascii="宋体" w:hAnsi="宋体"/>
                <w:kern w:val="0"/>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3D4FDDB">
            <w:pPr>
              <w:jc w:val="center"/>
              <w:rPr>
                <w:rStyle w:val="286"/>
                <w:rFonts w:ascii="宋体" w:hAnsi="宋体"/>
                <w:kern w:val="0"/>
                <w:sz w:val="18"/>
                <w:szCs w:val="18"/>
              </w:rPr>
            </w:pPr>
            <w:r>
              <w:rPr>
                <w:rStyle w:val="286"/>
                <w:rFonts w:ascii="宋体" w:hAnsi="宋体"/>
                <w:kern w:val="0"/>
                <w:sz w:val="18"/>
                <w:szCs w:val="18"/>
              </w:rPr>
              <w:t>50≤Y＜500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1B978A5">
            <w:pPr>
              <w:jc w:val="center"/>
              <w:rPr>
                <w:rStyle w:val="286"/>
                <w:rFonts w:ascii="宋体" w:hAnsi="宋体"/>
                <w:kern w:val="0"/>
                <w:sz w:val="18"/>
                <w:szCs w:val="18"/>
              </w:rPr>
            </w:pPr>
            <w:r>
              <w:rPr>
                <w:rStyle w:val="286"/>
                <w:rFonts w:ascii="宋体" w:hAnsi="宋体"/>
                <w:kern w:val="0"/>
                <w:sz w:val="18"/>
                <w:szCs w:val="18"/>
              </w:rPr>
              <w:t>Y＜50</w:t>
            </w:r>
          </w:p>
        </w:tc>
      </w:tr>
      <w:tr w14:paraId="29DE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399CBA79">
            <w:pPr>
              <w:spacing w:line="240" w:lineRule="exact"/>
              <w:jc w:val="left"/>
              <w:rPr>
                <w:rStyle w:val="286"/>
                <w:rFonts w:ascii="宋体" w:hAnsi="宋体"/>
                <w:kern w:val="0"/>
                <w:sz w:val="18"/>
                <w:szCs w:val="18"/>
              </w:rPr>
            </w:pPr>
            <w:r>
              <w:rPr>
                <w:rStyle w:val="286"/>
                <w:rFonts w:ascii="宋体" w:hAnsi="宋体"/>
                <w:kern w:val="0"/>
                <w:sz w:val="18"/>
                <w:szCs w:val="18"/>
              </w:rPr>
              <w:t>工业 *</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37F6660">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CE349E">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10924B0">
            <w:pPr>
              <w:jc w:val="center"/>
              <w:rPr>
                <w:rStyle w:val="286"/>
                <w:rFonts w:ascii="宋体" w:hAnsi="宋体"/>
                <w:kern w:val="0"/>
                <w:sz w:val="18"/>
                <w:szCs w:val="18"/>
              </w:rPr>
            </w:pPr>
            <w:r>
              <w:rPr>
                <w:rStyle w:val="286"/>
                <w:rFonts w:ascii="宋体" w:hAnsi="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EEF7BE9">
            <w:pPr>
              <w:jc w:val="center"/>
              <w:rPr>
                <w:rStyle w:val="286"/>
                <w:rFonts w:ascii="宋体" w:hAnsi="宋体"/>
                <w:kern w:val="0"/>
                <w:sz w:val="18"/>
                <w:szCs w:val="18"/>
              </w:rPr>
            </w:pPr>
            <w:r>
              <w:rPr>
                <w:rStyle w:val="286"/>
                <w:rFonts w:ascii="宋体" w:hAnsi="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4BF6847">
            <w:pPr>
              <w:jc w:val="center"/>
              <w:rPr>
                <w:rStyle w:val="286"/>
                <w:rFonts w:ascii="宋体" w:hAnsi="宋体"/>
                <w:kern w:val="0"/>
                <w:sz w:val="18"/>
                <w:szCs w:val="18"/>
              </w:rPr>
            </w:pPr>
            <w:r>
              <w:rPr>
                <w:rStyle w:val="286"/>
                <w:rFonts w:ascii="宋体" w:hAnsi="宋体"/>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CC7A612">
            <w:pPr>
              <w:jc w:val="center"/>
              <w:rPr>
                <w:rStyle w:val="286"/>
                <w:rFonts w:ascii="宋体" w:hAnsi="宋体"/>
                <w:kern w:val="0"/>
                <w:sz w:val="18"/>
                <w:szCs w:val="18"/>
              </w:rPr>
            </w:pPr>
            <w:r>
              <w:rPr>
                <w:rStyle w:val="286"/>
                <w:rFonts w:ascii="宋体" w:hAnsi="宋体"/>
                <w:kern w:val="0"/>
                <w:sz w:val="18"/>
                <w:szCs w:val="18"/>
              </w:rPr>
              <w:t>X＜20</w:t>
            </w:r>
          </w:p>
        </w:tc>
      </w:tr>
      <w:tr w14:paraId="2E0C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06CA0A6F">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D76FFA8">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5ACBB0B">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4425443">
            <w:pPr>
              <w:jc w:val="center"/>
              <w:rPr>
                <w:rStyle w:val="286"/>
                <w:rFonts w:ascii="宋体" w:hAnsi="宋体"/>
                <w:kern w:val="0"/>
                <w:sz w:val="18"/>
                <w:szCs w:val="18"/>
              </w:rPr>
            </w:pPr>
            <w:r>
              <w:rPr>
                <w:rStyle w:val="286"/>
                <w:rFonts w:ascii="宋体" w:hAnsi="宋体"/>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40DCB77">
            <w:pPr>
              <w:jc w:val="center"/>
              <w:rPr>
                <w:rStyle w:val="286"/>
                <w:rFonts w:ascii="宋体" w:hAnsi="宋体"/>
                <w:kern w:val="0"/>
                <w:sz w:val="18"/>
                <w:szCs w:val="18"/>
              </w:rPr>
            </w:pPr>
            <w:r>
              <w:rPr>
                <w:rStyle w:val="286"/>
                <w:rFonts w:ascii="宋体" w:hAnsi="宋体"/>
                <w:kern w:val="0"/>
                <w:sz w:val="18"/>
                <w:szCs w:val="18"/>
              </w:rPr>
              <w:t>2000≤Y＜40000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BF9E52C">
            <w:pPr>
              <w:jc w:val="center"/>
              <w:rPr>
                <w:rStyle w:val="286"/>
                <w:rFonts w:ascii="宋体" w:hAnsi="宋体"/>
                <w:kern w:val="0"/>
                <w:sz w:val="18"/>
                <w:szCs w:val="18"/>
              </w:rPr>
            </w:pPr>
            <w:r>
              <w:rPr>
                <w:rStyle w:val="286"/>
                <w:rFonts w:ascii="宋体" w:hAnsi="宋体"/>
                <w:kern w:val="0"/>
                <w:sz w:val="18"/>
                <w:szCs w:val="18"/>
              </w:rPr>
              <w:t>300≤Y＜2000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BB3C422">
            <w:pPr>
              <w:jc w:val="center"/>
              <w:rPr>
                <w:rStyle w:val="286"/>
                <w:rFonts w:ascii="宋体" w:hAnsi="宋体"/>
                <w:kern w:val="0"/>
                <w:sz w:val="18"/>
                <w:szCs w:val="18"/>
              </w:rPr>
            </w:pPr>
            <w:r>
              <w:rPr>
                <w:rStyle w:val="286"/>
                <w:rFonts w:ascii="宋体" w:hAnsi="宋体"/>
                <w:kern w:val="0"/>
                <w:sz w:val="18"/>
                <w:szCs w:val="18"/>
              </w:rPr>
              <w:t>Y＜300</w:t>
            </w:r>
          </w:p>
        </w:tc>
      </w:tr>
      <w:tr w14:paraId="5F0D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380DC262">
            <w:pPr>
              <w:spacing w:line="240" w:lineRule="exact"/>
              <w:jc w:val="left"/>
              <w:rPr>
                <w:rStyle w:val="286"/>
                <w:rFonts w:ascii="宋体" w:hAnsi="宋体"/>
                <w:kern w:val="0"/>
                <w:sz w:val="18"/>
                <w:szCs w:val="18"/>
              </w:rPr>
            </w:pPr>
            <w:r>
              <w:rPr>
                <w:rStyle w:val="286"/>
                <w:rFonts w:ascii="宋体" w:hAnsi="宋体"/>
                <w:kern w:val="0"/>
                <w:sz w:val="18"/>
                <w:szCs w:val="18"/>
              </w:rPr>
              <w:t>建筑业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F733C25">
            <w:pPr>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C67314">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7E3EB34">
            <w:pPr>
              <w:jc w:val="center"/>
              <w:rPr>
                <w:rStyle w:val="286"/>
                <w:rFonts w:ascii="宋体" w:hAnsi="宋体"/>
                <w:kern w:val="0"/>
                <w:sz w:val="18"/>
                <w:szCs w:val="18"/>
              </w:rPr>
            </w:pPr>
            <w:r>
              <w:rPr>
                <w:rStyle w:val="286"/>
                <w:rFonts w:ascii="宋体" w:hAnsi="宋体"/>
                <w:kern w:val="0"/>
                <w:sz w:val="18"/>
                <w:szCs w:val="18"/>
              </w:rPr>
              <w:t>Y≥80000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639ABD5">
            <w:pPr>
              <w:jc w:val="center"/>
              <w:rPr>
                <w:rStyle w:val="286"/>
                <w:rFonts w:ascii="宋体" w:hAnsi="宋体"/>
                <w:kern w:val="0"/>
                <w:sz w:val="18"/>
                <w:szCs w:val="18"/>
              </w:rPr>
            </w:pPr>
            <w:r>
              <w:rPr>
                <w:rStyle w:val="286"/>
                <w:rFonts w:ascii="宋体" w:hAnsi="宋体"/>
                <w:kern w:val="0"/>
                <w:sz w:val="18"/>
                <w:szCs w:val="18"/>
              </w:rPr>
              <w:t>6000≤Y＜80000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2D7F7AB">
            <w:pPr>
              <w:jc w:val="center"/>
              <w:rPr>
                <w:rStyle w:val="286"/>
                <w:rFonts w:ascii="宋体" w:hAnsi="宋体"/>
                <w:kern w:val="0"/>
                <w:sz w:val="18"/>
                <w:szCs w:val="18"/>
              </w:rPr>
            </w:pPr>
            <w:r>
              <w:rPr>
                <w:rStyle w:val="286"/>
                <w:rFonts w:ascii="宋体" w:hAnsi="宋体"/>
                <w:kern w:val="0"/>
                <w:sz w:val="18"/>
                <w:szCs w:val="18"/>
              </w:rPr>
              <w:t>300≤Y＜6000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CF573E2">
            <w:pPr>
              <w:jc w:val="center"/>
              <w:rPr>
                <w:rStyle w:val="286"/>
                <w:rFonts w:ascii="宋体" w:hAnsi="宋体"/>
                <w:kern w:val="0"/>
                <w:sz w:val="18"/>
                <w:szCs w:val="18"/>
              </w:rPr>
            </w:pPr>
            <w:r>
              <w:rPr>
                <w:rStyle w:val="286"/>
                <w:rFonts w:ascii="宋体" w:hAnsi="宋体"/>
                <w:kern w:val="0"/>
                <w:sz w:val="18"/>
                <w:szCs w:val="18"/>
              </w:rPr>
              <w:t>Y＜300</w:t>
            </w:r>
          </w:p>
        </w:tc>
      </w:tr>
      <w:tr w14:paraId="1ABBB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2C291734">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D31CDD6">
            <w:pPr>
              <w:spacing w:line="240" w:lineRule="exact"/>
              <w:jc w:val="center"/>
              <w:rPr>
                <w:rStyle w:val="286"/>
                <w:rFonts w:ascii="宋体" w:hAnsi="宋体"/>
                <w:kern w:val="0"/>
                <w:sz w:val="18"/>
                <w:szCs w:val="18"/>
              </w:rPr>
            </w:pPr>
            <w:r>
              <w:rPr>
                <w:rStyle w:val="286"/>
                <w:rFonts w:ascii="宋体" w:hAnsi="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0FD45D8">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AA644A0">
            <w:pPr>
              <w:jc w:val="center"/>
              <w:rPr>
                <w:rStyle w:val="286"/>
                <w:rFonts w:ascii="宋体" w:hAnsi="宋体"/>
                <w:kern w:val="0"/>
                <w:sz w:val="18"/>
                <w:szCs w:val="18"/>
              </w:rPr>
            </w:pPr>
            <w:r>
              <w:rPr>
                <w:rStyle w:val="286"/>
                <w:rFonts w:ascii="宋体" w:hAnsi="宋体"/>
                <w:kern w:val="0"/>
                <w:sz w:val="18"/>
                <w:szCs w:val="18"/>
              </w:rPr>
              <w:t>Z≥80000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A44961A">
            <w:pPr>
              <w:jc w:val="center"/>
              <w:rPr>
                <w:rStyle w:val="286"/>
                <w:rFonts w:ascii="宋体" w:hAnsi="宋体"/>
                <w:kern w:val="0"/>
                <w:sz w:val="18"/>
                <w:szCs w:val="18"/>
              </w:rPr>
            </w:pPr>
            <w:r>
              <w:rPr>
                <w:rStyle w:val="286"/>
                <w:rFonts w:ascii="宋体" w:hAnsi="宋体"/>
                <w:kern w:val="0"/>
                <w:sz w:val="18"/>
                <w:szCs w:val="18"/>
              </w:rPr>
              <w:t>5000≤Z＜80000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3DFA3DA">
            <w:pPr>
              <w:jc w:val="center"/>
              <w:rPr>
                <w:rStyle w:val="286"/>
                <w:rFonts w:ascii="宋体" w:hAnsi="宋体"/>
                <w:kern w:val="0"/>
                <w:sz w:val="18"/>
                <w:szCs w:val="18"/>
              </w:rPr>
            </w:pPr>
            <w:r>
              <w:rPr>
                <w:rStyle w:val="286"/>
                <w:rFonts w:ascii="宋体" w:hAnsi="宋体"/>
                <w:kern w:val="0"/>
                <w:sz w:val="18"/>
                <w:szCs w:val="18"/>
              </w:rPr>
              <w:t>300≤Z＜5000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2DE71973">
            <w:pPr>
              <w:jc w:val="center"/>
              <w:rPr>
                <w:rStyle w:val="286"/>
                <w:rFonts w:ascii="宋体" w:hAnsi="宋体"/>
                <w:kern w:val="0"/>
                <w:sz w:val="18"/>
                <w:szCs w:val="18"/>
              </w:rPr>
            </w:pPr>
            <w:r>
              <w:rPr>
                <w:rStyle w:val="286"/>
                <w:rFonts w:ascii="宋体" w:hAnsi="宋体"/>
                <w:kern w:val="0"/>
                <w:sz w:val="18"/>
                <w:szCs w:val="18"/>
              </w:rPr>
              <w:t>Z＜300</w:t>
            </w:r>
          </w:p>
        </w:tc>
      </w:tr>
      <w:tr w14:paraId="71DD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1C871FBB">
            <w:pPr>
              <w:spacing w:line="240" w:lineRule="exact"/>
              <w:jc w:val="left"/>
              <w:rPr>
                <w:rStyle w:val="286"/>
                <w:rFonts w:ascii="宋体" w:hAnsi="宋体"/>
                <w:kern w:val="0"/>
                <w:sz w:val="18"/>
                <w:szCs w:val="18"/>
              </w:rPr>
            </w:pPr>
            <w:r>
              <w:rPr>
                <w:rStyle w:val="286"/>
                <w:rFonts w:ascii="宋体" w:hAnsi="宋体"/>
                <w:kern w:val="0"/>
                <w:sz w:val="18"/>
                <w:szCs w:val="18"/>
              </w:rPr>
              <w:t>批发业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763E460">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E1749B8">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0771029">
            <w:pPr>
              <w:jc w:val="center"/>
              <w:rPr>
                <w:rStyle w:val="286"/>
                <w:rFonts w:ascii="宋体" w:hAnsi="宋体"/>
                <w:kern w:val="0"/>
                <w:sz w:val="18"/>
                <w:szCs w:val="18"/>
              </w:rPr>
            </w:pPr>
            <w:r>
              <w:rPr>
                <w:rStyle w:val="286"/>
                <w:rFonts w:ascii="宋体" w:hAnsi="宋体"/>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17C3B66">
            <w:pPr>
              <w:jc w:val="center"/>
              <w:rPr>
                <w:rStyle w:val="286"/>
                <w:rFonts w:ascii="宋体" w:hAnsi="宋体"/>
                <w:kern w:val="0"/>
                <w:sz w:val="18"/>
                <w:szCs w:val="18"/>
              </w:rPr>
            </w:pPr>
            <w:r>
              <w:rPr>
                <w:rStyle w:val="286"/>
                <w:rFonts w:ascii="宋体" w:hAnsi="宋体"/>
                <w:kern w:val="0"/>
                <w:sz w:val="18"/>
                <w:szCs w:val="18"/>
              </w:rPr>
              <w:t>20≤X＜200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8C38D6D">
            <w:pPr>
              <w:jc w:val="center"/>
              <w:rPr>
                <w:rStyle w:val="286"/>
                <w:rFonts w:ascii="宋体" w:hAnsi="宋体"/>
                <w:kern w:val="0"/>
                <w:sz w:val="18"/>
                <w:szCs w:val="18"/>
              </w:rPr>
            </w:pPr>
            <w:r>
              <w:rPr>
                <w:rStyle w:val="286"/>
                <w:rFonts w:ascii="宋体" w:hAnsi="宋体"/>
                <w:kern w:val="0"/>
                <w:sz w:val="18"/>
                <w:szCs w:val="18"/>
              </w:rPr>
              <w:t>5≤X＜20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FDB973E">
            <w:pPr>
              <w:jc w:val="center"/>
              <w:rPr>
                <w:rStyle w:val="286"/>
                <w:rFonts w:ascii="宋体" w:hAnsi="宋体"/>
                <w:kern w:val="0"/>
                <w:sz w:val="18"/>
                <w:szCs w:val="18"/>
              </w:rPr>
            </w:pPr>
            <w:r>
              <w:rPr>
                <w:rStyle w:val="286"/>
                <w:rFonts w:ascii="宋体" w:hAnsi="宋体"/>
                <w:kern w:val="0"/>
                <w:sz w:val="18"/>
                <w:szCs w:val="18"/>
              </w:rPr>
              <w:t>X＜5</w:t>
            </w:r>
          </w:p>
        </w:tc>
      </w:tr>
      <w:tr w14:paraId="371F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78762301">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FCD5540">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2E6C67A">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09AFA6C">
            <w:pPr>
              <w:jc w:val="center"/>
              <w:rPr>
                <w:rStyle w:val="286"/>
                <w:rFonts w:ascii="宋体" w:hAnsi="宋体"/>
                <w:kern w:val="0"/>
                <w:sz w:val="18"/>
                <w:szCs w:val="18"/>
              </w:rPr>
            </w:pPr>
            <w:r>
              <w:rPr>
                <w:rStyle w:val="286"/>
                <w:rFonts w:ascii="宋体" w:hAnsi="宋体"/>
                <w:kern w:val="0"/>
                <w:sz w:val="18"/>
                <w:szCs w:val="18"/>
              </w:rPr>
              <w:t>Y≥40000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B2D21DF">
            <w:pPr>
              <w:jc w:val="center"/>
              <w:rPr>
                <w:rStyle w:val="286"/>
                <w:rFonts w:ascii="宋体" w:hAnsi="宋体"/>
                <w:kern w:val="0"/>
                <w:sz w:val="18"/>
                <w:szCs w:val="18"/>
              </w:rPr>
            </w:pPr>
            <w:r>
              <w:rPr>
                <w:rStyle w:val="286"/>
                <w:rFonts w:ascii="宋体" w:hAnsi="宋体"/>
                <w:kern w:val="0"/>
                <w:sz w:val="18"/>
                <w:szCs w:val="18"/>
              </w:rPr>
              <w:t>5000≤Y＜40000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7332D67">
            <w:pPr>
              <w:ind w:left="-1" w:leftChars="-1" w:hanging="1"/>
              <w:jc w:val="center"/>
              <w:rPr>
                <w:rStyle w:val="286"/>
                <w:rFonts w:ascii="宋体" w:hAnsi="宋体"/>
                <w:kern w:val="0"/>
                <w:sz w:val="18"/>
                <w:szCs w:val="18"/>
              </w:rPr>
            </w:pPr>
            <w:r>
              <w:rPr>
                <w:rStyle w:val="286"/>
                <w:rFonts w:ascii="宋体" w:hAnsi="宋体"/>
                <w:kern w:val="0"/>
                <w:sz w:val="18"/>
                <w:szCs w:val="18"/>
              </w:rPr>
              <w:t>1000≤Y＜5000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36E19E9">
            <w:pPr>
              <w:jc w:val="center"/>
              <w:rPr>
                <w:rStyle w:val="286"/>
                <w:rFonts w:ascii="宋体" w:hAnsi="宋体"/>
                <w:kern w:val="0"/>
                <w:sz w:val="18"/>
                <w:szCs w:val="18"/>
              </w:rPr>
            </w:pPr>
            <w:r>
              <w:rPr>
                <w:rStyle w:val="286"/>
                <w:rFonts w:ascii="宋体" w:hAnsi="宋体"/>
                <w:kern w:val="0"/>
                <w:sz w:val="18"/>
                <w:szCs w:val="18"/>
              </w:rPr>
              <w:t>Y＜1000</w:t>
            </w:r>
          </w:p>
        </w:tc>
      </w:tr>
      <w:tr w14:paraId="5E1F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0C03B590">
            <w:pPr>
              <w:spacing w:line="240" w:lineRule="exact"/>
              <w:jc w:val="left"/>
              <w:rPr>
                <w:rStyle w:val="286"/>
                <w:rFonts w:ascii="宋体" w:hAnsi="宋体"/>
                <w:kern w:val="0"/>
                <w:sz w:val="18"/>
                <w:szCs w:val="18"/>
              </w:rPr>
            </w:pPr>
            <w:r>
              <w:rPr>
                <w:rStyle w:val="286"/>
                <w:rFonts w:ascii="宋体" w:hAnsi="宋体"/>
                <w:kern w:val="0"/>
                <w:sz w:val="18"/>
                <w:szCs w:val="18"/>
              </w:rPr>
              <w:t>零售业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5E7572F">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63B48DE">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EA22E40">
            <w:pPr>
              <w:jc w:val="center"/>
              <w:rPr>
                <w:rStyle w:val="286"/>
                <w:rFonts w:ascii="宋体" w:hAnsi="宋体"/>
                <w:kern w:val="0"/>
                <w:sz w:val="18"/>
                <w:szCs w:val="18"/>
              </w:rPr>
            </w:pPr>
            <w:r>
              <w:rPr>
                <w:rStyle w:val="286"/>
                <w:rFonts w:ascii="宋体" w:hAnsi="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A115C3C">
            <w:pPr>
              <w:jc w:val="center"/>
              <w:rPr>
                <w:rStyle w:val="286"/>
                <w:rFonts w:ascii="宋体" w:hAnsi="宋体"/>
                <w:kern w:val="0"/>
                <w:sz w:val="18"/>
                <w:szCs w:val="18"/>
              </w:rPr>
            </w:pPr>
            <w:r>
              <w:rPr>
                <w:rStyle w:val="286"/>
                <w:rFonts w:ascii="宋体" w:hAnsi="宋体"/>
                <w:kern w:val="0"/>
                <w:sz w:val="18"/>
                <w:szCs w:val="18"/>
              </w:rPr>
              <w:t>50≤X＜300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BA801B7">
            <w:pPr>
              <w:ind w:left="-1" w:leftChars="-1" w:hanging="1"/>
              <w:jc w:val="center"/>
              <w:rPr>
                <w:rStyle w:val="286"/>
                <w:rFonts w:ascii="宋体" w:hAnsi="宋体"/>
                <w:kern w:val="0"/>
                <w:sz w:val="18"/>
                <w:szCs w:val="18"/>
              </w:rPr>
            </w:pPr>
            <w:r>
              <w:rPr>
                <w:rStyle w:val="286"/>
                <w:rFonts w:ascii="宋体" w:hAnsi="宋体"/>
                <w:kern w:val="0"/>
                <w:sz w:val="18"/>
                <w:szCs w:val="18"/>
              </w:rPr>
              <w:t xml:space="preserve">10≤X＜50 </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D768704">
            <w:pPr>
              <w:jc w:val="center"/>
              <w:rPr>
                <w:rStyle w:val="286"/>
                <w:rFonts w:ascii="宋体" w:hAnsi="宋体"/>
                <w:kern w:val="0"/>
                <w:sz w:val="18"/>
                <w:szCs w:val="18"/>
              </w:rPr>
            </w:pPr>
            <w:r>
              <w:rPr>
                <w:rStyle w:val="286"/>
                <w:rFonts w:ascii="宋体" w:hAnsi="宋体"/>
                <w:kern w:val="0"/>
                <w:sz w:val="18"/>
                <w:szCs w:val="18"/>
              </w:rPr>
              <w:t>X＜10</w:t>
            </w:r>
          </w:p>
        </w:tc>
      </w:tr>
      <w:tr w14:paraId="5A1F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0BE0D649">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DEAD60A">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EEB5F96">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B45C6FC">
            <w:pPr>
              <w:jc w:val="center"/>
              <w:rPr>
                <w:rStyle w:val="286"/>
                <w:rFonts w:ascii="宋体" w:hAnsi="宋体"/>
                <w:kern w:val="0"/>
                <w:sz w:val="18"/>
                <w:szCs w:val="18"/>
              </w:rPr>
            </w:pPr>
            <w:r>
              <w:rPr>
                <w:rStyle w:val="286"/>
                <w:rFonts w:ascii="宋体" w:hAnsi="宋体"/>
                <w:kern w:val="0"/>
                <w:sz w:val="18"/>
                <w:szCs w:val="18"/>
              </w:rPr>
              <w:t>Y≥20000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93C88F5">
            <w:pPr>
              <w:jc w:val="center"/>
              <w:rPr>
                <w:rStyle w:val="286"/>
                <w:rFonts w:ascii="宋体" w:hAnsi="宋体"/>
                <w:kern w:val="0"/>
                <w:sz w:val="18"/>
                <w:szCs w:val="18"/>
              </w:rPr>
            </w:pPr>
            <w:r>
              <w:rPr>
                <w:rStyle w:val="286"/>
                <w:rFonts w:ascii="宋体" w:hAnsi="宋体"/>
                <w:kern w:val="0"/>
                <w:sz w:val="18"/>
                <w:szCs w:val="18"/>
              </w:rPr>
              <w:t>500≤Y＜20000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8C27337">
            <w:pPr>
              <w:ind w:left="-1" w:leftChars="-1" w:hanging="1"/>
              <w:jc w:val="center"/>
              <w:rPr>
                <w:rStyle w:val="286"/>
                <w:rFonts w:ascii="宋体" w:hAnsi="宋体"/>
                <w:kern w:val="0"/>
                <w:sz w:val="18"/>
                <w:szCs w:val="18"/>
              </w:rPr>
            </w:pPr>
            <w:r>
              <w:rPr>
                <w:rStyle w:val="286"/>
                <w:rFonts w:ascii="宋体" w:hAnsi="宋体"/>
                <w:kern w:val="0"/>
                <w:sz w:val="18"/>
                <w:szCs w:val="18"/>
              </w:rPr>
              <w:t>100≤Y＜500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57D61D">
            <w:pPr>
              <w:jc w:val="center"/>
              <w:rPr>
                <w:rStyle w:val="286"/>
                <w:rFonts w:ascii="宋体" w:hAnsi="宋体"/>
                <w:kern w:val="0"/>
                <w:sz w:val="18"/>
                <w:szCs w:val="18"/>
              </w:rPr>
            </w:pPr>
            <w:r>
              <w:rPr>
                <w:rStyle w:val="286"/>
                <w:rFonts w:ascii="宋体" w:hAnsi="宋体"/>
                <w:kern w:val="0"/>
                <w:sz w:val="18"/>
                <w:szCs w:val="18"/>
              </w:rPr>
              <w:t>Y＜100</w:t>
            </w:r>
          </w:p>
        </w:tc>
      </w:tr>
      <w:tr w14:paraId="6090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625234DC">
            <w:pPr>
              <w:spacing w:line="240" w:lineRule="exact"/>
              <w:jc w:val="left"/>
              <w:rPr>
                <w:rStyle w:val="286"/>
                <w:rFonts w:ascii="宋体" w:hAnsi="宋体"/>
                <w:kern w:val="0"/>
                <w:sz w:val="18"/>
                <w:szCs w:val="18"/>
              </w:rPr>
            </w:pPr>
            <w:r>
              <w:rPr>
                <w:rStyle w:val="286"/>
                <w:rFonts w:ascii="宋体" w:hAnsi="宋体"/>
                <w:kern w:val="0"/>
                <w:sz w:val="18"/>
                <w:szCs w:val="18"/>
              </w:rPr>
              <w:t>交通运输业 *</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09D8BBB">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79C473C">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32B0854">
            <w:pPr>
              <w:jc w:val="center"/>
              <w:rPr>
                <w:rStyle w:val="286"/>
                <w:rFonts w:ascii="宋体" w:hAnsi="宋体"/>
                <w:kern w:val="0"/>
                <w:sz w:val="18"/>
                <w:szCs w:val="18"/>
              </w:rPr>
            </w:pPr>
            <w:r>
              <w:rPr>
                <w:rStyle w:val="286"/>
                <w:rFonts w:ascii="宋体" w:hAnsi="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6419B11">
            <w:pPr>
              <w:jc w:val="center"/>
              <w:rPr>
                <w:rStyle w:val="286"/>
                <w:rFonts w:ascii="宋体" w:hAnsi="宋体"/>
                <w:kern w:val="0"/>
                <w:sz w:val="18"/>
                <w:szCs w:val="18"/>
              </w:rPr>
            </w:pPr>
            <w:r>
              <w:rPr>
                <w:rStyle w:val="286"/>
                <w:rFonts w:ascii="宋体" w:hAnsi="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DD6168A">
            <w:pPr>
              <w:jc w:val="center"/>
              <w:rPr>
                <w:rStyle w:val="286"/>
                <w:rFonts w:ascii="宋体" w:hAnsi="宋体"/>
                <w:kern w:val="0"/>
                <w:sz w:val="18"/>
                <w:szCs w:val="18"/>
              </w:rPr>
            </w:pPr>
            <w:r>
              <w:rPr>
                <w:rStyle w:val="286"/>
                <w:rFonts w:ascii="宋体" w:hAnsi="宋体"/>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06F795F">
            <w:pPr>
              <w:jc w:val="center"/>
              <w:rPr>
                <w:rStyle w:val="286"/>
                <w:rFonts w:ascii="宋体" w:hAnsi="宋体"/>
                <w:kern w:val="0"/>
                <w:sz w:val="18"/>
                <w:szCs w:val="18"/>
              </w:rPr>
            </w:pPr>
            <w:r>
              <w:rPr>
                <w:rStyle w:val="286"/>
                <w:rFonts w:ascii="宋体" w:hAnsi="宋体"/>
                <w:kern w:val="0"/>
                <w:sz w:val="18"/>
                <w:szCs w:val="18"/>
              </w:rPr>
              <w:t>X＜20</w:t>
            </w:r>
          </w:p>
        </w:tc>
      </w:tr>
      <w:tr w14:paraId="64D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5B79E33A">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0450C9B">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8346162">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A7DFC71">
            <w:pPr>
              <w:jc w:val="center"/>
              <w:rPr>
                <w:rStyle w:val="286"/>
                <w:rFonts w:ascii="宋体" w:hAnsi="宋体"/>
                <w:kern w:val="0"/>
                <w:sz w:val="18"/>
                <w:szCs w:val="18"/>
              </w:rPr>
            </w:pPr>
            <w:r>
              <w:rPr>
                <w:rStyle w:val="286"/>
                <w:rFonts w:ascii="宋体" w:hAnsi="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562FCDA">
            <w:pPr>
              <w:jc w:val="center"/>
              <w:rPr>
                <w:rStyle w:val="286"/>
                <w:rFonts w:ascii="宋体" w:hAnsi="宋体"/>
                <w:kern w:val="0"/>
                <w:sz w:val="18"/>
                <w:szCs w:val="18"/>
              </w:rPr>
            </w:pPr>
            <w:r>
              <w:rPr>
                <w:rStyle w:val="286"/>
                <w:rFonts w:ascii="宋体" w:hAnsi="宋体"/>
                <w:kern w:val="0"/>
                <w:sz w:val="18"/>
                <w:szCs w:val="18"/>
              </w:rPr>
              <w:t>3000≤Y＜30000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5387AE84">
            <w:pPr>
              <w:jc w:val="center"/>
              <w:rPr>
                <w:rStyle w:val="286"/>
                <w:rFonts w:ascii="宋体" w:hAnsi="宋体"/>
                <w:kern w:val="0"/>
                <w:sz w:val="18"/>
                <w:szCs w:val="18"/>
              </w:rPr>
            </w:pPr>
            <w:r>
              <w:rPr>
                <w:rStyle w:val="286"/>
                <w:rFonts w:ascii="宋体" w:hAnsi="宋体"/>
                <w:kern w:val="0"/>
                <w:sz w:val="18"/>
                <w:szCs w:val="18"/>
              </w:rPr>
              <w:t>200≤Y＜3000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827025C">
            <w:pPr>
              <w:jc w:val="center"/>
              <w:rPr>
                <w:rStyle w:val="286"/>
                <w:rFonts w:ascii="宋体" w:hAnsi="宋体"/>
                <w:kern w:val="0"/>
                <w:sz w:val="18"/>
                <w:szCs w:val="18"/>
              </w:rPr>
            </w:pPr>
            <w:r>
              <w:rPr>
                <w:rStyle w:val="286"/>
                <w:rFonts w:ascii="宋体" w:hAnsi="宋体"/>
                <w:kern w:val="0"/>
                <w:sz w:val="18"/>
                <w:szCs w:val="18"/>
              </w:rPr>
              <w:t>Y＜200</w:t>
            </w:r>
          </w:p>
        </w:tc>
      </w:tr>
      <w:tr w14:paraId="58AC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4DF02D6F">
            <w:pPr>
              <w:spacing w:line="240" w:lineRule="exact"/>
              <w:jc w:val="left"/>
              <w:rPr>
                <w:rStyle w:val="286"/>
                <w:rFonts w:ascii="宋体" w:hAnsi="宋体"/>
                <w:kern w:val="0"/>
                <w:sz w:val="18"/>
                <w:szCs w:val="18"/>
              </w:rPr>
            </w:pPr>
            <w:r>
              <w:rPr>
                <w:rStyle w:val="286"/>
                <w:rFonts w:ascii="宋体" w:hAnsi="宋体"/>
                <w:kern w:val="0"/>
                <w:sz w:val="18"/>
                <w:szCs w:val="18"/>
              </w:rPr>
              <w:t>仓储业*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1D6D831">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5B02850">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908E19B">
            <w:pPr>
              <w:jc w:val="center"/>
              <w:rPr>
                <w:rStyle w:val="286"/>
                <w:rFonts w:ascii="宋体" w:hAnsi="宋体"/>
                <w:kern w:val="0"/>
                <w:sz w:val="18"/>
                <w:szCs w:val="18"/>
              </w:rPr>
            </w:pPr>
            <w:r>
              <w:rPr>
                <w:rStyle w:val="286"/>
                <w:rFonts w:ascii="宋体" w:hAnsi="宋体"/>
                <w:kern w:val="0"/>
                <w:sz w:val="18"/>
                <w:szCs w:val="18"/>
              </w:rPr>
              <w:t>X≥200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A7988BE">
            <w:pPr>
              <w:ind w:left="1" w:leftChars="-51" w:hanging="108"/>
              <w:jc w:val="center"/>
              <w:rPr>
                <w:rStyle w:val="286"/>
                <w:rFonts w:ascii="宋体" w:hAnsi="宋体"/>
                <w:kern w:val="0"/>
                <w:sz w:val="18"/>
                <w:szCs w:val="18"/>
              </w:rPr>
            </w:pPr>
            <w:r>
              <w:rPr>
                <w:rStyle w:val="286"/>
                <w:rFonts w:ascii="宋体" w:hAnsi="宋体"/>
                <w:kern w:val="0"/>
                <w:sz w:val="18"/>
                <w:szCs w:val="18"/>
              </w:rPr>
              <w:t>100≤X＜200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296AA18">
            <w:pPr>
              <w:jc w:val="center"/>
              <w:rPr>
                <w:rStyle w:val="286"/>
                <w:rFonts w:ascii="宋体" w:hAnsi="宋体"/>
                <w:kern w:val="0"/>
                <w:sz w:val="18"/>
                <w:szCs w:val="18"/>
              </w:rPr>
            </w:pPr>
            <w:r>
              <w:rPr>
                <w:rStyle w:val="286"/>
                <w:rFonts w:ascii="宋体" w:hAnsi="宋体"/>
                <w:kern w:val="0"/>
                <w:sz w:val="18"/>
                <w:szCs w:val="18"/>
              </w:rPr>
              <w:t>20≤X＜100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AD14CDA">
            <w:pPr>
              <w:jc w:val="center"/>
              <w:rPr>
                <w:rStyle w:val="286"/>
                <w:rFonts w:ascii="宋体" w:hAnsi="宋体"/>
                <w:kern w:val="0"/>
                <w:sz w:val="18"/>
                <w:szCs w:val="18"/>
              </w:rPr>
            </w:pPr>
            <w:r>
              <w:rPr>
                <w:rStyle w:val="286"/>
                <w:rFonts w:ascii="宋体" w:hAnsi="宋体"/>
                <w:kern w:val="0"/>
                <w:sz w:val="18"/>
                <w:szCs w:val="18"/>
              </w:rPr>
              <w:t>X＜20</w:t>
            </w:r>
          </w:p>
        </w:tc>
      </w:tr>
      <w:tr w14:paraId="02EB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42B68A3D">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190ADFE">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97C781C">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FBC5725">
            <w:pPr>
              <w:jc w:val="center"/>
              <w:rPr>
                <w:rStyle w:val="286"/>
                <w:rFonts w:ascii="宋体" w:hAnsi="宋体"/>
                <w:kern w:val="0"/>
                <w:sz w:val="18"/>
                <w:szCs w:val="18"/>
              </w:rPr>
            </w:pPr>
            <w:r>
              <w:rPr>
                <w:rStyle w:val="286"/>
                <w:rFonts w:ascii="宋体" w:hAnsi="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74FA2C1">
            <w:pPr>
              <w:jc w:val="center"/>
              <w:rPr>
                <w:rStyle w:val="286"/>
                <w:rFonts w:ascii="宋体" w:hAnsi="宋体"/>
                <w:kern w:val="0"/>
                <w:sz w:val="18"/>
                <w:szCs w:val="18"/>
              </w:rPr>
            </w:pPr>
            <w:r>
              <w:rPr>
                <w:rStyle w:val="286"/>
                <w:rFonts w:ascii="宋体" w:hAnsi="宋体"/>
                <w:kern w:val="0"/>
                <w:sz w:val="18"/>
                <w:szCs w:val="18"/>
              </w:rPr>
              <w:t>1000≤Y＜30000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63CB063">
            <w:pPr>
              <w:jc w:val="center"/>
              <w:rPr>
                <w:rStyle w:val="286"/>
                <w:rFonts w:ascii="宋体" w:hAnsi="宋体"/>
                <w:kern w:val="0"/>
                <w:sz w:val="18"/>
                <w:szCs w:val="18"/>
              </w:rPr>
            </w:pPr>
            <w:r>
              <w:rPr>
                <w:rStyle w:val="286"/>
                <w:rFonts w:ascii="宋体" w:hAnsi="宋体"/>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FED850B">
            <w:pPr>
              <w:jc w:val="center"/>
              <w:rPr>
                <w:rStyle w:val="286"/>
                <w:rFonts w:ascii="宋体" w:hAnsi="宋体"/>
                <w:kern w:val="0"/>
                <w:sz w:val="18"/>
                <w:szCs w:val="18"/>
              </w:rPr>
            </w:pPr>
            <w:r>
              <w:rPr>
                <w:rStyle w:val="286"/>
                <w:rFonts w:ascii="宋体" w:hAnsi="宋体"/>
                <w:kern w:val="0"/>
                <w:sz w:val="18"/>
                <w:szCs w:val="18"/>
              </w:rPr>
              <w:t>Y＜100</w:t>
            </w:r>
          </w:p>
        </w:tc>
      </w:tr>
      <w:tr w14:paraId="3D34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266C2B2D">
            <w:pPr>
              <w:spacing w:line="240" w:lineRule="exact"/>
              <w:jc w:val="left"/>
              <w:rPr>
                <w:rStyle w:val="286"/>
                <w:rFonts w:ascii="宋体" w:hAnsi="宋体"/>
                <w:kern w:val="0"/>
                <w:sz w:val="18"/>
                <w:szCs w:val="18"/>
              </w:rPr>
            </w:pPr>
            <w:r>
              <w:rPr>
                <w:rStyle w:val="286"/>
                <w:rFonts w:ascii="宋体" w:hAnsi="宋体"/>
                <w:kern w:val="0"/>
                <w:sz w:val="18"/>
                <w:szCs w:val="18"/>
              </w:rPr>
              <w:t>邮政业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61BA639">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1104E84">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D2F8240">
            <w:pPr>
              <w:jc w:val="center"/>
              <w:rPr>
                <w:rStyle w:val="286"/>
                <w:rFonts w:ascii="宋体" w:hAnsi="宋体"/>
                <w:kern w:val="0"/>
                <w:sz w:val="18"/>
                <w:szCs w:val="18"/>
              </w:rPr>
            </w:pPr>
            <w:r>
              <w:rPr>
                <w:rStyle w:val="286"/>
                <w:rFonts w:ascii="宋体" w:hAnsi="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08ABF28">
            <w:pPr>
              <w:jc w:val="center"/>
              <w:rPr>
                <w:rStyle w:val="286"/>
                <w:rFonts w:ascii="宋体" w:hAnsi="宋体"/>
                <w:kern w:val="0"/>
                <w:sz w:val="18"/>
                <w:szCs w:val="18"/>
              </w:rPr>
            </w:pPr>
            <w:r>
              <w:rPr>
                <w:rStyle w:val="286"/>
                <w:rFonts w:ascii="宋体" w:hAnsi="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6590509">
            <w:pPr>
              <w:jc w:val="center"/>
              <w:rPr>
                <w:rStyle w:val="286"/>
                <w:rFonts w:ascii="宋体" w:hAnsi="宋体"/>
                <w:kern w:val="0"/>
                <w:sz w:val="18"/>
                <w:szCs w:val="18"/>
              </w:rPr>
            </w:pPr>
            <w:r>
              <w:rPr>
                <w:rStyle w:val="286"/>
                <w:rFonts w:ascii="宋体" w:hAnsi="宋体"/>
                <w:kern w:val="0"/>
                <w:sz w:val="18"/>
                <w:szCs w:val="18"/>
              </w:rPr>
              <w:t>20≤X＜300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04E1EEA6">
            <w:pPr>
              <w:jc w:val="center"/>
              <w:rPr>
                <w:rStyle w:val="286"/>
                <w:rFonts w:ascii="宋体" w:hAnsi="宋体"/>
                <w:kern w:val="0"/>
                <w:sz w:val="18"/>
                <w:szCs w:val="18"/>
              </w:rPr>
            </w:pPr>
            <w:r>
              <w:rPr>
                <w:rStyle w:val="286"/>
                <w:rFonts w:ascii="宋体" w:hAnsi="宋体"/>
                <w:kern w:val="0"/>
                <w:sz w:val="18"/>
                <w:szCs w:val="18"/>
              </w:rPr>
              <w:t>X＜20</w:t>
            </w:r>
          </w:p>
        </w:tc>
      </w:tr>
      <w:tr w14:paraId="0D3B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4EBC1398">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06FCC04">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B914D90">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2A13FBE">
            <w:pPr>
              <w:jc w:val="center"/>
              <w:rPr>
                <w:rStyle w:val="286"/>
                <w:rFonts w:ascii="宋体" w:hAnsi="宋体"/>
                <w:kern w:val="0"/>
                <w:sz w:val="18"/>
                <w:szCs w:val="18"/>
              </w:rPr>
            </w:pPr>
            <w:r>
              <w:rPr>
                <w:rStyle w:val="286"/>
                <w:rFonts w:ascii="宋体" w:hAnsi="宋体"/>
                <w:kern w:val="0"/>
                <w:sz w:val="18"/>
                <w:szCs w:val="18"/>
              </w:rPr>
              <w:t>Y≥30000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31B555A">
            <w:pPr>
              <w:jc w:val="center"/>
              <w:rPr>
                <w:rStyle w:val="286"/>
                <w:rFonts w:ascii="宋体" w:hAnsi="宋体"/>
                <w:kern w:val="0"/>
                <w:sz w:val="18"/>
                <w:szCs w:val="18"/>
              </w:rPr>
            </w:pPr>
            <w:r>
              <w:rPr>
                <w:rStyle w:val="286"/>
                <w:rFonts w:ascii="宋体" w:hAnsi="宋体"/>
                <w:kern w:val="0"/>
                <w:sz w:val="18"/>
                <w:szCs w:val="18"/>
              </w:rPr>
              <w:t>2000≤Y＜30000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F639A2A">
            <w:pPr>
              <w:jc w:val="center"/>
              <w:rPr>
                <w:rStyle w:val="286"/>
                <w:rFonts w:ascii="宋体" w:hAnsi="宋体"/>
                <w:kern w:val="0"/>
                <w:sz w:val="18"/>
                <w:szCs w:val="18"/>
              </w:rPr>
            </w:pPr>
            <w:r>
              <w:rPr>
                <w:rStyle w:val="286"/>
                <w:rFonts w:ascii="宋体" w:hAnsi="宋体"/>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70DF593">
            <w:pPr>
              <w:jc w:val="center"/>
              <w:rPr>
                <w:rStyle w:val="286"/>
                <w:rFonts w:ascii="宋体" w:hAnsi="宋体"/>
                <w:kern w:val="0"/>
                <w:sz w:val="18"/>
                <w:szCs w:val="18"/>
              </w:rPr>
            </w:pPr>
            <w:r>
              <w:rPr>
                <w:rStyle w:val="286"/>
                <w:rFonts w:ascii="宋体" w:hAnsi="宋体"/>
                <w:kern w:val="0"/>
                <w:sz w:val="18"/>
                <w:szCs w:val="18"/>
              </w:rPr>
              <w:t>Y＜100</w:t>
            </w:r>
          </w:p>
        </w:tc>
      </w:tr>
      <w:tr w14:paraId="7B98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2F4FD0A1">
            <w:pPr>
              <w:spacing w:line="240" w:lineRule="exact"/>
              <w:jc w:val="left"/>
              <w:rPr>
                <w:rStyle w:val="286"/>
                <w:rFonts w:ascii="宋体" w:hAnsi="宋体"/>
                <w:kern w:val="0"/>
                <w:sz w:val="18"/>
                <w:szCs w:val="18"/>
              </w:rPr>
            </w:pPr>
            <w:r>
              <w:rPr>
                <w:rStyle w:val="286"/>
                <w:rFonts w:ascii="宋体" w:hAnsi="宋体"/>
                <w:kern w:val="0"/>
                <w:sz w:val="18"/>
                <w:szCs w:val="18"/>
              </w:rPr>
              <w:t>住宿业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098BA2A7">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5FC6E7">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720DDBD">
            <w:pPr>
              <w:jc w:val="center"/>
              <w:rPr>
                <w:rStyle w:val="286"/>
                <w:rFonts w:ascii="宋体" w:hAnsi="宋体"/>
                <w:kern w:val="0"/>
                <w:sz w:val="18"/>
                <w:szCs w:val="18"/>
              </w:rPr>
            </w:pPr>
            <w:r>
              <w:rPr>
                <w:rStyle w:val="286"/>
                <w:rFonts w:ascii="宋体" w:hAnsi="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0AEEFBF">
            <w:pPr>
              <w:ind w:left="1" w:leftChars="-51" w:hanging="108"/>
              <w:jc w:val="center"/>
              <w:rPr>
                <w:rStyle w:val="286"/>
                <w:rFonts w:ascii="宋体" w:hAnsi="宋体"/>
                <w:kern w:val="0"/>
                <w:sz w:val="18"/>
                <w:szCs w:val="18"/>
              </w:rPr>
            </w:pPr>
            <w:r>
              <w:rPr>
                <w:rStyle w:val="286"/>
                <w:rFonts w:ascii="宋体" w:hAnsi="宋体"/>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E8E2448">
            <w:pPr>
              <w:jc w:val="center"/>
              <w:rPr>
                <w:rStyle w:val="286"/>
                <w:rFonts w:ascii="宋体" w:hAnsi="宋体"/>
                <w:kern w:val="0"/>
                <w:sz w:val="18"/>
                <w:szCs w:val="18"/>
              </w:rPr>
            </w:pPr>
            <w:r>
              <w:rPr>
                <w:rStyle w:val="286"/>
                <w:rFonts w:ascii="宋体" w:hAnsi="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06D546F">
            <w:pPr>
              <w:jc w:val="center"/>
              <w:rPr>
                <w:rStyle w:val="286"/>
                <w:rFonts w:ascii="宋体" w:hAnsi="宋体"/>
                <w:kern w:val="0"/>
                <w:sz w:val="18"/>
                <w:szCs w:val="18"/>
              </w:rPr>
            </w:pPr>
            <w:r>
              <w:rPr>
                <w:rStyle w:val="286"/>
                <w:rFonts w:ascii="宋体" w:hAnsi="宋体"/>
                <w:kern w:val="0"/>
                <w:sz w:val="18"/>
                <w:szCs w:val="18"/>
              </w:rPr>
              <w:t>X＜10</w:t>
            </w:r>
          </w:p>
        </w:tc>
      </w:tr>
      <w:tr w14:paraId="139B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32B97E89">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9180BBF">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5BA43317">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CDC7162">
            <w:pPr>
              <w:jc w:val="center"/>
              <w:rPr>
                <w:rStyle w:val="286"/>
                <w:rFonts w:ascii="宋体" w:hAnsi="宋体"/>
                <w:kern w:val="0"/>
                <w:sz w:val="18"/>
                <w:szCs w:val="18"/>
              </w:rPr>
            </w:pPr>
            <w:r>
              <w:rPr>
                <w:rStyle w:val="286"/>
                <w:rFonts w:ascii="宋体" w:hAnsi="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31A424E">
            <w:pPr>
              <w:jc w:val="center"/>
              <w:rPr>
                <w:rStyle w:val="286"/>
                <w:rFonts w:ascii="宋体" w:hAnsi="宋体"/>
                <w:kern w:val="0"/>
                <w:sz w:val="18"/>
                <w:szCs w:val="18"/>
              </w:rPr>
            </w:pPr>
            <w:r>
              <w:rPr>
                <w:rStyle w:val="286"/>
                <w:rFonts w:ascii="宋体" w:hAnsi="宋体"/>
                <w:kern w:val="0"/>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875F28D">
            <w:pPr>
              <w:jc w:val="center"/>
              <w:rPr>
                <w:rStyle w:val="286"/>
                <w:rFonts w:ascii="宋体" w:hAnsi="宋体"/>
                <w:kern w:val="0"/>
                <w:sz w:val="18"/>
                <w:szCs w:val="18"/>
              </w:rPr>
            </w:pPr>
            <w:r>
              <w:rPr>
                <w:rStyle w:val="286"/>
                <w:rFonts w:ascii="宋体" w:hAnsi="宋体"/>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14D594E">
            <w:pPr>
              <w:jc w:val="center"/>
              <w:rPr>
                <w:rStyle w:val="286"/>
                <w:rFonts w:ascii="宋体" w:hAnsi="宋体"/>
                <w:kern w:val="0"/>
                <w:sz w:val="18"/>
                <w:szCs w:val="18"/>
              </w:rPr>
            </w:pPr>
            <w:r>
              <w:rPr>
                <w:rStyle w:val="286"/>
                <w:rFonts w:ascii="宋体" w:hAnsi="宋体"/>
                <w:kern w:val="0"/>
                <w:sz w:val="18"/>
                <w:szCs w:val="18"/>
              </w:rPr>
              <w:t>Y＜100</w:t>
            </w:r>
          </w:p>
        </w:tc>
      </w:tr>
      <w:tr w14:paraId="2B32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3853AC99">
            <w:pPr>
              <w:spacing w:line="240" w:lineRule="exact"/>
              <w:jc w:val="left"/>
              <w:rPr>
                <w:rStyle w:val="286"/>
                <w:rFonts w:ascii="宋体" w:hAnsi="宋体"/>
                <w:kern w:val="0"/>
                <w:sz w:val="18"/>
                <w:szCs w:val="18"/>
              </w:rPr>
            </w:pPr>
            <w:r>
              <w:rPr>
                <w:rStyle w:val="286"/>
                <w:rFonts w:ascii="宋体" w:hAnsi="宋体"/>
                <w:kern w:val="0"/>
                <w:sz w:val="18"/>
                <w:szCs w:val="18"/>
              </w:rPr>
              <w:t>餐饮业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662C47A">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D495ACF">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12A3B5C9">
            <w:pPr>
              <w:jc w:val="center"/>
              <w:rPr>
                <w:rStyle w:val="286"/>
                <w:rFonts w:ascii="宋体" w:hAnsi="宋体"/>
                <w:kern w:val="0"/>
                <w:sz w:val="18"/>
                <w:szCs w:val="18"/>
              </w:rPr>
            </w:pPr>
            <w:r>
              <w:rPr>
                <w:rStyle w:val="286"/>
                <w:rFonts w:ascii="宋体" w:hAnsi="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433DF54">
            <w:pPr>
              <w:ind w:left="1" w:leftChars="-51" w:hanging="108"/>
              <w:jc w:val="center"/>
              <w:rPr>
                <w:rStyle w:val="286"/>
                <w:rFonts w:ascii="宋体" w:hAnsi="宋体"/>
                <w:kern w:val="0"/>
                <w:sz w:val="18"/>
                <w:szCs w:val="18"/>
              </w:rPr>
            </w:pPr>
            <w:r>
              <w:rPr>
                <w:rStyle w:val="286"/>
                <w:rFonts w:ascii="宋体" w:hAnsi="宋体"/>
                <w:kern w:val="0"/>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293E6B1">
            <w:pPr>
              <w:jc w:val="center"/>
              <w:rPr>
                <w:rStyle w:val="286"/>
                <w:rFonts w:ascii="宋体" w:hAnsi="宋体"/>
                <w:kern w:val="0"/>
                <w:sz w:val="18"/>
                <w:szCs w:val="18"/>
              </w:rPr>
            </w:pPr>
            <w:r>
              <w:rPr>
                <w:rStyle w:val="286"/>
                <w:rFonts w:ascii="宋体" w:hAnsi="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8116114">
            <w:pPr>
              <w:jc w:val="center"/>
              <w:rPr>
                <w:rStyle w:val="286"/>
                <w:rFonts w:ascii="宋体" w:hAnsi="宋体"/>
                <w:kern w:val="0"/>
                <w:sz w:val="18"/>
                <w:szCs w:val="18"/>
              </w:rPr>
            </w:pPr>
            <w:r>
              <w:rPr>
                <w:rStyle w:val="286"/>
                <w:rFonts w:ascii="宋体" w:hAnsi="宋体"/>
                <w:kern w:val="0"/>
                <w:sz w:val="18"/>
                <w:szCs w:val="18"/>
              </w:rPr>
              <w:t>X＜10</w:t>
            </w:r>
          </w:p>
        </w:tc>
      </w:tr>
      <w:tr w14:paraId="1117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3136F71C">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42F3A32D">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7B95499">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4697D61">
            <w:pPr>
              <w:jc w:val="center"/>
              <w:rPr>
                <w:rStyle w:val="286"/>
                <w:rFonts w:ascii="宋体" w:hAnsi="宋体"/>
                <w:kern w:val="0"/>
                <w:sz w:val="18"/>
                <w:szCs w:val="18"/>
              </w:rPr>
            </w:pPr>
            <w:r>
              <w:rPr>
                <w:rStyle w:val="286"/>
                <w:rFonts w:ascii="宋体" w:hAnsi="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293FABCA">
            <w:pPr>
              <w:jc w:val="center"/>
              <w:rPr>
                <w:rStyle w:val="286"/>
                <w:rFonts w:ascii="宋体" w:hAnsi="宋体"/>
                <w:kern w:val="0"/>
                <w:sz w:val="18"/>
                <w:szCs w:val="18"/>
              </w:rPr>
            </w:pPr>
            <w:r>
              <w:rPr>
                <w:rStyle w:val="286"/>
                <w:rFonts w:ascii="宋体" w:hAnsi="宋体"/>
                <w:kern w:val="0"/>
                <w:sz w:val="18"/>
                <w:szCs w:val="18"/>
              </w:rPr>
              <w:t>2000≤Y＜10000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9031EBE">
            <w:pPr>
              <w:jc w:val="center"/>
              <w:rPr>
                <w:rStyle w:val="286"/>
                <w:rFonts w:ascii="宋体" w:hAnsi="宋体"/>
                <w:kern w:val="0"/>
                <w:sz w:val="18"/>
                <w:szCs w:val="18"/>
              </w:rPr>
            </w:pPr>
            <w:r>
              <w:rPr>
                <w:rStyle w:val="286"/>
                <w:rFonts w:ascii="宋体" w:hAnsi="宋体"/>
                <w:kern w:val="0"/>
                <w:sz w:val="18"/>
                <w:szCs w:val="18"/>
              </w:rPr>
              <w:t>100≤Y＜2000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35D1D6B">
            <w:pPr>
              <w:jc w:val="center"/>
              <w:rPr>
                <w:rStyle w:val="286"/>
                <w:rFonts w:ascii="宋体" w:hAnsi="宋体"/>
                <w:kern w:val="0"/>
                <w:sz w:val="18"/>
                <w:szCs w:val="18"/>
              </w:rPr>
            </w:pPr>
            <w:r>
              <w:rPr>
                <w:rStyle w:val="286"/>
                <w:rFonts w:ascii="宋体" w:hAnsi="宋体"/>
                <w:kern w:val="0"/>
                <w:sz w:val="18"/>
                <w:szCs w:val="18"/>
              </w:rPr>
              <w:t>Y＜100</w:t>
            </w:r>
          </w:p>
        </w:tc>
      </w:tr>
      <w:tr w14:paraId="61EAA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2AE62D73">
            <w:pPr>
              <w:spacing w:line="240" w:lineRule="exact"/>
              <w:jc w:val="left"/>
              <w:rPr>
                <w:rStyle w:val="286"/>
                <w:rFonts w:ascii="宋体" w:hAnsi="宋体"/>
                <w:kern w:val="0"/>
                <w:sz w:val="18"/>
                <w:szCs w:val="18"/>
              </w:rPr>
            </w:pPr>
            <w:r>
              <w:rPr>
                <w:rStyle w:val="286"/>
                <w:rFonts w:ascii="宋体" w:hAnsi="宋体"/>
                <w:kern w:val="0"/>
                <w:sz w:val="18"/>
                <w:szCs w:val="18"/>
              </w:rPr>
              <w:t>信息传输业 *</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3D8C87A8">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728956D0">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AAE0288">
            <w:pPr>
              <w:jc w:val="center"/>
              <w:rPr>
                <w:rStyle w:val="286"/>
                <w:rFonts w:ascii="宋体" w:hAnsi="宋体"/>
                <w:kern w:val="0"/>
                <w:sz w:val="18"/>
                <w:szCs w:val="18"/>
              </w:rPr>
            </w:pPr>
            <w:r>
              <w:rPr>
                <w:rStyle w:val="286"/>
                <w:rFonts w:ascii="宋体" w:hAnsi="宋体"/>
                <w:kern w:val="0"/>
                <w:sz w:val="18"/>
                <w:szCs w:val="18"/>
              </w:rPr>
              <w:t>X≥2000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6CB58FFA">
            <w:pPr>
              <w:jc w:val="center"/>
              <w:rPr>
                <w:rStyle w:val="286"/>
                <w:rFonts w:ascii="宋体" w:hAnsi="宋体"/>
                <w:kern w:val="0"/>
                <w:sz w:val="18"/>
                <w:szCs w:val="18"/>
              </w:rPr>
            </w:pPr>
            <w:r>
              <w:rPr>
                <w:rStyle w:val="286"/>
                <w:rFonts w:ascii="宋体" w:hAnsi="宋体"/>
                <w:kern w:val="0"/>
                <w:sz w:val="18"/>
                <w:szCs w:val="18"/>
              </w:rPr>
              <w:t>100≤X＜2000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2C07193">
            <w:pPr>
              <w:jc w:val="center"/>
              <w:rPr>
                <w:rStyle w:val="286"/>
                <w:rFonts w:ascii="宋体" w:hAnsi="宋体"/>
                <w:kern w:val="0"/>
                <w:sz w:val="18"/>
                <w:szCs w:val="18"/>
              </w:rPr>
            </w:pPr>
            <w:r>
              <w:rPr>
                <w:rStyle w:val="286"/>
                <w:rFonts w:ascii="宋体" w:hAnsi="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EE89C92">
            <w:pPr>
              <w:jc w:val="center"/>
              <w:rPr>
                <w:rStyle w:val="286"/>
                <w:rFonts w:ascii="宋体" w:hAnsi="宋体"/>
                <w:kern w:val="0"/>
                <w:sz w:val="18"/>
                <w:szCs w:val="18"/>
              </w:rPr>
            </w:pPr>
            <w:r>
              <w:rPr>
                <w:rStyle w:val="286"/>
                <w:rFonts w:ascii="宋体" w:hAnsi="宋体"/>
                <w:kern w:val="0"/>
                <w:sz w:val="18"/>
                <w:szCs w:val="18"/>
              </w:rPr>
              <w:t>X＜10</w:t>
            </w:r>
          </w:p>
        </w:tc>
      </w:tr>
      <w:tr w14:paraId="0087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42A5D954">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15A78D1C">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0BBD354">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68F87B6">
            <w:pPr>
              <w:jc w:val="center"/>
              <w:rPr>
                <w:rStyle w:val="286"/>
                <w:rFonts w:ascii="宋体" w:hAnsi="宋体"/>
                <w:kern w:val="0"/>
                <w:sz w:val="18"/>
                <w:szCs w:val="18"/>
              </w:rPr>
            </w:pPr>
            <w:r>
              <w:rPr>
                <w:rStyle w:val="286"/>
                <w:rFonts w:ascii="宋体" w:hAnsi="宋体"/>
                <w:kern w:val="0"/>
                <w:sz w:val="18"/>
                <w:szCs w:val="18"/>
              </w:rPr>
              <w:t>Y≥100000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6BEC84B">
            <w:pPr>
              <w:jc w:val="center"/>
              <w:rPr>
                <w:rStyle w:val="286"/>
                <w:rFonts w:ascii="宋体" w:hAnsi="宋体"/>
                <w:kern w:val="0"/>
                <w:sz w:val="18"/>
                <w:szCs w:val="18"/>
              </w:rPr>
            </w:pPr>
            <w:r>
              <w:rPr>
                <w:rStyle w:val="286"/>
                <w:rFonts w:ascii="宋体" w:hAnsi="宋体"/>
                <w:kern w:val="0"/>
                <w:sz w:val="18"/>
                <w:szCs w:val="18"/>
              </w:rPr>
              <w:t>1000≤Y＜100000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09D86FB0">
            <w:pPr>
              <w:jc w:val="center"/>
              <w:rPr>
                <w:rStyle w:val="286"/>
                <w:rFonts w:ascii="宋体" w:hAnsi="宋体"/>
                <w:kern w:val="0"/>
                <w:sz w:val="18"/>
                <w:szCs w:val="18"/>
              </w:rPr>
            </w:pPr>
            <w:r>
              <w:rPr>
                <w:rStyle w:val="286"/>
                <w:rFonts w:ascii="宋体" w:hAnsi="宋体"/>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A932D68">
            <w:pPr>
              <w:jc w:val="center"/>
              <w:rPr>
                <w:rStyle w:val="286"/>
                <w:rFonts w:ascii="宋体" w:hAnsi="宋体"/>
                <w:kern w:val="0"/>
                <w:sz w:val="18"/>
                <w:szCs w:val="18"/>
              </w:rPr>
            </w:pPr>
            <w:r>
              <w:rPr>
                <w:rStyle w:val="286"/>
                <w:rFonts w:ascii="宋体" w:hAnsi="宋体"/>
                <w:kern w:val="0"/>
                <w:sz w:val="18"/>
                <w:szCs w:val="18"/>
              </w:rPr>
              <w:t>Y＜100</w:t>
            </w:r>
          </w:p>
        </w:tc>
      </w:tr>
      <w:tr w14:paraId="75B3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2FCAEC5E">
            <w:pPr>
              <w:spacing w:line="240" w:lineRule="exact"/>
              <w:jc w:val="left"/>
              <w:rPr>
                <w:rStyle w:val="286"/>
                <w:rFonts w:ascii="宋体" w:hAnsi="宋体"/>
                <w:spacing w:val="-12"/>
                <w:kern w:val="0"/>
                <w:sz w:val="18"/>
                <w:szCs w:val="18"/>
              </w:rPr>
            </w:pPr>
            <w:r>
              <w:rPr>
                <w:rStyle w:val="286"/>
                <w:rFonts w:ascii="宋体" w:hAnsi="宋体"/>
                <w:spacing w:val="-12"/>
                <w:kern w:val="0"/>
                <w:sz w:val="18"/>
                <w:szCs w:val="18"/>
              </w:rPr>
              <w:t>软件和信息技术服</w:t>
            </w:r>
            <w:r>
              <w:rPr>
                <w:rStyle w:val="286"/>
                <w:rFonts w:ascii="宋体" w:hAnsi="宋体"/>
                <w:kern w:val="0"/>
                <w:sz w:val="18"/>
                <w:szCs w:val="18"/>
              </w:rPr>
              <w:t>务业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1D3BF392">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A453AAC">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27C28B99">
            <w:pPr>
              <w:jc w:val="center"/>
              <w:rPr>
                <w:rStyle w:val="286"/>
                <w:rFonts w:ascii="宋体" w:hAnsi="宋体"/>
                <w:kern w:val="0"/>
                <w:sz w:val="18"/>
                <w:szCs w:val="18"/>
              </w:rPr>
            </w:pPr>
            <w:r>
              <w:rPr>
                <w:rStyle w:val="286"/>
                <w:rFonts w:ascii="宋体" w:hAnsi="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3644F83">
            <w:pPr>
              <w:ind w:left="1" w:leftChars="-51" w:hanging="108"/>
              <w:jc w:val="center"/>
              <w:rPr>
                <w:rStyle w:val="286"/>
                <w:rFonts w:ascii="宋体" w:hAnsi="宋体"/>
                <w:kern w:val="0"/>
                <w:sz w:val="18"/>
                <w:szCs w:val="18"/>
              </w:rPr>
            </w:pPr>
            <w:r>
              <w:rPr>
                <w:rStyle w:val="286"/>
                <w:rFonts w:ascii="宋体" w:hAnsi="宋体"/>
                <w:kern w:val="0"/>
                <w:sz w:val="18"/>
                <w:szCs w:val="18"/>
              </w:rPr>
              <w:t xml:space="preserve">100≤X＜300 </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7C35956">
            <w:pPr>
              <w:jc w:val="center"/>
              <w:rPr>
                <w:rStyle w:val="286"/>
                <w:rFonts w:ascii="宋体" w:hAnsi="宋体"/>
                <w:kern w:val="0"/>
                <w:sz w:val="18"/>
                <w:szCs w:val="18"/>
              </w:rPr>
            </w:pPr>
            <w:r>
              <w:rPr>
                <w:rStyle w:val="286"/>
                <w:rFonts w:ascii="宋体" w:hAnsi="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FB7AA2E">
            <w:pPr>
              <w:jc w:val="center"/>
              <w:rPr>
                <w:rStyle w:val="286"/>
                <w:rFonts w:ascii="宋体" w:hAnsi="宋体"/>
                <w:kern w:val="0"/>
                <w:sz w:val="18"/>
                <w:szCs w:val="18"/>
              </w:rPr>
            </w:pPr>
            <w:r>
              <w:rPr>
                <w:rStyle w:val="286"/>
                <w:rFonts w:ascii="宋体" w:hAnsi="宋体"/>
                <w:kern w:val="0"/>
                <w:sz w:val="18"/>
                <w:szCs w:val="18"/>
              </w:rPr>
              <w:t>X＜10</w:t>
            </w:r>
          </w:p>
        </w:tc>
      </w:tr>
      <w:tr w14:paraId="6C0A3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1F6C4EC5">
            <w:pPr>
              <w:jc w:val="left"/>
              <w:rPr>
                <w:rStyle w:val="286"/>
                <w:rFonts w:ascii="宋体" w:hAnsi="宋体"/>
                <w:spacing w:val="-12"/>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CA81259">
            <w:pPr>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14597BD8">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0AE5549A">
            <w:pPr>
              <w:jc w:val="center"/>
              <w:rPr>
                <w:rStyle w:val="286"/>
                <w:rFonts w:ascii="宋体" w:hAnsi="宋体"/>
                <w:kern w:val="0"/>
                <w:sz w:val="18"/>
                <w:szCs w:val="18"/>
              </w:rPr>
            </w:pPr>
            <w:r>
              <w:rPr>
                <w:rStyle w:val="286"/>
                <w:rFonts w:ascii="宋体" w:hAnsi="宋体"/>
                <w:kern w:val="0"/>
                <w:sz w:val="18"/>
                <w:szCs w:val="18"/>
              </w:rPr>
              <w:t>Y≥10000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66818CC">
            <w:pPr>
              <w:jc w:val="center"/>
              <w:rPr>
                <w:rStyle w:val="286"/>
                <w:rFonts w:ascii="宋体" w:hAnsi="宋体"/>
                <w:kern w:val="0"/>
                <w:sz w:val="18"/>
                <w:szCs w:val="18"/>
              </w:rPr>
            </w:pPr>
            <w:r>
              <w:rPr>
                <w:rStyle w:val="286"/>
                <w:rFonts w:ascii="宋体" w:hAnsi="宋体"/>
                <w:kern w:val="0"/>
                <w:sz w:val="18"/>
                <w:szCs w:val="18"/>
              </w:rPr>
              <w:t>1000≤Y＜10000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686D8106">
            <w:pPr>
              <w:jc w:val="center"/>
              <w:rPr>
                <w:rStyle w:val="286"/>
                <w:rFonts w:ascii="宋体" w:hAnsi="宋体"/>
                <w:kern w:val="0"/>
                <w:sz w:val="18"/>
                <w:szCs w:val="18"/>
              </w:rPr>
            </w:pPr>
            <w:r>
              <w:rPr>
                <w:rStyle w:val="286"/>
                <w:rFonts w:ascii="宋体" w:hAnsi="宋体"/>
                <w:kern w:val="0"/>
                <w:sz w:val="18"/>
                <w:szCs w:val="18"/>
              </w:rPr>
              <w:t>50≤Y＜1000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76D2BB39">
            <w:pPr>
              <w:jc w:val="center"/>
              <w:rPr>
                <w:rStyle w:val="286"/>
                <w:rFonts w:ascii="宋体" w:hAnsi="宋体"/>
                <w:kern w:val="0"/>
                <w:sz w:val="18"/>
                <w:szCs w:val="18"/>
              </w:rPr>
            </w:pPr>
            <w:r>
              <w:rPr>
                <w:rStyle w:val="286"/>
                <w:rFonts w:ascii="宋体" w:hAnsi="宋体"/>
                <w:kern w:val="0"/>
                <w:sz w:val="18"/>
                <w:szCs w:val="18"/>
              </w:rPr>
              <w:t>Y＜50</w:t>
            </w:r>
          </w:p>
        </w:tc>
      </w:tr>
      <w:tr w14:paraId="3742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254E8531">
            <w:pPr>
              <w:spacing w:line="240" w:lineRule="exact"/>
              <w:jc w:val="left"/>
              <w:rPr>
                <w:rStyle w:val="286"/>
                <w:rFonts w:ascii="宋体" w:hAnsi="宋体"/>
                <w:kern w:val="0"/>
                <w:sz w:val="18"/>
                <w:szCs w:val="18"/>
              </w:rPr>
            </w:pPr>
            <w:r>
              <w:rPr>
                <w:rStyle w:val="286"/>
                <w:rFonts w:ascii="宋体" w:hAnsi="宋体"/>
                <w:kern w:val="0"/>
                <w:sz w:val="18"/>
                <w:szCs w:val="18"/>
              </w:rPr>
              <w:t>房地产开发经营</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36BE9270">
            <w:pPr>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42C3D3C0">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74D148FC">
            <w:pPr>
              <w:jc w:val="center"/>
              <w:rPr>
                <w:rStyle w:val="286"/>
                <w:rFonts w:ascii="宋体" w:hAnsi="宋体"/>
                <w:kern w:val="0"/>
                <w:sz w:val="18"/>
                <w:szCs w:val="18"/>
              </w:rPr>
            </w:pPr>
            <w:r>
              <w:rPr>
                <w:rStyle w:val="286"/>
                <w:rFonts w:ascii="宋体" w:hAnsi="宋体"/>
                <w:kern w:val="0"/>
                <w:sz w:val="18"/>
                <w:szCs w:val="18"/>
              </w:rPr>
              <w:t>Y≥200000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0C5FDD92">
            <w:pPr>
              <w:jc w:val="center"/>
              <w:rPr>
                <w:rStyle w:val="286"/>
                <w:rFonts w:ascii="宋体" w:hAnsi="宋体"/>
                <w:kern w:val="0"/>
                <w:sz w:val="18"/>
                <w:szCs w:val="18"/>
              </w:rPr>
            </w:pPr>
            <w:r>
              <w:rPr>
                <w:rStyle w:val="286"/>
                <w:rFonts w:ascii="宋体" w:hAnsi="宋体"/>
                <w:kern w:val="0"/>
                <w:sz w:val="18"/>
                <w:szCs w:val="18"/>
              </w:rPr>
              <w:t>1000≤Y＜200000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D72FA11">
            <w:pPr>
              <w:jc w:val="center"/>
              <w:rPr>
                <w:rStyle w:val="286"/>
                <w:rFonts w:ascii="宋体" w:hAnsi="宋体"/>
                <w:kern w:val="0"/>
                <w:sz w:val="18"/>
                <w:szCs w:val="18"/>
              </w:rPr>
            </w:pPr>
            <w:r>
              <w:rPr>
                <w:rStyle w:val="286"/>
                <w:rFonts w:ascii="宋体" w:hAnsi="宋体"/>
                <w:kern w:val="0"/>
                <w:sz w:val="18"/>
                <w:szCs w:val="18"/>
              </w:rPr>
              <w:t>100≤Y＜1000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FAA6137">
            <w:pPr>
              <w:jc w:val="center"/>
              <w:rPr>
                <w:rStyle w:val="286"/>
                <w:rFonts w:ascii="宋体" w:hAnsi="宋体"/>
                <w:kern w:val="0"/>
                <w:sz w:val="18"/>
                <w:szCs w:val="18"/>
              </w:rPr>
            </w:pPr>
            <w:r>
              <w:rPr>
                <w:rStyle w:val="286"/>
                <w:rFonts w:ascii="宋体" w:hAnsi="宋体"/>
                <w:kern w:val="0"/>
                <w:sz w:val="18"/>
                <w:szCs w:val="18"/>
              </w:rPr>
              <w:t>Y＜100</w:t>
            </w:r>
          </w:p>
        </w:tc>
      </w:tr>
      <w:tr w14:paraId="2CAD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719F75E0">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6D7CC186">
            <w:pPr>
              <w:spacing w:line="240" w:lineRule="exact"/>
              <w:jc w:val="center"/>
              <w:rPr>
                <w:rStyle w:val="286"/>
                <w:rFonts w:ascii="宋体" w:hAnsi="宋体"/>
                <w:kern w:val="0"/>
                <w:sz w:val="18"/>
                <w:szCs w:val="18"/>
              </w:rPr>
            </w:pPr>
            <w:r>
              <w:rPr>
                <w:rStyle w:val="286"/>
                <w:rFonts w:ascii="宋体" w:hAnsi="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34747CEF">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4442537A">
            <w:pPr>
              <w:jc w:val="center"/>
              <w:rPr>
                <w:rStyle w:val="286"/>
                <w:rFonts w:ascii="宋体" w:hAnsi="宋体"/>
                <w:kern w:val="0"/>
                <w:sz w:val="18"/>
                <w:szCs w:val="18"/>
              </w:rPr>
            </w:pPr>
            <w:r>
              <w:rPr>
                <w:rStyle w:val="286"/>
                <w:rFonts w:ascii="宋体" w:hAnsi="宋体"/>
                <w:kern w:val="0"/>
                <w:sz w:val="18"/>
                <w:szCs w:val="18"/>
              </w:rPr>
              <w:t>Z≥10000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155D7569">
            <w:pPr>
              <w:jc w:val="center"/>
              <w:rPr>
                <w:rStyle w:val="286"/>
                <w:rFonts w:ascii="宋体" w:hAnsi="宋体"/>
                <w:kern w:val="0"/>
                <w:sz w:val="18"/>
                <w:szCs w:val="18"/>
              </w:rPr>
            </w:pPr>
            <w:r>
              <w:rPr>
                <w:rStyle w:val="286"/>
                <w:rFonts w:ascii="宋体" w:hAnsi="宋体"/>
                <w:kern w:val="0"/>
                <w:sz w:val="18"/>
                <w:szCs w:val="18"/>
              </w:rPr>
              <w:t>5000≤Z＜10000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554716D">
            <w:pPr>
              <w:jc w:val="center"/>
              <w:rPr>
                <w:rStyle w:val="286"/>
                <w:rFonts w:ascii="宋体" w:hAnsi="宋体"/>
                <w:kern w:val="0"/>
                <w:sz w:val="18"/>
                <w:szCs w:val="18"/>
              </w:rPr>
            </w:pPr>
            <w:r>
              <w:rPr>
                <w:rStyle w:val="286"/>
                <w:rFonts w:ascii="宋体" w:hAnsi="宋体"/>
                <w:kern w:val="0"/>
                <w:sz w:val="18"/>
                <w:szCs w:val="18"/>
              </w:rPr>
              <w:t>2000≤Z＜5000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4B805567">
            <w:pPr>
              <w:jc w:val="center"/>
              <w:rPr>
                <w:rStyle w:val="286"/>
                <w:rFonts w:ascii="宋体" w:hAnsi="宋体"/>
                <w:kern w:val="0"/>
                <w:sz w:val="18"/>
                <w:szCs w:val="18"/>
              </w:rPr>
            </w:pPr>
            <w:r>
              <w:rPr>
                <w:rStyle w:val="286"/>
                <w:rFonts w:ascii="宋体" w:hAnsi="宋体"/>
                <w:kern w:val="0"/>
                <w:sz w:val="18"/>
                <w:szCs w:val="18"/>
              </w:rPr>
              <w:t>Z＜2000</w:t>
            </w:r>
          </w:p>
        </w:tc>
      </w:tr>
      <w:tr w14:paraId="736AF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0EBA4C80">
            <w:pPr>
              <w:spacing w:line="240" w:lineRule="exact"/>
              <w:jc w:val="left"/>
              <w:rPr>
                <w:rStyle w:val="286"/>
                <w:rFonts w:ascii="宋体" w:hAnsi="宋体"/>
                <w:kern w:val="0"/>
                <w:sz w:val="18"/>
                <w:szCs w:val="18"/>
              </w:rPr>
            </w:pPr>
            <w:r>
              <w:rPr>
                <w:rStyle w:val="286"/>
                <w:rFonts w:ascii="宋体" w:hAnsi="宋体"/>
                <w:kern w:val="0"/>
                <w:sz w:val="18"/>
                <w:szCs w:val="18"/>
              </w:rPr>
              <w:t>物业管理</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2C1B819D">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C7C6C79">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603C5E64">
            <w:pPr>
              <w:jc w:val="center"/>
              <w:rPr>
                <w:rStyle w:val="286"/>
                <w:rFonts w:ascii="宋体" w:hAnsi="宋体"/>
                <w:kern w:val="0"/>
                <w:sz w:val="18"/>
                <w:szCs w:val="18"/>
              </w:rPr>
            </w:pPr>
            <w:r>
              <w:rPr>
                <w:rStyle w:val="286"/>
                <w:rFonts w:ascii="宋体" w:hAnsi="宋体"/>
                <w:kern w:val="0"/>
                <w:sz w:val="18"/>
                <w:szCs w:val="18"/>
              </w:rPr>
              <w:t>X≥1000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4BCBF8C5">
            <w:pPr>
              <w:jc w:val="center"/>
              <w:rPr>
                <w:rStyle w:val="286"/>
                <w:rFonts w:ascii="宋体" w:hAnsi="宋体"/>
                <w:kern w:val="0"/>
                <w:sz w:val="18"/>
                <w:szCs w:val="18"/>
              </w:rPr>
            </w:pPr>
            <w:r>
              <w:rPr>
                <w:rStyle w:val="286"/>
                <w:rFonts w:ascii="宋体" w:hAnsi="宋体"/>
                <w:kern w:val="0"/>
                <w:sz w:val="18"/>
                <w:szCs w:val="18"/>
              </w:rPr>
              <w:t>300≤X＜1000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B835467">
            <w:pPr>
              <w:jc w:val="center"/>
              <w:rPr>
                <w:rStyle w:val="286"/>
                <w:rFonts w:ascii="宋体" w:hAnsi="宋体"/>
                <w:kern w:val="0"/>
                <w:sz w:val="18"/>
                <w:szCs w:val="18"/>
              </w:rPr>
            </w:pPr>
            <w:r>
              <w:rPr>
                <w:rStyle w:val="286"/>
                <w:rFonts w:ascii="宋体" w:hAnsi="宋体"/>
                <w:kern w:val="0"/>
                <w:sz w:val="18"/>
                <w:szCs w:val="18"/>
              </w:rPr>
              <w:t>100≤X＜300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5AC1455D">
            <w:pPr>
              <w:jc w:val="center"/>
              <w:rPr>
                <w:rStyle w:val="286"/>
                <w:rFonts w:ascii="宋体" w:hAnsi="宋体"/>
                <w:kern w:val="0"/>
                <w:sz w:val="18"/>
                <w:szCs w:val="18"/>
              </w:rPr>
            </w:pPr>
            <w:r>
              <w:rPr>
                <w:rStyle w:val="286"/>
                <w:rFonts w:ascii="宋体" w:hAnsi="宋体"/>
                <w:kern w:val="0"/>
                <w:sz w:val="18"/>
                <w:szCs w:val="18"/>
              </w:rPr>
              <w:t>X＜100</w:t>
            </w:r>
          </w:p>
        </w:tc>
      </w:tr>
      <w:tr w14:paraId="079D1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65DDFBB5">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3E36F713">
            <w:pPr>
              <w:spacing w:line="240" w:lineRule="exact"/>
              <w:jc w:val="center"/>
              <w:rPr>
                <w:rStyle w:val="286"/>
                <w:rFonts w:ascii="宋体" w:hAnsi="宋体"/>
                <w:kern w:val="0"/>
                <w:sz w:val="18"/>
                <w:szCs w:val="18"/>
              </w:rPr>
            </w:pPr>
            <w:r>
              <w:rPr>
                <w:rStyle w:val="286"/>
                <w:rFonts w:ascii="宋体" w:hAnsi="宋体"/>
                <w:kern w:val="0"/>
                <w:sz w:val="18"/>
                <w:szCs w:val="18"/>
              </w:rPr>
              <w:t>营业收入(Y)</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67654134">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8F66F2A">
            <w:pPr>
              <w:jc w:val="center"/>
              <w:rPr>
                <w:rStyle w:val="286"/>
                <w:rFonts w:ascii="宋体" w:hAnsi="宋体"/>
                <w:kern w:val="0"/>
                <w:sz w:val="18"/>
                <w:szCs w:val="18"/>
              </w:rPr>
            </w:pPr>
            <w:r>
              <w:rPr>
                <w:rStyle w:val="286"/>
                <w:rFonts w:ascii="宋体" w:hAnsi="宋体"/>
                <w:kern w:val="0"/>
                <w:sz w:val="18"/>
                <w:szCs w:val="18"/>
              </w:rPr>
              <w:t>Y≥5000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78B0C286">
            <w:pPr>
              <w:ind w:left="1" w:leftChars="-51" w:hanging="108"/>
              <w:jc w:val="center"/>
              <w:rPr>
                <w:rStyle w:val="286"/>
                <w:rFonts w:ascii="宋体" w:hAnsi="宋体"/>
                <w:kern w:val="0"/>
                <w:sz w:val="18"/>
                <w:szCs w:val="18"/>
              </w:rPr>
            </w:pPr>
            <w:r>
              <w:rPr>
                <w:rStyle w:val="286"/>
                <w:rFonts w:ascii="宋体" w:hAnsi="宋体"/>
                <w:kern w:val="0"/>
                <w:sz w:val="18"/>
                <w:szCs w:val="18"/>
              </w:rPr>
              <w:t>1000≤Y＜5000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D05E685">
            <w:pPr>
              <w:jc w:val="center"/>
              <w:rPr>
                <w:rStyle w:val="286"/>
                <w:rFonts w:ascii="宋体" w:hAnsi="宋体"/>
                <w:kern w:val="0"/>
                <w:sz w:val="18"/>
                <w:szCs w:val="18"/>
              </w:rPr>
            </w:pPr>
            <w:r>
              <w:rPr>
                <w:rStyle w:val="286"/>
                <w:rFonts w:ascii="宋体" w:hAnsi="宋体"/>
                <w:kern w:val="0"/>
                <w:sz w:val="18"/>
                <w:szCs w:val="18"/>
              </w:rPr>
              <w:t>500≤Y＜1000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6272EC9B">
            <w:pPr>
              <w:jc w:val="center"/>
              <w:rPr>
                <w:rStyle w:val="286"/>
                <w:rFonts w:ascii="宋体" w:hAnsi="宋体"/>
                <w:kern w:val="0"/>
                <w:sz w:val="18"/>
                <w:szCs w:val="18"/>
              </w:rPr>
            </w:pPr>
            <w:r>
              <w:rPr>
                <w:rStyle w:val="286"/>
                <w:rFonts w:ascii="宋体" w:hAnsi="宋体"/>
                <w:kern w:val="0"/>
                <w:sz w:val="18"/>
                <w:szCs w:val="18"/>
              </w:rPr>
              <w:t>Y＜500</w:t>
            </w:r>
          </w:p>
        </w:tc>
      </w:tr>
      <w:tr w14:paraId="2337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noWrap/>
            <w:vAlign w:val="center"/>
          </w:tcPr>
          <w:p w14:paraId="39293982">
            <w:pPr>
              <w:spacing w:line="240" w:lineRule="exact"/>
              <w:jc w:val="left"/>
              <w:rPr>
                <w:rStyle w:val="286"/>
                <w:rFonts w:ascii="宋体" w:hAnsi="宋体"/>
                <w:kern w:val="0"/>
                <w:sz w:val="18"/>
                <w:szCs w:val="18"/>
              </w:rPr>
            </w:pPr>
            <w:r>
              <w:rPr>
                <w:rStyle w:val="286"/>
                <w:rFonts w:ascii="宋体" w:hAnsi="宋体"/>
                <w:kern w:val="0"/>
                <w:sz w:val="18"/>
                <w:szCs w:val="18"/>
              </w:rPr>
              <w:t>租赁和商务服务业</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79563EE5">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2165E1C7">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A623AE4">
            <w:pPr>
              <w:jc w:val="center"/>
              <w:rPr>
                <w:rStyle w:val="286"/>
                <w:rFonts w:ascii="宋体" w:hAnsi="宋体"/>
                <w:kern w:val="0"/>
                <w:sz w:val="18"/>
                <w:szCs w:val="18"/>
              </w:rPr>
            </w:pPr>
            <w:r>
              <w:rPr>
                <w:rStyle w:val="286"/>
                <w:rFonts w:ascii="宋体" w:hAnsi="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31DB55A9">
            <w:pPr>
              <w:ind w:left="1" w:leftChars="-51" w:hanging="108"/>
              <w:jc w:val="center"/>
              <w:rPr>
                <w:rStyle w:val="286"/>
                <w:rFonts w:ascii="宋体" w:hAnsi="宋体"/>
                <w:kern w:val="0"/>
                <w:sz w:val="18"/>
                <w:szCs w:val="18"/>
              </w:rPr>
            </w:pPr>
            <w:r>
              <w:rPr>
                <w:rStyle w:val="286"/>
                <w:rFonts w:ascii="宋体" w:hAnsi="宋体"/>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0614D8D">
            <w:pPr>
              <w:jc w:val="center"/>
              <w:rPr>
                <w:rStyle w:val="286"/>
                <w:rFonts w:ascii="宋体" w:hAnsi="宋体"/>
                <w:kern w:val="0"/>
                <w:sz w:val="18"/>
                <w:szCs w:val="18"/>
              </w:rPr>
            </w:pPr>
            <w:r>
              <w:rPr>
                <w:rStyle w:val="286"/>
                <w:rFonts w:ascii="宋体" w:hAnsi="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1FCA0D7D">
            <w:pPr>
              <w:jc w:val="center"/>
              <w:rPr>
                <w:rStyle w:val="286"/>
                <w:rFonts w:ascii="宋体" w:hAnsi="宋体"/>
                <w:kern w:val="0"/>
                <w:sz w:val="18"/>
                <w:szCs w:val="18"/>
              </w:rPr>
            </w:pPr>
            <w:r>
              <w:rPr>
                <w:rStyle w:val="286"/>
                <w:rFonts w:ascii="宋体" w:hAnsi="宋体"/>
                <w:kern w:val="0"/>
                <w:sz w:val="18"/>
                <w:szCs w:val="18"/>
              </w:rPr>
              <w:t>X＜10</w:t>
            </w:r>
          </w:p>
        </w:tc>
      </w:tr>
      <w:tr w14:paraId="5FD5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noWrap/>
            <w:vAlign w:val="center"/>
          </w:tcPr>
          <w:p w14:paraId="6BC843CA">
            <w:pPr>
              <w:jc w:val="left"/>
              <w:rPr>
                <w:rStyle w:val="286"/>
                <w:rFonts w:ascii="宋体" w:hAnsi="宋体"/>
                <w:kern w:val="0"/>
                <w:sz w:val="18"/>
                <w:szCs w:val="18"/>
              </w:rPr>
            </w:pP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5BD1FCA1">
            <w:pPr>
              <w:spacing w:line="240" w:lineRule="exact"/>
              <w:jc w:val="center"/>
              <w:rPr>
                <w:rStyle w:val="286"/>
                <w:rFonts w:ascii="宋体" w:hAnsi="宋体"/>
                <w:kern w:val="0"/>
                <w:sz w:val="18"/>
                <w:szCs w:val="18"/>
              </w:rPr>
            </w:pPr>
            <w:r>
              <w:rPr>
                <w:rStyle w:val="286"/>
                <w:rFonts w:ascii="宋体" w:hAnsi="宋体"/>
                <w:kern w:val="0"/>
                <w:sz w:val="18"/>
                <w:szCs w:val="18"/>
              </w:rPr>
              <w:t>资产总额(Z)</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F5D901E">
            <w:pPr>
              <w:jc w:val="center"/>
              <w:rPr>
                <w:rStyle w:val="286"/>
                <w:rFonts w:ascii="宋体" w:hAnsi="宋体"/>
                <w:kern w:val="0"/>
                <w:sz w:val="18"/>
                <w:szCs w:val="18"/>
              </w:rPr>
            </w:pPr>
            <w:r>
              <w:rPr>
                <w:rStyle w:val="286"/>
                <w:rFonts w:ascii="宋体" w:hAnsi="宋体"/>
                <w:kern w:val="0"/>
                <w:sz w:val="18"/>
                <w:szCs w:val="18"/>
              </w:rPr>
              <w:t>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32B73687">
            <w:pPr>
              <w:jc w:val="center"/>
              <w:rPr>
                <w:rStyle w:val="286"/>
                <w:rFonts w:ascii="宋体" w:hAnsi="宋体"/>
                <w:kern w:val="0"/>
                <w:sz w:val="18"/>
                <w:szCs w:val="18"/>
              </w:rPr>
            </w:pPr>
            <w:r>
              <w:rPr>
                <w:rStyle w:val="286"/>
                <w:rFonts w:ascii="宋体" w:hAnsi="宋体"/>
                <w:kern w:val="0"/>
                <w:sz w:val="18"/>
                <w:szCs w:val="18"/>
              </w:rPr>
              <w:t>Z≥120000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CDCEF86">
            <w:pPr>
              <w:jc w:val="center"/>
              <w:rPr>
                <w:rStyle w:val="286"/>
                <w:rFonts w:ascii="宋体" w:hAnsi="宋体"/>
                <w:kern w:val="0"/>
                <w:sz w:val="18"/>
                <w:szCs w:val="18"/>
              </w:rPr>
            </w:pPr>
            <w:r>
              <w:rPr>
                <w:rStyle w:val="286"/>
                <w:rFonts w:ascii="宋体" w:hAnsi="宋体"/>
                <w:kern w:val="0"/>
                <w:sz w:val="18"/>
                <w:szCs w:val="18"/>
              </w:rPr>
              <w:t>8000≤Z＜120000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22F9312">
            <w:pPr>
              <w:jc w:val="center"/>
              <w:rPr>
                <w:rStyle w:val="286"/>
                <w:rFonts w:ascii="宋体" w:hAnsi="宋体"/>
                <w:kern w:val="0"/>
                <w:sz w:val="18"/>
                <w:szCs w:val="18"/>
              </w:rPr>
            </w:pPr>
            <w:r>
              <w:rPr>
                <w:rStyle w:val="286"/>
                <w:rFonts w:ascii="宋体" w:hAnsi="宋体"/>
                <w:kern w:val="0"/>
                <w:sz w:val="18"/>
                <w:szCs w:val="18"/>
              </w:rPr>
              <w:t>100≤Z＜8000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DE4BB26">
            <w:pPr>
              <w:jc w:val="center"/>
              <w:rPr>
                <w:rStyle w:val="286"/>
                <w:rFonts w:ascii="宋体" w:hAnsi="宋体"/>
                <w:kern w:val="0"/>
                <w:sz w:val="18"/>
                <w:szCs w:val="18"/>
              </w:rPr>
            </w:pPr>
            <w:r>
              <w:rPr>
                <w:rStyle w:val="286"/>
                <w:rFonts w:ascii="宋体" w:hAnsi="宋体"/>
                <w:kern w:val="0"/>
                <w:sz w:val="18"/>
                <w:szCs w:val="18"/>
              </w:rPr>
              <w:t>Z＜100</w:t>
            </w:r>
          </w:p>
        </w:tc>
      </w:tr>
      <w:tr w14:paraId="30E0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noWrap/>
            <w:vAlign w:val="center"/>
          </w:tcPr>
          <w:p w14:paraId="215D5516">
            <w:pPr>
              <w:spacing w:line="240" w:lineRule="exact"/>
              <w:jc w:val="left"/>
              <w:rPr>
                <w:rStyle w:val="286"/>
                <w:rFonts w:ascii="宋体" w:hAnsi="宋体"/>
                <w:kern w:val="0"/>
                <w:sz w:val="18"/>
                <w:szCs w:val="18"/>
              </w:rPr>
            </w:pPr>
            <w:r>
              <w:rPr>
                <w:rStyle w:val="286"/>
                <w:rFonts w:ascii="宋体" w:hAnsi="宋体"/>
                <w:kern w:val="0"/>
                <w:sz w:val="18"/>
                <w:szCs w:val="18"/>
              </w:rPr>
              <w:t>其他未列明行业 *</w:t>
            </w:r>
          </w:p>
        </w:tc>
        <w:tc>
          <w:tcPr>
            <w:tcW w:w="1369" w:type="dxa"/>
            <w:tcBorders>
              <w:top w:val="single" w:color="000000" w:sz="4" w:space="0"/>
              <w:left w:val="single" w:color="000000" w:sz="4" w:space="0"/>
              <w:bottom w:val="single" w:color="000000" w:sz="4" w:space="0"/>
              <w:right w:val="single" w:color="000000" w:sz="4" w:space="0"/>
            </w:tcBorders>
            <w:noWrap/>
            <w:vAlign w:val="center"/>
          </w:tcPr>
          <w:p w14:paraId="1C566C14">
            <w:pPr>
              <w:jc w:val="center"/>
              <w:rPr>
                <w:rStyle w:val="286"/>
                <w:rFonts w:ascii="宋体" w:hAnsi="宋体"/>
                <w:kern w:val="0"/>
                <w:sz w:val="18"/>
                <w:szCs w:val="18"/>
              </w:rPr>
            </w:pPr>
            <w:r>
              <w:rPr>
                <w:rStyle w:val="286"/>
                <w:rFonts w:ascii="宋体" w:hAnsi="宋体"/>
                <w:kern w:val="0"/>
                <w:sz w:val="18"/>
                <w:szCs w:val="18"/>
              </w:rPr>
              <w:t>从业人员(X)</w:t>
            </w:r>
          </w:p>
        </w:tc>
        <w:tc>
          <w:tcPr>
            <w:tcW w:w="709" w:type="dxa"/>
            <w:tcBorders>
              <w:top w:val="single" w:color="000000" w:sz="4" w:space="0"/>
              <w:left w:val="single" w:color="000000" w:sz="4" w:space="0"/>
              <w:bottom w:val="single" w:color="000000" w:sz="4" w:space="0"/>
              <w:right w:val="single" w:color="000000" w:sz="4" w:space="0"/>
            </w:tcBorders>
            <w:noWrap/>
            <w:vAlign w:val="center"/>
          </w:tcPr>
          <w:p w14:paraId="029E1BA3">
            <w:pPr>
              <w:jc w:val="center"/>
              <w:rPr>
                <w:rStyle w:val="286"/>
                <w:rFonts w:ascii="宋体" w:hAnsi="宋体"/>
                <w:kern w:val="0"/>
                <w:sz w:val="18"/>
                <w:szCs w:val="18"/>
              </w:rPr>
            </w:pPr>
            <w:r>
              <w:rPr>
                <w:rStyle w:val="286"/>
                <w:rFonts w:ascii="宋体" w:hAnsi="宋体"/>
                <w:kern w:val="0"/>
                <w:sz w:val="18"/>
                <w:szCs w:val="18"/>
              </w:rPr>
              <w:t>人</w:t>
            </w:r>
          </w:p>
        </w:tc>
        <w:tc>
          <w:tcPr>
            <w:tcW w:w="1125" w:type="dxa"/>
            <w:tcBorders>
              <w:top w:val="single" w:color="000000" w:sz="4" w:space="0"/>
              <w:left w:val="single" w:color="000000" w:sz="4" w:space="0"/>
              <w:bottom w:val="single" w:color="000000" w:sz="4" w:space="0"/>
              <w:right w:val="single" w:color="000000" w:sz="4" w:space="0"/>
            </w:tcBorders>
            <w:noWrap/>
            <w:vAlign w:val="center"/>
          </w:tcPr>
          <w:p w14:paraId="55360955">
            <w:pPr>
              <w:jc w:val="center"/>
              <w:rPr>
                <w:rStyle w:val="286"/>
                <w:rFonts w:ascii="宋体" w:hAnsi="宋体"/>
                <w:kern w:val="0"/>
                <w:sz w:val="18"/>
                <w:szCs w:val="18"/>
              </w:rPr>
            </w:pPr>
            <w:r>
              <w:rPr>
                <w:rStyle w:val="286"/>
                <w:rFonts w:ascii="宋体" w:hAnsi="宋体"/>
                <w:kern w:val="0"/>
                <w:sz w:val="18"/>
                <w:szCs w:val="18"/>
              </w:rPr>
              <w:t>X≥300</w:t>
            </w:r>
          </w:p>
        </w:tc>
        <w:tc>
          <w:tcPr>
            <w:tcW w:w="1701" w:type="dxa"/>
            <w:tcBorders>
              <w:top w:val="single" w:color="000000" w:sz="4" w:space="0"/>
              <w:left w:val="single" w:color="000000" w:sz="4" w:space="0"/>
              <w:bottom w:val="single" w:color="000000" w:sz="4" w:space="0"/>
              <w:right w:val="single" w:color="000000" w:sz="4" w:space="0"/>
            </w:tcBorders>
            <w:noWrap/>
            <w:vAlign w:val="center"/>
          </w:tcPr>
          <w:p w14:paraId="599430F8">
            <w:pPr>
              <w:ind w:left="1" w:leftChars="-51" w:hanging="108"/>
              <w:jc w:val="center"/>
              <w:rPr>
                <w:rStyle w:val="286"/>
                <w:rFonts w:ascii="宋体" w:hAnsi="宋体"/>
                <w:kern w:val="0"/>
                <w:sz w:val="18"/>
                <w:szCs w:val="18"/>
              </w:rPr>
            </w:pPr>
            <w:r>
              <w:rPr>
                <w:rStyle w:val="286"/>
                <w:rFonts w:ascii="宋体" w:hAnsi="宋体"/>
                <w:kern w:val="0"/>
                <w:sz w:val="18"/>
                <w:szCs w:val="18"/>
              </w:rPr>
              <w:t>100≤X＜300</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11CFC9E2">
            <w:pPr>
              <w:jc w:val="center"/>
              <w:rPr>
                <w:rStyle w:val="286"/>
                <w:rFonts w:ascii="宋体" w:hAnsi="宋体"/>
                <w:kern w:val="0"/>
                <w:sz w:val="18"/>
                <w:szCs w:val="18"/>
              </w:rPr>
            </w:pPr>
            <w:r>
              <w:rPr>
                <w:rStyle w:val="286"/>
                <w:rFonts w:ascii="宋体" w:hAnsi="宋体"/>
                <w:kern w:val="0"/>
                <w:sz w:val="18"/>
                <w:szCs w:val="18"/>
              </w:rPr>
              <w:t>10≤X＜100</w:t>
            </w:r>
          </w:p>
        </w:tc>
        <w:tc>
          <w:tcPr>
            <w:tcW w:w="992" w:type="dxa"/>
            <w:tcBorders>
              <w:top w:val="single" w:color="000000" w:sz="4" w:space="0"/>
              <w:left w:val="single" w:color="000000" w:sz="4" w:space="0"/>
              <w:bottom w:val="single" w:color="000000" w:sz="4" w:space="0"/>
              <w:right w:val="single" w:color="000000" w:sz="4" w:space="0"/>
            </w:tcBorders>
            <w:noWrap/>
            <w:vAlign w:val="center"/>
          </w:tcPr>
          <w:p w14:paraId="3759E51A">
            <w:pPr>
              <w:jc w:val="center"/>
              <w:rPr>
                <w:rStyle w:val="286"/>
                <w:rFonts w:ascii="宋体" w:hAnsi="宋体"/>
                <w:kern w:val="0"/>
                <w:sz w:val="18"/>
                <w:szCs w:val="18"/>
              </w:rPr>
            </w:pPr>
            <w:r>
              <w:rPr>
                <w:rStyle w:val="286"/>
                <w:rFonts w:ascii="宋体" w:hAnsi="宋体"/>
                <w:kern w:val="0"/>
                <w:sz w:val="18"/>
                <w:szCs w:val="18"/>
              </w:rPr>
              <w:t>X＜10</w:t>
            </w:r>
          </w:p>
        </w:tc>
      </w:tr>
    </w:tbl>
    <w:p w14:paraId="14A36B94">
      <w:pPr>
        <w:spacing w:line="540" w:lineRule="exact"/>
        <w:rPr>
          <w:rStyle w:val="286"/>
          <w:rFonts w:ascii="宋体" w:hAnsi="宋体"/>
          <w:spacing w:val="8"/>
          <w:kern w:val="0"/>
          <w:szCs w:val="21"/>
        </w:rPr>
      </w:pPr>
    </w:p>
    <w:p w14:paraId="75BC1D12">
      <w:pPr>
        <w:spacing w:line="540" w:lineRule="exact"/>
        <w:rPr>
          <w:rStyle w:val="286"/>
          <w:rFonts w:ascii="宋体" w:hAnsi="宋体"/>
          <w:spacing w:val="8"/>
          <w:kern w:val="0"/>
          <w:szCs w:val="21"/>
        </w:rPr>
      </w:pPr>
      <w:r>
        <w:rPr>
          <w:rStyle w:val="286"/>
          <w:rFonts w:ascii="宋体" w:hAnsi="宋体"/>
          <w:spacing w:val="8"/>
          <w:kern w:val="0"/>
          <w:szCs w:val="21"/>
        </w:rPr>
        <w:t>说明：</w:t>
      </w:r>
    </w:p>
    <w:p w14:paraId="2D5E1CF0">
      <w:pPr>
        <w:pStyle w:val="405"/>
        <w:spacing w:line="380" w:lineRule="exact"/>
        <w:ind w:firstLine="452" w:firstLineChars="200"/>
        <w:rPr>
          <w:rStyle w:val="286"/>
          <w:rFonts w:hAnsi="宋体"/>
          <w:spacing w:val="8"/>
          <w:szCs w:val="21"/>
        </w:rPr>
      </w:pPr>
      <w:r>
        <w:rPr>
          <w:rStyle w:val="286"/>
          <w:rFonts w:hAnsi="宋体"/>
          <w:spacing w:val="8"/>
          <w:szCs w:val="21"/>
        </w:rPr>
        <w:t>1.大型、中型和小型企业须同时满足所列指标的下限，否则下划一档；微型企业只须满足所列指标中的一项即可。</w:t>
      </w:r>
    </w:p>
    <w:p w14:paraId="688B8D67">
      <w:pPr>
        <w:pStyle w:val="405"/>
        <w:spacing w:line="380" w:lineRule="exact"/>
        <w:ind w:firstLine="452" w:firstLineChars="200"/>
        <w:rPr>
          <w:rStyle w:val="286"/>
          <w:rFonts w:hAnsi="宋体"/>
          <w:spacing w:val="8"/>
          <w:szCs w:val="21"/>
        </w:rPr>
      </w:pPr>
      <w:r>
        <w:rPr>
          <w:rStyle w:val="286"/>
          <w:rFonts w:hAnsi="宋体"/>
          <w:spacing w:val="8"/>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62E828EF">
      <w:pPr>
        <w:spacing w:line="400" w:lineRule="exact"/>
        <w:ind w:firstLine="452" w:firstLineChars="200"/>
        <w:rPr>
          <w:rStyle w:val="286"/>
          <w:rFonts w:hAnsi="宋体"/>
          <w:spacing w:val="8"/>
          <w:szCs w:val="21"/>
        </w:rPr>
      </w:pPr>
      <w:r>
        <w:rPr>
          <w:rStyle w:val="286"/>
          <w:rFonts w:hAnsi="宋体"/>
          <w:spacing w:val="8"/>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2B7C751">
      <w:pPr>
        <w:spacing w:line="400" w:lineRule="exact"/>
        <w:ind w:firstLine="452" w:firstLineChars="200"/>
        <w:rPr>
          <w:rStyle w:val="286"/>
          <w:rFonts w:hAnsi="宋体"/>
          <w:spacing w:val="8"/>
          <w:szCs w:val="21"/>
        </w:rPr>
      </w:pPr>
    </w:p>
    <w:p w14:paraId="10291519">
      <w:pPr>
        <w:spacing w:line="400" w:lineRule="exact"/>
        <w:ind w:firstLine="452" w:firstLineChars="200"/>
        <w:rPr>
          <w:rStyle w:val="286"/>
          <w:rFonts w:hAnsi="宋体"/>
          <w:spacing w:val="8"/>
          <w:szCs w:val="21"/>
        </w:rPr>
      </w:pPr>
    </w:p>
    <w:p w14:paraId="647C5327">
      <w:pPr>
        <w:spacing w:line="400" w:lineRule="exact"/>
        <w:ind w:firstLine="452" w:firstLineChars="200"/>
        <w:rPr>
          <w:rStyle w:val="286"/>
          <w:rFonts w:hAnsi="宋体"/>
          <w:spacing w:val="8"/>
          <w:szCs w:val="21"/>
        </w:rPr>
      </w:pPr>
    </w:p>
    <w:p w14:paraId="1945F5A4">
      <w:pPr>
        <w:spacing w:line="400" w:lineRule="exact"/>
        <w:ind w:firstLine="452" w:firstLineChars="200"/>
        <w:rPr>
          <w:rStyle w:val="286"/>
          <w:rFonts w:hAnsi="宋体"/>
          <w:spacing w:val="8"/>
          <w:szCs w:val="21"/>
        </w:rPr>
      </w:pPr>
    </w:p>
    <w:p w14:paraId="4A0FA5EA">
      <w:pPr>
        <w:spacing w:line="400" w:lineRule="exact"/>
        <w:ind w:firstLine="452" w:firstLineChars="200"/>
        <w:rPr>
          <w:rStyle w:val="286"/>
          <w:rFonts w:hAnsi="宋体"/>
          <w:spacing w:val="8"/>
          <w:szCs w:val="21"/>
        </w:rPr>
      </w:pPr>
    </w:p>
    <w:p w14:paraId="2207ABF6">
      <w:pPr>
        <w:spacing w:line="360" w:lineRule="exact"/>
        <w:ind w:firstLine="643" w:firstLineChars="200"/>
        <w:rPr>
          <w:rFonts w:ascii="宋体" w:hAnsi="宋体" w:cs="宋体"/>
          <w:b/>
          <w:bCs/>
          <w:kern w:val="0"/>
          <w:sz w:val="32"/>
          <w:szCs w:val="32"/>
        </w:rPr>
      </w:pPr>
      <w:r>
        <w:rPr>
          <w:rFonts w:hint="eastAsia" w:ascii="宋体" w:hAnsi="宋体" w:cs="宋体"/>
          <w:b/>
          <w:bCs/>
          <w:kern w:val="0"/>
          <w:sz w:val="32"/>
          <w:szCs w:val="32"/>
        </w:rPr>
        <w:t>10、供应商在最近5年中（所完成项目的交竣工日期在2019年</w:t>
      </w:r>
      <w:r>
        <w:rPr>
          <w:rFonts w:hint="eastAsia" w:ascii="宋体" w:hAnsi="宋体" w:cs="宋体"/>
          <w:b/>
          <w:bCs/>
          <w:color w:val="auto"/>
          <w:kern w:val="0"/>
          <w:sz w:val="32"/>
          <w:szCs w:val="32"/>
          <w:lang w:val="en-US" w:eastAsia="zh-CN"/>
        </w:rPr>
        <w:t>7</w:t>
      </w:r>
      <w:r>
        <w:rPr>
          <w:rFonts w:hint="eastAsia" w:ascii="宋体" w:hAnsi="宋体" w:cs="宋体"/>
          <w:b/>
          <w:bCs/>
          <w:color w:val="auto"/>
          <w:kern w:val="0"/>
          <w:sz w:val="32"/>
          <w:szCs w:val="32"/>
        </w:rPr>
        <w:t>月1日</w:t>
      </w:r>
      <w:r>
        <w:rPr>
          <w:rFonts w:hint="eastAsia" w:ascii="宋体" w:hAnsi="宋体" w:cs="宋体"/>
          <w:b/>
          <w:bCs/>
          <w:kern w:val="0"/>
          <w:sz w:val="32"/>
          <w:szCs w:val="32"/>
        </w:rPr>
        <w:t>之后）按单个合同段成功完成过危旧桥加固改造工程（或新建桥梁）施工，或累计成功完成过1座（或以上）的危旧桥加固改造工程（或新建桥梁）施工，或成功完成过2座10米（或以上）长度（或跨径）大（或中、小桥）的危旧桥加固改造工程（或新建桥梁）施工。（必须提供）</w:t>
      </w:r>
    </w:p>
    <w:p w14:paraId="343F39DB">
      <w:pPr>
        <w:tabs>
          <w:tab w:val="left" w:pos="1305"/>
        </w:tabs>
        <w:spacing w:line="360" w:lineRule="exact"/>
        <w:ind w:firstLine="643" w:firstLineChars="200"/>
        <w:rPr>
          <w:rFonts w:ascii="宋体" w:hAnsi="宋体" w:cs="宋体"/>
          <w:b/>
          <w:bCs/>
          <w:kern w:val="0"/>
          <w:sz w:val="32"/>
          <w:szCs w:val="32"/>
        </w:rPr>
      </w:pPr>
      <w:r>
        <w:rPr>
          <w:rFonts w:hint="eastAsia" w:ascii="宋体" w:hAnsi="宋体" w:cs="宋体"/>
          <w:b/>
          <w:bCs/>
          <w:kern w:val="0"/>
          <w:sz w:val="32"/>
          <w:szCs w:val="32"/>
        </w:rPr>
        <w:t>（注：业绩规模应与项目规模类似，且业绩桥梁分类应与项目桥梁分类类似。成功完成是指工程按《公路工程竣（交）工验收办法》交工验收或竣工验收通过）。</w:t>
      </w:r>
    </w:p>
    <w:p w14:paraId="5B5FCBC8">
      <w:pPr>
        <w:spacing w:line="400" w:lineRule="exact"/>
        <w:ind w:firstLine="452" w:firstLineChars="200"/>
        <w:rPr>
          <w:rStyle w:val="286"/>
          <w:rFonts w:hAnsi="宋体"/>
          <w:spacing w:val="8"/>
          <w:szCs w:val="21"/>
        </w:rPr>
        <w:sectPr>
          <w:pgSz w:w="11911" w:h="16849"/>
          <w:pgMar w:top="1417" w:right="1417" w:bottom="1417" w:left="1417" w:header="720" w:footer="720" w:gutter="0"/>
          <w:cols w:space="720" w:num="1"/>
          <w:docGrid w:linePitch="286" w:charSpace="0"/>
        </w:sectPr>
      </w:pPr>
    </w:p>
    <w:p w14:paraId="578F23A1">
      <w:pPr>
        <w:tabs>
          <w:tab w:val="left" w:pos="1080"/>
        </w:tabs>
        <w:jc w:val="center"/>
        <w:rPr>
          <w:rFonts w:ascii="黑体" w:hAnsi="宋体" w:eastAsia="黑体"/>
          <w:sz w:val="32"/>
          <w:szCs w:val="32"/>
        </w:rPr>
      </w:pPr>
      <w:r>
        <w:rPr>
          <w:rFonts w:hint="eastAsia" w:ascii="宋体" w:hAnsi="宋体" w:cs="宋体"/>
          <w:b/>
          <w:bCs/>
          <w:sz w:val="32"/>
          <w:szCs w:val="32"/>
        </w:rPr>
        <w:t>（二）符合性响应证明材料目录</w:t>
      </w:r>
    </w:p>
    <w:p w14:paraId="08458A81">
      <w:pPr>
        <w:tabs>
          <w:tab w:val="left" w:pos="1080"/>
        </w:tabs>
        <w:jc w:val="center"/>
        <w:rPr>
          <w:rFonts w:ascii="黑体" w:hAnsi="宋体" w:eastAsia="黑体"/>
          <w:sz w:val="30"/>
          <w:szCs w:val="30"/>
        </w:rPr>
      </w:pPr>
    </w:p>
    <w:p w14:paraId="23A93670">
      <w:pPr>
        <w:tabs>
          <w:tab w:val="left" w:pos="1080"/>
        </w:tabs>
        <w:jc w:val="center"/>
        <w:rPr>
          <w:rFonts w:ascii="宋体" w:hAnsi="宋体" w:cs="宋体"/>
          <w:b/>
          <w:bCs/>
          <w:sz w:val="32"/>
          <w:szCs w:val="32"/>
        </w:rPr>
      </w:pPr>
      <w:r>
        <w:rPr>
          <w:rFonts w:hint="eastAsia" w:ascii="宋体" w:hAnsi="宋体" w:cs="宋体"/>
          <w:b/>
          <w:bCs/>
          <w:sz w:val="32"/>
          <w:szCs w:val="32"/>
        </w:rPr>
        <w:t>一、响应函</w:t>
      </w:r>
    </w:p>
    <w:p w14:paraId="7CEA3204">
      <w:pPr>
        <w:pStyle w:val="26"/>
        <w:spacing w:line="440" w:lineRule="exact"/>
        <w:rPr>
          <w:rFonts w:hAnsi="宋体"/>
          <w:sz w:val="24"/>
          <w:szCs w:val="24"/>
        </w:rPr>
      </w:pPr>
      <w:r>
        <w:rPr>
          <w:rFonts w:hint="eastAsia" w:hAnsi="宋体"/>
          <w:sz w:val="24"/>
          <w:szCs w:val="24"/>
        </w:rPr>
        <w:t>：</w:t>
      </w:r>
    </w:p>
    <w:p w14:paraId="24DD5457">
      <w:pPr>
        <w:pStyle w:val="26"/>
        <w:spacing w:line="440" w:lineRule="exact"/>
        <w:ind w:firstLine="420"/>
        <w:rPr>
          <w:rFonts w:hAnsi="宋体" w:cs="宋体"/>
          <w:sz w:val="24"/>
          <w:szCs w:val="24"/>
        </w:rPr>
      </w:pPr>
      <w:r>
        <w:rPr>
          <w:rFonts w:hint="eastAsia" w:hAnsi="宋体" w:cs="宋体"/>
          <w:sz w:val="24"/>
          <w:szCs w:val="24"/>
        </w:rPr>
        <w:t xml:space="preserve">根据贵方项目竞争性磋商文件，项目编号：，签字代表（姓名）经正式授权并代表供应商 </w:t>
      </w:r>
      <w:r>
        <w:rPr>
          <w:rFonts w:hint="eastAsia" w:hAnsi="宋体" w:cs="宋体"/>
          <w:sz w:val="24"/>
          <w:szCs w:val="24"/>
          <w:u w:val="single"/>
        </w:rPr>
        <w:t xml:space="preserve">                                   （</w:t>
      </w:r>
      <w:r>
        <w:rPr>
          <w:rFonts w:hint="eastAsia" w:hAnsi="宋体" w:cs="宋体"/>
          <w:sz w:val="24"/>
          <w:szCs w:val="24"/>
        </w:rPr>
        <w:t>供应商单位名称），提交电子响应文件。</w:t>
      </w:r>
    </w:p>
    <w:p w14:paraId="04AC9FAD">
      <w:pPr>
        <w:numPr>
          <w:ilvl w:val="0"/>
          <w:numId w:val="15"/>
        </w:numPr>
        <w:tabs>
          <w:tab w:val="left" w:pos="900"/>
          <w:tab w:val="clear" w:pos="990"/>
        </w:tabs>
        <w:wordWrap w:val="0"/>
        <w:snapToGrid w:val="0"/>
        <w:spacing w:line="440" w:lineRule="exact"/>
        <w:ind w:left="0" w:firstLine="480" w:firstLineChars="200"/>
        <w:rPr>
          <w:sz w:val="24"/>
        </w:rPr>
      </w:pPr>
      <w:r>
        <w:rPr>
          <w:rFonts w:hint="eastAsia"/>
          <w:sz w:val="24"/>
        </w:rPr>
        <w:t>我方已仔细研究</w:t>
      </w:r>
      <w:r>
        <w:rPr>
          <w:rFonts w:hint="eastAsia" w:ascii="宋体" w:hAnsi="宋体"/>
          <w:sz w:val="24"/>
        </w:rPr>
        <w:t>了</w:t>
      </w:r>
      <w:r>
        <w:rPr>
          <w:rFonts w:hint="eastAsia"/>
          <w:sz w:val="24"/>
          <w:u w:val="single"/>
        </w:rPr>
        <w:t xml:space="preserve">           （项目名称）</w:t>
      </w:r>
      <w:r>
        <w:rPr>
          <w:rFonts w:hint="eastAsia"/>
          <w:sz w:val="24"/>
        </w:rPr>
        <w:t>磋商文件的全部内容，</w:t>
      </w:r>
      <w:r>
        <w:rPr>
          <w:rFonts w:hint="eastAsia" w:ascii="宋体" w:hAnsi="宋体" w:cs="宋体"/>
          <w:sz w:val="24"/>
          <w:lang w:bidi="zh-CN"/>
        </w:rPr>
        <w:t>愿意以人民币（大写）元（¥）的磋商报价（或根据竞争性磋商采购文件规定修正核实后确定的另一金额)</w:t>
      </w:r>
      <w:r>
        <w:rPr>
          <w:rFonts w:hint="eastAsia"/>
          <w:sz w:val="24"/>
        </w:rPr>
        <w:t>，工期日历天，按合同约定实施和完成承包工程，修补工程中的任何缺陷，工程质量达到。</w:t>
      </w:r>
    </w:p>
    <w:p w14:paraId="4841B8E3">
      <w:pPr>
        <w:numPr>
          <w:ilvl w:val="0"/>
          <w:numId w:val="15"/>
        </w:numPr>
        <w:tabs>
          <w:tab w:val="left" w:pos="900"/>
          <w:tab w:val="clear" w:pos="990"/>
        </w:tabs>
        <w:snapToGrid w:val="0"/>
        <w:spacing w:line="440" w:lineRule="exact"/>
        <w:ind w:left="0" w:firstLine="480" w:firstLineChars="200"/>
        <w:rPr>
          <w:sz w:val="24"/>
        </w:rPr>
      </w:pPr>
      <w:r>
        <w:rPr>
          <w:sz w:val="24"/>
        </w:rPr>
        <w:t>我方承诺在投标有效期内不修改、撤销响应文件。</w:t>
      </w:r>
    </w:p>
    <w:p w14:paraId="03DEF1E1">
      <w:pPr>
        <w:numPr>
          <w:ilvl w:val="0"/>
          <w:numId w:val="15"/>
        </w:numPr>
        <w:tabs>
          <w:tab w:val="left" w:pos="900"/>
          <w:tab w:val="clear" w:pos="990"/>
        </w:tabs>
        <w:snapToGrid w:val="0"/>
        <w:spacing w:line="440" w:lineRule="exact"/>
        <w:ind w:left="0" w:firstLine="480" w:firstLineChars="200"/>
        <w:rPr>
          <w:sz w:val="24"/>
        </w:rPr>
      </w:pPr>
      <w:r>
        <w:rPr>
          <w:sz w:val="24"/>
        </w:rPr>
        <w:t>如我方中标：</w:t>
      </w:r>
    </w:p>
    <w:p w14:paraId="03A06EBE">
      <w:pPr>
        <w:numPr>
          <w:ilvl w:val="1"/>
          <w:numId w:val="15"/>
        </w:numPr>
        <w:spacing w:line="440" w:lineRule="exact"/>
        <w:ind w:left="0" w:firstLine="480" w:firstLineChars="200"/>
        <w:rPr>
          <w:sz w:val="24"/>
        </w:rPr>
      </w:pPr>
      <w:r>
        <w:rPr>
          <w:sz w:val="24"/>
        </w:rPr>
        <w:t>我方承诺在收到中标通知书后，在中标通知书规定的期限内与你方签订合同。</w:t>
      </w:r>
    </w:p>
    <w:p w14:paraId="73A5FBB8">
      <w:pPr>
        <w:numPr>
          <w:ilvl w:val="1"/>
          <w:numId w:val="15"/>
        </w:numPr>
        <w:spacing w:line="440" w:lineRule="exact"/>
        <w:ind w:left="0" w:firstLine="480" w:firstLineChars="200"/>
        <w:rPr>
          <w:sz w:val="24"/>
        </w:rPr>
      </w:pPr>
      <w:r>
        <w:rPr>
          <w:sz w:val="24"/>
        </w:rPr>
        <w:t>随同本投标函递交的投标函附录属于合同文件的组成部分。</w:t>
      </w:r>
    </w:p>
    <w:p w14:paraId="0FE0C5D7">
      <w:pPr>
        <w:numPr>
          <w:ilvl w:val="1"/>
          <w:numId w:val="15"/>
        </w:numPr>
        <w:spacing w:line="440" w:lineRule="exact"/>
        <w:ind w:left="0" w:firstLine="480" w:firstLineChars="200"/>
        <w:rPr>
          <w:sz w:val="24"/>
        </w:rPr>
      </w:pPr>
      <w:r>
        <w:rPr>
          <w:sz w:val="24"/>
        </w:rPr>
        <w:t>我方承诺按照</w:t>
      </w:r>
      <w:r>
        <w:rPr>
          <w:rFonts w:hint="eastAsia"/>
          <w:sz w:val="24"/>
        </w:rPr>
        <w:t>采购</w:t>
      </w:r>
      <w:r>
        <w:rPr>
          <w:sz w:val="24"/>
        </w:rPr>
        <w:t>文件规定向你方递交履约担保。</w:t>
      </w:r>
    </w:p>
    <w:p w14:paraId="09A55733">
      <w:pPr>
        <w:numPr>
          <w:ilvl w:val="1"/>
          <w:numId w:val="15"/>
        </w:numPr>
        <w:spacing w:line="440" w:lineRule="exact"/>
        <w:ind w:left="0" w:firstLine="480" w:firstLineChars="200"/>
        <w:rPr>
          <w:sz w:val="24"/>
        </w:rPr>
      </w:pPr>
      <w:r>
        <w:rPr>
          <w:sz w:val="24"/>
        </w:rPr>
        <w:t>我方承诺在合同约定的期限内完成并移交全部合同工程。</w:t>
      </w:r>
    </w:p>
    <w:p w14:paraId="65BF3B47">
      <w:pPr>
        <w:numPr>
          <w:ilvl w:val="0"/>
          <w:numId w:val="15"/>
        </w:numPr>
        <w:tabs>
          <w:tab w:val="left" w:pos="900"/>
          <w:tab w:val="clear" w:pos="990"/>
        </w:tabs>
        <w:snapToGrid w:val="0"/>
        <w:spacing w:line="440" w:lineRule="exact"/>
        <w:ind w:left="0" w:firstLine="480" w:firstLineChars="200"/>
        <w:rPr>
          <w:sz w:val="24"/>
        </w:rPr>
      </w:pPr>
      <w:r>
        <w:rPr>
          <w:rFonts w:hint="eastAsia"/>
          <w:sz w:val="24"/>
        </w:rPr>
        <w:t>我方在此声明，所递交的响应文件及有关资料内容完整、真实和准确，且不存在第二章“供应商须知”关于不得参与本项目竞争的任何一种情形。</w:t>
      </w:r>
    </w:p>
    <w:p w14:paraId="2BE9AC1C">
      <w:pPr>
        <w:numPr>
          <w:ilvl w:val="0"/>
          <w:numId w:val="15"/>
        </w:numPr>
        <w:tabs>
          <w:tab w:val="left" w:pos="900"/>
          <w:tab w:val="clear" w:pos="990"/>
        </w:tabs>
        <w:snapToGrid w:val="0"/>
        <w:spacing w:line="440" w:lineRule="exact"/>
        <w:ind w:left="0" w:firstLine="480" w:firstLineChars="200"/>
        <w:rPr>
          <w:sz w:val="24"/>
        </w:rPr>
      </w:pPr>
      <w:r>
        <w:rPr>
          <w:rFonts w:hint="eastAsia"/>
          <w:sz w:val="24"/>
        </w:rPr>
        <w:t>在合同协议书正式签署生效之前，本响应函、报价文件投标函连同你方的中标通知书将构成我们双方之间共同遵守的文件，对双方具有约束力。</w:t>
      </w:r>
    </w:p>
    <w:p w14:paraId="327B6D09">
      <w:pPr>
        <w:pStyle w:val="26"/>
        <w:spacing w:line="440" w:lineRule="exact"/>
        <w:ind w:firstLine="420"/>
        <w:rPr>
          <w:rFonts w:hAnsi="宋体" w:cs="宋体"/>
          <w:sz w:val="24"/>
          <w:szCs w:val="24"/>
        </w:rPr>
      </w:pPr>
      <w:r>
        <w:rPr>
          <w:rFonts w:hint="eastAsia" w:hAnsi="宋体" w:cs="宋体"/>
          <w:sz w:val="24"/>
          <w:szCs w:val="24"/>
        </w:rPr>
        <w:t>地址： 邮编：</w:t>
      </w:r>
    </w:p>
    <w:p w14:paraId="0BC0098D">
      <w:pPr>
        <w:pStyle w:val="26"/>
        <w:spacing w:line="440" w:lineRule="exact"/>
        <w:ind w:firstLine="420"/>
        <w:rPr>
          <w:rFonts w:hAnsi="宋体" w:cs="宋体"/>
          <w:sz w:val="24"/>
          <w:szCs w:val="24"/>
          <w:u w:val="single"/>
        </w:rPr>
      </w:pPr>
      <w:r>
        <w:rPr>
          <w:rFonts w:hint="eastAsia" w:hAnsi="宋体" w:cs="宋体"/>
          <w:sz w:val="24"/>
          <w:szCs w:val="24"/>
        </w:rPr>
        <w:t>电话、传真：</w:t>
      </w:r>
    </w:p>
    <w:p w14:paraId="05E446D9">
      <w:pPr>
        <w:pStyle w:val="26"/>
        <w:spacing w:line="440" w:lineRule="exact"/>
        <w:ind w:firstLine="420"/>
        <w:rPr>
          <w:rFonts w:hAnsi="宋体" w:cs="宋体"/>
          <w:sz w:val="24"/>
          <w:szCs w:val="24"/>
        </w:rPr>
      </w:pPr>
      <w:r>
        <w:rPr>
          <w:rFonts w:hint="eastAsia" w:hAnsi="宋体" w:cs="宋体"/>
          <w:sz w:val="24"/>
          <w:szCs w:val="24"/>
        </w:rPr>
        <w:t>开户名称：</w:t>
      </w:r>
    </w:p>
    <w:p w14:paraId="3AD2B8C5">
      <w:pPr>
        <w:pStyle w:val="26"/>
        <w:spacing w:line="440" w:lineRule="exact"/>
        <w:ind w:firstLine="420"/>
        <w:rPr>
          <w:rFonts w:hAnsi="宋体" w:cs="宋体"/>
          <w:sz w:val="24"/>
          <w:szCs w:val="24"/>
        </w:rPr>
      </w:pPr>
      <w:r>
        <w:rPr>
          <w:rFonts w:hint="eastAsia" w:hAnsi="宋体" w:cs="宋体"/>
          <w:sz w:val="24"/>
          <w:szCs w:val="24"/>
        </w:rPr>
        <w:t>开户银行：</w:t>
      </w:r>
      <w:r>
        <w:rPr>
          <w:rFonts w:hint="eastAsia" w:hAnsi="宋体" w:cs="宋体"/>
          <w:sz w:val="24"/>
          <w:szCs w:val="24"/>
          <w:u w:val="single"/>
        </w:rPr>
        <w:t xml:space="preserve">                               　       </w:t>
      </w:r>
    </w:p>
    <w:p w14:paraId="519F8315">
      <w:pPr>
        <w:pStyle w:val="26"/>
        <w:spacing w:line="440" w:lineRule="exact"/>
        <w:ind w:firstLine="420"/>
        <w:rPr>
          <w:rFonts w:hAnsi="宋体" w:cs="宋体"/>
          <w:sz w:val="24"/>
          <w:szCs w:val="24"/>
        </w:rPr>
      </w:pPr>
      <w:r>
        <w:rPr>
          <w:rFonts w:hint="eastAsia" w:hAnsi="宋体" w:cs="宋体"/>
          <w:sz w:val="24"/>
          <w:szCs w:val="24"/>
        </w:rPr>
        <w:t>账号：</w:t>
      </w:r>
      <w:r>
        <w:rPr>
          <w:rFonts w:hint="eastAsia" w:hAnsi="宋体" w:cs="宋体"/>
          <w:sz w:val="24"/>
          <w:szCs w:val="24"/>
          <w:u w:val="single"/>
        </w:rPr>
        <w:t xml:space="preserve">                                   　　　   </w:t>
      </w:r>
    </w:p>
    <w:p w14:paraId="7320E0EE">
      <w:pPr>
        <w:pStyle w:val="26"/>
        <w:spacing w:line="440" w:lineRule="exact"/>
        <w:ind w:firstLine="420"/>
        <w:rPr>
          <w:rFonts w:hAnsi="宋体" w:cs="宋体"/>
          <w:bCs/>
          <w:sz w:val="24"/>
          <w:szCs w:val="24"/>
          <w:u w:val="single"/>
        </w:rPr>
      </w:pPr>
      <w:r>
        <w:rPr>
          <w:rFonts w:hint="eastAsia" w:hAnsi="宋体" w:cs="宋体"/>
          <w:bCs/>
          <w:sz w:val="24"/>
          <w:szCs w:val="24"/>
        </w:rPr>
        <w:t>供应商[公章(CA签章)、自然人除外]：</w:t>
      </w:r>
    </w:p>
    <w:p w14:paraId="736F01D1">
      <w:pPr>
        <w:pStyle w:val="26"/>
        <w:spacing w:line="440" w:lineRule="exact"/>
        <w:ind w:firstLine="420"/>
        <w:rPr>
          <w:rFonts w:hAnsi="宋体" w:cs="宋体"/>
          <w:sz w:val="24"/>
          <w:szCs w:val="24"/>
          <w:u w:val="single"/>
        </w:rPr>
      </w:pPr>
      <w:r>
        <w:rPr>
          <w:rFonts w:hint="eastAsia" w:hAnsi="宋体" w:cs="宋体"/>
          <w:sz w:val="24"/>
          <w:szCs w:val="24"/>
        </w:rPr>
        <w:t>法定代表人、负责人、自然人或相应的委托代理人签字[或盖章(CA签章)]（属自然人的应在签名处加盖大拇指指印或个人CA签章）：</w:t>
      </w:r>
    </w:p>
    <w:p w14:paraId="2F8D5F95">
      <w:pPr>
        <w:pStyle w:val="26"/>
        <w:spacing w:line="440" w:lineRule="exact"/>
        <w:ind w:firstLine="480" w:firstLineChars="200"/>
        <w:rPr>
          <w:rFonts w:hAnsi="宋体" w:cs="宋体"/>
          <w:sz w:val="24"/>
          <w:szCs w:val="24"/>
        </w:rPr>
        <w:sectPr>
          <w:pgSz w:w="11911" w:h="16849"/>
          <w:pgMar w:top="1417" w:right="1417" w:bottom="1417" w:left="1417" w:header="720" w:footer="720" w:gutter="0"/>
          <w:cols w:space="720" w:num="1"/>
          <w:docGrid w:linePitch="286" w:charSpace="0"/>
        </w:sectPr>
      </w:pPr>
      <w:r>
        <w:rPr>
          <w:rFonts w:hint="eastAsia" w:hAnsi="宋体" w:cs="宋体"/>
          <w:sz w:val="24"/>
          <w:szCs w:val="24"/>
        </w:rPr>
        <w:t>日期：</w:t>
      </w:r>
    </w:p>
    <w:p w14:paraId="58CAFDFB">
      <w:pPr>
        <w:pStyle w:val="26"/>
        <w:spacing w:line="440" w:lineRule="exact"/>
        <w:jc w:val="center"/>
        <w:rPr>
          <w:rFonts w:hAnsi="宋体" w:cs="宋体"/>
          <w:b/>
          <w:bCs/>
          <w:sz w:val="32"/>
          <w:szCs w:val="32"/>
        </w:rPr>
      </w:pPr>
      <w:r>
        <w:rPr>
          <w:rFonts w:hint="eastAsia" w:hAnsi="宋体" w:cs="宋体"/>
          <w:b/>
          <w:bCs/>
          <w:sz w:val="32"/>
          <w:szCs w:val="32"/>
        </w:rPr>
        <w:t>响应函附录</w:t>
      </w:r>
    </w:p>
    <w:p w14:paraId="127A07D3">
      <w:pPr>
        <w:tabs>
          <w:tab w:val="left" w:pos="1080"/>
        </w:tabs>
        <w:spacing w:line="360" w:lineRule="exact"/>
        <w:rPr>
          <w:rFonts w:ascii="仿宋" w:hAnsi="仿宋" w:eastAsia="仿宋" w:cs="宋体"/>
          <w:sz w:val="24"/>
        </w:rPr>
      </w:pPr>
    </w:p>
    <w:tbl>
      <w:tblPr>
        <w:tblStyle w:val="52"/>
        <w:tblW w:w="9474" w:type="dxa"/>
        <w:tblInd w:w="-15" w:type="dxa"/>
        <w:tblLayout w:type="fixed"/>
        <w:tblCellMar>
          <w:top w:w="0" w:type="dxa"/>
          <w:left w:w="108" w:type="dxa"/>
          <w:bottom w:w="0" w:type="dxa"/>
          <w:right w:w="108" w:type="dxa"/>
        </w:tblCellMar>
      </w:tblPr>
      <w:tblGrid>
        <w:gridCol w:w="829"/>
        <w:gridCol w:w="2888"/>
        <w:gridCol w:w="1435"/>
        <w:gridCol w:w="3423"/>
        <w:gridCol w:w="899"/>
      </w:tblGrid>
      <w:tr w14:paraId="70753593">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26438ED4">
            <w:pPr>
              <w:tabs>
                <w:tab w:val="left" w:pos="1080"/>
              </w:tabs>
              <w:spacing w:line="360" w:lineRule="exact"/>
              <w:jc w:val="center"/>
              <w:rPr>
                <w:rFonts w:ascii="宋体" w:hAnsi="宋体" w:cs="宋体"/>
                <w:sz w:val="24"/>
              </w:rPr>
            </w:pPr>
            <w:r>
              <w:rPr>
                <w:rFonts w:hint="eastAsia" w:ascii="宋体" w:hAnsi="宋体" w:cs="宋体"/>
                <w:sz w:val="24"/>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DF878FA">
            <w:pPr>
              <w:tabs>
                <w:tab w:val="left" w:pos="1080"/>
              </w:tabs>
              <w:spacing w:line="360" w:lineRule="exact"/>
              <w:jc w:val="center"/>
              <w:rPr>
                <w:rFonts w:ascii="宋体" w:hAnsi="宋体" w:cs="宋体"/>
                <w:sz w:val="24"/>
              </w:rPr>
            </w:pPr>
            <w:r>
              <w:rPr>
                <w:rFonts w:hint="eastAsia" w:ascii="宋体" w:hAnsi="宋体" w:cs="宋体"/>
                <w:sz w:val="24"/>
              </w:rPr>
              <w:t>条款名称</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2577699">
            <w:pPr>
              <w:tabs>
                <w:tab w:val="left" w:pos="1080"/>
              </w:tabs>
              <w:spacing w:line="360" w:lineRule="exact"/>
              <w:jc w:val="center"/>
              <w:rPr>
                <w:rFonts w:ascii="宋体" w:hAnsi="宋体" w:cs="宋体"/>
                <w:sz w:val="24"/>
              </w:rPr>
            </w:pPr>
            <w:r>
              <w:rPr>
                <w:rFonts w:hint="eastAsia" w:ascii="宋体" w:hAnsi="宋体" w:cs="宋体"/>
                <w:sz w:val="24"/>
              </w:rPr>
              <w:t>合同条目号</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BE665F1">
            <w:pPr>
              <w:tabs>
                <w:tab w:val="left" w:pos="1080"/>
              </w:tabs>
              <w:spacing w:line="360" w:lineRule="exact"/>
              <w:jc w:val="center"/>
              <w:rPr>
                <w:rFonts w:ascii="宋体" w:hAnsi="宋体" w:cs="宋体"/>
                <w:sz w:val="24"/>
              </w:rPr>
            </w:pPr>
            <w:r>
              <w:rPr>
                <w:rFonts w:hint="eastAsia" w:ascii="宋体" w:hAnsi="宋体" w:cs="宋体"/>
                <w:sz w:val="24"/>
              </w:rPr>
              <w:t>约定内容</w:t>
            </w:r>
          </w:p>
        </w:tc>
        <w:tc>
          <w:tcPr>
            <w:tcW w:w="899" w:type="dxa"/>
            <w:tcBorders>
              <w:top w:val="single" w:color="000000" w:sz="4" w:space="0"/>
              <w:left w:val="single" w:color="000000" w:sz="4" w:space="0"/>
              <w:bottom w:val="single" w:color="000000" w:sz="4" w:space="0"/>
              <w:right w:val="single" w:color="000000" w:sz="4" w:space="0"/>
            </w:tcBorders>
            <w:noWrap/>
            <w:vAlign w:val="center"/>
          </w:tcPr>
          <w:p w14:paraId="45AAFB05">
            <w:pPr>
              <w:tabs>
                <w:tab w:val="left" w:pos="1080"/>
              </w:tabs>
              <w:spacing w:line="360" w:lineRule="exact"/>
              <w:jc w:val="center"/>
              <w:rPr>
                <w:rFonts w:ascii="宋体" w:hAnsi="宋体" w:cs="宋体"/>
                <w:sz w:val="24"/>
              </w:rPr>
            </w:pPr>
            <w:r>
              <w:rPr>
                <w:rFonts w:hint="eastAsia" w:ascii="宋体" w:hAnsi="宋体" w:cs="宋体"/>
                <w:sz w:val="24"/>
              </w:rPr>
              <w:t>备注</w:t>
            </w:r>
          </w:p>
        </w:tc>
      </w:tr>
      <w:tr w14:paraId="68E4BE04">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60A2FA28">
            <w:pPr>
              <w:tabs>
                <w:tab w:val="left" w:pos="1080"/>
              </w:tabs>
              <w:spacing w:line="360" w:lineRule="exact"/>
              <w:jc w:val="center"/>
              <w:rPr>
                <w:rFonts w:ascii="宋体" w:hAnsi="宋体" w:cs="宋体"/>
                <w:sz w:val="24"/>
              </w:rPr>
            </w:pPr>
            <w:r>
              <w:rPr>
                <w:rFonts w:hint="eastAsia" w:ascii="宋体" w:hAnsi="宋体" w:cs="宋体"/>
                <w:sz w:val="24"/>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3649DF71">
            <w:pPr>
              <w:tabs>
                <w:tab w:val="left" w:pos="1080"/>
              </w:tabs>
              <w:spacing w:line="360" w:lineRule="exact"/>
              <w:jc w:val="center"/>
              <w:rPr>
                <w:rFonts w:ascii="宋体" w:hAnsi="宋体" w:cs="宋体"/>
                <w:sz w:val="24"/>
              </w:rPr>
            </w:pPr>
            <w:r>
              <w:rPr>
                <w:rFonts w:hint="eastAsia" w:ascii="宋体" w:hAnsi="宋体" w:cs="宋体"/>
                <w:sz w:val="24"/>
              </w:rPr>
              <w:t>缺陷责任期</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831063D">
            <w:pPr>
              <w:tabs>
                <w:tab w:val="left" w:pos="1080"/>
              </w:tabs>
              <w:spacing w:line="360" w:lineRule="exact"/>
              <w:jc w:val="center"/>
              <w:rPr>
                <w:rFonts w:ascii="宋体" w:hAnsi="宋体" w:cs="宋体"/>
                <w:sz w:val="24"/>
              </w:rPr>
            </w:pPr>
            <w:r>
              <w:rPr>
                <w:rFonts w:hint="eastAsia" w:ascii="宋体" w:hAnsi="宋体" w:cs="宋体"/>
                <w:sz w:val="24"/>
              </w:rPr>
              <w:t>1.1.4.5</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9B3C75B">
            <w:pPr>
              <w:tabs>
                <w:tab w:val="left" w:pos="1080"/>
              </w:tabs>
              <w:spacing w:line="360" w:lineRule="exact"/>
              <w:ind w:firstLine="210"/>
              <w:rPr>
                <w:rFonts w:ascii="宋体" w:hAnsi="宋体" w:cs="宋体"/>
                <w:sz w:val="24"/>
              </w:rPr>
            </w:pPr>
            <w:r>
              <w:rPr>
                <w:rFonts w:hint="eastAsia" w:ascii="宋体" w:hAnsi="宋体" w:cs="宋体"/>
                <w:sz w:val="24"/>
              </w:rPr>
              <w:t>自实际交工期起计算 年</w:t>
            </w:r>
          </w:p>
        </w:tc>
        <w:tc>
          <w:tcPr>
            <w:tcW w:w="899" w:type="dxa"/>
            <w:tcBorders>
              <w:top w:val="single" w:color="000000" w:sz="4" w:space="0"/>
              <w:left w:val="single" w:color="000000" w:sz="4" w:space="0"/>
              <w:bottom w:val="single" w:color="000000" w:sz="4" w:space="0"/>
              <w:right w:val="single" w:color="000000" w:sz="4" w:space="0"/>
            </w:tcBorders>
            <w:noWrap/>
          </w:tcPr>
          <w:p w14:paraId="18AC410B">
            <w:pPr>
              <w:tabs>
                <w:tab w:val="left" w:pos="1080"/>
              </w:tabs>
              <w:spacing w:line="360" w:lineRule="exact"/>
              <w:rPr>
                <w:rFonts w:ascii="宋体" w:hAnsi="宋体" w:cs="宋体"/>
                <w:sz w:val="24"/>
              </w:rPr>
            </w:pPr>
          </w:p>
        </w:tc>
      </w:tr>
      <w:tr w14:paraId="60987E1B">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77C8A90C">
            <w:pPr>
              <w:tabs>
                <w:tab w:val="left" w:pos="1080"/>
              </w:tabs>
              <w:spacing w:line="360" w:lineRule="exact"/>
              <w:jc w:val="center"/>
              <w:rPr>
                <w:rFonts w:ascii="宋体" w:hAnsi="宋体" w:cs="宋体"/>
                <w:sz w:val="24"/>
              </w:rPr>
            </w:pPr>
            <w:r>
              <w:rPr>
                <w:rFonts w:hint="eastAsia" w:ascii="宋体" w:hAnsi="宋体" w:cs="宋体"/>
                <w:sz w:val="24"/>
              </w:rPr>
              <w:t>2</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1965D03A">
            <w:pPr>
              <w:tabs>
                <w:tab w:val="left" w:pos="1080"/>
              </w:tabs>
              <w:spacing w:line="360" w:lineRule="exact"/>
              <w:jc w:val="center"/>
              <w:rPr>
                <w:rFonts w:ascii="宋体" w:hAnsi="宋体" w:cs="宋体"/>
                <w:sz w:val="24"/>
              </w:rPr>
            </w:pPr>
            <w:r>
              <w:rPr>
                <w:rFonts w:hint="eastAsia" w:ascii="宋体" w:hAnsi="宋体" w:cs="宋体"/>
                <w:sz w:val="24"/>
              </w:rPr>
              <w:t>逾期交工违约金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E994D30">
            <w:pPr>
              <w:tabs>
                <w:tab w:val="left" w:pos="1080"/>
              </w:tabs>
              <w:spacing w:line="360" w:lineRule="exact"/>
              <w:jc w:val="center"/>
              <w:rPr>
                <w:rFonts w:ascii="宋体" w:hAnsi="宋体" w:cs="宋体"/>
                <w:sz w:val="24"/>
              </w:rPr>
            </w:pPr>
            <w:r>
              <w:rPr>
                <w:rFonts w:hint="eastAsia" w:ascii="宋体" w:hAnsi="宋体" w:cs="宋体"/>
                <w:sz w:val="24"/>
              </w:rPr>
              <w:t>11.5</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AA67423">
            <w:pPr>
              <w:pStyle w:val="18"/>
              <w:rPr>
                <w:rFonts w:ascii="宋体" w:hAnsi="宋体" w:cs="宋体"/>
                <w:kern w:val="2"/>
                <w:sz w:val="24"/>
              </w:rPr>
            </w:pPr>
            <w:r>
              <w:rPr>
                <w:rFonts w:hint="eastAsia" w:ascii="宋体" w:hAnsi="宋体" w:cs="宋体"/>
                <w:kern w:val="2"/>
                <w:sz w:val="24"/>
              </w:rPr>
              <w:t>逾期交工违约金： ‰（元/天）</w:t>
            </w:r>
          </w:p>
        </w:tc>
        <w:tc>
          <w:tcPr>
            <w:tcW w:w="899" w:type="dxa"/>
            <w:tcBorders>
              <w:top w:val="single" w:color="000000" w:sz="4" w:space="0"/>
              <w:left w:val="single" w:color="000000" w:sz="4" w:space="0"/>
              <w:bottom w:val="single" w:color="000000" w:sz="4" w:space="0"/>
              <w:right w:val="single" w:color="000000" w:sz="4" w:space="0"/>
            </w:tcBorders>
            <w:noWrap/>
          </w:tcPr>
          <w:p w14:paraId="3B764257">
            <w:pPr>
              <w:tabs>
                <w:tab w:val="left" w:pos="1080"/>
              </w:tabs>
              <w:spacing w:line="360" w:lineRule="exact"/>
              <w:rPr>
                <w:rFonts w:ascii="宋体" w:hAnsi="宋体" w:cs="宋体"/>
                <w:sz w:val="24"/>
              </w:rPr>
            </w:pPr>
          </w:p>
        </w:tc>
      </w:tr>
      <w:tr w14:paraId="3C61288D">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1BA2F957">
            <w:pPr>
              <w:tabs>
                <w:tab w:val="left" w:pos="1080"/>
              </w:tabs>
              <w:spacing w:line="360" w:lineRule="exact"/>
              <w:jc w:val="center"/>
              <w:rPr>
                <w:rFonts w:ascii="宋体" w:hAnsi="宋体" w:cs="宋体"/>
                <w:sz w:val="24"/>
              </w:rPr>
            </w:pPr>
            <w:r>
              <w:rPr>
                <w:rFonts w:hint="eastAsia" w:ascii="宋体" w:hAnsi="宋体" w:cs="宋体"/>
                <w:sz w:val="24"/>
              </w:rPr>
              <w:t>3</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1115A277">
            <w:pPr>
              <w:tabs>
                <w:tab w:val="left" w:pos="1080"/>
              </w:tabs>
              <w:spacing w:line="360" w:lineRule="exact"/>
              <w:jc w:val="center"/>
              <w:rPr>
                <w:rFonts w:ascii="宋体" w:hAnsi="宋体" w:cs="宋体"/>
                <w:sz w:val="24"/>
              </w:rPr>
            </w:pPr>
            <w:r>
              <w:rPr>
                <w:rFonts w:hint="eastAsia" w:ascii="宋体" w:hAnsi="宋体" w:cs="宋体"/>
                <w:sz w:val="24"/>
              </w:rPr>
              <w:t>逾期交工违约金限额</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3CB6D94C">
            <w:pPr>
              <w:tabs>
                <w:tab w:val="left" w:pos="1080"/>
              </w:tabs>
              <w:spacing w:line="360" w:lineRule="exact"/>
              <w:jc w:val="center"/>
              <w:rPr>
                <w:rFonts w:ascii="宋体" w:hAnsi="宋体" w:cs="宋体"/>
                <w:sz w:val="24"/>
              </w:rPr>
            </w:pPr>
            <w:r>
              <w:rPr>
                <w:rFonts w:hint="eastAsia" w:ascii="宋体" w:hAnsi="宋体" w:cs="宋体"/>
                <w:sz w:val="24"/>
              </w:rPr>
              <w:t>11.5</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166A532B">
            <w:pPr>
              <w:tabs>
                <w:tab w:val="left" w:pos="1080"/>
              </w:tabs>
              <w:jc w:val="left"/>
              <w:rPr>
                <w:rFonts w:ascii="宋体" w:hAnsi="宋体" w:cs="宋体"/>
                <w:sz w:val="24"/>
              </w:rPr>
            </w:pPr>
            <w:r>
              <w:rPr>
                <w:rFonts w:hint="eastAsia" w:ascii="宋体" w:hAnsi="宋体" w:cs="宋体"/>
                <w:sz w:val="24"/>
              </w:rPr>
              <w:t>%签约合同价</w:t>
            </w:r>
          </w:p>
        </w:tc>
        <w:tc>
          <w:tcPr>
            <w:tcW w:w="899" w:type="dxa"/>
            <w:tcBorders>
              <w:top w:val="single" w:color="000000" w:sz="4" w:space="0"/>
              <w:left w:val="single" w:color="000000" w:sz="4" w:space="0"/>
              <w:bottom w:val="single" w:color="000000" w:sz="4" w:space="0"/>
              <w:right w:val="single" w:color="000000" w:sz="4" w:space="0"/>
            </w:tcBorders>
            <w:noWrap/>
          </w:tcPr>
          <w:p w14:paraId="359791EC">
            <w:pPr>
              <w:tabs>
                <w:tab w:val="left" w:pos="1080"/>
              </w:tabs>
              <w:spacing w:line="360" w:lineRule="exact"/>
              <w:rPr>
                <w:rFonts w:ascii="宋体" w:hAnsi="宋体" w:cs="宋体"/>
                <w:sz w:val="24"/>
              </w:rPr>
            </w:pPr>
          </w:p>
        </w:tc>
      </w:tr>
      <w:tr w14:paraId="0B169149">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36529CF6">
            <w:pPr>
              <w:tabs>
                <w:tab w:val="left" w:pos="1080"/>
              </w:tabs>
              <w:spacing w:line="360" w:lineRule="exact"/>
              <w:jc w:val="center"/>
              <w:rPr>
                <w:rFonts w:ascii="宋体" w:hAnsi="宋体" w:cs="宋体"/>
                <w:sz w:val="24"/>
              </w:rPr>
            </w:pPr>
            <w:r>
              <w:rPr>
                <w:rFonts w:hint="eastAsia" w:ascii="宋体" w:hAnsi="宋体" w:cs="宋体"/>
                <w:sz w:val="24"/>
              </w:rPr>
              <w:t>4</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FE11BB8">
            <w:pPr>
              <w:tabs>
                <w:tab w:val="left" w:pos="1080"/>
              </w:tabs>
              <w:spacing w:line="360" w:lineRule="exact"/>
              <w:jc w:val="center"/>
              <w:rPr>
                <w:rFonts w:ascii="宋体" w:hAnsi="宋体" w:cs="宋体"/>
                <w:sz w:val="24"/>
              </w:rPr>
            </w:pPr>
            <w:r>
              <w:rPr>
                <w:rFonts w:hint="eastAsia" w:ascii="宋体" w:hAnsi="宋体" w:cs="宋体"/>
                <w:sz w:val="24"/>
              </w:rPr>
              <w:t>提前交工的奖金</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B4C74E2">
            <w:pPr>
              <w:tabs>
                <w:tab w:val="left" w:pos="1080"/>
              </w:tabs>
              <w:spacing w:line="360" w:lineRule="exact"/>
              <w:jc w:val="center"/>
              <w:rPr>
                <w:rFonts w:ascii="宋体" w:hAnsi="宋体" w:cs="宋体"/>
                <w:sz w:val="24"/>
              </w:rPr>
            </w:pPr>
            <w:r>
              <w:rPr>
                <w:rFonts w:hint="eastAsia" w:ascii="宋体" w:hAnsi="宋体" w:cs="宋体"/>
                <w:sz w:val="24"/>
              </w:rPr>
              <w:t>11.6</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5A2F376C">
            <w:pPr>
              <w:tabs>
                <w:tab w:val="left" w:pos="1080"/>
              </w:tabs>
              <w:spacing w:line="360" w:lineRule="exact"/>
              <w:rPr>
                <w:rFonts w:ascii="宋体" w:hAnsi="宋体" w:cs="宋体"/>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7E4BFAA3">
            <w:pPr>
              <w:tabs>
                <w:tab w:val="left" w:pos="1080"/>
              </w:tabs>
              <w:spacing w:line="360" w:lineRule="exact"/>
              <w:rPr>
                <w:rFonts w:ascii="宋体" w:hAnsi="宋体" w:cs="宋体"/>
                <w:sz w:val="24"/>
              </w:rPr>
            </w:pPr>
          </w:p>
        </w:tc>
      </w:tr>
      <w:tr w14:paraId="75580933">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71B197E">
            <w:pPr>
              <w:tabs>
                <w:tab w:val="left" w:pos="1080"/>
              </w:tabs>
              <w:spacing w:line="360" w:lineRule="exact"/>
              <w:jc w:val="center"/>
              <w:rPr>
                <w:rFonts w:ascii="宋体" w:hAnsi="宋体" w:cs="宋体"/>
                <w:sz w:val="24"/>
              </w:rPr>
            </w:pPr>
            <w:r>
              <w:rPr>
                <w:rFonts w:hint="eastAsia" w:ascii="宋体" w:hAnsi="宋体" w:cs="宋体"/>
                <w:sz w:val="24"/>
              </w:rPr>
              <w:t>5</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41911795">
            <w:pPr>
              <w:tabs>
                <w:tab w:val="left" w:pos="1080"/>
              </w:tabs>
              <w:spacing w:line="360" w:lineRule="exact"/>
              <w:jc w:val="center"/>
              <w:rPr>
                <w:rFonts w:ascii="宋体" w:hAnsi="宋体" w:cs="宋体"/>
                <w:sz w:val="24"/>
              </w:rPr>
            </w:pPr>
            <w:r>
              <w:rPr>
                <w:rFonts w:hint="eastAsia" w:ascii="宋体" w:hAnsi="宋体" w:cs="宋体"/>
                <w:sz w:val="24"/>
              </w:rPr>
              <w:t>提前交工的奖金限额</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2EEB7198">
            <w:pPr>
              <w:tabs>
                <w:tab w:val="left" w:pos="1080"/>
              </w:tabs>
              <w:spacing w:line="360" w:lineRule="exact"/>
              <w:jc w:val="center"/>
              <w:rPr>
                <w:rFonts w:ascii="宋体" w:hAnsi="宋体" w:cs="宋体"/>
                <w:sz w:val="24"/>
              </w:rPr>
            </w:pPr>
            <w:r>
              <w:rPr>
                <w:rFonts w:hint="eastAsia" w:ascii="宋体" w:hAnsi="宋体" w:cs="宋体"/>
                <w:sz w:val="24"/>
              </w:rPr>
              <w:t>11.6</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182DC2C8">
            <w:pPr>
              <w:tabs>
                <w:tab w:val="left" w:pos="1080"/>
              </w:tabs>
              <w:spacing w:line="360" w:lineRule="exact"/>
              <w:rPr>
                <w:rFonts w:ascii="宋体" w:hAnsi="宋体" w:cs="宋体"/>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4415885A">
            <w:pPr>
              <w:tabs>
                <w:tab w:val="left" w:pos="1080"/>
              </w:tabs>
              <w:spacing w:line="360" w:lineRule="exact"/>
              <w:rPr>
                <w:rFonts w:ascii="宋体" w:hAnsi="宋体" w:cs="宋体"/>
                <w:sz w:val="24"/>
              </w:rPr>
            </w:pPr>
          </w:p>
        </w:tc>
      </w:tr>
      <w:tr w14:paraId="5523CE84">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CB5C415">
            <w:pPr>
              <w:tabs>
                <w:tab w:val="left" w:pos="1080"/>
              </w:tabs>
              <w:spacing w:line="360" w:lineRule="exact"/>
              <w:jc w:val="center"/>
              <w:rPr>
                <w:rFonts w:ascii="宋体" w:hAnsi="宋体" w:cs="宋体"/>
                <w:sz w:val="24"/>
              </w:rPr>
            </w:pPr>
            <w:r>
              <w:rPr>
                <w:rFonts w:hint="eastAsia" w:ascii="宋体" w:hAnsi="宋体" w:cs="宋体"/>
                <w:sz w:val="24"/>
              </w:rPr>
              <w:t>6</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5B427728">
            <w:pPr>
              <w:tabs>
                <w:tab w:val="left" w:pos="1080"/>
              </w:tabs>
              <w:spacing w:line="360" w:lineRule="exact"/>
              <w:jc w:val="center"/>
              <w:rPr>
                <w:rFonts w:ascii="宋体" w:hAnsi="宋体" w:cs="宋体"/>
                <w:sz w:val="24"/>
              </w:rPr>
            </w:pPr>
            <w:r>
              <w:rPr>
                <w:rFonts w:hint="eastAsia" w:ascii="宋体" w:hAnsi="宋体" w:cs="宋体"/>
                <w:sz w:val="24"/>
              </w:rPr>
              <w:t>价格调整的差额计算</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B34815B">
            <w:pPr>
              <w:tabs>
                <w:tab w:val="left" w:pos="1080"/>
              </w:tabs>
              <w:spacing w:line="360" w:lineRule="exact"/>
              <w:jc w:val="center"/>
              <w:rPr>
                <w:rFonts w:ascii="宋体" w:hAnsi="宋体" w:cs="宋体"/>
                <w:sz w:val="24"/>
              </w:rPr>
            </w:pPr>
            <w:r>
              <w:rPr>
                <w:rFonts w:hint="eastAsia" w:ascii="宋体" w:hAnsi="宋体" w:cs="宋体"/>
                <w:sz w:val="24"/>
              </w:rPr>
              <w:t>16.1</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441315B2">
            <w:pPr>
              <w:tabs>
                <w:tab w:val="left" w:pos="1080"/>
              </w:tabs>
              <w:spacing w:line="360" w:lineRule="exact"/>
              <w:ind w:firstLine="210"/>
              <w:rPr>
                <w:rFonts w:ascii="宋体" w:hAnsi="宋体" w:cs="宋体"/>
                <w:sz w:val="24"/>
              </w:rPr>
            </w:pPr>
            <w:r>
              <w:rPr>
                <w:rFonts w:hint="eastAsia" w:ascii="宋体" w:hAnsi="宋体" w:cs="宋体"/>
                <w:sz w:val="24"/>
              </w:rPr>
              <w:t>不调价</w:t>
            </w:r>
          </w:p>
        </w:tc>
        <w:tc>
          <w:tcPr>
            <w:tcW w:w="899" w:type="dxa"/>
            <w:tcBorders>
              <w:top w:val="single" w:color="000000" w:sz="4" w:space="0"/>
              <w:left w:val="single" w:color="000000" w:sz="4" w:space="0"/>
              <w:bottom w:val="single" w:color="000000" w:sz="4" w:space="0"/>
              <w:right w:val="single" w:color="000000" w:sz="4" w:space="0"/>
            </w:tcBorders>
            <w:noWrap/>
          </w:tcPr>
          <w:p w14:paraId="309A5B29">
            <w:pPr>
              <w:tabs>
                <w:tab w:val="left" w:pos="1080"/>
              </w:tabs>
              <w:spacing w:line="360" w:lineRule="exact"/>
              <w:rPr>
                <w:rFonts w:ascii="宋体" w:hAnsi="宋体" w:cs="宋体"/>
                <w:sz w:val="24"/>
              </w:rPr>
            </w:pPr>
          </w:p>
        </w:tc>
      </w:tr>
      <w:tr w14:paraId="224F38FF">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7EB32DF">
            <w:pPr>
              <w:tabs>
                <w:tab w:val="left" w:pos="1080"/>
              </w:tabs>
              <w:spacing w:line="360" w:lineRule="exact"/>
              <w:jc w:val="center"/>
              <w:rPr>
                <w:rFonts w:ascii="宋体" w:hAnsi="宋体" w:cs="宋体"/>
                <w:sz w:val="24"/>
              </w:rPr>
            </w:pPr>
            <w:r>
              <w:rPr>
                <w:rFonts w:hint="eastAsia" w:ascii="宋体" w:hAnsi="宋体" w:cs="宋体"/>
                <w:sz w:val="24"/>
              </w:rPr>
              <w:t>7</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47BF8D8C">
            <w:pPr>
              <w:tabs>
                <w:tab w:val="left" w:pos="1080"/>
              </w:tabs>
              <w:spacing w:line="360" w:lineRule="exact"/>
              <w:jc w:val="center"/>
              <w:rPr>
                <w:rFonts w:ascii="宋体" w:hAnsi="宋体" w:cs="宋体"/>
                <w:sz w:val="24"/>
              </w:rPr>
            </w:pPr>
            <w:r>
              <w:rPr>
                <w:rFonts w:hint="eastAsia" w:ascii="宋体" w:hAnsi="宋体" w:cs="宋体"/>
                <w:sz w:val="24"/>
              </w:rPr>
              <w:t>开工预付款金额</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09BE91CE">
            <w:pPr>
              <w:tabs>
                <w:tab w:val="left" w:pos="1080"/>
              </w:tabs>
              <w:spacing w:line="360" w:lineRule="exact"/>
              <w:jc w:val="center"/>
              <w:rPr>
                <w:rFonts w:ascii="宋体" w:hAnsi="宋体" w:cs="宋体"/>
                <w:sz w:val="24"/>
              </w:rPr>
            </w:pPr>
            <w:r>
              <w:rPr>
                <w:rFonts w:hint="eastAsia" w:ascii="宋体" w:hAnsi="宋体" w:cs="宋体"/>
                <w:sz w:val="24"/>
              </w:rPr>
              <w:t>17.2.1</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A5B74EE">
            <w:pPr>
              <w:tabs>
                <w:tab w:val="left" w:pos="1080"/>
              </w:tabs>
              <w:spacing w:line="360" w:lineRule="exact"/>
              <w:rPr>
                <w:rFonts w:ascii="宋体" w:hAnsi="宋体" w:cs="宋体"/>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74C25F89">
            <w:pPr>
              <w:tabs>
                <w:tab w:val="left" w:pos="1080"/>
              </w:tabs>
              <w:spacing w:line="360" w:lineRule="exact"/>
              <w:rPr>
                <w:rFonts w:ascii="宋体" w:hAnsi="宋体" w:cs="宋体"/>
                <w:sz w:val="24"/>
              </w:rPr>
            </w:pPr>
          </w:p>
        </w:tc>
      </w:tr>
      <w:tr w14:paraId="4A466380">
        <w:tblPrEx>
          <w:tblCellMar>
            <w:top w:w="0" w:type="dxa"/>
            <w:left w:w="108" w:type="dxa"/>
            <w:bottom w:w="0" w:type="dxa"/>
            <w:right w:w="108" w:type="dxa"/>
          </w:tblCellMar>
        </w:tblPrEx>
        <w:trPr>
          <w:trHeight w:val="774"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6E1C754B">
            <w:pPr>
              <w:tabs>
                <w:tab w:val="left" w:pos="1080"/>
              </w:tabs>
              <w:spacing w:line="360" w:lineRule="exact"/>
              <w:jc w:val="center"/>
              <w:rPr>
                <w:rFonts w:ascii="宋体" w:hAnsi="宋体" w:cs="宋体"/>
                <w:sz w:val="24"/>
              </w:rPr>
            </w:pPr>
            <w:r>
              <w:rPr>
                <w:rFonts w:hint="eastAsia" w:ascii="宋体" w:hAnsi="宋体" w:cs="宋体"/>
                <w:sz w:val="24"/>
              </w:rPr>
              <w:t>8</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26DE6CB6">
            <w:pPr>
              <w:tabs>
                <w:tab w:val="left" w:pos="1080"/>
              </w:tabs>
              <w:spacing w:line="360" w:lineRule="exact"/>
              <w:jc w:val="center"/>
              <w:rPr>
                <w:rFonts w:ascii="宋体" w:hAnsi="宋体" w:cs="宋体"/>
                <w:sz w:val="24"/>
              </w:rPr>
            </w:pPr>
            <w:r>
              <w:rPr>
                <w:rFonts w:hint="eastAsia" w:ascii="宋体" w:hAnsi="宋体" w:cs="宋体"/>
                <w:sz w:val="24"/>
              </w:rPr>
              <w:t>材料、设备预付款比例</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65EFD028">
            <w:pPr>
              <w:tabs>
                <w:tab w:val="left" w:pos="1080"/>
              </w:tabs>
              <w:spacing w:line="360" w:lineRule="exact"/>
              <w:jc w:val="center"/>
              <w:rPr>
                <w:rFonts w:ascii="宋体" w:hAnsi="宋体" w:cs="宋体"/>
                <w:sz w:val="24"/>
              </w:rPr>
            </w:pPr>
            <w:r>
              <w:rPr>
                <w:rFonts w:hint="eastAsia" w:ascii="宋体" w:hAnsi="宋体" w:cs="宋体"/>
                <w:sz w:val="24"/>
              </w:rPr>
              <w:t>17.2.1</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9EA43F7">
            <w:pPr>
              <w:tabs>
                <w:tab w:val="left" w:pos="1080"/>
              </w:tabs>
              <w:spacing w:line="360" w:lineRule="exact"/>
              <w:rPr>
                <w:rFonts w:ascii="宋体" w:hAnsi="宋体" w:cs="宋体"/>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22F210A1">
            <w:pPr>
              <w:tabs>
                <w:tab w:val="left" w:pos="1080"/>
              </w:tabs>
              <w:spacing w:line="360" w:lineRule="exact"/>
              <w:rPr>
                <w:rFonts w:ascii="宋体" w:hAnsi="宋体" w:cs="宋体"/>
                <w:sz w:val="24"/>
              </w:rPr>
            </w:pPr>
          </w:p>
        </w:tc>
      </w:tr>
      <w:tr w14:paraId="538B922F">
        <w:tblPrEx>
          <w:tblCellMar>
            <w:top w:w="0" w:type="dxa"/>
            <w:left w:w="108" w:type="dxa"/>
            <w:bottom w:w="0" w:type="dxa"/>
            <w:right w:w="108" w:type="dxa"/>
          </w:tblCellMar>
        </w:tblPrEx>
        <w:trPr>
          <w:trHeight w:val="539"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657D5620">
            <w:pPr>
              <w:tabs>
                <w:tab w:val="left" w:pos="1080"/>
              </w:tabs>
              <w:spacing w:line="360" w:lineRule="exact"/>
              <w:jc w:val="center"/>
              <w:rPr>
                <w:rFonts w:ascii="宋体" w:hAnsi="宋体" w:cs="宋体"/>
                <w:sz w:val="24"/>
              </w:rPr>
            </w:pPr>
            <w:r>
              <w:rPr>
                <w:rFonts w:hint="eastAsia" w:ascii="宋体" w:hAnsi="宋体" w:cs="宋体"/>
                <w:sz w:val="24"/>
              </w:rPr>
              <w:t>9</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4579E48A">
            <w:pPr>
              <w:tabs>
                <w:tab w:val="left" w:pos="1080"/>
              </w:tabs>
              <w:spacing w:line="360" w:lineRule="exact"/>
              <w:jc w:val="center"/>
              <w:rPr>
                <w:rFonts w:ascii="宋体" w:hAnsi="宋体" w:cs="宋体"/>
                <w:sz w:val="24"/>
              </w:rPr>
            </w:pPr>
            <w:r>
              <w:rPr>
                <w:rFonts w:hint="eastAsia" w:ascii="宋体" w:hAnsi="宋体" w:cs="宋体"/>
                <w:sz w:val="24"/>
              </w:rPr>
              <w:t>进度付款证书最低限额</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6C7DAAF">
            <w:pPr>
              <w:tabs>
                <w:tab w:val="left" w:pos="1080"/>
              </w:tabs>
              <w:spacing w:line="360" w:lineRule="exact"/>
              <w:jc w:val="center"/>
              <w:rPr>
                <w:rFonts w:ascii="宋体" w:hAnsi="宋体" w:cs="宋体"/>
                <w:sz w:val="24"/>
              </w:rPr>
            </w:pPr>
            <w:r>
              <w:rPr>
                <w:rFonts w:hint="eastAsia" w:ascii="宋体" w:hAnsi="宋体" w:cs="宋体"/>
                <w:sz w:val="24"/>
              </w:rPr>
              <w:t>17.3.3（1）</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FB40D72">
            <w:pPr>
              <w:tabs>
                <w:tab w:val="left" w:pos="1080"/>
              </w:tabs>
              <w:spacing w:line="360" w:lineRule="exact"/>
              <w:rPr>
                <w:rFonts w:ascii="宋体" w:hAnsi="宋体" w:cs="宋体"/>
                <w:sz w:val="24"/>
              </w:rPr>
            </w:pPr>
            <w:r>
              <w:rPr>
                <w:rFonts w:hint="eastAsia" w:ascii="宋体" w:hAnsi="宋体" w:cs="宋体"/>
                <w:sz w:val="24"/>
              </w:rPr>
              <w:t>%签约合同价</w:t>
            </w:r>
          </w:p>
        </w:tc>
        <w:tc>
          <w:tcPr>
            <w:tcW w:w="899" w:type="dxa"/>
            <w:tcBorders>
              <w:top w:val="single" w:color="000000" w:sz="4" w:space="0"/>
              <w:left w:val="single" w:color="000000" w:sz="4" w:space="0"/>
              <w:bottom w:val="single" w:color="000000" w:sz="4" w:space="0"/>
              <w:right w:val="single" w:color="000000" w:sz="4" w:space="0"/>
            </w:tcBorders>
            <w:noWrap/>
          </w:tcPr>
          <w:p w14:paraId="083BB287">
            <w:pPr>
              <w:tabs>
                <w:tab w:val="left" w:pos="1080"/>
              </w:tabs>
              <w:spacing w:line="360" w:lineRule="exact"/>
              <w:rPr>
                <w:rFonts w:ascii="宋体" w:hAnsi="宋体" w:cs="宋体"/>
                <w:sz w:val="24"/>
              </w:rPr>
            </w:pPr>
          </w:p>
        </w:tc>
      </w:tr>
      <w:tr w14:paraId="2BBC7C95">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0C12697D">
            <w:pPr>
              <w:tabs>
                <w:tab w:val="left" w:pos="1080"/>
              </w:tabs>
              <w:spacing w:line="360" w:lineRule="exact"/>
              <w:jc w:val="center"/>
              <w:rPr>
                <w:rFonts w:ascii="宋体" w:hAnsi="宋体" w:cs="宋体"/>
                <w:sz w:val="24"/>
              </w:rPr>
            </w:pPr>
            <w:r>
              <w:rPr>
                <w:rFonts w:hint="eastAsia" w:ascii="宋体" w:hAnsi="宋体" w:cs="宋体"/>
                <w:sz w:val="24"/>
              </w:rPr>
              <w:t>10</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2C6DF00">
            <w:pPr>
              <w:tabs>
                <w:tab w:val="left" w:pos="1080"/>
              </w:tabs>
              <w:spacing w:line="360" w:lineRule="exact"/>
              <w:jc w:val="center"/>
              <w:rPr>
                <w:rFonts w:ascii="宋体" w:hAnsi="宋体" w:cs="宋体"/>
                <w:sz w:val="24"/>
              </w:rPr>
            </w:pPr>
            <w:r>
              <w:rPr>
                <w:rFonts w:hint="eastAsia" w:ascii="宋体" w:hAnsi="宋体" w:cs="宋体"/>
                <w:sz w:val="24"/>
              </w:rPr>
              <w:t>逾期付款违约金的利率</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7D2DEF65">
            <w:pPr>
              <w:tabs>
                <w:tab w:val="left" w:pos="1080"/>
              </w:tabs>
              <w:spacing w:line="360" w:lineRule="exact"/>
              <w:jc w:val="center"/>
              <w:rPr>
                <w:rFonts w:ascii="宋体" w:hAnsi="宋体" w:cs="宋体"/>
                <w:sz w:val="24"/>
              </w:rPr>
            </w:pPr>
            <w:r>
              <w:rPr>
                <w:rFonts w:hint="eastAsia" w:ascii="宋体" w:hAnsi="宋体" w:cs="宋体"/>
                <w:sz w:val="24"/>
              </w:rPr>
              <w:t>17.3.3（2）</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7D5D6D1D">
            <w:pPr>
              <w:tabs>
                <w:tab w:val="left" w:pos="1080"/>
              </w:tabs>
              <w:spacing w:line="360" w:lineRule="exact"/>
              <w:rPr>
                <w:rFonts w:ascii="宋体" w:hAnsi="宋体" w:cs="宋体"/>
                <w:sz w:val="24"/>
              </w:rPr>
            </w:pPr>
          </w:p>
        </w:tc>
        <w:tc>
          <w:tcPr>
            <w:tcW w:w="899" w:type="dxa"/>
            <w:tcBorders>
              <w:top w:val="single" w:color="000000" w:sz="4" w:space="0"/>
              <w:left w:val="single" w:color="000000" w:sz="4" w:space="0"/>
              <w:bottom w:val="single" w:color="000000" w:sz="4" w:space="0"/>
              <w:right w:val="single" w:color="000000" w:sz="4" w:space="0"/>
            </w:tcBorders>
            <w:noWrap/>
          </w:tcPr>
          <w:p w14:paraId="33B12298">
            <w:pPr>
              <w:tabs>
                <w:tab w:val="left" w:pos="1080"/>
              </w:tabs>
              <w:spacing w:line="360" w:lineRule="exact"/>
              <w:rPr>
                <w:rFonts w:ascii="宋体" w:hAnsi="宋体" w:cs="宋体"/>
                <w:sz w:val="24"/>
              </w:rPr>
            </w:pPr>
          </w:p>
        </w:tc>
      </w:tr>
      <w:tr w14:paraId="23CA620A">
        <w:tblPrEx>
          <w:tblCellMar>
            <w:top w:w="0" w:type="dxa"/>
            <w:left w:w="108" w:type="dxa"/>
            <w:bottom w:w="0" w:type="dxa"/>
            <w:right w:w="108" w:type="dxa"/>
          </w:tblCellMar>
        </w:tblPrEx>
        <w:trPr>
          <w:trHeight w:val="563"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6A978D97">
            <w:pPr>
              <w:tabs>
                <w:tab w:val="left" w:pos="1080"/>
              </w:tabs>
              <w:spacing w:line="360" w:lineRule="exact"/>
              <w:jc w:val="center"/>
              <w:rPr>
                <w:rFonts w:ascii="宋体" w:hAnsi="宋体" w:cs="宋体"/>
                <w:sz w:val="24"/>
              </w:rPr>
            </w:pPr>
            <w:r>
              <w:rPr>
                <w:rFonts w:hint="eastAsia" w:ascii="宋体" w:hAnsi="宋体" w:cs="宋体"/>
                <w:sz w:val="24"/>
              </w:rPr>
              <w:t>11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096C7D86">
            <w:pPr>
              <w:tabs>
                <w:tab w:val="left" w:pos="1080"/>
              </w:tabs>
              <w:spacing w:line="360" w:lineRule="exact"/>
              <w:jc w:val="center"/>
              <w:rPr>
                <w:rFonts w:ascii="宋体" w:hAnsi="宋体" w:cs="宋体"/>
                <w:sz w:val="24"/>
              </w:rPr>
            </w:pPr>
            <w:r>
              <w:rPr>
                <w:rFonts w:hint="eastAsia" w:ascii="宋体" w:hAnsi="宋体" w:cs="宋体"/>
                <w:sz w:val="24"/>
              </w:rPr>
              <w:t>质量保证金百分比</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15DD7331">
            <w:pPr>
              <w:tabs>
                <w:tab w:val="left" w:pos="1080"/>
              </w:tabs>
              <w:spacing w:line="360" w:lineRule="exact"/>
              <w:jc w:val="center"/>
              <w:rPr>
                <w:rFonts w:ascii="宋体" w:hAnsi="宋体" w:cs="宋体"/>
                <w:sz w:val="24"/>
              </w:rPr>
            </w:pPr>
            <w:r>
              <w:rPr>
                <w:rFonts w:hint="eastAsia" w:ascii="宋体" w:hAnsi="宋体" w:cs="宋体"/>
                <w:sz w:val="24"/>
              </w:rPr>
              <w:t>17.4.1</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630B3563">
            <w:pPr>
              <w:tabs>
                <w:tab w:val="left" w:pos="1080"/>
              </w:tabs>
              <w:spacing w:line="360" w:lineRule="exact"/>
              <w:rPr>
                <w:rFonts w:ascii="宋体" w:hAnsi="宋体" w:cs="宋体"/>
                <w:sz w:val="24"/>
              </w:rPr>
            </w:pPr>
            <w:r>
              <w:rPr>
                <w:rFonts w:hint="eastAsia" w:ascii="宋体" w:hAnsi="宋体" w:cs="宋体"/>
                <w:sz w:val="24"/>
              </w:rPr>
              <w:t>%签约合同价格</w:t>
            </w:r>
          </w:p>
        </w:tc>
        <w:tc>
          <w:tcPr>
            <w:tcW w:w="899" w:type="dxa"/>
            <w:tcBorders>
              <w:top w:val="single" w:color="000000" w:sz="4" w:space="0"/>
              <w:left w:val="single" w:color="000000" w:sz="4" w:space="0"/>
              <w:bottom w:val="single" w:color="000000" w:sz="4" w:space="0"/>
              <w:right w:val="single" w:color="000000" w:sz="4" w:space="0"/>
            </w:tcBorders>
            <w:noWrap/>
          </w:tcPr>
          <w:p w14:paraId="1B1936E8">
            <w:pPr>
              <w:tabs>
                <w:tab w:val="left" w:pos="1080"/>
              </w:tabs>
              <w:spacing w:line="360" w:lineRule="exact"/>
              <w:rPr>
                <w:rFonts w:ascii="宋体" w:hAnsi="宋体" w:cs="宋体"/>
                <w:sz w:val="24"/>
              </w:rPr>
            </w:pPr>
          </w:p>
        </w:tc>
      </w:tr>
      <w:tr w14:paraId="313814F7">
        <w:tblPrEx>
          <w:tblCellMar>
            <w:top w:w="0" w:type="dxa"/>
            <w:left w:w="108" w:type="dxa"/>
            <w:bottom w:w="0" w:type="dxa"/>
            <w:right w:w="108" w:type="dxa"/>
          </w:tblCellMar>
        </w:tblPrEx>
        <w:trPr>
          <w:trHeight w:val="781" w:hRule="atLeast"/>
        </w:trPr>
        <w:tc>
          <w:tcPr>
            <w:tcW w:w="829" w:type="dxa"/>
            <w:tcBorders>
              <w:top w:val="single" w:color="000000" w:sz="4" w:space="0"/>
              <w:left w:val="single" w:color="000000" w:sz="4" w:space="0"/>
              <w:bottom w:val="single" w:color="000000" w:sz="4" w:space="0"/>
              <w:right w:val="single" w:color="000000" w:sz="4" w:space="0"/>
            </w:tcBorders>
            <w:noWrap/>
            <w:vAlign w:val="center"/>
          </w:tcPr>
          <w:p w14:paraId="2F45D3BC">
            <w:pPr>
              <w:tabs>
                <w:tab w:val="left" w:pos="1080"/>
              </w:tabs>
              <w:spacing w:line="360" w:lineRule="exact"/>
              <w:jc w:val="center"/>
              <w:rPr>
                <w:rFonts w:ascii="宋体" w:hAnsi="宋体" w:cs="宋体"/>
                <w:sz w:val="24"/>
              </w:rPr>
            </w:pPr>
            <w:r>
              <w:rPr>
                <w:rFonts w:hint="eastAsia" w:ascii="宋体" w:hAnsi="宋体" w:cs="宋体"/>
                <w:sz w:val="24"/>
              </w:rPr>
              <w:t>12</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0EC87C50">
            <w:pPr>
              <w:tabs>
                <w:tab w:val="left" w:pos="1080"/>
              </w:tabs>
              <w:spacing w:line="360" w:lineRule="exact"/>
              <w:jc w:val="center"/>
              <w:rPr>
                <w:rFonts w:ascii="宋体" w:hAnsi="宋体" w:cs="宋体"/>
                <w:sz w:val="24"/>
              </w:rPr>
            </w:pPr>
            <w:r>
              <w:rPr>
                <w:rFonts w:hint="eastAsia" w:ascii="宋体" w:hAnsi="宋体" w:cs="宋体"/>
                <w:sz w:val="24"/>
              </w:rPr>
              <w:t>保修期</w:t>
            </w:r>
          </w:p>
        </w:tc>
        <w:tc>
          <w:tcPr>
            <w:tcW w:w="1435" w:type="dxa"/>
            <w:tcBorders>
              <w:top w:val="single" w:color="000000" w:sz="4" w:space="0"/>
              <w:left w:val="single" w:color="000000" w:sz="4" w:space="0"/>
              <w:bottom w:val="single" w:color="000000" w:sz="4" w:space="0"/>
              <w:right w:val="single" w:color="000000" w:sz="4" w:space="0"/>
            </w:tcBorders>
            <w:noWrap/>
            <w:vAlign w:val="center"/>
          </w:tcPr>
          <w:p w14:paraId="50FFF35A">
            <w:pPr>
              <w:tabs>
                <w:tab w:val="left" w:pos="1080"/>
              </w:tabs>
              <w:spacing w:line="360" w:lineRule="exact"/>
              <w:jc w:val="center"/>
              <w:rPr>
                <w:rFonts w:ascii="宋体" w:hAnsi="宋体" w:cs="宋体"/>
                <w:sz w:val="24"/>
              </w:rPr>
            </w:pPr>
            <w:r>
              <w:rPr>
                <w:rFonts w:hint="eastAsia" w:ascii="宋体" w:hAnsi="宋体" w:cs="宋体"/>
                <w:sz w:val="24"/>
              </w:rPr>
              <w:t>19.7</w:t>
            </w:r>
          </w:p>
        </w:tc>
        <w:tc>
          <w:tcPr>
            <w:tcW w:w="3423" w:type="dxa"/>
            <w:tcBorders>
              <w:top w:val="single" w:color="000000" w:sz="4" w:space="0"/>
              <w:left w:val="single" w:color="000000" w:sz="4" w:space="0"/>
              <w:bottom w:val="single" w:color="000000" w:sz="4" w:space="0"/>
              <w:right w:val="single" w:color="000000" w:sz="4" w:space="0"/>
            </w:tcBorders>
            <w:noWrap/>
            <w:vAlign w:val="center"/>
          </w:tcPr>
          <w:p w14:paraId="0F9E172D">
            <w:pPr>
              <w:tabs>
                <w:tab w:val="left" w:pos="1080"/>
              </w:tabs>
              <w:spacing w:line="360" w:lineRule="exact"/>
              <w:rPr>
                <w:rFonts w:ascii="宋体" w:hAnsi="宋体" w:cs="宋体"/>
                <w:sz w:val="24"/>
              </w:rPr>
            </w:pPr>
            <w:r>
              <w:rPr>
                <w:rFonts w:hint="eastAsia" w:ascii="宋体" w:hAnsi="宋体" w:cs="宋体"/>
                <w:sz w:val="24"/>
              </w:rPr>
              <w:t>自实际交工日期起计算年</w:t>
            </w:r>
          </w:p>
        </w:tc>
        <w:tc>
          <w:tcPr>
            <w:tcW w:w="899" w:type="dxa"/>
            <w:tcBorders>
              <w:top w:val="single" w:color="000000" w:sz="4" w:space="0"/>
              <w:left w:val="single" w:color="000000" w:sz="4" w:space="0"/>
              <w:bottom w:val="single" w:color="000000" w:sz="4" w:space="0"/>
              <w:right w:val="single" w:color="000000" w:sz="4" w:space="0"/>
            </w:tcBorders>
            <w:noWrap/>
          </w:tcPr>
          <w:p w14:paraId="26D5C9A8">
            <w:pPr>
              <w:tabs>
                <w:tab w:val="left" w:pos="1080"/>
              </w:tabs>
              <w:spacing w:line="360" w:lineRule="exact"/>
              <w:rPr>
                <w:rFonts w:ascii="宋体" w:hAnsi="宋体" w:cs="宋体"/>
                <w:sz w:val="24"/>
              </w:rPr>
            </w:pPr>
          </w:p>
        </w:tc>
      </w:tr>
    </w:tbl>
    <w:p w14:paraId="4A2E1AA7">
      <w:pPr>
        <w:tabs>
          <w:tab w:val="left" w:pos="1080"/>
        </w:tabs>
        <w:spacing w:line="360" w:lineRule="exact"/>
        <w:rPr>
          <w:rFonts w:ascii="仿宋" w:hAnsi="仿宋" w:eastAsia="仿宋" w:cs="宋体"/>
          <w:sz w:val="24"/>
        </w:rPr>
      </w:pPr>
    </w:p>
    <w:p w14:paraId="1C5D24A1">
      <w:pPr>
        <w:tabs>
          <w:tab w:val="left" w:pos="1080"/>
        </w:tabs>
        <w:wordWrap w:val="0"/>
        <w:ind w:left="420" w:firstLine="480"/>
        <w:jc w:val="right"/>
        <w:rPr>
          <w:rFonts w:ascii="宋体" w:hAnsi="宋体"/>
          <w:sz w:val="24"/>
        </w:rPr>
      </w:pPr>
    </w:p>
    <w:p w14:paraId="6DBEF19F">
      <w:pPr>
        <w:pStyle w:val="22"/>
        <w:spacing w:line="460" w:lineRule="exact"/>
      </w:pPr>
    </w:p>
    <w:p w14:paraId="40CB1E12">
      <w:pPr>
        <w:pStyle w:val="26"/>
        <w:spacing w:line="460" w:lineRule="exact"/>
        <w:rPr>
          <w:rFonts w:hAnsi="宋体" w:cs="宋体"/>
          <w:bCs/>
          <w:sz w:val="24"/>
          <w:szCs w:val="24"/>
          <w:u w:val="single"/>
        </w:rPr>
      </w:pPr>
      <w:r>
        <w:rPr>
          <w:rFonts w:hint="eastAsia" w:hAnsi="宋体" w:cs="宋体"/>
          <w:bCs/>
          <w:sz w:val="24"/>
          <w:szCs w:val="24"/>
        </w:rPr>
        <w:t>供应商[公章(CA签章)、自然人除外]：</w:t>
      </w:r>
    </w:p>
    <w:p w14:paraId="3AD46424">
      <w:pPr>
        <w:pStyle w:val="26"/>
        <w:spacing w:line="460" w:lineRule="exact"/>
        <w:rPr>
          <w:rFonts w:hAnsi="宋体" w:cs="宋体"/>
          <w:sz w:val="24"/>
          <w:szCs w:val="24"/>
          <w:u w:val="single"/>
        </w:rPr>
      </w:pPr>
      <w:r>
        <w:rPr>
          <w:rFonts w:hint="eastAsia" w:hAnsi="宋体" w:cs="宋体"/>
          <w:sz w:val="24"/>
          <w:szCs w:val="24"/>
        </w:rPr>
        <w:t>法定代表人、负责人、自然人或相应的委托代理人签字[或盖章(CA签章)]（属自然人的应在签名处加盖大拇指指印或个人CA签章）：</w:t>
      </w:r>
    </w:p>
    <w:p w14:paraId="79299428">
      <w:pPr>
        <w:pStyle w:val="26"/>
        <w:spacing w:line="460" w:lineRule="exact"/>
        <w:rPr>
          <w:rFonts w:hAnsi="宋体"/>
          <w:sz w:val="24"/>
          <w:szCs w:val="24"/>
        </w:rPr>
      </w:pPr>
      <w:r>
        <w:rPr>
          <w:rFonts w:hint="eastAsia" w:hAnsi="宋体" w:cs="宋体"/>
          <w:sz w:val="24"/>
          <w:szCs w:val="24"/>
        </w:rPr>
        <w:t>日期：</w:t>
      </w:r>
    </w:p>
    <w:p w14:paraId="47D05B0D">
      <w:pPr>
        <w:spacing w:line="360" w:lineRule="exact"/>
        <w:jc w:val="center"/>
        <w:rPr>
          <w:rFonts w:ascii="宋体" w:hAnsi="宋体"/>
          <w:sz w:val="24"/>
        </w:rPr>
      </w:pPr>
    </w:p>
    <w:p w14:paraId="1C720892">
      <w:pPr>
        <w:pStyle w:val="26"/>
        <w:spacing w:line="320" w:lineRule="exact"/>
        <w:rPr>
          <w:rFonts w:hAnsi="宋体"/>
          <w:szCs w:val="21"/>
        </w:rPr>
      </w:pPr>
      <w:r>
        <w:rPr>
          <w:rFonts w:hAnsi="宋体"/>
          <w:sz w:val="24"/>
        </w:rPr>
        <w:br w:type="page"/>
      </w:r>
    </w:p>
    <w:p w14:paraId="6BCA3104">
      <w:pPr>
        <w:spacing w:line="360" w:lineRule="exact"/>
        <w:rPr>
          <w:rFonts w:ascii="宋体" w:hAnsi="宋体"/>
          <w:b/>
          <w:szCs w:val="21"/>
        </w:rPr>
      </w:pPr>
    </w:p>
    <w:p w14:paraId="11D4A7E3">
      <w:pPr>
        <w:spacing w:line="300" w:lineRule="auto"/>
        <w:jc w:val="center"/>
        <w:rPr>
          <w:rFonts w:ascii="宋体" w:hAnsi="宋体"/>
          <w:b/>
          <w:sz w:val="32"/>
          <w:szCs w:val="32"/>
        </w:rPr>
      </w:pPr>
      <w:r>
        <w:rPr>
          <w:rFonts w:hint="eastAsia" w:ascii="宋体" w:hAnsi="宋体"/>
          <w:b/>
          <w:sz w:val="32"/>
          <w:szCs w:val="32"/>
        </w:rPr>
        <w:t>二、已标价的工程量清单</w:t>
      </w:r>
    </w:p>
    <w:p w14:paraId="6E1A6164">
      <w:pPr>
        <w:pStyle w:val="26"/>
        <w:spacing w:line="300" w:lineRule="auto"/>
        <w:rPr>
          <w:rFonts w:hAnsi="宋体"/>
        </w:rPr>
      </w:pPr>
    </w:p>
    <w:p w14:paraId="443ABDFE">
      <w:pPr>
        <w:pStyle w:val="26"/>
        <w:spacing w:line="300" w:lineRule="auto"/>
        <w:jc w:val="center"/>
        <w:rPr>
          <w:rFonts w:hAnsi="宋体"/>
          <w:sz w:val="24"/>
          <w:szCs w:val="24"/>
        </w:rPr>
      </w:pPr>
      <w:r>
        <w:rPr>
          <w:rFonts w:hint="eastAsia" w:hAnsi="宋体" w:cs="宋体"/>
          <w:sz w:val="24"/>
          <w:szCs w:val="24"/>
        </w:rPr>
        <w:t>供应商应按照第三章“工程量清单”的要求逐项填报工程量清单，包括工程量清单说明、磋商报价说明及工程量清单各项表格</w:t>
      </w:r>
    </w:p>
    <w:p w14:paraId="44571E11">
      <w:pPr>
        <w:pStyle w:val="26"/>
        <w:spacing w:line="300" w:lineRule="auto"/>
        <w:rPr>
          <w:rFonts w:hAnsi="宋体"/>
        </w:rPr>
      </w:pPr>
    </w:p>
    <w:p w14:paraId="13A65040">
      <w:pPr>
        <w:pStyle w:val="26"/>
        <w:spacing w:line="300" w:lineRule="auto"/>
        <w:rPr>
          <w:rFonts w:hAnsi="宋体"/>
        </w:rPr>
      </w:pPr>
    </w:p>
    <w:p w14:paraId="3994AB21">
      <w:pPr>
        <w:pStyle w:val="26"/>
        <w:spacing w:line="300" w:lineRule="auto"/>
        <w:rPr>
          <w:rFonts w:hAnsi="宋体"/>
        </w:rPr>
      </w:pPr>
    </w:p>
    <w:p w14:paraId="7444BFCE">
      <w:pPr>
        <w:pStyle w:val="26"/>
        <w:spacing w:line="300" w:lineRule="auto"/>
        <w:rPr>
          <w:rFonts w:hAnsi="宋体"/>
        </w:rPr>
      </w:pPr>
    </w:p>
    <w:p w14:paraId="060CB821">
      <w:pPr>
        <w:pStyle w:val="26"/>
        <w:spacing w:line="300" w:lineRule="auto"/>
        <w:rPr>
          <w:rFonts w:hAnsi="宋体"/>
        </w:rPr>
      </w:pPr>
      <w:r>
        <w:rPr>
          <w:rFonts w:hint="eastAsia" w:hAnsi="宋体" w:cs="宋体"/>
          <w:b/>
          <w:bCs/>
          <w:sz w:val="28"/>
          <w:szCs w:val="28"/>
        </w:rPr>
        <w:t>注：</w:t>
      </w:r>
      <w:r>
        <w:rPr>
          <w:rFonts w:hint="eastAsia" w:hAnsi="宋体" w:cs="宋体"/>
          <w:b/>
          <w:sz w:val="24"/>
        </w:rPr>
        <w:t>当本清单由多页构成时，需逐页加盖磋商供应商公章（CA签章）（属自然人的须逐页签字或个人CA签章）。</w:t>
      </w:r>
    </w:p>
    <w:p w14:paraId="75FD3422">
      <w:pPr>
        <w:pStyle w:val="26"/>
        <w:spacing w:line="300" w:lineRule="auto"/>
        <w:rPr>
          <w:rFonts w:hAnsi="宋体"/>
        </w:rPr>
      </w:pPr>
    </w:p>
    <w:p w14:paraId="4CCE0316">
      <w:pPr>
        <w:pStyle w:val="26"/>
        <w:spacing w:line="300" w:lineRule="auto"/>
        <w:rPr>
          <w:rFonts w:hAnsi="宋体"/>
        </w:rPr>
      </w:pPr>
    </w:p>
    <w:p w14:paraId="6A210EC8">
      <w:pPr>
        <w:pStyle w:val="26"/>
        <w:spacing w:line="300" w:lineRule="auto"/>
        <w:rPr>
          <w:rFonts w:hAnsi="宋体"/>
        </w:rPr>
      </w:pPr>
    </w:p>
    <w:p w14:paraId="39B5088B">
      <w:pPr>
        <w:pStyle w:val="26"/>
        <w:spacing w:line="300" w:lineRule="auto"/>
        <w:rPr>
          <w:rFonts w:hAnsi="宋体"/>
        </w:rPr>
      </w:pPr>
    </w:p>
    <w:p w14:paraId="0FC512DF">
      <w:pPr>
        <w:pStyle w:val="26"/>
        <w:spacing w:line="300" w:lineRule="auto"/>
        <w:rPr>
          <w:rFonts w:hAnsi="宋体"/>
        </w:rPr>
      </w:pPr>
    </w:p>
    <w:p w14:paraId="5BF6D6FD">
      <w:pPr>
        <w:pStyle w:val="26"/>
        <w:spacing w:line="300" w:lineRule="auto"/>
        <w:rPr>
          <w:rFonts w:hAnsi="宋体"/>
        </w:rPr>
      </w:pPr>
    </w:p>
    <w:p w14:paraId="7E0BBEDE">
      <w:pPr>
        <w:pStyle w:val="26"/>
        <w:spacing w:line="300" w:lineRule="auto"/>
        <w:rPr>
          <w:rFonts w:hAnsi="宋体"/>
        </w:rPr>
      </w:pPr>
    </w:p>
    <w:p w14:paraId="7888999B">
      <w:pPr>
        <w:pStyle w:val="26"/>
        <w:spacing w:line="300" w:lineRule="auto"/>
        <w:rPr>
          <w:rFonts w:hAnsi="宋体"/>
        </w:rPr>
      </w:pPr>
    </w:p>
    <w:p w14:paraId="24C698DC">
      <w:pPr>
        <w:pStyle w:val="26"/>
        <w:spacing w:line="300" w:lineRule="auto"/>
        <w:rPr>
          <w:rFonts w:hAnsi="宋体"/>
        </w:rPr>
      </w:pPr>
    </w:p>
    <w:p w14:paraId="15EE7FD4">
      <w:pPr>
        <w:pStyle w:val="26"/>
        <w:spacing w:line="300" w:lineRule="auto"/>
        <w:rPr>
          <w:rFonts w:hAnsi="宋体"/>
        </w:rPr>
      </w:pPr>
    </w:p>
    <w:p w14:paraId="2E7F149B">
      <w:pPr>
        <w:pStyle w:val="26"/>
        <w:spacing w:line="300" w:lineRule="auto"/>
        <w:rPr>
          <w:rFonts w:hAnsi="宋体"/>
        </w:rPr>
      </w:pPr>
    </w:p>
    <w:p w14:paraId="27AC0A94">
      <w:pPr>
        <w:pStyle w:val="26"/>
        <w:spacing w:line="300" w:lineRule="auto"/>
        <w:rPr>
          <w:rFonts w:hAnsi="宋体"/>
        </w:rPr>
      </w:pPr>
    </w:p>
    <w:p w14:paraId="3A18EA77">
      <w:pPr>
        <w:pStyle w:val="26"/>
        <w:spacing w:line="300" w:lineRule="auto"/>
        <w:rPr>
          <w:rFonts w:hAnsi="宋体"/>
        </w:rPr>
      </w:pPr>
    </w:p>
    <w:p w14:paraId="35AB3D06">
      <w:pPr>
        <w:pStyle w:val="26"/>
        <w:spacing w:line="300" w:lineRule="auto"/>
        <w:rPr>
          <w:rFonts w:hAnsi="宋体"/>
        </w:rPr>
      </w:pPr>
    </w:p>
    <w:p w14:paraId="4CB950BD">
      <w:pPr>
        <w:tabs>
          <w:tab w:val="left" w:pos="525"/>
        </w:tabs>
        <w:snapToGrid w:val="0"/>
        <w:spacing w:line="360" w:lineRule="auto"/>
        <w:jc w:val="center"/>
      </w:pPr>
      <w:r>
        <w:br w:type="page"/>
      </w:r>
    </w:p>
    <w:p w14:paraId="79B093C8">
      <w:pPr>
        <w:tabs>
          <w:tab w:val="left" w:pos="525"/>
        </w:tabs>
        <w:snapToGrid w:val="0"/>
        <w:spacing w:line="360" w:lineRule="auto"/>
        <w:jc w:val="center"/>
        <w:rPr>
          <w:rFonts w:ascii="宋体" w:hAnsi="宋体"/>
          <w:b/>
          <w:sz w:val="32"/>
          <w:szCs w:val="32"/>
        </w:rPr>
      </w:pPr>
      <w:r>
        <w:rPr>
          <w:rFonts w:hint="eastAsia" w:ascii="宋体" w:hAnsi="宋体"/>
          <w:b/>
          <w:sz w:val="32"/>
          <w:szCs w:val="32"/>
        </w:rPr>
        <w:t>三、施工组织设计（必须提供）；</w:t>
      </w:r>
    </w:p>
    <w:p w14:paraId="3AF1DA97">
      <w:pPr>
        <w:tabs>
          <w:tab w:val="left" w:pos="525"/>
        </w:tabs>
        <w:snapToGrid w:val="0"/>
        <w:spacing w:line="360" w:lineRule="auto"/>
        <w:jc w:val="center"/>
        <w:rPr>
          <w:rFonts w:ascii="宋体" w:hAnsi="宋体"/>
          <w:b/>
          <w:sz w:val="32"/>
          <w:szCs w:val="32"/>
        </w:rPr>
      </w:pPr>
      <w:r>
        <w:rPr>
          <w:rFonts w:hint="eastAsia" w:ascii="宋体" w:hAnsi="宋体"/>
          <w:b/>
          <w:sz w:val="32"/>
          <w:szCs w:val="32"/>
        </w:rPr>
        <w:t>格式自拟</w:t>
      </w:r>
    </w:p>
    <w:p w14:paraId="18925F8A">
      <w:r>
        <w:br w:type="page"/>
      </w:r>
    </w:p>
    <w:p w14:paraId="51B190E9">
      <w:pPr>
        <w:tabs>
          <w:tab w:val="left" w:pos="525"/>
        </w:tabs>
        <w:snapToGrid w:val="0"/>
        <w:spacing w:line="360" w:lineRule="exact"/>
        <w:jc w:val="center"/>
        <w:rPr>
          <w:rFonts w:ascii="宋体" w:hAnsi="宋体"/>
          <w:b/>
          <w:sz w:val="32"/>
          <w:szCs w:val="32"/>
        </w:rPr>
      </w:pPr>
      <w:r>
        <w:rPr>
          <w:rFonts w:hint="eastAsia"/>
          <w:sz w:val="24"/>
        </w:rPr>
        <w:t>四</w:t>
      </w:r>
      <w:r>
        <w:rPr>
          <w:rFonts w:hint="eastAsia" w:ascii="宋体" w:hAnsi="宋体"/>
          <w:b/>
          <w:sz w:val="32"/>
          <w:szCs w:val="32"/>
        </w:rPr>
        <w:t>、拟分包情况表；（如有，则必须提供）</w:t>
      </w:r>
    </w:p>
    <w:p w14:paraId="68622784">
      <w:pPr>
        <w:tabs>
          <w:tab w:val="left" w:pos="525"/>
        </w:tabs>
        <w:snapToGrid w:val="0"/>
        <w:spacing w:line="360" w:lineRule="exact"/>
        <w:rPr>
          <w:rFonts w:ascii="宋体" w:hAnsi="宋体"/>
          <w:b/>
          <w:sz w:val="32"/>
          <w:szCs w:val="32"/>
        </w:rPr>
      </w:pPr>
    </w:p>
    <w:p w14:paraId="0AF3FA71">
      <w:pPr>
        <w:spacing w:line="360" w:lineRule="auto"/>
        <w:ind w:left="420" w:firstLine="420"/>
      </w:pPr>
    </w:p>
    <w:tbl>
      <w:tblPr>
        <w:tblStyle w:val="5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0"/>
        <w:gridCol w:w="1980"/>
        <w:gridCol w:w="3060"/>
      </w:tblGrid>
      <w:tr w14:paraId="1314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noWrap/>
            <w:vAlign w:val="center"/>
          </w:tcPr>
          <w:p w14:paraId="716712B3">
            <w:pPr>
              <w:jc w:val="center"/>
            </w:pPr>
            <w:r>
              <w:rPr>
                <w:rFonts w:hint="eastAsia"/>
              </w:rPr>
              <w:t>分包人名称</w:t>
            </w:r>
          </w:p>
        </w:tc>
        <w:tc>
          <w:tcPr>
            <w:tcW w:w="2160" w:type="dxa"/>
            <w:noWrap/>
            <w:vAlign w:val="center"/>
          </w:tcPr>
          <w:p w14:paraId="3F980404">
            <w:pPr>
              <w:jc w:val="center"/>
            </w:pPr>
          </w:p>
        </w:tc>
        <w:tc>
          <w:tcPr>
            <w:tcW w:w="1980" w:type="dxa"/>
            <w:noWrap/>
            <w:vAlign w:val="center"/>
          </w:tcPr>
          <w:p w14:paraId="67B2AC06">
            <w:pPr>
              <w:jc w:val="center"/>
            </w:pPr>
            <w:r>
              <w:rPr>
                <w:rFonts w:hint="eastAsia"/>
              </w:rPr>
              <w:t>地址</w:t>
            </w:r>
          </w:p>
        </w:tc>
        <w:tc>
          <w:tcPr>
            <w:tcW w:w="3060" w:type="dxa"/>
            <w:noWrap/>
            <w:vAlign w:val="center"/>
          </w:tcPr>
          <w:p w14:paraId="51EEFF45">
            <w:pPr>
              <w:jc w:val="center"/>
            </w:pPr>
          </w:p>
        </w:tc>
      </w:tr>
      <w:tr w14:paraId="048A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noWrap/>
            <w:vAlign w:val="center"/>
          </w:tcPr>
          <w:p w14:paraId="54D606E5">
            <w:pPr>
              <w:jc w:val="center"/>
            </w:pPr>
            <w:r>
              <w:rPr>
                <w:rFonts w:hint="eastAsia"/>
              </w:rPr>
              <w:t>法定代表人姓名</w:t>
            </w:r>
          </w:p>
        </w:tc>
        <w:tc>
          <w:tcPr>
            <w:tcW w:w="2160" w:type="dxa"/>
            <w:noWrap/>
            <w:vAlign w:val="center"/>
          </w:tcPr>
          <w:p w14:paraId="55C7758E">
            <w:pPr>
              <w:jc w:val="center"/>
            </w:pPr>
          </w:p>
        </w:tc>
        <w:tc>
          <w:tcPr>
            <w:tcW w:w="1980" w:type="dxa"/>
            <w:noWrap/>
            <w:vAlign w:val="center"/>
          </w:tcPr>
          <w:p w14:paraId="31C206D9">
            <w:pPr>
              <w:jc w:val="center"/>
            </w:pPr>
            <w:r>
              <w:rPr>
                <w:rFonts w:hint="eastAsia"/>
              </w:rPr>
              <w:t>电话</w:t>
            </w:r>
          </w:p>
        </w:tc>
        <w:tc>
          <w:tcPr>
            <w:tcW w:w="3060" w:type="dxa"/>
            <w:noWrap/>
            <w:vAlign w:val="center"/>
          </w:tcPr>
          <w:p w14:paraId="095869D4">
            <w:pPr>
              <w:jc w:val="center"/>
            </w:pPr>
          </w:p>
        </w:tc>
      </w:tr>
      <w:tr w14:paraId="6D649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noWrap/>
            <w:vAlign w:val="center"/>
          </w:tcPr>
          <w:p w14:paraId="2B3818E6">
            <w:pPr>
              <w:jc w:val="center"/>
            </w:pPr>
            <w:r>
              <w:rPr>
                <w:rFonts w:hint="eastAsia"/>
              </w:rPr>
              <w:t>营业执照号码</w:t>
            </w:r>
          </w:p>
        </w:tc>
        <w:tc>
          <w:tcPr>
            <w:tcW w:w="2160" w:type="dxa"/>
            <w:noWrap/>
            <w:vAlign w:val="center"/>
          </w:tcPr>
          <w:p w14:paraId="5C950C35">
            <w:pPr>
              <w:jc w:val="center"/>
            </w:pPr>
          </w:p>
        </w:tc>
        <w:tc>
          <w:tcPr>
            <w:tcW w:w="1980" w:type="dxa"/>
            <w:noWrap/>
            <w:vAlign w:val="center"/>
          </w:tcPr>
          <w:p w14:paraId="4231790D">
            <w:pPr>
              <w:jc w:val="center"/>
            </w:pPr>
            <w:r>
              <w:rPr>
                <w:rFonts w:hint="eastAsia"/>
              </w:rPr>
              <w:t>资质等级</w:t>
            </w:r>
          </w:p>
        </w:tc>
        <w:tc>
          <w:tcPr>
            <w:tcW w:w="3060" w:type="dxa"/>
            <w:noWrap/>
            <w:vAlign w:val="center"/>
          </w:tcPr>
          <w:p w14:paraId="6709D5ED">
            <w:pPr>
              <w:jc w:val="center"/>
            </w:pPr>
          </w:p>
        </w:tc>
      </w:tr>
      <w:tr w14:paraId="68E19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980" w:type="dxa"/>
            <w:noWrap/>
            <w:vAlign w:val="center"/>
          </w:tcPr>
          <w:p w14:paraId="4DF7283E">
            <w:pPr>
              <w:jc w:val="center"/>
            </w:pPr>
            <w:r>
              <w:rPr>
                <w:rFonts w:hint="eastAsia"/>
              </w:rPr>
              <w:t>拟分包的工程项目</w:t>
            </w:r>
          </w:p>
        </w:tc>
        <w:tc>
          <w:tcPr>
            <w:tcW w:w="2160" w:type="dxa"/>
            <w:noWrap/>
            <w:vAlign w:val="center"/>
          </w:tcPr>
          <w:p w14:paraId="14940EDA">
            <w:pPr>
              <w:jc w:val="center"/>
            </w:pPr>
            <w:r>
              <w:rPr>
                <w:rFonts w:hint="eastAsia"/>
              </w:rPr>
              <w:t>主要内容</w:t>
            </w:r>
          </w:p>
        </w:tc>
        <w:tc>
          <w:tcPr>
            <w:tcW w:w="1980" w:type="dxa"/>
            <w:noWrap/>
            <w:vAlign w:val="center"/>
          </w:tcPr>
          <w:p w14:paraId="45930AD7">
            <w:pPr>
              <w:jc w:val="center"/>
            </w:pPr>
            <w:r>
              <w:rPr>
                <w:rFonts w:hint="eastAsia"/>
              </w:rPr>
              <w:t>预计造价（万元）</w:t>
            </w:r>
          </w:p>
        </w:tc>
        <w:tc>
          <w:tcPr>
            <w:tcW w:w="3060" w:type="dxa"/>
            <w:noWrap/>
            <w:vAlign w:val="center"/>
          </w:tcPr>
          <w:p w14:paraId="1F0E5EA3">
            <w:pPr>
              <w:jc w:val="center"/>
            </w:pPr>
            <w:r>
              <w:rPr>
                <w:rFonts w:hint="eastAsia"/>
              </w:rPr>
              <w:t>以往做过的类似工程</w:t>
            </w:r>
          </w:p>
        </w:tc>
      </w:tr>
      <w:tr w14:paraId="775A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980" w:type="dxa"/>
            <w:noWrap/>
          </w:tcPr>
          <w:p w14:paraId="17AC2556">
            <w:pPr>
              <w:ind w:left="-106" w:leftChars="-51" w:hanging="1"/>
              <w:jc w:val="center"/>
              <w:rPr>
                <w:szCs w:val="21"/>
              </w:rPr>
            </w:pPr>
          </w:p>
        </w:tc>
        <w:tc>
          <w:tcPr>
            <w:tcW w:w="2160" w:type="dxa"/>
            <w:noWrap/>
          </w:tcPr>
          <w:p w14:paraId="52B9BC5B">
            <w:pPr>
              <w:ind w:left="-106" w:leftChars="-51" w:hanging="1"/>
              <w:jc w:val="center"/>
              <w:rPr>
                <w:szCs w:val="21"/>
              </w:rPr>
            </w:pPr>
          </w:p>
        </w:tc>
        <w:tc>
          <w:tcPr>
            <w:tcW w:w="1980" w:type="dxa"/>
            <w:vMerge w:val="restart"/>
            <w:noWrap/>
          </w:tcPr>
          <w:p w14:paraId="1E351701">
            <w:pPr>
              <w:ind w:left="-106" w:leftChars="-51" w:hanging="1"/>
              <w:jc w:val="center"/>
              <w:rPr>
                <w:szCs w:val="21"/>
              </w:rPr>
            </w:pPr>
          </w:p>
        </w:tc>
        <w:tc>
          <w:tcPr>
            <w:tcW w:w="3060" w:type="dxa"/>
            <w:vMerge w:val="restart"/>
            <w:noWrap/>
          </w:tcPr>
          <w:p w14:paraId="0E7FF0D5">
            <w:pPr>
              <w:ind w:left="313" w:leftChars="-51" w:hanging="420" w:hangingChars="200"/>
              <w:rPr>
                <w:szCs w:val="21"/>
              </w:rPr>
            </w:pPr>
            <w:r>
              <w:rPr>
                <w:rFonts w:hint="eastAsia"/>
                <w:szCs w:val="21"/>
              </w:rPr>
              <w:t>注：</w:t>
            </w:r>
          </w:p>
          <w:p w14:paraId="75E1A01F">
            <w:pPr>
              <w:ind w:left="420" w:hanging="420" w:hangingChars="200"/>
              <w:rPr>
                <w:szCs w:val="21"/>
              </w:rPr>
            </w:pPr>
            <w:r>
              <w:rPr>
                <w:rFonts w:hint="eastAsia"/>
                <w:szCs w:val="21"/>
              </w:rPr>
              <w:t>1.本栏应写明分包人以往做过的类似工程，包括工程名称、地点、造价、工期、交工年份和其发包人与总监理工程师的姓名和地址。</w:t>
            </w:r>
          </w:p>
          <w:p w14:paraId="622EB550">
            <w:pPr>
              <w:ind w:left="420" w:hanging="420" w:hangingChars="200"/>
              <w:rPr>
                <w:szCs w:val="21"/>
              </w:rPr>
            </w:pPr>
            <w:r>
              <w:rPr>
                <w:rFonts w:hint="eastAsia"/>
                <w:szCs w:val="21"/>
              </w:rPr>
              <w:t>2.若无分包人，则供应商应填写“无”。</w:t>
            </w:r>
          </w:p>
          <w:p w14:paraId="5B532B37">
            <w:pPr>
              <w:ind w:left="420" w:hanging="420" w:hangingChars="200"/>
              <w:rPr>
                <w:szCs w:val="21"/>
              </w:rPr>
            </w:pPr>
            <w:r>
              <w:rPr>
                <w:rFonts w:hint="eastAsia"/>
                <w:szCs w:val="21"/>
              </w:rPr>
              <w:t>3.分包人应附有与所分包工程相适应的资质证明（彩色扫描打印件）。</w:t>
            </w:r>
          </w:p>
          <w:p w14:paraId="411B87D9">
            <w:pPr>
              <w:ind w:left="420" w:hanging="420" w:hangingChars="200"/>
              <w:rPr>
                <w:szCs w:val="21"/>
              </w:rPr>
            </w:pPr>
          </w:p>
        </w:tc>
      </w:tr>
      <w:tr w14:paraId="146E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6C46DC18">
            <w:pPr>
              <w:ind w:left="420" w:firstLine="420"/>
              <w:jc w:val="center"/>
              <w:rPr>
                <w:szCs w:val="21"/>
              </w:rPr>
            </w:pPr>
          </w:p>
        </w:tc>
        <w:tc>
          <w:tcPr>
            <w:tcW w:w="2160" w:type="dxa"/>
            <w:noWrap/>
          </w:tcPr>
          <w:p w14:paraId="197A66E4">
            <w:pPr>
              <w:ind w:left="420" w:firstLine="420"/>
              <w:jc w:val="center"/>
              <w:rPr>
                <w:szCs w:val="21"/>
              </w:rPr>
            </w:pPr>
          </w:p>
        </w:tc>
        <w:tc>
          <w:tcPr>
            <w:tcW w:w="1980" w:type="dxa"/>
            <w:vMerge w:val="continue"/>
            <w:noWrap/>
          </w:tcPr>
          <w:p w14:paraId="7A185CEC">
            <w:pPr>
              <w:ind w:left="420" w:firstLine="420"/>
              <w:jc w:val="center"/>
              <w:rPr>
                <w:szCs w:val="21"/>
              </w:rPr>
            </w:pPr>
          </w:p>
        </w:tc>
        <w:tc>
          <w:tcPr>
            <w:tcW w:w="3060" w:type="dxa"/>
            <w:vMerge w:val="continue"/>
            <w:noWrap/>
          </w:tcPr>
          <w:p w14:paraId="72E0E14D">
            <w:pPr>
              <w:ind w:left="420" w:firstLine="420"/>
              <w:jc w:val="center"/>
              <w:rPr>
                <w:szCs w:val="21"/>
              </w:rPr>
            </w:pPr>
          </w:p>
        </w:tc>
      </w:tr>
      <w:tr w14:paraId="1C69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7ACA7741">
            <w:pPr>
              <w:ind w:left="420" w:firstLine="420"/>
              <w:jc w:val="center"/>
              <w:rPr>
                <w:szCs w:val="21"/>
              </w:rPr>
            </w:pPr>
          </w:p>
        </w:tc>
        <w:tc>
          <w:tcPr>
            <w:tcW w:w="2160" w:type="dxa"/>
            <w:noWrap/>
          </w:tcPr>
          <w:p w14:paraId="21487269">
            <w:pPr>
              <w:ind w:left="420" w:firstLine="420"/>
              <w:jc w:val="center"/>
              <w:rPr>
                <w:szCs w:val="21"/>
              </w:rPr>
            </w:pPr>
          </w:p>
        </w:tc>
        <w:tc>
          <w:tcPr>
            <w:tcW w:w="1980" w:type="dxa"/>
            <w:vMerge w:val="continue"/>
            <w:noWrap/>
          </w:tcPr>
          <w:p w14:paraId="373F95E5">
            <w:pPr>
              <w:ind w:left="420" w:firstLine="420"/>
              <w:jc w:val="center"/>
              <w:rPr>
                <w:szCs w:val="21"/>
              </w:rPr>
            </w:pPr>
          </w:p>
        </w:tc>
        <w:tc>
          <w:tcPr>
            <w:tcW w:w="3060" w:type="dxa"/>
            <w:vMerge w:val="continue"/>
            <w:noWrap/>
          </w:tcPr>
          <w:p w14:paraId="30E1AFEB">
            <w:pPr>
              <w:ind w:left="420" w:firstLine="420"/>
              <w:jc w:val="center"/>
              <w:rPr>
                <w:szCs w:val="21"/>
              </w:rPr>
            </w:pPr>
          </w:p>
        </w:tc>
      </w:tr>
      <w:tr w14:paraId="0A8C9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2D91E4EF">
            <w:pPr>
              <w:ind w:left="420" w:firstLine="420"/>
              <w:jc w:val="center"/>
              <w:rPr>
                <w:szCs w:val="21"/>
              </w:rPr>
            </w:pPr>
          </w:p>
        </w:tc>
        <w:tc>
          <w:tcPr>
            <w:tcW w:w="2160" w:type="dxa"/>
            <w:noWrap/>
          </w:tcPr>
          <w:p w14:paraId="27786249">
            <w:pPr>
              <w:ind w:left="420" w:firstLine="420"/>
              <w:jc w:val="center"/>
              <w:rPr>
                <w:szCs w:val="21"/>
              </w:rPr>
            </w:pPr>
          </w:p>
        </w:tc>
        <w:tc>
          <w:tcPr>
            <w:tcW w:w="1980" w:type="dxa"/>
            <w:vMerge w:val="continue"/>
            <w:noWrap/>
          </w:tcPr>
          <w:p w14:paraId="31BF3949">
            <w:pPr>
              <w:ind w:left="420" w:firstLine="420"/>
              <w:jc w:val="center"/>
              <w:rPr>
                <w:szCs w:val="21"/>
              </w:rPr>
            </w:pPr>
          </w:p>
        </w:tc>
        <w:tc>
          <w:tcPr>
            <w:tcW w:w="3060" w:type="dxa"/>
            <w:vMerge w:val="continue"/>
            <w:noWrap/>
          </w:tcPr>
          <w:p w14:paraId="7C039BDA">
            <w:pPr>
              <w:ind w:left="420" w:firstLine="420"/>
              <w:jc w:val="center"/>
              <w:rPr>
                <w:szCs w:val="21"/>
              </w:rPr>
            </w:pPr>
          </w:p>
        </w:tc>
      </w:tr>
      <w:tr w14:paraId="7123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043AA7B2">
            <w:pPr>
              <w:ind w:left="420" w:firstLine="420"/>
              <w:jc w:val="center"/>
              <w:rPr>
                <w:szCs w:val="21"/>
              </w:rPr>
            </w:pPr>
          </w:p>
        </w:tc>
        <w:tc>
          <w:tcPr>
            <w:tcW w:w="2160" w:type="dxa"/>
            <w:noWrap/>
          </w:tcPr>
          <w:p w14:paraId="1F6C1D3B">
            <w:pPr>
              <w:ind w:left="420" w:firstLine="420"/>
              <w:jc w:val="center"/>
              <w:rPr>
                <w:szCs w:val="21"/>
              </w:rPr>
            </w:pPr>
          </w:p>
        </w:tc>
        <w:tc>
          <w:tcPr>
            <w:tcW w:w="1980" w:type="dxa"/>
            <w:vMerge w:val="continue"/>
            <w:noWrap/>
          </w:tcPr>
          <w:p w14:paraId="415C94D5">
            <w:pPr>
              <w:ind w:left="420" w:firstLine="420"/>
              <w:jc w:val="center"/>
              <w:rPr>
                <w:szCs w:val="21"/>
              </w:rPr>
            </w:pPr>
          </w:p>
        </w:tc>
        <w:tc>
          <w:tcPr>
            <w:tcW w:w="3060" w:type="dxa"/>
            <w:vMerge w:val="continue"/>
            <w:noWrap/>
          </w:tcPr>
          <w:p w14:paraId="3E4353F1">
            <w:pPr>
              <w:ind w:left="420" w:firstLine="420"/>
              <w:jc w:val="center"/>
              <w:rPr>
                <w:szCs w:val="21"/>
              </w:rPr>
            </w:pPr>
          </w:p>
        </w:tc>
      </w:tr>
      <w:tr w14:paraId="584E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731E0343">
            <w:pPr>
              <w:ind w:left="420" w:firstLine="420"/>
              <w:jc w:val="center"/>
              <w:rPr>
                <w:szCs w:val="21"/>
              </w:rPr>
            </w:pPr>
          </w:p>
        </w:tc>
        <w:tc>
          <w:tcPr>
            <w:tcW w:w="2160" w:type="dxa"/>
            <w:noWrap/>
          </w:tcPr>
          <w:p w14:paraId="3F58B4B2">
            <w:pPr>
              <w:ind w:left="420" w:firstLine="420"/>
              <w:jc w:val="center"/>
              <w:rPr>
                <w:szCs w:val="21"/>
              </w:rPr>
            </w:pPr>
          </w:p>
        </w:tc>
        <w:tc>
          <w:tcPr>
            <w:tcW w:w="1980" w:type="dxa"/>
            <w:vMerge w:val="continue"/>
            <w:noWrap/>
          </w:tcPr>
          <w:p w14:paraId="20173ADC">
            <w:pPr>
              <w:ind w:left="420" w:firstLine="420"/>
              <w:jc w:val="center"/>
              <w:rPr>
                <w:szCs w:val="21"/>
              </w:rPr>
            </w:pPr>
          </w:p>
        </w:tc>
        <w:tc>
          <w:tcPr>
            <w:tcW w:w="3060" w:type="dxa"/>
            <w:vMerge w:val="continue"/>
            <w:noWrap/>
          </w:tcPr>
          <w:p w14:paraId="68B56B55">
            <w:pPr>
              <w:ind w:left="420" w:firstLine="420"/>
              <w:jc w:val="center"/>
              <w:rPr>
                <w:szCs w:val="21"/>
              </w:rPr>
            </w:pPr>
          </w:p>
        </w:tc>
      </w:tr>
      <w:tr w14:paraId="56E7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21D17B25">
            <w:pPr>
              <w:ind w:left="420" w:firstLine="420"/>
              <w:jc w:val="center"/>
              <w:rPr>
                <w:szCs w:val="21"/>
              </w:rPr>
            </w:pPr>
          </w:p>
        </w:tc>
        <w:tc>
          <w:tcPr>
            <w:tcW w:w="2160" w:type="dxa"/>
            <w:noWrap/>
          </w:tcPr>
          <w:p w14:paraId="07455B44">
            <w:pPr>
              <w:ind w:left="420" w:firstLine="420"/>
              <w:jc w:val="center"/>
              <w:rPr>
                <w:szCs w:val="21"/>
              </w:rPr>
            </w:pPr>
          </w:p>
        </w:tc>
        <w:tc>
          <w:tcPr>
            <w:tcW w:w="1980" w:type="dxa"/>
            <w:vMerge w:val="continue"/>
            <w:noWrap/>
          </w:tcPr>
          <w:p w14:paraId="0FA3602F">
            <w:pPr>
              <w:ind w:left="420" w:firstLine="420"/>
              <w:jc w:val="center"/>
              <w:rPr>
                <w:szCs w:val="21"/>
              </w:rPr>
            </w:pPr>
          </w:p>
        </w:tc>
        <w:tc>
          <w:tcPr>
            <w:tcW w:w="3060" w:type="dxa"/>
            <w:vMerge w:val="continue"/>
            <w:noWrap/>
          </w:tcPr>
          <w:p w14:paraId="677EF088">
            <w:pPr>
              <w:ind w:left="420" w:firstLine="420"/>
              <w:jc w:val="center"/>
              <w:rPr>
                <w:szCs w:val="21"/>
              </w:rPr>
            </w:pPr>
          </w:p>
        </w:tc>
      </w:tr>
      <w:tr w14:paraId="75B7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683D8E7E">
            <w:pPr>
              <w:ind w:left="420" w:firstLine="420"/>
              <w:jc w:val="center"/>
              <w:rPr>
                <w:szCs w:val="21"/>
              </w:rPr>
            </w:pPr>
          </w:p>
        </w:tc>
        <w:tc>
          <w:tcPr>
            <w:tcW w:w="2160" w:type="dxa"/>
            <w:noWrap/>
          </w:tcPr>
          <w:p w14:paraId="2FC56D71">
            <w:pPr>
              <w:ind w:left="420" w:firstLine="420"/>
              <w:jc w:val="center"/>
              <w:rPr>
                <w:szCs w:val="21"/>
              </w:rPr>
            </w:pPr>
          </w:p>
        </w:tc>
        <w:tc>
          <w:tcPr>
            <w:tcW w:w="1980" w:type="dxa"/>
            <w:vMerge w:val="continue"/>
            <w:noWrap/>
          </w:tcPr>
          <w:p w14:paraId="5FF4DC79">
            <w:pPr>
              <w:ind w:left="420" w:firstLine="420"/>
              <w:jc w:val="center"/>
              <w:rPr>
                <w:szCs w:val="21"/>
              </w:rPr>
            </w:pPr>
          </w:p>
        </w:tc>
        <w:tc>
          <w:tcPr>
            <w:tcW w:w="3060" w:type="dxa"/>
            <w:vMerge w:val="continue"/>
            <w:noWrap/>
          </w:tcPr>
          <w:p w14:paraId="52CDE414">
            <w:pPr>
              <w:ind w:left="420" w:firstLine="420"/>
              <w:jc w:val="center"/>
              <w:rPr>
                <w:szCs w:val="21"/>
              </w:rPr>
            </w:pPr>
          </w:p>
        </w:tc>
      </w:tr>
      <w:tr w14:paraId="0D95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088C5453">
            <w:pPr>
              <w:ind w:left="420" w:firstLine="420"/>
              <w:jc w:val="center"/>
              <w:rPr>
                <w:szCs w:val="21"/>
              </w:rPr>
            </w:pPr>
          </w:p>
        </w:tc>
        <w:tc>
          <w:tcPr>
            <w:tcW w:w="2160" w:type="dxa"/>
            <w:noWrap/>
          </w:tcPr>
          <w:p w14:paraId="530531BF">
            <w:pPr>
              <w:ind w:left="420" w:firstLine="420"/>
              <w:jc w:val="center"/>
              <w:rPr>
                <w:szCs w:val="21"/>
              </w:rPr>
            </w:pPr>
          </w:p>
        </w:tc>
        <w:tc>
          <w:tcPr>
            <w:tcW w:w="1980" w:type="dxa"/>
            <w:vMerge w:val="continue"/>
            <w:noWrap/>
          </w:tcPr>
          <w:p w14:paraId="1864B7E7">
            <w:pPr>
              <w:ind w:left="420" w:firstLine="420"/>
              <w:jc w:val="center"/>
              <w:rPr>
                <w:szCs w:val="21"/>
              </w:rPr>
            </w:pPr>
          </w:p>
        </w:tc>
        <w:tc>
          <w:tcPr>
            <w:tcW w:w="3060" w:type="dxa"/>
            <w:vMerge w:val="continue"/>
            <w:noWrap/>
          </w:tcPr>
          <w:p w14:paraId="63528BE0">
            <w:pPr>
              <w:ind w:left="420" w:firstLine="420"/>
              <w:jc w:val="center"/>
              <w:rPr>
                <w:szCs w:val="21"/>
              </w:rPr>
            </w:pPr>
          </w:p>
        </w:tc>
      </w:tr>
      <w:tr w14:paraId="1EA5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31706F1B">
            <w:pPr>
              <w:ind w:left="420" w:firstLine="420"/>
              <w:jc w:val="center"/>
              <w:rPr>
                <w:szCs w:val="21"/>
              </w:rPr>
            </w:pPr>
          </w:p>
        </w:tc>
        <w:tc>
          <w:tcPr>
            <w:tcW w:w="2160" w:type="dxa"/>
            <w:noWrap/>
          </w:tcPr>
          <w:p w14:paraId="1685CD28">
            <w:pPr>
              <w:ind w:left="420" w:firstLine="420"/>
              <w:jc w:val="center"/>
              <w:rPr>
                <w:szCs w:val="21"/>
              </w:rPr>
            </w:pPr>
          </w:p>
        </w:tc>
        <w:tc>
          <w:tcPr>
            <w:tcW w:w="1980" w:type="dxa"/>
            <w:vMerge w:val="continue"/>
            <w:noWrap/>
          </w:tcPr>
          <w:p w14:paraId="4D86B8EA">
            <w:pPr>
              <w:ind w:left="420" w:firstLine="420"/>
              <w:jc w:val="center"/>
              <w:rPr>
                <w:szCs w:val="21"/>
              </w:rPr>
            </w:pPr>
          </w:p>
        </w:tc>
        <w:tc>
          <w:tcPr>
            <w:tcW w:w="3060" w:type="dxa"/>
            <w:vMerge w:val="continue"/>
            <w:noWrap/>
          </w:tcPr>
          <w:p w14:paraId="277A8E5F">
            <w:pPr>
              <w:ind w:left="420" w:firstLine="420"/>
              <w:jc w:val="center"/>
              <w:rPr>
                <w:szCs w:val="21"/>
              </w:rPr>
            </w:pPr>
          </w:p>
        </w:tc>
      </w:tr>
      <w:tr w14:paraId="0885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1980" w:type="dxa"/>
            <w:noWrap/>
          </w:tcPr>
          <w:p w14:paraId="3DE3E650">
            <w:pPr>
              <w:ind w:left="420" w:firstLine="420"/>
              <w:jc w:val="center"/>
              <w:rPr>
                <w:szCs w:val="21"/>
              </w:rPr>
            </w:pPr>
          </w:p>
        </w:tc>
        <w:tc>
          <w:tcPr>
            <w:tcW w:w="2160" w:type="dxa"/>
            <w:noWrap/>
          </w:tcPr>
          <w:p w14:paraId="1F7138FD">
            <w:pPr>
              <w:ind w:left="420" w:firstLine="420"/>
              <w:jc w:val="center"/>
              <w:rPr>
                <w:szCs w:val="21"/>
              </w:rPr>
            </w:pPr>
          </w:p>
        </w:tc>
        <w:tc>
          <w:tcPr>
            <w:tcW w:w="1980" w:type="dxa"/>
            <w:vMerge w:val="continue"/>
            <w:noWrap/>
          </w:tcPr>
          <w:p w14:paraId="1C4BA163">
            <w:pPr>
              <w:ind w:left="420" w:firstLine="420"/>
              <w:jc w:val="center"/>
              <w:rPr>
                <w:szCs w:val="21"/>
              </w:rPr>
            </w:pPr>
          </w:p>
        </w:tc>
        <w:tc>
          <w:tcPr>
            <w:tcW w:w="3060" w:type="dxa"/>
            <w:vMerge w:val="continue"/>
            <w:noWrap/>
          </w:tcPr>
          <w:p w14:paraId="54FB4161">
            <w:pPr>
              <w:ind w:left="420" w:firstLine="420"/>
              <w:jc w:val="center"/>
              <w:rPr>
                <w:szCs w:val="21"/>
              </w:rPr>
            </w:pPr>
          </w:p>
        </w:tc>
      </w:tr>
      <w:tr w14:paraId="49CCB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4140" w:type="dxa"/>
            <w:gridSpan w:val="2"/>
            <w:tcBorders>
              <w:bottom w:val="single" w:color="auto" w:sz="4" w:space="0"/>
            </w:tcBorders>
            <w:noWrap/>
          </w:tcPr>
          <w:p w14:paraId="4FFC115E">
            <w:pPr>
              <w:pStyle w:val="463"/>
              <w:spacing w:line="312" w:lineRule="atLeast"/>
              <w:ind w:left="420" w:firstLine="420"/>
              <w:rPr>
                <w:szCs w:val="21"/>
              </w:rPr>
            </w:pPr>
            <w:r>
              <w:rPr>
                <w:rFonts w:hint="eastAsia"/>
                <w:position w:val="-34"/>
                <w:szCs w:val="21"/>
              </w:rPr>
              <w:t>分包值合计（万元）</w:t>
            </w:r>
          </w:p>
        </w:tc>
        <w:tc>
          <w:tcPr>
            <w:tcW w:w="1980" w:type="dxa"/>
            <w:vMerge w:val="continue"/>
            <w:tcBorders>
              <w:bottom w:val="single" w:color="auto" w:sz="4" w:space="0"/>
            </w:tcBorders>
            <w:noWrap/>
          </w:tcPr>
          <w:p w14:paraId="1AC4D714">
            <w:pPr>
              <w:ind w:left="420" w:firstLine="420"/>
              <w:jc w:val="center"/>
              <w:rPr>
                <w:szCs w:val="21"/>
              </w:rPr>
            </w:pPr>
          </w:p>
        </w:tc>
        <w:tc>
          <w:tcPr>
            <w:tcW w:w="3060" w:type="dxa"/>
            <w:vMerge w:val="continue"/>
            <w:tcBorders>
              <w:bottom w:val="single" w:color="auto" w:sz="4" w:space="0"/>
            </w:tcBorders>
            <w:noWrap/>
          </w:tcPr>
          <w:p w14:paraId="42911FC8">
            <w:pPr>
              <w:ind w:left="420" w:firstLine="420"/>
              <w:jc w:val="center"/>
              <w:rPr>
                <w:szCs w:val="21"/>
              </w:rPr>
            </w:pPr>
          </w:p>
        </w:tc>
      </w:tr>
    </w:tbl>
    <w:p w14:paraId="09E15385">
      <w:pPr>
        <w:ind w:left="420" w:hanging="420" w:hangingChars="200"/>
      </w:pPr>
      <w:bookmarkStart w:id="360" w:name="_Toc367271734"/>
      <w:bookmarkStart w:id="361" w:name="_Toc367270706"/>
      <w:r>
        <w:rPr>
          <w:rFonts w:hint="eastAsia"/>
        </w:rPr>
        <w:t>注：如有分包人，在本表后应附分包人的法人营业执照副本（全本）的复印件、资质证书副本（全本）的复印件。上述所有执照、证书“全本”是指：证书的全本，包括证书的全部内容，封面和封底除外；所有执照、证书复印件均应加盖分包人单位章。</w:t>
      </w:r>
      <w:bookmarkEnd w:id="360"/>
      <w:bookmarkEnd w:id="361"/>
    </w:p>
    <w:p w14:paraId="0A2A2007">
      <w:pPr>
        <w:tabs>
          <w:tab w:val="left" w:pos="525"/>
        </w:tabs>
        <w:snapToGrid w:val="0"/>
        <w:spacing w:line="360" w:lineRule="exact"/>
        <w:rPr>
          <w:rFonts w:ascii="宋体" w:hAnsi="宋体"/>
          <w:b/>
          <w:sz w:val="32"/>
          <w:szCs w:val="32"/>
        </w:rPr>
      </w:pPr>
    </w:p>
    <w:p w14:paraId="4F4E5D58">
      <w:pPr>
        <w:tabs>
          <w:tab w:val="left" w:pos="525"/>
        </w:tabs>
        <w:snapToGrid w:val="0"/>
        <w:spacing w:line="360" w:lineRule="exact"/>
        <w:rPr>
          <w:rFonts w:ascii="宋体" w:hAnsi="宋体"/>
          <w:b/>
          <w:sz w:val="32"/>
          <w:szCs w:val="32"/>
        </w:rPr>
      </w:pPr>
    </w:p>
    <w:p w14:paraId="69BBED83">
      <w:pPr>
        <w:tabs>
          <w:tab w:val="left" w:pos="525"/>
        </w:tabs>
        <w:snapToGrid w:val="0"/>
        <w:spacing w:line="360" w:lineRule="exact"/>
        <w:rPr>
          <w:rFonts w:ascii="宋体" w:hAnsi="宋体"/>
          <w:b/>
          <w:sz w:val="32"/>
          <w:szCs w:val="32"/>
        </w:rPr>
      </w:pPr>
    </w:p>
    <w:p w14:paraId="2CCD0C1F">
      <w:pPr>
        <w:ind w:left="420" w:firstLine="422"/>
        <w:rPr>
          <w:rFonts w:ascii="宋体" w:hAnsi="宋体"/>
          <w:szCs w:val="21"/>
        </w:rPr>
      </w:pPr>
      <w:bookmarkStart w:id="362" w:name="_Toc240451443"/>
      <w:bookmarkStart w:id="363" w:name="_Toc271557279"/>
      <w:bookmarkStart w:id="364" w:name="_Toc234659837"/>
      <w:r>
        <w:rPr>
          <w:b/>
          <w:szCs w:val="21"/>
        </w:rPr>
        <w:br w:type="page"/>
      </w:r>
    </w:p>
    <w:bookmarkEnd w:id="362"/>
    <w:bookmarkEnd w:id="363"/>
    <w:bookmarkEnd w:id="364"/>
    <w:p w14:paraId="7AC6A8B8">
      <w:pPr>
        <w:spacing w:line="360" w:lineRule="auto"/>
        <w:ind w:left="420" w:firstLine="480"/>
        <w:rPr>
          <w:rFonts w:ascii="宋体" w:hAnsi="宋体"/>
          <w:b/>
          <w:sz w:val="32"/>
          <w:szCs w:val="32"/>
        </w:rPr>
      </w:pPr>
      <w:r>
        <w:rPr>
          <w:rFonts w:hint="eastAsia" w:ascii="宋体" w:hAnsi="宋体"/>
          <w:b/>
          <w:sz w:val="32"/>
          <w:szCs w:val="32"/>
        </w:rPr>
        <w:t>五、供应商承诺函及农民工工资保证金承诺书（必须提供）</w:t>
      </w:r>
    </w:p>
    <w:p w14:paraId="3BFB024F">
      <w:r>
        <w:rPr>
          <w:rFonts w:hint="eastAsia"/>
        </w:rPr>
        <w:t>附件格式：</w:t>
      </w:r>
    </w:p>
    <w:p w14:paraId="6D1784AD">
      <w:pPr>
        <w:spacing w:line="500" w:lineRule="exact"/>
        <w:ind w:firstLine="480"/>
        <w:jc w:val="center"/>
        <w:rPr>
          <w:rFonts w:ascii="宋体" w:hAnsi="宋体"/>
          <w:sz w:val="24"/>
        </w:rPr>
      </w:pPr>
      <w:r>
        <w:rPr>
          <w:rFonts w:hint="eastAsia" w:ascii="宋体" w:hAnsi="宋体"/>
          <w:sz w:val="24"/>
        </w:rPr>
        <w:t>（一）供应商承诺函</w:t>
      </w:r>
    </w:p>
    <w:p w14:paraId="67DE10D3">
      <w:pPr>
        <w:spacing w:beforeLines="100" w:line="360" w:lineRule="auto"/>
        <w:rPr>
          <w:szCs w:val="21"/>
          <w:u w:val="single"/>
        </w:rPr>
      </w:pPr>
    </w:p>
    <w:p w14:paraId="16532CDB">
      <w:pPr>
        <w:spacing w:beforeLines="100" w:line="360" w:lineRule="auto"/>
        <w:rPr>
          <w:sz w:val="24"/>
        </w:rPr>
      </w:pPr>
      <w:r>
        <w:rPr>
          <w:rFonts w:hint="eastAsia"/>
          <w:sz w:val="24"/>
        </w:rPr>
        <w:t>（招标人名称）：</w:t>
      </w:r>
    </w:p>
    <w:p w14:paraId="3F29592D">
      <w:pPr>
        <w:spacing w:line="500" w:lineRule="exact"/>
        <w:ind w:firstLine="480"/>
        <w:rPr>
          <w:rFonts w:ascii="宋体" w:hAnsi="宋体"/>
          <w:sz w:val="24"/>
        </w:rPr>
      </w:pPr>
      <w:r>
        <w:rPr>
          <w:rFonts w:hint="eastAsia" w:ascii="宋体" w:hAnsi="宋体"/>
          <w:sz w:val="24"/>
        </w:rPr>
        <w:t>我方参加了</w:t>
      </w:r>
      <w:r>
        <w:rPr>
          <w:rFonts w:hint="eastAsia"/>
          <w:sz w:val="24"/>
          <w:u w:val="single"/>
        </w:rPr>
        <w:t xml:space="preserve">         （项目名称）  </w:t>
      </w:r>
      <w:r>
        <w:rPr>
          <w:rFonts w:hint="eastAsia" w:ascii="宋体" w:hAnsi="宋体"/>
          <w:sz w:val="24"/>
          <w:u w:val="single"/>
        </w:rPr>
        <w:t>工程</w:t>
      </w:r>
      <w:r>
        <w:rPr>
          <w:rFonts w:hint="eastAsia" w:ascii="宋体" w:hAnsi="宋体"/>
          <w:sz w:val="24"/>
        </w:rPr>
        <w:t>施工投标，若我方中标，我方在此承诺：</w:t>
      </w:r>
    </w:p>
    <w:p w14:paraId="361085F9">
      <w:pPr>
        <w:spacing w:line="500" w:lineRule="exact"/>
        <w:ind w:firstLine="480"/>
        <w:rPr>
          <w:rFonts w:ascii="宋体" w:hAnsi="宋体"/>
          <w:sz w:val="24"/>
        </w:rPr>
      </w:pPr>
      <w:r>
        <w:rPr>
          <w:rFonts w:hint="eastAsia" w:ascii="宋体" w:hAnsi="宋体"/>
          <w:sz w:val="24"/>
        </w:rPr>
        <w:t>若本项目采购文件未要求我方在响应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且不进行更换。</w:t>
      </w:r>
    </w:p>
    <w:p w14:paraId="2EAC76F4">
      <w:pPr>
        <w:spacing w:line="500" w:lineRule="exact"/>
        <w:ind w:firstLine="480"/>
        <w:rPr>
          <w:rFonts w:ascii="宋体" w:hAnsi="宋体"/>
          <w:sz w:val="24"/>
        </w:rPr>
      </w:pPr>
      <w:r>
        <w:rPr>
          <w:rFonts w:hint="eastAsia" w:ascii="宋体" w:hAnsi="宋体"/>
          <w:sz w:val="24"/>
        </w:rPr>
        <w:t>若我方已按本项目响应文件中填报派驻本标段的其他主要管理人员和技术人员及主要机械设备和试验检测设备，我方将严格按照在响应文件中填报的其他主要管理人员和技术人员及主要机械设备和试验检测设备组织进场施工，且不进行更换。</w:t>
      </w:r>
    </w:p>
    <w:p w14:paraId="7580F69E">
      <w:pPr>
        <w:spacing w:line="500" w:lineRule="exact"/>
        <w:ind w:firstLine="480"/>
        <w:rPr>
          <w:rFonts w:ascii="宋体" w:hAnsi="宋体"/>
          <w:sz w:val="24"/>
        </w:rPr>
      </w:pPr>
      <w:r>
        <w:rPr>
          <w:rFonts w:hint="eastAsia" w:ascii="宋体" w:hAnsi="宋体"/>
          <w:sz w:val="24"/>
        </w:rPr>
        <w:t>如我方违背了上述承诺，本项目招标人有权取消我方的中标资格，并由招标人将我方的违约行为上报省级交通主管部门，作为不良记录纳入公路建设市场信息管理系统。</w:t>
      </w:r>
    </w:p>
    <w:p w14:paraId="450BB48E">
      <w:pPr>
        <w:spacing w:line="500" w:lineRule="exact"/>
        <w:ind w:firstLine="480"/>
        <w:rPr>
          <w:rFonts w:ascii="宋体" w:hAnsi="宋体"/>
          <w:sz w:val="24"/>
        </w:rPr>
      </w:pPr>
    </w:p>
    <w:p w14:paraId="44005A15">
      <w:pPr>
        <w:ind w:firstLine="480"/>
        <w:rPr>
          <w:rFonts w:ascii="宋体" w:hAnsi="宋体"/>
          <w:sz w:val="24"/>
        </w:rPr>
      </w:pPr>
    </w:p>
    <w:p w14:paraId="50FA00B9">
      <w:pPr>
        <w:pStyle w:val="26"/>
        <w:spacing w:line="320" w:lineRule="exact"/>
        <w:rPr>
          <w:rFonts w:hAnsi="宋体" w:cs="宋体"/>
          <w:bCs/>
          <w:sz w:val="24"/>
          <w:szCs w:val="24"/>
          <w:u w:val="single"/>
        </w:rPr>
      </w:pPr>
      <w:r>
        <w:rPr>
          <w:rFonts w:hint="eastAsia" w:hAnsi="宋体" w:cs="宋体"/>
          <w:bCs/>
          <w:sz w:val="24"/>
          <w:szCs w:val="24"/>
        </w:rPr>
        <w:t>供应商[公章(CA签章)、自然人除外]：</w:t>
      </w:r>
    </w:p>
    <w:p w14:paraId="5E826F2F">
      <w:pPr>
        <w:pStyle w:val="26"/>
        <w:spacing w:line="320" w:lineRule="exact"/>
        <w:rPr>
          <w:rFonts w:hAnsi="宋体" w:cs="宋体"/>
          <w:sz w:val="24"/>
          <w:szCs w:val="24"/>
          <w:u w:val="single"/>
        </w:rPr>
      </w:pPr>
      <w:r>
        <w:rPr>
          <w:rFonts w:hint="eastAsia" w:hAnsi="宋体" w:cs="宋体"/>
          <w:sz w:val="24"/>
          <w:szCs w:val="24"/>
        </w:rPr>
        <w:t>法定代表人、负责人、自然人或相应的委托代理人签字[或盖章(CA签章)]（属自然人的应在签名处加盖大拇指指印或个人CA签章）：</w:t>
      </w:r>
    </w:p>
    <w:p w14:paraId="219CB21A">
      <w:pPr>
        <w:pStyle w:val="26"/>
        <w:spacing w:line="320" w:lineRule="exact"/>
        <w:rPr>
          <w:rFonts w:hAnsi="宋体"/>
          <w:sz w:val="24"/>
          <w:szCs w:val="24"/>
        </w:rPr>
      </w:pPr>
      <w:r>
        <w:rPr>
          <w:rFonts w:hint="eastAsia" w:hAnsi="宋体" w:cs="宋体"/>
          <w:sz w:val="24"/>
          <w:szCs w:val="24"/>
        </w:rPr>
        <w:t>日期：</w:t>
      </w:r>
    </w:p>
    <w:p w14:paraId="37D6D1B0">
      <w:pPr>
        <w:spacing w:line="500" w:lineRule="exact"/>
        <w:ind w:firstLine="480"/>
        <w:rPr>
          <w:rFonts w:ascii="宋体" w:hAnsi="宋体"/>
          <w:szCs w:val="21"/>
        </w:rPr>
      </w:pPr>
    </w:p>
    <w:p w14:paraId="76F3B52B">
      <w:pPr>
        <w:spacing w:line="500" w:lineRule="exact"/>
        <w:ind w:firstLine="480"/>
        <w:rPr>
          <w:rFonts w:ascii="宋体" w:hAnsi="宋体"/>
          <w:szCs w:val="21"/>
        </w:rPr>
      </w:pPr>
    </w:p>
    <w:p w14:paraId="74F5E20C">
      <w:pPr>
        <w:jc w:val="center"/>
      </w:pPr>
      <w:r>
        <w:rPr>
          <w:rFonts w:ascii="宋体" w:hAnsi="宋体"/>
          <w:b/>
          <w:szCs w:val="21"/>
        </w:rPr>
        <w:br w:type="page"/>
      </w:r>
      <w:r>
        <w:rPr>
          <w:rFonts w:hint="eastAsia" w:hAnsi="宋体" w:cs="Arial"/>
          <w:bCs/>
          <w:sz w:val="24"/>
        </w:rPr>
        <w:t>（二）</w:t>
      </w:r>
      <w:r>
        <w:rPr>
          <w:rFonts w:hint="eastAsia" w:hAnsi="宋体" w:cs="Arial"/>
          <w:sz w:val="24"/>
        </w:rPr>
        <w:t>农民工工资保证金承诺书</w:t>
      </w:r>
    </w:p>
    <w:p w14:paraId="783399D8">
      <w:pPr>
        <w:spacing w:line="460" w:lineRule="exact"/>
        <w:ind w:firstLine="480"/>
        <w:rPr>
          <w:sz w:val="24"/>
        </w:rPr>
      </w:pPr>
    </w:p>
    <w:p w14:paraId="59E99D8D">
      <w:pPr>
        <w:spacing w:line="460" w:lineRule="exact"/>
        <w:rPr>
          <w:sz w:val="24"/>
        </w:rPr>
      </w:pPr>
      <w:r>
        <w:rPr>
          <w:rFonts w:hint="eastAsia"/>
          <w:sz w:val="24"/>
        </w:rPr>
        <w:t>致：（招标人名称）</w:t>
      </w:r>
    </w:p>
    <w:p w14:paraId="19BD2B80">
      <w:pPr>
        <w:spacing w:line="460" w:lineRule="exact"/>
        <w:ind w:firstLine="480"/>
        <w:rPr>
          <w:rFonts w:hAnsi="宋体" w:cs="宋体"/>
          <w:sz w:val="24"/>
        </w:rPr>
      </w:pPr>
      <w:r>
        <w:rPr>
          <w:rFonts w:hint="eastAsia" w:hAnsi="宋体" w:cs="Arial"/>
          <w:sz w:val="24"/>
        </w:rPr>
        <w:t>根据</w:t>
      </w:r>
      <w:r>
        <w:rPr>
          <w:rFonts w:hint="eastAsia"/>
          <w:sz w:val="24"/>
        </w:rPr>
        <w:t>《</w:t>
      </w:r>
      <w:r>
        <w:rPr>
          <w:rFonts w:hint="eastAsia" w:ascii="宋体" w:hAnsi="宋体" w:cs="Arial"/>
          <w:bCs/>
          <w:sz w:val="24"/>
        </w:rPr>
        <w:t>关于建立交通行业农民工工资保证金制度的通知》</w:t>
      </w:r>
      <w:r>
        <w:rPr>
          <w:rFonts w:hint="eastAsia"/>
          <w:sz w:val="24"/>
        </w:rPr>
        <w:t>（</w:t>
      </w:r>
      <w:r>
        <w:rPr>
          <w:rFonts w:hint="eastAsia" w:ascii="宋体" w:hAnsi="宋体" w:cs="Arial"/>
          <w:bCs/>
          <w:sz w:val="24"/>
        </w:rPr>
        <w:t>桂劳社发[2007]147号</w:t>
      </w:r>
      <w:r>
        <w:rPr>
          <w:rFonts w:hint="eastAsia"/>
          <w:sz w:val="24"/>
        </w:rPr>
        <w:t>）</w:t>
      </w:r>
      <w:r>
        <w:rPr>
          <w:rFonts w:hint="eastAsia" w:hAnsi="宋体" w:cs="Arial"/>
          <w:sz w:val="24"/>
        </w:rPr>
        <w:t>，在</w:t>
      </w:r>
      <w:r>
        <w:rPr>
          <w:rFonts w:hint="eastAsia"/>
          <w:sz w:val="24"/>
          <w:u w:val="single"/>
        </w:rPr>
        <w:t xml:space="preserve"> （项目名称） </w:t>
      </w:r>
      <w:r>
        <w:rPr>
          <w:rFonts w:hint="eastAsia" w:hAnsi="宋体" w:cs="Arial"/>
          <w:sz w:val="24"/>
        </w:rPr>
        <w:t>工程施工招标的投标中，我单位对农民工工资的支付作出以下郑重承诺：</w:t>
      </w:r>
    </w:p>
    <w:p w14:paraId="1A77F4CC">
      <w:pPr>
        <w:spacing w:line="460" w:lineRule="exact"/>
        <w:ind w:firstLine="480"/>
        <w:rPr>
          <w:rFonts w:hAnsi="宋体" w:cs="宋体"/>
          <w:sz w:val="24"/>
        </w:rPr>
      </w:pPr>
      <w:r>
        <w:rPr>
          <w:rFonts w:hint="eastAsia" w:hAnsi="宋体" w:cs="Arial"/>
          <w:sz w:val="24"/>
        </w:rPr>
        <w:t>（一）我单位在本招标项目递交响应文件截止时间</w:t>
      </w:r>
      <w:r>
        <w:rPr>
          <w:rFonts w:hint="eastAsia" w:hAnsi="宋体" w:cs="Arial"/>
          <w:sz w:val="24"/>
          <w:u w:val="single"/>
        </w:rPr>
        <w:t xml:space="preserve">        年  月  日（开标日）</w:t>
      </w:r>
      <w:r>
        <w:rPr>
          <w:rFonts w:hint="eastAsia" w:hAnsi="宋体" w:cs="Arial"/>
          <w:sz w:val="24"/>
        </w:rPr>
        <w:t>前所承建的工程项目，不存在拖欠或克扣农民工工资的行为。</w:t>
      </w:r>
    </w:p>
    <w:p w14:paraId="48312D4F">
      <w:pPr>
        <w:spacing w:line="460" w:lineRule="exact"/>
        <w:ind w:firstLine="480"/>
        <w:rPr>
          <w:rFonts w:hAnsi="宋体" w:cs="宋体"/>
          <w:sz w:val="24"/>
        </w:rPr>
      </w:pPr>
      <w:r>
        <w:rPr>
          <w:rFonts w:hint="eastAsia" w:hAnsi="宋体" w:cs="宋体"/>
          <w:sz w:val="24"/>
        </w:rPr>
        <w:t>（二）</w:t>
      </w:r>
      <w:r>
        <w:rPr>
          <w:rFonts w:hint="eastAsia"/>
          <w:sz w:val="24"/>
        </w:rPr>
        <w:t>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2%作为农民工工资保证金转入项目所在地人力资源和社会保障局农民工工资保证金专户</w:t>
      </w:r>
      <w:r>
        <w:rPr>
          <w:rFonts w:hint="eastAsia" w:hAnsi="宋体" w:cs="Arial"/>
          <w:sz w:val="24"/>
        </w:rPr>
        <w:t>。</w:t>
      </w:r>
    </w:p>
    <w:p w14:paraId="3F3F8EC5">
      <w:pPr>
        <w:spacing w:line="460" w:lineRule="exact"/>
        <w:ind w:firstLine="480"/>
        <w:rPr>
          <w:rFonts w:hAnsi="宋体" w:cs="宋体"/>
          <w:sz w:val="24"/>
        </w:rPr>
      </w:pPr>
      <w:r>
        <w:rPr>
          <w:rFonts w:hint="eastAsia" w:hAnsi="宋体" w:cs="Arial"/>
          <w:sz w:val="24"/>
        </w:rPr>
        <w:t>（三）</w:t>
      </w:r>
      <w:r>
        <w:rPr>
          <w:sz w:val="24"/>
        </w:rPr>
        <w:t>在项目实施过程中，若出现结算价超出合同价时，以实际结算金额的2%的额度补充存入农民工工资保证金</w:t>
      </w:r>
      <w:r>
        <w:rPr>
          <w:rFonts w:hint="eastAsia" w:hAnsi="宋体" w:cs="Arial"/>
          <w:sz w:val="24"/>
        </w:rPr>
        <w:t>。</w:t>
      </w:r>
    </w:p>
    <w:p w14:paraId="7BAFFC6D">
      <w:pPr>
        <w:spacing w:line="460" w:lineRule="exact"/>
        <w:ind w:firstLine="480"/>
        <w:rPr>
          <w:rFonts w:hAnsi="宋体" w:cs="Arial"/>
          <w:sz w:val="24"/>
        </w:rPr>
      </w:pPr>
      <w:r>
        <w:rPr>
          <w:rFonts w:hint="eastAsia" w:hAnsi="宋体" w:cs="Arial"/>
          <w:sz w:val="24"/>
        </w:rPr>
        <w:t xml:space="preserve">（四）我单位向建设单位承诺依法足额支付农民工工资，一旦我单位（包含我单位的分包商）承建的 </w:t>
      </w:r>
      <w:r>
        <w:rPr>
          <w:rFonts w:hint="eastAsia" w:hAnsi="宋体" w:cs="Arial"/>
          <w:sz w:val="24"/>
          <w:u w:val="single"/>
        </w:rPr>
        <w:t xml:space="preserve"> （项目名称）</w:t>
      </w:r>
      <w:r>
        <w:rPr>
          <w:rFonts w:hint="eastAsia" w:hAnsi="宋体" w:cs="Arial"/>
          <w:sz w:val="24"/>
        </w:rPr>
        <w:t>出现拖欠农民工工资情况的，可由劳动保障、交通主管部门（或授权机构）及建设单位根据相关规定从我单位缴纳的农民工工资保证金中先予支取。</w:t>
      </w:r>
    </w:p>
    <w:p w14:paraId="17979B2C">
      <w:pPr>
        <w:spacing w:line="460" w:lineRule="exact"/>
        <w:ind w:firstLine="480"/>
        <w:rPr>
          <w:rFonts w:hAnsi="宋体" w:cs="Arial"/>
          <w:sz w:val="24"/>
        </w:rPr>
      </w:pPr>
      <w:r>
        <w:rPr>
          <w:rFonts w:hint="eastAsia" w:hAnsi="宋体" w:cs="Arial"/>
          <w:sz w:val="24"/>
        </w:rPr>
        <w:t>（五）其它未尽事宜按农民工工资保证金现行的有关规定执行。</w:t>
      </w:r>
    </w:p>
    <w:p w14:paraId="1D885A1E">
      <w:pPr>
        <w:spacing w:line="460" w:lineRule="exact"/>
        <w:ind w:firstLine="480"/>
        <w:rPr>
          <w:rFonts w:hAnsi="宋体" w:cs="Arial"/>
          <w:sz w:val="24"/>
        </w:rPr>
      </w:pPr>
    </w:p>
    <w:p w14:paraId="51394E0E">
      <w:pPr>
        <w:spacing w:line="460" w:lineRule="exact"/>
        <w:rPr>
          <w:rFonts w:hAnsi="宋体" w:cs="Arial"/>
          <w:sz w:val="24"/>
        </w:rPr>
      </w:pPr>
    </w:p>
    <w:p w14:paraId="07D4A053">
      <w:pPr>
        <w:spacing w:line="460" w:lineRule="exact"/>
        <w:ind w:firstLine="480"/>
        <w:rPr>
          <w:rFonts w:hAnsi="宋体" w:cs="Arial"/>
          <w:sz w:val="24"/>
        </w:rPr>
      </w:pPr>
    </w:p>
    <w:p w14:paraId="5F71C02B">
      <w:pPr>
        <w:pStyle w:val="26"/>
        <w:spacing w:line="460" w:lineRule="exact"/>
        <w:rPr>
          <w:rFonts w:hAnsi="宋体" w:cs="宋体"/>
          <w:bCs/>
          <w:sz w:val="24"/>
          <w:szCs w:val="24"/>
          <w:u w:val="single"/>
        </w:rPr>
      </w:pPr>
      <w:r>
        <w:rPr>
          <w:rFonts w:hint="eastAsia" w:hAnsi="宋体"/>
          <w:sz w:val="24"/>
          <w:szCs w:val="24"/>
        </w:rPr>
        <w:t>承诺人：</w:t>
      </w:r>
      <w:r>
        <w:rPr>
          <w:rFonts w:hint="eastAsia" w:hAnsi="宋体" w:cs="宋体"/>
          <w:bCs/>
          <w:sz w:val="24"/>
          <w:szCs w:val="24"/>
        </w:rPr>
        <w:t>供应商全称[公章(CA签章)、自然人除外]：</w:t>
      </w:r>
    </w:p>
    <w:p w14:paraId="7AC10CE2">
      <w:pPr>
        <w:pStyle w:val="26"/>
        <w:spacing w:line="460" w:lineRule="exact"/>
        <w:rPr>
          <w:rFonts w:hAnsi="宋体" w:cs="宋体"/>
          <w:sz w:val="24"/>
          <w:szCs w:val="24"/>
          <w:u w:val="single"/>
        </w:rPr>
      </w:pPr>
      <w:r>
        <w:rPr>
          <w:rFonts w:hint="eastAsia" w:hAnsi="宋体" w:cs="宋体"/>
          <w:sz w:val="24"/>
          <w:szCs w:val="24"/>
        </w:rPr>
        <w:t>法定代表人、负责人、自然人或相应的委托代理人签字[或盖章(CA签章)]（属自然人的应在签名处加盖大拇指指印或个人CA签章）：</w:t>
      </w:r>
    </w:p>
    <w:p w14:paraId="1263E10F">
      <w:pPr>
        <w:pStyle w:val="26"/>
        <w:spacing w:line="460" w:lineRule="exact"/>
        <w:rPr>
          <w:rFonts w:hAnsi="宋体"/>
          <w:sz w:val="24"/>
          <w:szCs w:val="24"/>
        </w:rPr>
      </w:pPr>
      <w:r>
        <w:rPr>
          <w:rFonts w:hint="eastAsia" w:hAnsi="宋体" w:cs="宋体"/>
          <w:sz w:val="24"/>
          <w:szCs w:val="24"/>
        </w:rPr>
        <w:t>日期：</w:t>
      </w:r>
    </w:p>
    <w:p w14:paraId="6F5F72E7">
      <w:pPr>
        <w:spacing w:line="500" w:lineRule="exact"/>
        <w:ind w:firstLine="480"/>
        <w:rPr>
          <w:rFonts w:ascii="宋体" w:hAnsi="宋体"/>
          <w:szCs w:val="21"/>
        </w:rPr>
      </w:pPr>
    </w:p>
    <w:p w14:paraId="07C2CFD5">
      <w:pPr>
        <w:spacing w:line="360" w:lineRule="auto"/>
        <w:ind w:left="420" w:firstLine="480"/>
        <w:jc w:val="center"/>
        <w:rPr>
          <w:b/>
          <w:sz w:val="32"/>
          <w:szCs w:val="32"/>
        </w:rPr>
      </w:pPr>
      <w:r>
        <w:rPr>
          <w:sz w:val="24"/>
        </w:rPr>
        <w:br w:type="page"/>
      </w:r>
    </w:p>
    <w:p w14:paraId="1A2DB59B">
      <w:pPr>
        <w:spacing w:line="400" w:lineRule="exact"/>
        <w:jc w:val="center"/>
        <w:rPr>
          <w:rFonts w:ascii="宋体" w:hAnsi="宋体" w:cs="宋体"/>
          <w:b/>
          <w:bCs/>
          <w:sz w:val="32"/>
          <w:szCs w:val="32"/>
        </w:rPr>
      </w:pPr>
      <w:r>
        <w:rPr>
          <w:rFonts w:hint="eastAsia" w:ascii="宋体" w:hAnsi="宋体" w:cs="宋体"/>
          <w:b/>
          <w:bCs/>
          <w:sz w:val="32"/>
          <w:szCs w:val="32"/>
        </w:rPr>
        <w:t>（三）其他有效证明材料</w:t>
      </w:r>
    </w:p>
    <w:p w14:paraId="24A7919E">
      <w:pPr>
        <w:pStyle w:val="22"/>
        <w:rPr>
          <w:rFonts w:ascii="黑体" w:hAnsi="宋体" w:eastAsia="黑体"/>
          <w:sz w:val="30"/>
          <w:szCs w:val="30"/>
        </w:rPr>
      </w:pPr>
    </w:p>
    <w:p w14:paraId="29334593">
      <w:pPr>
        <w:spacing w:line="360" w:lineRule="auto"/>
        <w:rPr>
          <w:rFonts w:ascii="宋体" w:hAnsi="宋体" w:cs="宋体"/>
          <w:szCs w:val="21"/>
        </w:rPr>
      </w:pPr>
    </w:p>
    <w:p w14:paraId="46916911">
      <w:pPr>
        <w:spacing w:line="360" w:lineRule="auto"/>
        <w:ind w:firstLine="420" w:firstLineChars="200"/>
        <w:rPr>
          <w:rFonts w:ascii="宋体" w:hAnsi="宋体" w:cs="宋体"/>
          <w:szCs w:val="21"/>
        </w:rPr>
      </w:pPr>
      <w:r>
        <w:rPr>
          <w:rFonts w:hint="eastAsia" w:ascii="宋体" w:hAnsi="宋体" w:cs="宋体"/>
          <w:szCs w:val="21"/>
        </w:rPr>
        <w:t>2.如提供服务的供应商属于监狱企业的，应当提供由省级以上监狱管理局、戒毒管理局等（含新疆生产建设兵团）出具的属于监狱企业的证明文件</w:t>
      </w:r>
      <w:r>
        <w:rPr>
          <w:rFonts w:hint="eastAsia" w:ascii="宋体" w:hAnsi="宋体" w:cs="宋体"/>
          <w:b/>
          <w:bCs/>
          <w:szCs w:val="21"/>
        </w:rPr>
        <w:t>（如有，请提供）</w:t>
      </w:r>
      <w:r>
        <w:rPr>
          <w:rFonts w:hint="eastAsia" w:ascii="宋体" w:hAnsi="宋体" w:cs="宋体"/>
          <w:szCs w:val="21"/>
        </w:rPr>
        <w:t>；</w:t>
      </w:r>
    </w:p>
    <w:p w14:paraId="18447B20">
      <w:pPr>
        <w:spacing w:line="360" w:lineRule="auto"/>
        <w:ind w:firstLine="420" w:firstLineChars="200"/>
        <w:rPr>
          <w:rFonts w:ascii="宋体" w:hAnsi="宋体" w:cs="宋体"/>
          <w:szCs w:val="21"/>
        </w:rPr>
      </w:pPr>
    </w:p>
    <w:p w14:paraId="6633F8F5">
      <w:pPr>
        <w:spacing w:line="360" w:lineRule="auto"/>
        <w:ind w:firstLine="420" w:firstLineChars="200"/>
        <w:rPr>
          <w:rFonts w:ascii="宋体" w:hAnsi="宋体" w:cs="宋体"/>
          <w:szCs w:val="21"/>
        </w:rPr>
      </w:pPr>
      <w:r>
        <w:rPr>
          <w:rFonts w:hint="eastAsia" w:ascii="宋体" w:hAnsi="宋体" w:cs="宋体"/>
          <w:szCs w:val="21"/>
        </w:rPr>
        <w:t>3.符合条件的残疾人福利性单位在参加政府采购活动时，应当提供《残疾人福利性单位声明函》（见附件），并对声明的真实性负责；</w:t>
      </w:r>
      <w:r>
        <w:rPr>
          <w:rFonts w:hint="eastAsia" w:ascii="宋体" w:hAnsi="宋体" w:cs="宋体"/>
          <w:b/>
          <w:bCs/>
          <w:szCs w:val="21"/>
        </w:rPr>
        <w:t>（如有，请提供）</w:t>
      </w:r>
      <w:r>
        <w:rPr>
          <w:rFonts w:hint="eastAsia" w:ascii="宋体" w:hAnsi="宋体" w:cs="宋体"/>
          <w:szCs w:val="21"/>
        </w:rPr>
        <w:t>；</w:t>
      </w:r>
    </w:p>
    <w:p w14:paraId="565ECFAA">
      <w:pPr>
        <w:spacing w:line="360" w:lineRule="auto"/>
        <w:ind w:firstLine="420" w:firstLineChars="200"/>
        <w:rPr>
          <w:rFonts w:ascii="宋体" w:hAnsi="宋体" w:cs="宋体"/>
          <w:szCs w:val="21"/>
        </w:rPr>
      </w:pPr>
    </w:p>
    <w:p w14:paraId="15E9DF87">
      <w:pPr>
        <w:ind w:firstLine="420" w:firstLineChars="200"/>
        <w:rPr>
          <w:rFonts w:ascii="宋体" w:hAnsi="宋体" w:cs="宋体"/>
          <w:iCs/>
          <w:szCs w:val="22"/>
        </w:rPr>
      </w:pPr>
      <w:r>
        <w:rPr>
          <w:rFonts w:hint="eastAsia" w:ascii="宋体" w:hAnsi="宋体" w:cs="宋体"/>
          <w:iCs/>
          <w:szCs w:val="22"/>
        </w:rPr>
        <w:t>4.对投标人信用等级的认定</w:t>
      </w:r>
    </w:p>
    <w:p w14:paraId="41BB1C63"/>
    <w:p w14:paraId="55361A53">
      <w:pPr>
        <w:pStyle w:val="26"/>
        <w:spacing w:line="480" w:lineRule="auto"/>
        <w:ind w:firstLine="420"/>
        <w:rPr>
          <w:rFonts w:hAnsi="宋体" w:cs="宋体"/>
          <w:sz w:val="21"/>
          <w:szCs w:val="21"/>
        </w:rPr>
      </w:pPr>
      <w:r>
        <w:rPr>
          <w:rFonts w:hint="eastAsia" w:hAnsi="宋体" w:cs="宋体"/>
          <w:sz w:val="21"/>
          <w:szCs w:val="21"/>
        </w:rPr>
        <w:t xml:space="preserve">对投标人信用等级的认定条件为：以广西壮族自治区交通运输厅关于公布广西公路建设市场 2021 年度公路设计企业、施工企业、监理企业及监理人员信用评价结果的通知（桂交建管发〔2022〕30 号）公布的为准。未在该通知中公布信用等级的投标人，其广西公路建设市场施工企业信用等级分别根据《广西壮族自治区交通运输厅关于修订广西公路建设市场施工企业信用评价规则实施细则的通知》（桂交建管发〔2016〕59 号） 规定的原则确定。 </w:t>
      </w:r>
    </w:p>
    <w:p w14:paraId="3F9225F3">
      <w:pPr>
        <w:pStyle w:val="26"/>
        <w:spacing w:line="480" w:lineRule="auto"/>
        <w:ind w:firstLine="420"/>
        <w:rPr>
          <w:rFonts w:hAnsi="宋体" w:cs="宋体"/>
          <w:sz w:val="21"/>
          <w:szCs w:val="21"/>
        </w:rPr>
      </w:pPr>
      <w:r>
        <w:rPr>
          <w:rFonts w:hint="eastAsia" w:hAnsi="宋体" w:cs="宋体"/>
          <w:sz w:val="21"/>
          <w:szCs w:val="21"/>
        </w:rPr>
        <w:t xml:space="preserve">根据桂交建管发[2016]59 号第十九条规定，初次进入广西公路建设市场的公路工程施工企业投标人的信用评价等级按如下确定： </w:t>
      </w:r>
    </w:p>
    <w:p w14:paraId="5CB3FF12">
      <w:pPr>
        <w:pStyle w:val="26"/>
        <w:spacing w:line="480" w:lineRule="auto"/>
        <w:ind w:firstLine="420"/>
        <w:rPr>
          <w:rFonts w:hAnsi="宋体" w:cs="宋体"/>
          <w:sz w:val="21"/>
          <w:szCs w:val="21"/>
        </w:rPr>
      </w:pPr>
      <w:r>
        <w:rPr>
          <w:rFonts w:hint="eastAsia" w:hAnsi="宋体" w:cs="宋体"/>
          <w:sz w:val="21"/>
          <w:szCs w:val="21"/>
        </w:rPr>
        <w:t xml:space="preserve">（一）初次进入广西公路建设市场时，其信用等级按照全国综合评价结果确定。 </w:t>
      </w:r>
    </w:p>
    <w:p w14:paraId="19D48757">
      <w:pPr>
        <w:pStyle w:val="26"/>
        <w:spacing w:line="480" w:lineRule="auto"/>
        <w:ind w:firstLine="420"/>
        <w:rPr>
          <w:rFonts w:hAnsi="宋体" w:cs="宋体"/>
          <w:sz w:val="21"/>
          <w:szCs w:val="21"/>
        </w:rPr>
      </w:pPr>
      <w:r>
        <w:rPr>
          <w:rFonts w:hint="eastAsia" w:hAnsi="宋体" w:cs="宋体"/>
          <w:sz w:val="21"/>
          <w:szCs w:val="21"/>
        </w:rPr>
        <w:t xml:space="preserve">（二）无全国综合评价的公路施工企业初次进入我广西公路建设市场时，其信用等级参照企业注册地省级交通运输主管部门的省级综合评价结果确定，但信用等级最高为 A 级。无注册地省级交通运输主管部门的省级综合评价的施工企业，无不良信用记录， 可按 B 级对待，若有不良信用记录，视其严重程度按 C 级及以下对待。 </w:t>
      </w:r>
    </w:p>
    <w:p w14:paraId="6F1D5A79">
      <w:pPr>
        <w:spacing w:line="360" w:lineRule="auto"/>
        <w:ind w:firstLine="420" w:firstLineChars="200"/>
        <w:rPr>
          <w:rFonts w:ascii="宋体" w:hAnsi="宋体" w:cs="宋体"/>
          <w:szCs w:val="21"/>
        </w:rPr>
      </w:pPr>
      <w:r>
        <w:rPr>
          <w:rFonts w:hint="eastAsia" w:ascii="宋体" w:hAnsi="宋体" w:cs="宋体"/>
          <w:szCs w:val="21"/>
        </w:rPr>
        <w:t>5..供应商可结合本项目的评审办法视自身情况自行提交其它相关证明材料。</w:t>
      </w:r>
    </w:p>
    <w:p w14:paraId="0AB781E2">
      <w:pPr>
        <w:spacing w:line="455" w:lineRule="exact"/>
        <w:ind w:left="338"/>
        <w:jc w:val="left"/>
        <w:rPr>
          <w:rFonts w:ascii="微软雅黑"/>
          <w:b/>
          <w:sz w:val="30"/>
        </w:rPr>
      </w:pPr>
    </w:p>
    <w:p w14:paraId="73331F59"/>
    <w:p w14:paraId="45BCEA86">
      <w:pPr>
        <w:pStyle w:val="30"/>
        <w:ind w:firstLine="400"/>
      </w:pPr>
    </w:p>
    <w:p w14:paraId="1F9077B5">
      <w:pPr>
        <w:pStyle w:val="30"/>
        <w:ind w:firstLine="400"/>
      </w:pPr>
    </w:p>
    <w:p w14:paraId="7C03653C">
      <w:pPr>
        <w:pStyle w:val="30"/>
        <w:ind w:firstLine="400"/>
      </w:pPr>
    </w:p>
    <w:p w14:paraId="2975347D">
      <w:pPr>
        <w:pStyle w:val="30"/>
        <w:ind w:firstLine="400"/>
      </w:pPr>
    </w:p>
    <w:p w14:paraId="4C876E57">
      <w:pPr>
        <w:pStyle w:val="30"/>
        <w:ind w:firstLine="400"/>
      </w:pPr>
    </w:p>
    <w:p w14:paraId="54142510">
      <w:pPr>
        <w:pStyle w:val="30"/>
        <w:ind w:left="0" w:leftChars="0" w:firstLine="0" w:firstLineChars="0"/>
      </w:pPr>
    </w:p>
    <w:p w14:paraId="2A961B62"/>
    <w:p w14:paraId="3524E3EB"/>
    <w:p w14:paraId="23CD268A"/>
    <w:p w14:paraId="787D4A64"/>
    <w:p w14:paraId="2645AE60"/>
    <w:p w14:paraId="27C3C948">
      <w:pPr>
        <w:jc w:val="left"/>
      </w:pPr>
    </w:p>
    <w:p w14:paraId="2D7B57CD">
      <w:pPr>
        <w:pStyle w:val="3"/>
        <w:spacing w:line="240" w:lineRule="auto"/>
        <w:jc w:val="center"/>
      </w:pPr>
      <w:bookmarkStart w:id="365" w:name="_Toc6973"/>
      <w:bookmarkStart w:id="366" w:name="_Toc18780"/>
      <w:bookmarkStart w:id="367" w:name="_Toc22545"/>
      <w:bookmarkStart w:id="368" w:name="_Toc12385"/>
      <w:bookmarkStart w:id="369" w:name="_Toc2237"/>
      <w:bookmarkStart w:id="370" w:name="_Toc1637952"/>
      <w:r>
        <w:rPr>
          <w:rFonts w:hint="eastAsia"/>
        </w:rPr>
        <w:t>第七章、图纸</w:t>
      </w:r>
      <w:bookmarkEnd w:id="365"/>
      <w:bookmarkEnd w:id="366"/>
      <w:bookmarkEnd w:id="367"/>
      <w:bookmarkEnd w:id="368"/>
      <w:bookmarkEnd w:id="369"/>
    </w:p>
    <w:bookmarkEnd w:id="370"/>
    <w:p w14:paraId="77426C65">
      <w:pPr>
        <w:jc w:val="center"/>
      </w:pPr>
      <w:r>
        <w:rPr>
          <w:rFonts w:hint="eastAsia"/>
        </w:rPr>
        <w:t>另册发放</w:t>
      </w:r>
    </w:p>
    <w:p w14:paraId="379FFEA4">
      <w:pPr>
        <w:rPr>
          <w:rFonts w:hAnsi="宋体"/>
          <w:bCs/>
        </w:rPr>
      </w:pPr>
    </w:p>
    <w:p w14:paraId="66D94782"/>
    <w:sectPr>
      <w:pgSz w:w="11911" w:h="16849"/>
      <w:pgMar w:top="1417" w:right="1417" w:bottom="1417" w:left="141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ordiaUPC">
    <w:panose1 w:val="020B0304020202020204"/>
    <w:charset w:val="00"/>
    <w:family w:val="swiss"/>
    <w:pitch w:val="default"/>
    <w:sig w:usb0="81000003" w:usb1="00000000" w:usb2="00000000" w:usb3="00000000" w:csb0="00010001" w:csb1="00000000"/>
  </w:font>
  <w:font w:name="Impact">
    <w:panose1 w:val="020B080603090205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Ìå">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Noto Sans CJK JP Regular">
    <w:altName w:val="Arial"/>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4291">
    <w:pPr>
      <w:pStyle w:val="32"/>
      <w:ind w:firstLine="420"/>
      <w:jc w:val="center"/>
    </w:pPr>
  </w:p>
  <w:p w14:paraId="5F661619">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FB22">
    <w:pPr>
      <w:pStyle w:val="32"/>
      <w:ind w:firstLine="4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EDB0E8">
                          <w:pPr>
                            <w:pStyle w:val="32"/>
                            <w:ind w:firstLine="420"/>
                            <w:jc w:val="center"/>
                          </w:pPr>
                          <w:r>
                            <w:fldChar w:fldCharType="begin"/>
                          </w:r>
                          <w:r>
                            <w:instrText xml:space="preserve"> PAGE  \* MERGEFORMAT </w:instrText>
                          </w:r>
                          <w:r>
                            <w:fldChar w:fldCharType="separate"/>
                          </w:r>
                          <w:r>
                            <w:t>10</w:t>
                          </w:r>
                          <w: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Z0jEHOIBAADMAwAADgAA&#10;AAAAAAABACAAAAAeAQAAZHJzL2Uyb0RvYy54bWxQSwUGAAAAAAYABgBZAQAAcgUAAAAA&#10;">
              <v:fill on="f" focussize="0,0"/>
              <v:stroke on="f"/>
              <v:imagedata o:title=""/>
              <o:lock v:ext="edit" aspectratio="f"/>
              <v:textbox inset="0mm,0mm,0mm,0mm" style="mso-fit-shape-to-text:t;">
                <w:txbxContent>
                  <w:p w14:paraId="1AEDB0E8">
                    <w:pPr>
                      <w:pStyle w:val="32"/>
                      <w:ind w:firstLine="420"/>
                      <w:jc w:val="center"/>
                    </w:pPr>
                    <w:r>
                      <w:fldChar w:fldCharType="begin"/>
                    </w:r>
                    <w:r>
                      <w:instrText xml:space="preserve"> PAGE  \* MERGEFORMAT </w:instrText>
                    </w:r>
                    <w:r>
                      <w:fldChar w:fldCharType="separate"/>
                    </w:r>
                    <w:r>
                      <w:t>10</w:t>
                    </w:r>
                    <w:r>
                      <w:fldChar w:fldCharType="end"/>
                    </w:r>
                  </w:p>
                </w:txbxContent>
              </v:textbox>
            </v:shape>
          </w:pict>
        </mc:Fallback>
      </mc:AlternateContent>
    </w:r>
  </w:p>
  <w:p w14:paraId="38DC1946">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5623F">
    <w:pPr>
      <w:pStyle w:val="2"/>
      <w:spacing w:line="14" w:lineRule="auto"/>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31CE06E">
                          <w:pPr>
                            <w:pStyle w:val="32"/>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i1XuZ4QEAAM0DAAAOAAAA&#10;AAAAAAEAIAAAAB4BAABkcnMvZTJvRG9jLnhtbFBLBQYAAAAABgAGAFkBAABxBQAAAAA=&#10;">
              <v:fill on="f" focussize="0,0"/>
              <v:stroke on="f"/>
              <v:imagedata o:title=""/>
              <o:lock v:ext="edit" aspectratio="f"/>
              <v:textbox inset="0mm,0mm,0mm,0mm" style="mso-fit-shape-to-text:t;">
                <w:txbxContent>
                  <w:p w14:paraId="531CE06E">
                    <w:pPr>
                      <w:pStyle w:val="3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4D130">
    <w:pPr>
      <w:pStyle w:val="2"/>
      <w:spacing w:line="14" w:lineRule="auto"/>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D3DF54">
                          <w:pPr>
                            <w:pStyle w:val="32"/>
                          </w:pPr>
                          <w:r>
                            <w:fldChar w:fldCharType="begin"/>
                          </w:r>
                          <w:r>
                            <w:instrText xml:space="preserve"> PAGE  \* MERGEFORMAT </w:instrText>
                          </w:r>
                          <w:r>
                            <w:fldChar w:fldCharType="separate"/>
                          </w:r>
                          <w:r>
                            <w:t>56</w:t>
                          </w:r>
                          <w: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gr0vz4QEAAM0DAAAOAAAA&#10;AAAAAAEAIAAAAB4BAABkcnMvZTJvRG9jLnhtbFBLBQYAAAAABgAGAFkBAABxBQAAAAA=&#10;">
              <v:fill on="f" focussize="0,0"/>
              <v:stroke on="f"/>
              <v:imagedata o:title=""/>
              <o:lock v:ext="edit" aspectratio="f"/>
              <v:textbox inset="0mm,0mm,0mm,0mm" style="mso-fit-shape-to-text:t;">
                <w:txbxContent>
                  <w:p w14:paraId="5ED3DF54">
                    <w:pPr>
                      <w:pStyle w:val="3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34A2A">
    <w:pPr>
      <w:pStyle w:val="3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486A3">
                          <w:pPr>
                            <w:pStyle w:val="32"/>
                          </w:pPr>
                          <w:r>
                            <w:fldChar w:fldCharType="begin"/>
                          </w:r>
                          <w:r>
                            <w:instrText xml:space="preserve"> PAGE  \* MERGEFORMAT </w:instrText>
                          </w:r>
                          <w:r>
                            <w:fldChar w:fldCharType="separate"/>
                          </w:r>
                          <w:r>
                            <w:t>60</w:t>
                          </w:r>
                          <w:r>
                            <w:fldChar w:fldCharType="end"/>
                          </w:r>
                        </w:p>
                      </w:txbxContent>
                    </wps:txbx>
                    <wps:bodyPr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BQ1y+IBAADMAwAADgAA&#10;AAAAAAABACAAAAAeAQAAZHJzL2Uyb0RvYy54bWxQSwUGAAAAAAYABgBZAQAAcgUAAAAA&#10;">
              <v:fill on="f" focussize="0,0"/>
              <v:stroke on="f"/>
              <v:imagedata o:title=""/>
              <o:lock v:ext="edit" aspectratio="f"/>
              <v:textbox inset="0mm,0mm,0mm,0mm" style="mso-fit-shape-to-text:t;">
                <w:txbxContent>
                  <w:p w14:paraId="7A6486A3">
                    <w:pPr>
                      <w:pStyle w:val="3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865A0">
    <w:pPr>
      <w:pStyle w:val="3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623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316230" cy="1828800"/>
                      </a:xfrm>
                      <a:prstGeom prst="rect">
                        <a:avLst/>
                      </a:prstGeom>
                      <a:noFill/>
                      <a:ln>
                        <a:noFill/>
                      </a:ln>
                      <a:effectLst/>
                    </wps:spPr>
                    <wps:txbx>
                      <w:txbxContent>
                        <w:p w14:paraId="05733537">
                          <w:r>
                            <w:fldChar w:fldCharType="begin"/>
                          </w:r>
                          <w:r>
                            <w:instrText xml:space="preserve"> PAGE  \* MERGEFORMAT </w:instrText>
                          </w:r>
                          <w:r>
                            <w:fldChar w:fldCharType="separate"/>
                          </w:r>
                          <w:r>
                            <w:t>81</w:t>
                          </w:r>
                          <w:r>
                            <w:fldChar w:fldCharType="end"/>
                          </w:r>
                        </w:p>
                      </w:txbxContent>
                    </wps:txbx>
                    <wps:bodyPr vert="horz" wrap="square" lIns="0" tIns="0" rIns="0" bIns="0" anchor="t" anchorCtr="0" upright="1">
                      <a:spAutoFit/>
                    </wps:bodyPr>
                  </wps:wsp>
                </a:graphicData>
              </a:graphic>
            </wp:anchor>
          </w:drawing>
        </mc:Choice>
        <mc:Fallback>
          <w:pict>
            <v:shape id="文本框 6" o:spid="_x0000_s1026" o:spt="202" type="#_x0000_t202" style="position:absolute;left:0pt;margin-top:0pt;height:144pt;width:24.9pt;mso-position-horizontal:center;mso-position-horizontal-relative:margin;z-index:251659264;mso-width-relative:page;mso-height-relative:page;" filled="f" stroked="f" coordsize="21600,21600" o:gfxdata="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KGE3SAAAA&#10;BAEAAA8AAAAAAAAAAQAgAAAAIgAAAGRycy9kb3ducmV2LnhtbFBLAQIUABQAAAAIAIdO4kAxo+6q&#10;6gEAAM0DAAAOAAAAAAAAAAEAIAAAACEBAABkcnMvZTJvRG9jLnhtbFBLBQYAAAAABgAGAFkBAAB9&#10;BQAAAAA=&#10;">
              <v:fill on="f" focussize="0,0"/>
              <v:stroke on="f"/>
              <v:imagedata o:title=""/>
              <o:lock v:ext="edit" aspectratio="f"/>
              <v:textbox inset="0mm,0mm,0mm,0mm" style="mso-fit-shape-to-text:t;">
                <w:txbxContent>
                  <w:p w14:paraId="05733537">
                    <w:r>
                      <w:fldChar w:fldCharType="begin"/>
                    </w:r>
                    <w:r>
                      <w:instrText xml:space="preserve"> PAGE  \* MERGEFORMAT </w:instrText>
                    </w:r>
                    <w:r>
                      <w:fldChar w:fldCharType="separate"/>
                    </w:r>
                    <w:r>
                      <w:t>81</w:t>
                    </w:r>
                    <w:r>
                      <w:fldChar w:fldCharType="end"/>
                    </w:r>
                  </w:p>
                </w:txbxContent>
              </v:textbox>
            </v:shape>
          </w:pict>
        </mc:Fallback>
      </mc:AlternateContent>
    </w:r>
  </w:p>
  <w:p w14:paraId="02866098">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BE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FEB72">
    <w:pPr>
      <w:pStyle w:val="3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ACAB4"/>
    <w:multiLevelType w:val="singleLevel"/>
    <w:tmpl w:val="BFAACAB4"/>
    <w:lvl w:ilvl="0" w:tentative="0">
      <w:start w:val="2"/>
      <w:numFmt w:val="decimal"/>
      <w:suff w:val="nothing"/>
      <w:lvlText w:val="（%1）"/>
      <w:lvlJc w:val="left"/>
      <w:pPr>
        <w:ind w:left="525" w:leftChars="0" w:firstLine="0" w:firstLineChars="0"/>
      </w:p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4"/>
      <w:numFmt w:val="decimal"/>
      <w:suff w:val="nothing"/>
      <w:lvlText w:val="（%1）"/>
      <w:lvlJc w:val="left"/>
      <w:pPr>
        <w:ind w:left="0"/>
      </w:pPr>
    </w:lvl>
  </w:abstractNum>
  <w:abstractNum w:abstractNumId="3">
    <w:nsid w:val="00000003"/>
    <w:multiLevelType w:val="multilevel"/>
    <w:tmpl w:val="00000003"/>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4">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7"/>
    <w:multiLevelType w:val="singleLevel"/>
    <w:tmpl w:val="00000007"/>
    <w:lvl w:ilvl="0" w:tentative="0">
      <w:start w:val="1"/>
      <w:numFmt w:val="chineseCounting"/>
      <w:suff w:val="nothing"/>
      <w:lvlText w:val="（%1）"/>
      <w:lvlJc w:val="left"/>
      <w:rPr>
        <w:rFonts w:hint="eastAsia"/>
      </w:rPr>
    </w:lvl>
  </w:abstractNum>
  <w:abstractNum w:abstractNumId="8">
    <w:nsid w:val="00000008"/>
    <w:multiLevelType w:val="singleLevel"/>
    <w:tmpl w:val="00000008"/>
    <w:lvl w:ilvl="0" w:tentative="0">
      <w:start w:val="1"/>
      <w:numFmt w:val="decimal"/>
      <w:lvlText w:val="%1."/>
      <w:lvlJc w:val="left"/>
      <w:pPr>
        <w:tabs>
          <w:tab w:val="left" w:pos="312"/>
        </w:tabs>
      </w:pPr>
    </w:lvl>
  </w:abstractNum>
  <w:abstractNum w:abstractNumId="9">
    <w:nsid w:val="00000009"/>
    <w:multiLevelType w:val="multilevel"/>
    <w:tmpl w:val="00000009"/>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abstractNum w:abstractNumId="10">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0000000D"/>
    <w:multiLevelType w:val="singleLevel"/>
    <w:tmpl w:val="0000000D"/>
    <w:lvl w:ilvl="0" w:tentative="0">
      <w:start w:val="1"/>
      <w:numFmt w:val="decimal"/>
      <w:lvlText w:val="%1."/>
      <w:lvlJc w:val="left"/>
      <w:pPr>
        <w:tabs>
          <w:tab w:val="left" w:pos="312"/>
        </w:tabs>
      </w:pPr>
    </w:lvl>
  </w:abstractNum>
  <w:abstractNum w:abstractNumId="14">
    <w:nsid w:val="0000000E"/>
    <w:multiLevelType w:val="multilevel"/>
    <w:tmpl w:val="0000000E"/>
    <w:lvl w:ilvl="0" w:tentative="0">
      <w:start w:val="1"/>
      <w:numFmt w:val="decimal"/>
      <w:lvlText w:val="%1．"/>
      <w:lvlJc w:val="left"/>
      <w:pPr>
        <w:tabs>
          <w:tab w:val="left" w:pos="990"/>
        </w:tabs>
        <w:ind w:left="990" w:hanging="420"/>
      </w:pPr>
      <w:rPr>
        <w:rFonts w:hint="eastAsia"/>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3"/>
  </w:num>
  <w:num w:numId="3">
    <w:abstractNumId w:val="2"/>
  </w:num>
  <w:num w:numId="4">
    <w:abstractNumId w:val="9"/>
  </w:num>
  <w:num w:numId="5">
    <w:abstractNumId w:val="3"/>
  </w:num>
  <w:num w:numId="6">
    <w:abstractNumId w:val="6"/>
  </w:num>
  <w:num w:numId="7">
    <w:abstractNumId w:val="11"/>
  </w:num>
  <w:num w:numId="8">
    <w:abstractNumId w:val="4"/>
  </w:num>
  <w:num w:numId="9">
    <w:abstractNumId w:val="10"/>
  </w:num>
  <w:num w:numId="10">
    <w:abstractNumId w:val="5"/>
  </w:num>
  <w:num w:numId="11">
    <w:abstractNumId w:val="12"/>
  </w:num>
  <w:num w:numId="12">
    <w:abstractNumId w:val="1"/>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trackRevisions w:val="1"/>
  <w:documentProtection w:enforcement="0"/>
  <w:defaultTabStop w:val="420"/>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jFjYjM2M2JhNDg3NDdhODg0MWY1MWRjZTVhYWIifQ=="/>
  </w:docVars>
  <w:rsids>
    <w:rsidRoot w:val="00172A27"/>
    <w:rsid w:val="00003FCF"/>
    <w:rsid w:val="00005F4A"/>
    <w:rsid w:val="00006DD4"/>
    <w:rsid w:val="00020E70"/>
    <w:rsid w:val="000236AA"/>
    <w:rsid w:val="000265ED"/>
    <w:rsid w:val="0003128E"/>
    <w:rsid w:val="00034397"/>
    <w:rsid w:val="0004165B"/>
    <w:rsid w:val="0004268E"/>
    <w:rsid w:val="00043268"/>
    <w:rsid w:val="00043B72"/>
    <w:rsid w:val="00045CAF"/>
    <w:rsid w:val="00054D5E"/>
    <w:rsid w:val="000572E1"/>
    <w:rsid w:val="0006497E"/>
    <w:rsid w:val="00067593"/>
    <w:rsid w:val="00072DF7"/>
    <w:rsid w:val="0007706E"/>
    <w:rsid w:val="00077774"/>
    <w:rsid w:val="0008783C"/>
    <w:rsid w:val="000904ED"/>
    <w:rsid w:val="000917DF"/>
    <w:rsid w:val="00091BFC"/>
    <w:rsid w:val="00094FC7"/>
    <w:rsid w:val="00097647"/>
    <w:rsid w:val="000A5046"/>
    <w:rsid w:val="000A6868"/>
    <w:rsid w:val="000A71AF"/>
    <w:rsid w:val="000B10E8"/>
    <w:rsid w:val="000C3E55"/>
    <w:rsid w:val="000D04A1"/>
    <w:rsid w:val="000D04A5"/>
    <w:rsid w:val="000D0AE3"/>
    <w:rsid w:val="000D1A9B"/>
    <w:rsid w:val="000D20B0"/>
    <w:rsid w:val="000D3728"/>
    <w:rsid w:val="000D532E"/>
    <w:rsid w:val="000D6578"/>
    <w:rsid w:val="000D7499"/>
    <w:rsid w:val="000E0397"/>
    <w:rsid w:val="000E6DEB"/>
    <w:rsid w:val="0010489A"/>
    <w:rsid w:val="001110E7"/>
    <w:rsid w:val="00124FC8"/>
    <w:rsid w:val="0012547B"/>
    <w:rsid w:val="0012767A"/>
    <w:rsid w:val="00134BA5"/>
    <w:rsid w:val="00136C88"/>
    <w:rsid w:val="00143300"/>
    <w:rsid w:val="00146FCC"/>
    <w:rsid w:val="00150620"/>
    <w:rsid w:val="001518F2"/>
    <w:rsid w:val="00172A27"/>
    <w:rsid w:val="00176A20"/>
    <w:rsid w:val="00181FDA"/>
    <w:rsid w:val="00182959"/>
    <w:rsid w:val="00185AFE"/>
    <w:rsid w:val="00190D1C"/>
    <w:rsid w:val="001953A0"/>
    <w:rsid w:val="00196424"/>
    <w:rsid w:val="00196EE7"/>
    <w:rsid w:val="001A05FF"/>
    <w:rsid w:val="001A1D20"/>
    <w:rsid w:val="001B399B"/>
    <w:rsid w:val="001B587B"/>
    <w:rsid w:val="001B68A2"/>
    <w:rsid w:val="001B73AC"/>
    <w:rsid w:val="001C5FFC"/>
    <w:rsid w:val="001F0439"/>
    <w:rsid w:val="001F12DB"/>
    <w:rsid w:val="001F1C5F"/>
    <w:rsid w:val="001F2EC1"/>
    <w:rsid w:val="001F7411"/>
    <w:rsid w:val="00200AD6"/>
    <w:rsid w:val="00206526"/>
    <w:rsid w:val="002146AC"/>
    <w:rsid w:val="0022120F"/>
    <w:rsid w:val="00234289"/>
    <w:rsid w:val="00234F73"/>
    <w:rsid w:val="00240BE6"/>
    <w:rsid w:val="00244807"/>
    <w:rsid w:val="00247246"/>
    <w:rsid w:val="00251DD9"/>
    <w:rsid w:val="00282183"/>
    <w:rsid w:val="002836BB"/>
    <w:rsid w:val="00294ABB"/>
    <w:rsid w:val="002A02A4"/>
    <w:rsid w:val="002A1337"/>
    <w:rsid w:val="002A5932"/>
    <w:rsid w:val="002A7AA5"/>
    <w:rsid w:val="002B367F"/>
    <w:rsid w:val="002B4A1A"/>
    <w:rsid w:val="002B6923"/>
    <w:rsid w:val="002C2F35"/>
    <w:rsid w:val="002C64E9"/>
    <w:rsid w:val="002D224B"/>
    <w:rsid w:val="002E3F73"/>
    <w:rsid w:val="002E6DA7"/>
    <w:rsid w:val="003072AC"/>
    <w:rsid w:val="003112C8"/>
    <w:rsid w:val="00313D88"/>
    <w:rsid w:val="00316D26"/>
    <w:rsid w:val="00324C8D"/>
    <w:rsid w:val="003274EB"/>
    <w:rsid w:val="00342C97"/>
    <w:rsid w:val="00343C5E"/>
    <w:rsid w:val="00351702"/>
    <w:rsid w:val="00353869"/>
    <w:rsid w:val="003649DC"/>
    <w:rsid w:val="00370233"/>
    <w:rsid w:val="00385151"/>
    <w:rsid w:val="003A7E20"/>
    <w:rsid w:val="003B0ECE"/>
    <w:rsid w:val="003D6EE4"/>
    <w:rsid w:val="003E0A58"/>
    <w:rsid w:val="003E40B6"/>
    <w:rsid w:val="003F188C"/>
    <w:rsid w:val="00403057"/>
    <w:rsid w:val="0040596E"/>
    <w:rsid w:val="004159F5"/>
    <w:rsid w:val="00416BF3"/>
    <w:rsid w:val="00426450"/>
    <w:rsid w:val="00430049"/>
    <w:rsid w:val="004314DD"/>
    <w:rsid w:val="0043291F"/>
    <w:rsid w:val="004352B5"/>
    <w:rsid w:val="00442D2A"/>
    <w:rsid w:val="004464D7"/>
    <w:rsid w:val="00447E0F"/>
    <w:rsid w:val="00452B4E"/>
    <w:rsid w:val="0046039F"/>
    <w:rsid w:val="004724CB"/>
    <w:rsid w:val="00472FD1"/>
    <w:rsid w:val="00474C20"/>
    <w:rsid w:val="00480B45"/>
    <w:rsid w:val="004850FD"/>
    <w:rsid w:val="0048685E"/>
    <w:rsid w:val="00492A2E"/>
    <w:rsid w:val="00495451"/>
    <w:rsid w:val="004B591B"/>
    <w:rsid w:val="004C2E98"/>
    <w:rsid w:val="004D56BD"/>
    <w:rsid w:val="004F01DD"/>
    <w:rsid w:val="004F633E"/>
    <w:rsid w:val="004F79F9"/>
    <w:rsid w:val="005076B4"/>
    <w:rsid w:val="005176EA"/>
    <w:rsid w:val="00521F93"/>
    <w:rsid w:val="00523F82"/>
    <w:rsid w:val="00526166"/>
    <w:rsid w:val="0053009A"/>
    <w:rsid w:val="005421B5"/>
    <w:rsid w:val="005525B7"/>
    <w:rsid w:val="005604DD"/>
    <w:rsid w:val="00560EEF"/>
    <w:rsid w:val="0056266B"/>
    <w:rsid w:val="00566CDC"/>
    <w:rsid w:val="00567E86"/>
    <w:rsid w:val="00573E0A"/>
    <w:rsid w:val="0058373D"/>
    <w:rsid w:val="005849B0"/>
    <w:rsid w:val="005938C2"/>
    <w:rsid w:val="00594F40"/>
    <w:rsid w:val="005A03A0"/>
    <w:rsid w:val="005A5AA0"/>
    <w:rsid w:val="005B11D9"/>
    <w:rsid w:val="005B5ED2"/>
    <w:rsid w:val="005C4D21"/>
    <w:rsid w:val="005C6705"/>
    <w:rsid w:val="005D52AA"/>
    <w:rsid w:val="005E3089"/>
    <w:rsid w:val="0061134E"/>
    <w:rsid w:val="00621CEC"/>
    <w:rsid w:val="00635284"/>
    <w:rsid w:val="006375F3"/>
    <w:rsid w:val="00643766"/>
    <w:rsid w:val="00647915"/>
    <w:rsid w:val="00647C76"/>
    <w:rsid w:val="0065471A"/>
    <w:rsid w:val="00655202"/>
    <w:rsid w:val="00671204"/>
    <w:rsid w:val="006715CE"/>
    <w:rsid w:val="006727E6"/>
    <w:rsid w:val="00681FA4"/>
    <w:rsid w:val="00692DAD"/>
    <w:rsid w:val="00695459"/>
    <w:rsid w:val="00696E23"/>
    <w:rsid w:val="006A0233"/>
    <w:rsid w:val="006A14CB"/>
    <w:rsid w:val="006A666E"/>
    <w:rsid w:val="006B3C57"/>
    <w:rsid w:val="006C1848"/>
    <w:rsid w:val="006D158E"/>
    <w:rsid w:val="006D6F0F"/>
    <w:rsid w:val="006E127D"/>
    <w:rsid w:val="006E2CAA"/>
    <w:rsid w:val="006E30AF"/>
    <w:rsid w:val="00703D1A"/>
    <w:rsid w:val="007058AF"/>
    <w:rsid w:val="00710BC3"/>
    <w:rsid w:val="00714F4B"/>
    <w:rsid w:val="00715160"/>
    <w:rsid w:val="007233FB"/>
    <w:rsid w:val="00733D90"/>
    <w:rsid w:val="00736BDB"/>
    <w:rsid w:val="00751C6E"/>
    <w:rsid w:val="0075292A"/>
    <w:rsid w:val="00753CBA"/>
    <w:rsid w:val="0076144E"/>
    <w:rsid w:val="00766DD0"/>
    <w:rsid w:val="00782037"/>
    <w:rsid w:val="007843F9"/>
    <w:rsid w:val="00784D7C"/>
    <w:rsid w:val="00787BC0"/>
    <w:rsid w:val="00796985"/>
    <w:rsid w:val="00797DA4"/>
    <w:rsid w:val="00797DB1"/>
    <w:rsid w:val="007A3AFC"/>
    <w:rsid w:val="007A50EB"/>
    <w:rsid w:val="007B01D0"/>
    <w:rsid w:val="007B0974"/>
    <w:rsid w:val="007B6E40"/>
    <w:rsid w:val="007C01B4"/>
    <w:rsid w:val="007C0AAF"/>
    <w:rsid w:val="007C0C6B"/>
    <w:rsid w:val="007C1F07"/>
    <w:rsid w:val="007C279B"/>
    <w:rsid w:val="007D6F95"/>
    <w:rsid w:val="007E1B06"/>
    <w:rsid w:val="007E2A0E"/>
    <w:rsid w:val="007E317E"/>
    <w:rsid w:val="007E50F5"/>
    <w:rsid w:val="007E7013"/>
    <w:rsid w:val="007E7036"/>
    <w:rsid w:val="007F15CB"/>
    <w:rsid w:val="007F20C6"/>
    <w:rsid w:val="008120DC"/>
    <w:rsid w:val="00817FF6"/>
    <w:rsid w:val="008213B7"/>
    <w:rsid w:val="008223D6"/>
    <w:rsid w:val="00822D9F"/>
    <w:rsid w:val="008257D3"/>
    <w:rsid w:val="00832165"/>
    <w:rsid w:val="00834EC7"/>
    <w:rsid w:val="00840D2B"/>
    <w:rsid w:val="00844A19"/>
    <w:rsid w:val="00845820"/>
    <w:rsid w:val="00847FB1"/>
    <w:rsid w:val="008503AF"/>
    <w:rsid w:val="008548B0"/>
    <w:rsid w:val="00862AAC"/>
    <w:rsid w:val="00865AD6"/>
    <w:rsid w:val="00867129"/>
    <w:rsid w:val="008671CC"/>
    <w:rsid w:val="008748F2"/>
    <w:rsid w:val="008767DD"/>
    <w:rsid w:val="00876CBE"/>
    <w:rsid w:val="00882D49"/>
    <w:rsid w:val="008846AD"/>
    <w:rsid w:val="0089385A"/>
    <w:rsid w:val="00893928"/>
    <w:rsid w:val="00894BD1"/>
    <w:rsid w:val="00897467"/>
    <w:rsid w:val="008A1FCE"/>
    <w:rsid w:val="008B4757"/>
    <w:rsid w:val="008B7CAB"/>
    <w:rsid w:val="008C050A"/>
    <w:rsid w:val="008C195C"/>
    <w:rsid w:val="008C68E7"/>
    <w:rsid w:val="008D3F61"/>
    <w:rsid w:val="008D7131"/>
    <w:rsid w:val="008D7486"/>
    <w:rsid w:val="008E1CB2"/>
    <w:rsid w:val="008E6155"/>
    <w:rsid w:val="008E6AFF"/>
    <w:rsid w:val="008F063D"/>
    <w:rsid w:val="008F1FDB"/>
    <w:rsid w:val="008F32EE"/>
    <w:rsid w:val="008F4CB9"/>
    <w:rsid w:val="008F7B0C"/>
    <w:rsid w:val="00902716"/>
    <w:rsid w:val="00903C45"/>
    <w:rsid w:val="0090616B"/>
    <w:rsid w:val="009202A3"/>
    <w:rsid w:val="00924030"/>
    <w:rsid w:val="009266CD"/>
    <w:rsid w:val="0092763F"/>
    <w:rsid w:val="00951FCC"/>
    <w:rsid w:val="009666B9"/>
    <w:rsid w:val="00970EC3"/>
    <w:rsid w:val="00971895"/>
    <w:rsid w:val="009720BC"/>
    <w:rsid w:val="00985B65"/>
    <w:rsid w:val="00990205"/>
    <w:rsid w:val="0099096E"/>
    <w:rsid w:val="009915A6"/>
    <w:rsid w:val="00994B0D"/>
    <w:rsid w:val="009A7AF3"/>
    <w:rsid w:val="009C4A5F"/>
    <w:rsid w:val="009D3AF3"/>
    <w:rsid w:val="009D462C"/>
    <w:rsid w:val="009D6BE3"/>
    <w:rsid w:val="00A00252"/>
    <w:rsid w:val="00A21C33"/>
    <w:rsid w:val="00A22E94"/>
    <w:rsid w:val="00A23682"/>
    <w:rsid w:val="00A2531E"/>
    <w:rsid w:val="00A260ED"/>
    <w:rsid w:val="00A263D4"/>
    <w:rsid w:val="00A279A0"/>
    <w:rsid w:val="00A35947"/>
    <w:rsid w:val="00A37E88"/>
    <w:rsid w:val="00A43021"/>
    <w:rsid w:val="00A52016"/>
    <w:rsid w:val="00A5401A"/>
    <w:rsid w:val="00A55345"/>
    <w:rsid w:val="00A62951"/>
    <w:rsid w:val="00A65FEA"/>
    <w:rsid w:val="00A91358"/>
    <w:rsid w:val="00A93270"/>
    <w:rsid w:val="00A967D1"/>
    <w:rsid w:val="00AA251E"/>
    <w:rsid w:val="00AA6250"/>
    <w:rsid w:val="00AA715F"/>
    <w:rsid w:val="00AB3028"/>
    <w:rsid w:val="00AC0A50"/>
    <w:rsid w:val="00AC245B"/>
    <w:rsid w:val="00AC488B"/>
    <w:rsid w:val="00AD6916"/>
    <w:rsid w:val="00AD706C"/>
    <w:rsid w:val="00AE18E3"/>
    <w:rsid w:val="00AE7638"/>
    <w:rsid w:val="00AF2806"/>
    <w:rsid w:val="00B06DC4"/>
    <w:rsid w:val="00B15F3F"/>
    <w:rsid w:val="00B2179F"/>
    <w:rsid w:val="00B306D5"/>
    <w:rsid w:val="00B34456"/>
    <w:rsid w:val="00B3533A"/>
    <w:rsid w:val="00B354E7"/>
    <w:rsid w:val="00B47B8B"/>
    <w:rsid w:val="00B51FB9"/>
    <w:rsid w:val="00B57D19"/>
    <w:rsid w:val="00B64604"/>
    <w:rsid w:val="00B66931"/>
    <w:rsid w:val="00B953DA"/>
    <w:rsid w:val="00B959D3"/>
    <w:rsid w:val="00BB1B64"/>
    <w:rsid w:val="00BB6661"/>
    <w:rsid w:val="00BC3239"/>
    <w:rsid w:val="00BC6724"/>
    <w:rsid w:val="00BD302F"/>
    <w:rsid w:val="00BD3B54"/>
    <w:rsid w:val="00BD5D75"/>
    <w:rsid w:val="00BD752F"/>
    <w:rsid w:val="00BD7820"/>
    <w:rsid w:val="00BE34A1"/>
    <w:rsid w:val="00BE706A"/>
    <w:rsid w:val="00BE7612"/>
    <w:rsid w:val="00C03939"/>
    <w:rsid w:val="00C06DB2"/>
    <w:rsid w:val="00C11E2B"/>
    <w:rsid w:val="00C17AC9"/>
    <w:rsid w:val="00C20C15"/>
    <w:rsid w:val="00C219A5"/>
    <w:rsid w:val="00C24973"/>
    <w:rsid w:val="00C375B8"/>
    <w:rsid w:val="00C43E41"/>
    <w:rsid w:val="00C47785"/>
    <w:rsid w:val="00C53A26"/>
    <w:rsid w:val="00C5511E"/>
    <w:rsid w:val="00C60BFE"/>
    <w:rsid w:val="00C6224F"/>
    <w:rsid w:val="00C6512A"/>
    <w:rsid w:val="00C659FD"/>
    <w:rsid w:val="00C75A44"/>
    <w:rsid w:val="00C76EAC"/>
    <w:rsid w:val="00C85385"/>
    <w:rsid w:val="00C90D25"/>
    <w:rsid w:val="00C95BBE"/>
    <w:rsid w:val="00CA2955"/>
    <w:rsid w:val="00CB1EB4"/>
    <w:rsid w:val="00CB25D9"/>
    <w:rsid w:val="00CC6A23"/>
    <w:rsid w:val="00CE0FE2"/>
    <w:rsid w:val="00CE7284"/>
    <w:rsid w:val="00CF00F0"/>
    <w:rsid w:val="00CF0977"/>
    <w:rsid w:val="00CF6674"/>
    <w:rsid w:val="00D055B1"/>
    <w:rsid w:val="00D05C88"/>
    <w:rsid w:val="00D10369"/>
    <w:rsid w:val="00D10AD7"/>
    <w:rsid w:val="00D15D74"/>
    <w:rsid w:val="00D2487E"/>
    <w:rsid w:val="00D374A5"/>
    <w:rsid w:val="00D42961"/>
    <w:rsid w:val="00D43A4B"/>
    <w:rsid w:val="00D4664D"/>
    <w:rsid w:val="00D612D5"/>
    <w:rsid w:val="00D65442"/>
    <w:rsid w:val="00D7380C"/>
    <w:rsid w:val="00D73C53"/>
    <w:rsid w:val="00D82A50"/>
    <w:rsid w:val="00D9119C"/>
    <w:rsid w:val="00DB7797"/>
    <w:rsid w:val="00DC01FB"/>
    <w:rsid w:val="00DC3B62"/>
    <w:rsid w:val="00DD1CAC"/>
    <w:rsid w:val="00DD2234"/>
    <w:rsid w:val="00DD455D"/>
    <w:rsid w:val="00DE1928"/>
    <w:rsid w:val="00DE5FEC"/>
    <w:rsid w:val="00DE6D5C"/>
    <w:rsid w:val="00DF03C7"/>
    <w:rsid w:val="00DF1BF0"/>
    <w:rsid w:val="00DF1FAE"/>
    <w:rsid w:val="00DF6431"/>
    <w:rsid w:val="00E05419"/>
    <w:rsid w:val="00E05EA8"/>
    <w:rsid w:val="00E0605C"/>
    <w:rsid w:val="00E16991"/>
    <w:rsid w:val="00E26490"/>
    <w:rsid w:val="00E30130"/>
    <w:rsid w:val="00E43258"/>
    <w:rsid w:val="00E56063"/>
    <w:rsid w:val="00E576DD"/>
    <w:rsid w:val="00E57853"/>
    <w:rsid w:val="00E67600"/>
    <w:rsid w:val="00E75742"/>
    <w:rsid w:val="00E80220"/>
    <w:rsid w:val="00E86CAC"/>
    <w:rsid w:val="00E953CB"/>
    <w:rsid w:val="00E95A62"/>
    <w:rsid w:val="00E967A1"/>
    <w:rsid w:val="00E96A11"/>
    <w:rsid w:val="00EB05EE"/>
    <w:rsid w:val="00EC013F"/>
    <w:rsid w:val="00EC6666"/>
    <w:rsid w:val="00ED61B8"/>
    <w:rsid w:val="00ED7B1F"/>
    <w:rsid w:val="00EE2D94"/>
    <w:rsid w:val="00EE4248"/>
    <w:rsid w:val="00EF1C9B"/>
    <w:rsid w:val="00F011DA"/>
    <w:rsid w:val="00F04609"/>
    <w:rsid w:val="00F14BCF"/>
    <w:rsid w:val="00F158EA"/>
    <w:rsid w:val="00F17600"/>
    <w:rsid w:val="00F27219"/>
    <w:rsid w:val="00F3576A"/>
    <w:rsid w:val="00F372C3"/>
    <w:rsid w:val="00F42005"/>
    <w:rsid w:val="00F50013"/>
    <w:rsid w:val="00F51251"/>
    <w:rsid w:val="00F7168E"/>
    <w:rsid w:val="00F71E50"/>
    <w:rsid w:val="00F81A0D"/>
    <w:rsid w:val="00F85E8E"/>
    <w:rsid w:val="00F85EB4"/>
    <w:rsid w:val="00F92386"/>
    <w:rsid w:val="00F954CB"/>
    <w:rsid w:val="00F96093"/>
    <w:rsid w:val="00FA5098"/>
    <w:rsid w:val="00FB0CD1"/>
    <w:rsid w:val="00FB2B61"/>
    <w:rsid w:val="00FB32D0"/>
    <w:rsid w:val="00FC0D3F"/>
    <w:rsid w:val="00FC5B52"/>
    <w:rsid w:val="00FC608A"/>
    <w:rsid w:val="00FD31C2"/>
    <w:rsid w:val="00FD3C9F"/>
    <w:rsid w:val="00FD66CE"/>
    <w:rsid w:val="00FE1195"/>
    <w:rsid w:val="00FE3277"/>
    <w:rsid w:val="00FE3644"/>
    <w:rsid w:val="00FF5475"/>
    <w:rsid w:val="00FF55B1"/>
    <w:rsid w:val="00FF7A8A"/>
    <w:rsid w:val="014337F8"/>
    <w:rsid w:val="014B6196"/>
    <w:rsid w:val="019F1BEA"/>
    <w:rsid w:val="01AA7D1B"/>
    <w:rsid w:val="01AF2223"/>
    <w:rsid w:val="01B97AC1"/>
    <w:rsid w:val="01C25BCD"/>
    <w:rsid w:val="01D75372"/>
    <w:rsid w:val="01FC10EF"/>
    <w:rsid w:val="02342041"/>
    <w:rsid w:val="02494BF4"/>
    <w:rsid w:val="02711D2A"/>
    <w:rsid w:val="027F4802"/>
    <w:rsid w:val="02963DFC"/>
    <w:rsid w:val="02D957AA"/>
    <w:rsid w:val="02F36983"/>
    <w:rsid w:val="03046B20"/>
    <w:rsid w:val="031214D1"/>
    <w:rsid w:val="034677CF"/>
    <w:rsid w:val="038200EF"/>
    <w:rsid w:val="03B44752"/>
    <w:rsid w:val="03C03826"/>
    <w:rsid w:val="03C31792"/>
    <w:rsid w:val="041D149A"/>
    <w:rsid w:val="04273777"/>
    <w:rsid w:val="042E253E"/>
    <w:rsid w:val="0465459D"/>
    <w:rsid w:val="04757B4E"/>
    <w:rsid w:val="048159B7"/>
    <w:rsid w:val="04886439"/>
    <w:rsid w:val="048B0667"/>
    <w:rsid w:val="048E6541"/>
    <w:rsid w:val="048F3F30"/>
    <w:rsid w:val="04ED41A7"/>
    <w:rsid w:val="04F27A0F"/>
    <w:rsid w:val="04F82B4C"/>
    <w:rsid w:val="054727EC"/>
    <w:rsid w:val="054D0590"/>
    <w:rsid w:val="0556373A"/>
    <w:rsid w:val="057B0515"/>
    <w:rsid w:val="05831990"/>
    <w:rsid w:val="05B1175A"/>
    <w:rsid w:val="05BD140C"/>
    <w:rsid w:val="05D115B2"/>
    <w:rsid w:val="05FC5DF0"/>
    <w:rsid w:val="065800AF"/>
    <w:rsid w:val="068439A7"/>
    <w:rsid w:val="06874187"/>
    <w:rsid w:val="06C1378D"/>
    <w:rsid w:val="07554285"/>
    <w:rsid w:val="077005D6"/>
    <w:rsid w:val="078F29CA"/>
    <w:rsid w:val="07CB3375"/>
    <w:rsid w:val="07D43A0A"/>
    <w:rsid w:val="07E32029"/>
    <w:rsid w:val="08591E10"/>
    <w:rsid w:val="08607919"/>
    <w:rsid w:val="08640306"/>
    <w:rsid w:val="08734357"/>
    <w:rsid w:val="088B257E"/>
    <w:rsid w:val="08913342"/>
    <w:rsid w:val="08C18EDA"/>
    <w:rsid w:val="09591CD2"/>
    <w:rsid w:val="09F31B49"/>
    <w:rsid w:val="0A060C24"/>
    <w:rsid w:val="0A3208AE"/>
    <w:rsid w:val="0A333840"/>
    <w:rsid w:val="0A890D51"/>
    <w:rsid w:val="0AC03176"/>
    <w:rsid w:val="0AC14E11"/>
    <w:rsid w:val="0ACF4FEB"/>
    <w:rsid w:val="0AD90D68"/>
    <w:rsid w:val="0ADA33F3"/>
    <w:rsid w:val="0AE54B2C"/>
    <w:rsid w:val="0B0278D3"/>
    <w:rsid w:val="0B33753C"/>
    <w:rsid w:val="0B414B7C"/>
    <w:rsid w:val="0B806FF8"/>
    <w:rsid w:val="0B9A7C95"/>
    <w:rsid w:val="0B9E269F"/>
    <w:rsid w:val="0B9F11F4"/>
    <w:rsid w:val="0BAC32BC"/>
    <w:rsid w:val="0C272694"/>
    <w:rsid w:val="0C585419"/>
    <w:rsid w:val="0CA359A6"/>
    <w:rsid w:val="0CBC447D"/>
    <w:rsid w:val="0CDB4C36"/>
    <w:rsid w:val="0CE13D52"/>
    <w:rsid w:val="0D1F15BD"/>
    <w:rsid w:val="0D6D057B"/>
    <w:rsid w:val="0D817958"/>
    <w:rsid w:val="0D904B5A"/>
    <w:rsid w:val="0DBE74A6"/>
    <w:rsid w:val="0DE36ECC"/>
    <w:rsid w:val="0DE620DB"/>
    <w:rsid w:val="0DFB4557"/>
    <w:rsid w:val="0DFD3D48"/>
    <w:rsid w:val="0E0B11FA"/>
    <w:rsid w:val="0E6B25E0"/>
    <w:rsid w:val="0E8C2C83"/>
    <w:rsid w:val="0E9E6512"/>
    <w:rsid w:val="0EC90B4B"/>
    <w:rsid w:val="0F0B0898"/>
    <w:rsid w:val="0F111797"/>
    <w:rsid w:val="0F21235A"/>
    <w:rsid w:val="0F3814E9"/>
    <w:rsid w:val="0F794443"/>
    <w:rsid w:val="0FCA2F2F"/>
    <w:rsid w:val="0FDE29B3"/>
    <w:rsid w:val="0FDE5F55"/>
    <w:rsid w:val="0FE13ADC"/>
    <w:rsid w:val="10295EC3"/>
    <w:rsid w:val="104D6442"/>
    <w:rsid w:val="10961B97"/>
    <w:rsid w:val="10C76E2B"/>
    <w:rsid w:val="10D80FE7"/>
    <w:rsid w:val="10FB5D66"/>
    <w:rsid w:val="11197547"/>
    <w:rsid w:val="111C6739"/>
    <w:rsid w:val="113D56DD"/>
    <w:rsid w:val="115F442A"/>
    <w:rsid w:val="1163406A"/>
    <w:rsid w:val="11881C25"/>
    <w:rsid w:val="11891B54"/>
    <w:rsid w:val="11A06395"/>
    <w:rsid w:val="11DB1BC5"/>
    <w:rsid w:val="11DD6F12"/>
    <w:rsid w:val="12170AB5"/>
    <w:rsid w:val="12460629"/>
    <w:rsid w:val="124747CD"/>
    <w:rsid w:val="129056B5"/>
    <w:rsid w:val="12C15199"/>
    <w:rsid w:val="1304101C"/>
    <w:rsid w:val="13105AA1"/>
    <w:rsid w:val="13217EE8"/>
    <w:rsid w:val="134148EC"/>
    <w:rsid w:val="13471FDA"/>
    <w:rsid w:val="13503220"/>
    <w:rsid w:val="13762452"/>
    <w:rsid w:val="13887C14"/>
    <w:rsid w:val="13A91BE1"/>
    <w:rsid w:val="14295324"/>
    <w:rsid w:val="145E254C"/>
    <w:rsid w:val="14844010"/>
    <w:rsid w:val="14867A8D"/>
    <w:rsid w:val="14963751"/>
    <w:rsid w:val="149E13F0"/>
    <w:rsid w:val="14F70F5D"/>
    <w:rsid w:val="15066EC8"/>
    <w:rsid w:val="150C3747"/>
    <w:rsid w:val="1523598F"/>
    <w:rsid w:val="155E69FB"/>
    <w:rsid w:val="15EF6B17"/>
    <w:rsid w:val="15F21F1F"/>
    <w:rsid w:val="164D77A8"/>
    <w:rsid w:val="166A62AA"/>
    <w:rsid w:val="16B42F26"/>
    <w:rsid w:val="16BC5498"/>
    <w:rsid w:val="16C779B6"/>
    <w:rsid w:val="16CA1F7F"/>
    <w:rsid w:val="16EA4574"/>
    <w:rsid w:val="172C7FDC"/>
    <w:rsid w:val="17394D6E"/>
    <w:rsid w:val="177C760C"/>
    <w:rsid w:val="177D6E50"/>
    <w:rsid w:val="17981307"/>
    <w:rsid w:val="17A252C5"/>
    <w:rsid w:val="17D45C61"/>
    <w:rsid w:val="180853EA"/>
    <w:rsid w:val="180B7687"/>
    <w:rsid w:val="18132578"/>
    <w:rsid w:val="18586852"/>
    <w:rsid w:val="187D2788"/>
    <w:rsid w:val="187F2509"/>
    <w:rsid w:val="187F47D6"/>
    <w:rsid w:val="189E463F"/>
    <w:rsid w:val="18B84535"/>
    <w:rsid w:val="18BB20F3"/>
    <w:rsid w:val="18D273E8"/>
    <w:rsid w:val="19094ED0"/>
    <w:rsid w:val="190A38AC"/>
    <w:rsid w:val="191B66E5"/>
    <w:rsid w:val="19643061"/>
    <w:rsid w:val="196F735D"/>
    <w:rsid w:val="1A0C111B"/>
    <w:rsid w:val="1A123D7B"/>
    <w:rsid w:val="1A308D33"/>
    <w:rsid w:val="1A416449"/>
    <w:rsid w:val="1A660973"/>
    <w:rsid w:val="1A737ED0"/>
    <w:rsid w:val="1A7C7ECC"/>
    <w:rsid w:val="1A7D55D0"/>
    <w:rsid w:val="1A8B0292"/>
    <w:rsid w:val="1A8D3A72"/>
    <w:rsid w:val="1AA20B6A"/>
    <w:rsid w:val="1ADC289C"/>
    <w:rsid w:val="1B3715C5"/>
    <w:rsid w:val="1B455EAA"/>
    <w:rsid w:val="1B6D3826"/>
    <w:rsid w:val="1B943D19"/>
    <w:rsid w:val="1BA046CF"/>
    <w:rsid w:val="1BC8507E"/>
    <w:rsid w:val="1BCE38F8"/>
    <w:rsid w:val="1BE500B2"/>
    <w:rsid w:val="1C071B9A"/>
    <w:rsid w:val="1C482BD3"/>
    <w:rsid w:val="1C6C0B45"/>
    <w:rsid w:val="1C850D11"/>
    <w:rsid w:val="1CC9523C"/>
    <w:rsid w:val="1CD53C11"/>
    <w:rsid w:val="1D15185D"/>
    <w:rsid w:val="1D1E3640"/>
    <w:rsid w:val="1D2E5DA5"/>
    <w:rsid w:val="1D361775"/>
    <w:rsid w:val="1D5675F2"/>
    <w:rsid w:val="1D6423BC"/>
    <w:rsid w:val="1D8E2A78"/>
    <w:rsid w:val="1DD61D08"/>
    <w:rsid w:val="1DE1581E"/>
    <w:rsid w:val="1DED172D"/>
    <w:rsid w:val="1E096C2F"/>
    <w:rsid w:val="1E1A491E"/>
    <w:rsid w:val="1E346285"/>
    <w:rsid w:val="1E524A2D"/>
    <w:rsid w:val="1E9265F0"/>
    <w:rsid w:val="1E9C48FE"/>
    <w:rsid w:val="1E9C6F0A"/>
    <w:rsid w:val="1EBD19C4"/>
    <w:rsid w:val="1ECD76E6"/>
    <w:rsid w:val="1F04026B"/>
    <w:rsid w:val="1F460C2C"/>
    <w:rsid w:val="1F4F76E4"/>
    <w:rsid w:val="1F7053E3"/>
    <w:rsid w:val="1F98378A"/>
    <w:rsid w:val="1FCC01CF"/>
    <w:rsid w:val="1FD9384E"/>
    <w:rsid w:val="1FED50DE"/>
    <w:rsid w:val="20963057"/>
    <w:rsid w:val="212C3F92"/>
    <w:rsid w:val="21F65411"/>
    <w:rsid w:val="220B5DF0"/>
    <w:rsid w:val="22220411"/>
    <w:rsid w:val="22513113"/>
    <w:rsid w:val="225240A1"/>
    <w:rsid w:val="22595FFF"/>
    <w:rsid w:val="225C4659"/>
    <w:rsid w:val="22B508D5"/>
    <w:rsid w:val="22B8599C"/>
    <w:rsid w:val="22CC1448"/>
    <w:rsid w:val="22D568AC"/>
    <w:rsid w:val="22D82BDF"/>
    <w:rsid w:val="230A0DF6"/>
    <w:rsid w:val="2318544F"/>
    <w:rsid w:val="235E53C2"/>
    <w:rsid w:val="23693C42"/>
    <w:rsid w:val="23984345"/>
    <w:rsid w:val="23D517B2"/>
    <w:rsid w:val="23ED3D6C"/>
    <w:rsid w:val="243144A5"/>
    <w:rsid w:val="24334D58"/>
    <w:rsid w:val="244514B2"/>
    <w:rsid w:val="24867A6E"/>
    <w:rsid w:val="249E678B"/>
    <w:rsid w:val="24B47052"/>
    <w:rsid w:val="24E65A81"/>
    <w:rsid w:val="24F5112A"/>
    <w:rsid w:val="250F5077"/>
    <w:rsid w:val="257003D2"/>
    <w:rsid w:val="2572486D"/>
    <w:rsid w:val="25BFB64C"/>
    <w:rsid w:val="25F50512"/>
    <w:rsid w:val="26046E9C"/>
    <w:rsid w:val="261D32C2"/>
    <w:rsid w:val="264B4D7A"/>
    <w:rsid w:val="26614A95"/>
    <w:rsid w:val="266F6588"/>
    <w:rsid w:val="26A5654C"/>
    <w:rsid w:val="26E74445"/>
    <w:rsid w:val="270E64D3"/>
    <w:rsid w:val="272A2E53"/>
    <w:rsid w:val="274C4714"/>
    <w:rsid w:val="27805F80"/>
    <w:rsid w:val="278C6B2D"/>
    <w:rsid w:val="27B63BF0"/>
    <w:rsid w:val="27E97464"/>
    <w:rsid w:val="28013942"/>
    <w:rsid w:val="288E4134"/>
    <w:rsid w:val="28BE02AA"/>
    <w:rsid w:val="28C50E13"/>
    <w:rsid w:val="28CD4C67"/>
    <w:rsid w:val="28D97DB8"/>
    <w:rsid w:val="28FD5ABE"/>
    <w:rsid w:val="290C0ACF"/>
    <w:rsid w:val="29603124"/>
    <w:rsid w:val="2961776B"/>
    <w:rsid w:val="29741B23"/>
    <w:rsid w:val="298A7749"/>
    <w:rsid w:val="29934A6D"/>
    <w:rsid w:val="29A547A1"/>
    <w:rsid w:val="29E706EB"/>
    <w:rsid w:val="29E9220B"/>
    <w:rsid w:val="29F85218"/>
    <w:rsid w:val="2A051C10"/>
    <w:rsid w:val="2A066ABD"/>
    <w:rsid w:val="2A9C55D7"/>
    <w:rsid w:val="2ABB2350"/>
    <w:rsid w:val="2B083239"/>
    <w:rsid w:val="2B73203E"/>
    <w:rsid w:val="2B773770"/>
    <w:rsid w:val="2BBE7649"/>
    <w:rsid w:val="2BDA1BE3"/>
    <w:rsid w:val="2C397017"/>
    <w:rsid w:val="2C3A5674"/>
    <w:rsid w:val="2C595BF2"/>
    <w:rsid w:val="2C686D94"/>
    <w:rsid w:val="2C70709A"/>
    <w:rsid w:val="2CD2146A"/>
    <w:rsid w:val="2CD47877"/>
    <w:rsid w:val="2D34274A"/>
    <w:rsid w:val="2D3C71CA"/>
    <w:rsid w:val="2D4A60FB"/>
    <w:rsid w:val="2D5A361F"/>
    <w:rsid w:val="2D5F236D"/>
    <w:rsid w:val="2D74049B"/>
    <w:rsid w:val="2DCB57BE"/>
    <w:rsid w:val="2E20089A"/>
    <w:rsid w:val="2E224612"/>
    <w:rsid w:val="2EC72ACD"/>
    <w:rsid w:val="2EEC2580"/>
    <w:rsid w:val="2F4617D5"/>
    <w:rsid w:val="2FBB5ED0"/>
    <w:rsid w:val="2FD17828"/>
    <w:rsid w:val="301E16C7"/>
    <w:rsid w:val="30511EC0"/>
    <w:rsid w:val="30922B6E"/>
    <w:rsid w:val="30942F77"/>
    <w:rsid w:val="30B40706"/>
    <w:rsid w:val="30C534C2"/>
    <w:rsid w:val="30D53DC1"/>
    <w:rsid w:val="30DA3FA0"/>
    <w:rsid w:val="30FA1876"/>
    <w:rsid w:val="310121E3"/>
    <w:rsid w:val="311F12DD"/>
    <w:rsid w:val="313721C7"/>
    <w:rsid w:val="315E0B5F"/>
    <w:rsid w:val="316C6E4D"/>
    <w:rsid w:val="3207424B"/>
    <w:rsid w:val="325C200D"/>
    <w:rsid w:val="32823719"/>
    <w:rsid w:val="3297530C"/>
    <w:rsid w:val="32A0793C"/>
    <w:rsid w:val="32A313B1"/>
    <w:rsid w:val="32A370F4"/>
    <w:rsid w:val="32F8525D"/>
    <w:rsid w:val="33226DE7"/>
    <w:rsid w:val="332A5017"/>
    <w:rsid w:val="332C73F5"/>
    <w:rsid w:val="33580704"/>
    <w:rsid w:val="339C7185"/>
    <w:rsid w:val="33F62013"/>
    <w:rsid w:val="340537C2"/>
    <w:rsid w:val="341C31B2"/>
    <w:rsid w:val="34256015"/>
    <w:rsid w:val="342B6914"/>
    <w:rsid w:val="34AA375F"/>
    <w:rsid w:val="34C86096"/>
    <w:rsid w:val="34CE7116"/>
    <w:rsid w:val="34D2596C"/>
    <w:rsid w:val="34F20B91"/>
    <w:rsid w:val="354845D6"/>
    <w:rsid w:val="356E5C9A"/>
    <w:rsid w:val="357F27ED"/>
    <w:rsid w:val="358864BA"/>
    <w:rsid w:val="35930FE7"/>
    <w:rsid w:val="35B847C0"/>
    <w:rsid w:val="35BD0021"/>
    <w:rsid w:val="35C91817"/>
    <w:rsid w:val="35E079EA"/>
    <w:rsid w:val="36851BE2"/>
    <w:rsid w:val="368D68CA"/>
    <w:rsid w:val="36CA1CEB"/>
    <w:rsid w:val="36D845F3"/>
    <w:rsid w:val="36F03CAB"/>
    <w:rsid w:val="3705788B"/>
    <w:rsid w:val="372159D9"/>
    <w:rsid w:val="374B4BD9"/>
    <w:rsid w:val="37520721"/>
    <w:rsid w:val="376B31FC"/>
    <w:rsid w:val="37B93040"/>
    <w:rsid w:val="37E509C0"/>
    <w:rsid w:val="385D7F24"/>
    <w:rsid w:val="386A108F"/>
    <w:rsid w:val="38830D86"/>
    <w:rsid w:val="38913D2F"/>
    <w:rsid w:val="38A31CB4"/>
    <w:rsid w:val="38CC7F9C"/>
    <w:rsid w:val="390B232E"/>
    <w:rsid w:val="3914549F"/>
    <w:rsid w:val="398558E4"/>
    <w:rsid w:val="39CC4F72"/>
    <w:rsid w:val="39D93CA5"/>
    <w:rsid w:val="39E72D19"/>
    <w:rsid w:val="39E76710"/>
    <w:rsid w:val="39F2063F"/>
    <w:rsid w:val="3A145CD2"/>
    <w:rsid w:val="3A485400"/>
    <w:rsid w:val="3A66066B"/>
    <w:rsid w:val="3A946897"/>
    <w:rsid w:val="3AAC5C6E"/>
    <w:rsid w:val="3AAE37C8"/>
    <w:rsid w:val="3ABD5CA2"/>
    <w:rsid w:val="3AD553EF"/>
    <w:rsid w:val="3ADE7B13"/>
    <w:rsid w:val="3B52394A"/>
    <w:rsid w:val="3B682EC6"/>
    <w:rsid w:val="3BD16B04"/>
    <w:rsid w:val="3BD643C7"/>
    <w:rsid w:val="3C483C67"/>
    <w:rsid w:val="3C5A58BF"/>
    <w:rsid w:val="3C7B66FC"/>
    <w:rsid w:val="3D047FB5"/>
    <w:rsid w:val="3D567E34"/>
    <w:rsid w:val="3DAC54BD"/>
    <w:rsid w:val="3DB401DF"/>
    <w:rsid w:val="3DC02C3B"/>
    <w:rsid w:val="3DFB5FC9"/>
    <w:rsid w:val="3E3F3371"/>
    <w:rsid w:val="3E631E60"/>
    <w:rsid w:val="3E970704"/>
    <w:rsid w:val="3EA9063C"/>
    <w:rsid w:val="3EAE40E4"/>
    <w:rsid w:val="3EB509B4"/>
    <w:rsid w:val="3ED23E32"/>
    <w:rsid w:val="3F06752D"/>
    <w:rsid w:val="3F2409AD"/>
    <w:rsid w:val="3F4310F7"/>
    <w:rsid w:val="3FA1678F"/>
    <w:rsid w:val="3FD83D14"/>
    <w:rsid w:val="40363F4D"/>
    <w:rsid w:val="404A6FCD"/>
    <w:rsid w:val="40540A8A"/>
    <w:rsid w:val="40695D6E"/>
    <w:rsid w:val="40BE0B54"/>
    <w:rsid w:val="40D142B3"/>
    <w:rsid w:val="41230975"/>
    <w:rsid w:val="41293BBD"/>
    <w:rsid w:val="41564230"/>
    <w:rsid w:val="415E5BE8"/>
    <w:rsid w:val="4183021B"/>
    <w:rsid w:val="4193188D"/>
    <w:rsid w:val="419D7DDA"/>
    <w:rsid w:val="41B810BD"/>
    <w:rsid w:val="41D62CD0"/>
    <w:rsid w:val="4227235F"/>
    <w:rsid w:val="423C1CEE"/>
    <w:rsid w:val="42DE2150"/>
    <w:rsid w:val="42EB121C"/>
    <w:rsid w:val="42F00D2B"/>
    <w:rsid w:val="4301797F"/>
    <w:rsid w:val="434846C3"/>
    <w:rsid w:val="435A7F52"/>
    <w:rsid w:val="43C26B6A"/>
    <w:rsid w:val="43EA6572"/>
    <w:rsid w:val="44037380"/>
    <w:rsid w:val="44121DD3"/>
    <w:rsid w:val="44133B8C"/>
    <w:rsid w:val="44186157"/>
    <w:rsid w:val="443211DD"/>
    <w:rsid w:val="44347BE4"/>
    <w:rsid w:val="444A4C25"/>
    <w:rsid w:val="446C6704"/>
    <w:rsid w:val="446E4509"/>
    <w:rsid w:val="44A678F3"/>
    <w:rsid w:val="44BC2C73"/>
    <w:rsid w:val="451867EA"/>
    <w:rsid w:val="452577F8"/>
    <w:rsid w:val="457E43CC"/>
    <w:rsid w:val="45BD5144"/>
    <w:rsid w:val="45CF693C"/>
    <w:rsid w:val="45F2318F"/>
    <w:rsid w:val="461455F8"/>
    <w:rsid w:val="461D57A5"/>
    <w:rsid w:val="4623685B"/>
    <w:rsid w:val="4642189D"/>
    <w:rsid w:val="465A281B"/>
    <w:rsid w:val="467D4684"/>
    <w:rsid w:val="4686223B"/>
    <w:rsid w:val="46987301"/>
    <w:rsid w:val="46C21340"/>
    <w:rsid w:val="47153338"/>
    <w:rsid w:val="471C3C7C"/>
    <w:rsid w:val="47240D89"/>
    <w:rsid w:val="47353569"/>
    <w:rsid w:val="47D17FE6"/>
    <w:rsid w:val="47FC5B63"/>
    <w:rsid w:val="480A30F4"/>
    <w:rsid w:val="48234CBA"/>
    <w:rsid w:val="482E5C9D"/>
    <w:rsid w:val="485C5E0E"/>
    <w:rsid w:val="49044BE8"/>
    <w:rsid w:val="490F69F3"/>
    <w:rsid w:val="492B2127"/>
    <w:rsid w:val="492E057F"/>
    <w:rsid w:val="493F4EA8"/>
    <w:rsid w:val="494F67AB"/>
    <w:rsid w:val="496B7101"/>
    <w:rsid w:val="49711EE2"/>
    <w:rsid w:val="49746132"/>
    <w:rsid w:val="498E2409"/>
    <w:rsid w:val="49B56CE1"/>
    <w:rsid w:val="49FE3D2D"/>
    <w:rsid w:val="4A1D4BB5"/>
    <w:rsid w:val="4A6E4543"/>
    <w:rsid w:val="4A7BE878"/>
    <w:rsid w:val="4B2F7A39"/>
    <w:rsid w:val="4B384997"/>
    <w:rsid w:val="4B452DB7"/>
    <w:rsid w:val="4B5332B7"/>
    <w:rsid w:val="4B55790B"/>
    <w:rsid w:val="4B9E642B"/>
    <w:rsid w:val="4BA75709"/>
    <w:rsid w:val="4BC0450D"/>
    <w:rsid w:val="4BC55E91"/>
    <w:rsid w:val="4BE826E6"/>
    <w:rsid w:val="4C0A34CB"/>
    <w:rsid w:val="4C120AE0"/>
    <w:rsid w:val="4C5D09EA"/>
    <w:rsid w:val="4C6267F5"/>
    <w:rsid w:val="4C6360CA"/>
    <w:rsid w:val="4C651181"/>
    <w:rsid w:val="4C7A7D68"/>
    <w:rsid w:val="4C8428B7"/>
    <w:rsid w:val="4C9943FD"/>
    <w:rsid w:val="4C9B72A7"/>
    <w:rsid w:val="4CB01900"/>
    <w:rsid w:val="4CB87639"/>
    <w:rsid w:val="4CE7652C"/>
    <w:rsid w:val="4CED51A9"/>
    <w:rsid w:val="4CED6EC0"/>
    <w:rsid w:val="4CF63FF6"/>
    <w:rsid w:val="4D2A6BE7"/>
    <w:rsid w:val="4D4203D5"/>
    <w:rsid w:val="4D4C4AF3"/>
    <w:rsid w:val="4D694096"/>
    <w:rsid w:val="4D924B60"/>
    <w:rsid w:val="4DB14CDF"/>
    <w:rsid w:val="4DE14344"/>
    <w:rsid w:val="4DE408D6"/>
    <w:rsid w:val="4E1844AF"/>
    <w:rsid w:val="4E236D64"/>
    <w:rsid w:val="4E316E98"/>
    <w:rsid w:val="4E4D2583"/>
    <w:rsid w:val="4EA27487"/>
    <w:rsid w:val="4EB80E01"/>
    <w:rsid w:val="4F6F24EE"/>
    <w:rsid w:val="4F8354FA"/>
    <w:rsid w:val="500DCF94"/>
    <w:rsid w:val="500F451A"/>
    <w:rsid w:val="50210776"/>
    <w:rsid w:val="50360D32"/>
    <w:rsid w:val="503E02C1"/>
    <w:rsid w:val="50401167"/>
    <w:rsid w:val="5042439F"/>
    <w:rsid w:val="50461F8A"/>
    <w:rsid w:val="5047041B"/>
    <w:rsid w:val="509C4B94"/>
    <w:rsid w:val="50F27652"/>
    <w:rsid w:val="511706D6"/>
    <w:rsid w:val="511E6F77"/>
    <w:rsid w:val="51281690"/>
    <w:rsid w:val="514B21A5"/>
    <w:rsid w:val="51A96B45"/>
    <w:rsid w:val="51E43809"/>
    <w:rsid w:val="51EC676A"/>
    <w:rsid w:val="51EE2172"/>
    <w:rsid w:val="522A2F86"/>
    <w:rsid w:val="523D709F"/>
    <w:rsid w:val="525E73EB"/>
    <w:rsid w:val="52636E23"/>
    <w:rsid w:val="526B4100"/>
    <w:rsid w:val="527174A7"/>
    <w:rsid w:val="52D4387D"/>
    <w:rsid w:val="52D7181B"/>
    <w:rsid w:val="532103EE"/>
    <w:rsid w:val="534F237F"/>
    <w:rsid w:val="53572091"/>
    <w:rsid w:val="53BB6386"/>
    <w:rsid w:val="53DA1367"/>
    <w:rsid w:val="53E8302C"/>
    <w:rsid w:val="53EE33A5"/>
    <w:rsid w:val="53F008AC"/>
    <w:rsid w:val="53FC16E4"/>
    <w:rsid w:val="541A5C08"/>
    <w:rsid w:val="541B070F"/>
    <w:rsid w:val="545C3B2A"/>
    <w:rsid w:val="546D3F89"/>
    <w:rsid w:val="55045B96"/>
    <w:rsid w:val="55180608"/>
    <w:rsid w:val="552D1D7B"/>
    <w:rsid w:val="553A33E3"/>
    <w:rsid w:val="553D138E"/>
    <w:rsid w:val="55441B9C"/>
    <w:rsid w:val="558150DE"/>
    <w:rsid w:val="559F37CF"/>
    <w:rsid w:val="55CC1AD3"/>
    <w:rsid w:val="56084F0F"/>
    <w:rsid w:val="566778F3"/>
    <w:rsid w:val="568343F3"/>
    <w:rsid w:val="56AE7A34"/>
    <w:rsid w:val="56AF0D1B"/>
    <w:rsid w:val="56C9121F"/>
    <w:rsid w:val="57434DB5"/>
    <w:rsid w:val="57C40335"/>
    <w:rsid w:val="57D30C82"/>
    <w:rsid w:val="57D9300D"/>
    <w:rsid w:val="58305B23"/>
    <w:rsid w:val="58354DBE"/>
    <w:rsid w:val="58484CE8"/>
    <w:rsid w:val="586F62C0"/>
    <w:rsid w:val="58726012"/>
    <w:rsid w:val="587F1D8E"/>
    <w:rsid w:val="58A67A6A"/>
    <w:rsid w:val="5909572A"/>
    <w:rsid w:val="591C1B57"/>
    <w:rsid w:val="597430C1"/>
    <w:rsid w:val="597F38B7"/>
    <w:rsid w:val="59872419"/>
    <w:rsid w:val="59E946DF"/>
    <w:rsid w:val="59EA1BD8"/>
    <w:rsid w:val="59FD6627"/>
    <w:rsid w:val="5A2D1244"/>
    <w:rsid w:val="5A663F2E"/>
    <w:rsid w:val="5A6F390B"/>
    <w:rsid w:val="5A9678F1"/>
    <w:rsid w:val="5AD85ED5"/>
    <w:rsid w:val="5AE07AA2"/>
    <w:rsid w:val="5AF21AE9"/>
    <w:rsid w:val="5AFD1D29"/>
    <w:rsid w:val="5B114646"/>
    <w:rsid w:val="5B140904"/>
    <w:rsid w:val="5B190E25"/>
    <w:rsid w:val="5B1A639A"/>
    <w:rsid w:val="5B2C3479"/>
    <w:rsid w:val="5B52372B"/>
    <w:rsid w:val="5B85401D"/>
    <w:rsid w:val="5BAC05CD"/>
    <w:rsid w:val="5BC822EF"/>
    <w:rsid w:val="5BCF022B"/>
    <w:rsid w:val="5BD543D6"/>
    <w:rsid w:val="5C11057A"/>
    <w:rsid w:val="5C7F6BCF"/>
    <w:rsid w:val="5C8E3077"/>
    <w:rsid w:val="5C9B7DB5"/>
    <w:rsid w:val="5CD66ABA"/>
    <w:rsid w:val="5CE4390F"/>
    <w:rsid w:val="5CF74BBD"/>
    <w:rsid w:val="5CFC234E"/>
    <w:rsid w:val="5D010C29"/>
    <w:rsid w:val="5D157830"/>
    <w:rsid w:val="5DBC388C"/>
    <w:rsid w:val="5DDC2752"/>
    <w:rsid w:val="5E0314BA"/>
    <w:rsid w:val="5E6764B4"/>
    <w:rsid w:val="5E9860A7"/>
    <w:rsid w:val="5E987E55"/>
    <w:rsid w:val="5EAB3DD3"/>
    <w:rsid w:val="5EE527E1"/>
    <w:rsid w:val="5EE72E22"/>
    <w:rsid w:val="5EF56EFD"/>
    <w:rsid w:val="5F2C43AF"/>
    <w:rsid w:val="5F584E34"/>
    <w:rsid w:val="5F691FAB"/>
    <w:rsid w:val="5FD1417A"/>
    <w:rsid w:val="5FF10EC5"/>
    <w:rsid w:val="604A63EF"/>
    <w:rsid w:val="60625267"/>
    <w:rsid w:val="60765F74"/>
    <w:rsid w:val="60A935A1"/>
    <w:rsid w:val="60DB217D"/>
    <w:rsid w:val="60E930B4"/>
    <w:rsid w:val="60EB5D18"/>
    <w:rsid w:val="61971C41"/>
    <w:rsid w:val="61E76FF0"/>
    <w:rsid w:val="6278282F"/>
    <w:rsid w:val="62943799"/>
    <w:rsid w:val="62BB485C"/>
    <w:rsid w:val="62FF7C19"/>
    <w:rsid w:val="6308697F"/>
    <w:rsid w:val="630A471E"/>
    <w:rsid w:val="631877B6"/>
    <w:rsid w:val="63332842"/>
    <w:rsid w:val="63564FFB"/>
    <w:rsid w:val="63996A94"/>
    <w:rsid w:val="63B000AA"/>
    <w:rsid w:val="63C27444"/>
    <w:rsid w:val="63EA577E"/>
    <w:rsid w:val="63ED451C"/>
    <w:rsid w:val="63F30730"/>
    <w:rsid w:val="64905BE6"/>
    <w:rsid w:val="64CE0F23"/>
    <w:rsid w:val="64E27A00"/>
    <w:rsid w:val="64E903FD"/>
    <w:rsid w:val="650B38EE"/>
    <w:rsid w:val="651B4DFF"/>
    <w:rsid w:val="655B2A2B"/>
    <w:rsid w:val="65895EC0"/>
    <w:rsid w:val="659E2108"/>
    <w:rsid w:val="65AB5F26"/>
    <w:rsid w:val="65B067DE"/>
    <w:rsid w:val="65E51D30"/>
    <w:rsid w:val="6623421B"/>
    <w:rsid w:val="662907EC"/>
    <w:rsid w:val="662B0C58"/>
    <w:rsid w:val="668F65DB"/>
    <w:rsid w:val="66943183"/>
    <w:rsid w:val="66A4359E"/>
    <w:rsid w:val="66AD290B"/>
    <w:rsid w:val="66C02547"/>
    <w:rsid w:val="66E3632D"/>
    <w:rsid w:val="66E40070"/>
    <w:rsid w:val="67055F14"/>
    <w:rsid w:val="671B3424"/>
    <w:rsid w:val="6747066A"/>
    <w:rsid w:val="67584625"/>
    <w:rsid w:val="676B76E2"/>
    <w:rsid w:val="676C5591"/>
    <w:rsid w:val="68111F27"/>
    <w:rsid w:val="684C10CC"/>
    <w:rsid w:val="68560C64"/>
    <w:rsid w:val="687C07E7"/>
    <w:rsid w:val="688A1ECB"/>
    <w:rsid w:val="68A12FB2"/>
    <w:rsid w:val="68B56134"/>
    <w:rsid w:val="68D966AC"/>
    <w:rsid w:val="68F910DA"/>
    <w:rsid w:val="691C78D4"/>
    <w:rsid w:val="69432F0E"/>
    <w:rsid w:val="69D32619"/>
    <w:rsid w:val="69E11DAF"/>
    <w:rsid w:val="6A031F95"/>
    <w:rsid w:val="6A0B520E"/>
    <w:rsid w:val="6A2A4805"/>
    <w:rsid w:val="6A3053E5"/>
    <w:rsid w:val="6A334E92"/>
    <w:rsid w:val="6A34616B"/>
    <w:rsid w:val="6A5E619E"/>
    <w:rsid w:val="6A895812"/>
    <w:rsid w:val="6AC65D4A"/>
    <w:rsid w:val="6B246E8D"/>
    <w:rsid w:val="6B5213AA"/>
    <w:rsid w:val="6B774EE1"/>
    <w:rsid w:val="6BA27191"/>
    <w:rsid w:val="6BDA6AFB"/>
    <w:rsid w:val="6BFE286F"/>
    <w:rsid w:val="6C460B63"/>
    <w:rsid w:val="6C6B4EFE"/>
    <w:rsid w:val="6C6E606C"/>
    <w:rsid w:val="6D055E8F"/>
    <w:rsid w:val="6D200C7E"/>
    <w:rsid w:val="6D21370B"/>
    <w:rsid w:val="6D7D1F79"/>
    <w:rsid w:val="6D875C64"/>
    <w:rsid w:val="6D8819DC"/>
    <w:rsid w:val="6DCB3B6F"/>
    <w:rsid w:val="6DDC4B60"/>
    <w:rsid w:val="6E065DC5"/>
    <w:rsid w:val="6E3C30B0"/>
    <w:rsid w:val="6E6853D1"/>
    <w:rsid w:val="6E886777"/>
    <w:rsid w:val="6E8B7608"/>
    <w:rsid w:val="6EDF0B37"/>
    <w:rsid w:val="6F1352D6"/>
    <w:rsid w:val="6F70539D"/>
    <w:rsid w:val="6F7D5E86"/>
    <w:rsid w:val="6F832653"/>
    <w:rsid w:val="6F875D3C"/>
    <w:rsid w:val="6F9060D3"/>
    <w:rsid w:val="6F9858ED"/>
    <w:rsid w:val="6FA42E21"/>
    <w:rsid w:val="6FF555E9"/>
    <w:rsid w:val="7000585A"/>
    <w:rsid w:val="701628A7"/>
    <w:rsid w:val="702A7DD6"/>
    <w:rsid w:val="702D6D7D"/>
    <w:rsid w:val="702E6C97"/>
    <w:rsid w:val="703F2826"/>
    <w:rsid w:val="70493191"/>
    <w:rsid w:val="704F3DB9"/>
    <w:rsid w:val="70504852"/>
    <w:rsid w:val="707D700C"/>
    <w:rsid w:val="70C62FCD"/>
    <w:rsid w:val="70F744A9"/>
    <w:rsid w:val="71754D82"/>
    <w:rsid w:val="718F10E3"/>
    <w:rsid w:val="71982E66"/>
    <w:rsid w:val="71987FBF"/>
    <w:rsid w:val="71BA44F3"/>
    <w:rsid w:val="71C31235"/>
    <w:rsid w:val="71CF4334"/>
    <w:rsid w:val="71E81F60"/>
    <w:rsid w:val="71F340C1"/>
    <w:rsid w:val="71FF4B3F"/>
    <w:rsid w:val="720A24F5"/>
    <w:rsid w:val="723914F7"/>
    <w:rsid w:val="726714AF"/>
    <w:rsid w:val="727309A3"/>
    <w:rsid w:val="72A450DF"/>
    <w:rsid w:val="72A8130B"/>
    <w:rsid w:val="72BA0960"/>
    <w:rsid w:val="72EE7F60"/>
    <w:rsid w:val="730B69EF"/>
    <w:rsid w:val="7375163C"/>
    <w:rsid w:val="73823DF5"/>
    <w:rsid w:val="738F2539"/>
    <w:rsid w:val="73DE2DB8"/>
    <w:rsid w:val="73DE4104"/>
    <w:rsid w:val="74161F1E"/>
    <w:rsid w:val="744A1164"/>
    <w:rsid w:val="74573316"/>
    <w:rsid w:val="7457535D"/>
    <w:rsid w:val="745815A0"/>
    <w:rsid w:val="74607E2E"/>
    <w:rsid w:val="74745024"/>
    <w:rsid w:val="749D019F"/>
    <w:rsid w:val="74A34E20"/>
    <w:rsid w:val="74CD2669"/>
    <w:rsid w:val="74F01935"/>
    <w:rsid w:val="750C7513"/>
    <w:rsid w:val="759E607D"/>
    <w:rsid w:val="75A91D4A"/>
    <w:rsid w:val="75AF5D58"/>
    <w:rsid w:val="75D20FE4"/>
    <w:rsid w:val="75FE784C"/>
    <w:rsid w:val="760D414E"/>
    <w:rsid w:val="76360227"/>
    <w:rsid w:val="764D7DC2"/>
    <w:rsid w:val="767A1B5B"/>
    <w:rsid w:val="77707A9B"/>
    <w:rsid w:val="77B32F6D"/>
    <w:rsid w:val="77E665D0"/>
    <w:rsid w:val="77F02658"/>
    <w:rsid w:val="77F16C67"/>
    <w:rsid w:val="78782D79"/>
    <w:rsid w:val="788174A2"/>
    <w:rsid w:val="78BD69DE"/>
    <w:rsid w:val="78C7160B"/>
    <w:rsid w:val="798B2638"/>
    <w:rsid w:val="79A920B6"/>
    <w:rsid w:val="79CB6ED9"/>
    <w:rsid w:val="79DE77CA"/>
    <w:rsid w:val="79E0509E"/>
    <w:rsid w:val="79FF0842"/>
    <w:rsid w:val="7A067F11"/>
    <w:rsid w:val="7A4C26A7"/>
    <w:rsid w:val="7A6115EB"/>
    <w:rsid w:val="7A9C63F1"/>
    <w:rsid w:val="7AAB08F5"/>
    <w:rsid w:val="7AB45AE2"/>
    <w:rsid w:val="7AC557A1"/>
    <w:rsid w:val="7AD42547"/>
    <w:rsid w:val="7AE54A07"/>
    <w:rsid w:val="7AFD57B8"/>
    <w:rsid w:val="7B4E1B6F"/>
    <w:rsid w:val="7BA82FBC"/>
    <w:rsid w:val="7BBA193A"/>
    <w:rsid w:val="7BBE7F39"/>
    <w:rsid w:val="7BC7389C"/>
    <w:rsid w:val="7BD47593"/>
    <w:rsid w:val="7BD97B7B"/>
    <w:rsid w:val="7C06069C"/>
    <w:rsid w:val="7C0D7CE3"/>
    <w:rsid w:val="7C464F3C"/>
    <w:rsid w:val="7C6335EC"/>
    <w:rsid w:val="7C8150C0"/>
    <w:rsid w:val="7CA126BD"/>
    <w:rsid w:val="7CA64A8F"/>
    <w:rsid w:val="7CE309DD"/>
    <w:rsid w:val="7D456FA2"/>
    <w:rsid w:val="7DB37CA4"/>
    <w:rsid w:val="7DBF477A"/>
    <w:rsid w:val="7DC00960"/>
    <w:rsid w:val="7DD51D9D"/>
    <w:rsid w:val="7DDE2FF4"/>
    <w:rsid w:val="7DFD54C8"/>
    <w:rsid w:val="7E287243"/>
    <w:rsid w:val="7E44486F"/>
    <w:rsid w:val="7E6F077A"/>
    <w:rsid w:val="7E924622"/>
    <w:rsid w:val="7EA1645A"/>
    <w:rsid w:val="7EA55564"/>
    <w:rsid w:val="7EAE1F83"/>
    <w:rsid w:val="7EC0784B"/>
    <w:rsid w:val="7F042A89"/>
    <w:rsid w:val="7F061CF4"/>
    <w:rsid w:val="7F30567C"/>
    <w:rsid w:val="7F473A58"/>
    <w:rsid w:val="7F6000C3"/>
    <w:rsid w:val="7F7333AD"/>
    <w:rsid w:val="7F7B15EF"/>
    <w:rsid w:val="7F9938D6"/>
    <w:rsid w:val="7F9F1206"/>
    <w:rsid w:val="7FB979E7"/>
    <w:rsid w:val="7FC87106"/>
    <w:rsid w:val="7FEF463A"/>
    <w:rsid w:val="88965AD8"/>
    <w:rsid w:val="96BD9FAB"/>
    <w:rsid w:val="9E88C162"/>
    <w:rsid w:val="AE9F48B6"/>
    <w:rsid w:val="CEF19615"/>
    <w:rsid w:val="D4BE83B6"/>
    <w:rsid w:val="E887ACC0"/>
    <w:rsid w:val="EB6F2F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spacing w:before="340" w:after="330" w:line="578" w:lineRule="auto"/>
      <w:outlineLvl w:val="0"/>
    </w:pPr>
    <w:rPr>
      <w:b/>
      <w:bCs/>
      <w:kern w:val="44"/>
      <w:sz w:val="36"/>
      <w:szCs w:val="44"/>
    </w:rPr>
  </w:style>
  <w:style w:type="paragraph" w:styleId="4">
    <w:name w:val="heading 2"/>
    <w:basedOn w:val="1"/>
    <w:next w:val="1"/>
    <w:link w:val="68"/>
    <w:qFormat/>
    <w:uiPriority w:val="0"/>
    <w:pPr>
      <w:keepNext/>
      <w:keepLines/>
      <w:spacing w:before="260" w:after="260" w:line="415" w:lineRule="auto"/>
      <w:outlineLvl w:val="1"/>
    </w:pPr>
    <w:rPr>
      <w:rFonts w:ascii="Cambria" w:hAnsi="Cambria"/>
      <w:b/>
      <w:bCs/>
      <w:kern w:val="0"/>
      <w:sz w:val="32"/>
      <w:szCs w:val="32"/>
    </w:rPr>
  </w:style>
  <w:style w:type="paragraph" w:styleId="5">
    <w:name w:val="heading 3"/>
    <w:basedOn w:val="1"/>
    <w:next w:val="1"/>
    <w:link w:val="69"/>
    <w:qFormat/>
    <w:uiPriority w:val="0"/>
    <w:pPr>
      <w:keepNext/>
      <w:keepLines/>
      <w:widowControl/>
      <w:spacing w:before="260" w:after="260" w:line="416" w:lineRule="auto"/>
      <w:outlineLvl w:val="2"/>
    </w:pPr>
    <w:rPr>
      <w:b/>
      <w:bCs/>
      <w:sz w:val="24"/>
      <w:szCs w:val="32"/>
    </w:rPr>
  </w:style>
  <w:style w:type="paragraph" w:styleId="6">
    <w:name w:val="heading 4"/>
    <w:basedOn w:val="1"/>
    <w:next w:val="1"/>
    <w:link w:val="70"/>
    <w:qFormat/>
    <w:uiPriority w:val="0"/>
    <w:pPr>
      <w:keepNext/>
      <w:keepLines/>
      <w:widowControl/>
      <w:spacing w:before="200" w:line="276" w:lineRule="auto"/>
      <w:jc w:val="left"/>
      <w:outlineLvl w:val="3"/>
    </w:pPr>
    <w:rPr>
      <w:rFonts w:ascii="Calibri Light" w:hAnsi="Calibri Light"/>
      <w:b/>
      <w:bCs/>
      <w:iCs/>
      <w:kern w:val="0"/>
      <w:sz w:val="20"/>
      <w:szCs w:val="20"/>
    </w:rPr>
  </w:style>
  <w:style w:type="paragraph" w:styleId="7">
    <w:name w:val="heading 5"/>
    <w:basedOn w:val="1"/>
    <w:next w:val="1"/>
    <w:link w:val="71"/>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72"/>
    <w:qFormat/>
    <w:uiPriority w:val="0"/>
    <w:pPr>
      <w:keepNext/>
      <w:keepLines/>
      <w:spacing w:before="240" w:after="64" w:line="320" w:lineRule="auto"/>
      <w:outlineLvl w:val="5"/>
    </w:pPr>
    <w:rPr>
      <w:rFonts w:ascii="Cambria" w:hAnsi="Cambria"/>
      <w:b/>
      <w:bCs/>
      <w:kern w:val="0"/>
      <w:sz w:val="24"/>
    </w:rPr>
  </w:style>
  <w:style w:type="paragraph" w:styleId="9">
    <w:name w:val="heading 7"/>
    <w:basedOn w:val="1"/>
    <w:next w:val="1"/>
    <w:link w:val="73"/>
    <w:qFormat/>
    <w:uiPriority w:val="0"/>
    <w:pPr>
      <w:keepNext/>
      <w:keepLines/>
      <w:spacing w:before="240" w:after="64" w:line="320" w:lineRule="auto"/>
      <w:ind w:firstLine="200" w:firstLineChars="200"/>
      <w:outlineLvl w:val="6"/>
    </w:pPr>
    <w:rPr>
      <w:b/>
      <w:bCs/>
      <w:kern w:val="0"/>
      <w:sz w:val="24"/>
    </w:rPr>
  </w:style>
  <w:style w:type="paragraph" w:styleId="10">
    <w:name w:val="heading 8"/>
    <w:basedOn w:val="1"/>
    <w:next w:val="1"/>
    <w:link w:val="74"/>
    <w:qFormat/>
    <w:uiPriority w:val="0"/>
    <w:pPr>
      <w:keepNext/>
      <w:keepLines/>
      <w:spacing w:before="240" w:after="64" w:line="320" w:lineRule="auto"/>
      <w:ind w:firstLine="200" w:firstLineChars="200"/>
      <w:outlineLvl w:val="7"/>
    </w:pPr>
    <w:rPr>
      <w:rFonts w:ascii="Cambria" w:hAnsi="Cambria"/>
      <w:kern w:val="0"/>
      <w:sz w:val="24"/>
    </w:rPr>
  </w:style>
  <w:style w:type="paragraph" w:styleId="11">
    <w:name w:val="heading 9"/>
    <w:basedOn w:val="1"/>
    <w:next w:val="1"/>
    <w:link w:val="75"/>
    <w:qFormat/>
    <w:uiPriority w:val="0"/>
    <w:pPr>
      <w:keepNext/>
      <w:keepLines/>
      <w:spacing w:before="240" w:after="64" w:line="320" w:lineRule="auto"/>
      <w:ind w:firstLine="200" w:firstLineChars="200"/>
      <w:outlineLvl w:val="8"/>
    </w:pPr>
    <w:rPr>
      <w:rFonts w:ascii="Cambria" w:hAnsi="Cambria"/>
      <w:kern w:val="0"/>
      <w:sz w:val="2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0"/>
    <w:qFormat/>
    <w:uiPriority w:val="0"/>
    <w:pPr>
      <w:spacing w:after="120"/>
    </w:pPr>
    <w:rPr>
      <w:kern w:val="0"/>
      <w:sz w:val="20"/>
    </w:rPr>
  </w:style>
  <w:style w:type="paragraph" w:styleId="12">
    <w:name w:val="toc 7"/>
    <w:basedOn w:val="1"/>
    <w:next w:val="1"/>
    <w:qFormat/>
    <w:uiPriority w:val="0"/>
    <w:pPr>
      <w:spacing w:line="360" w:lineRule="exact"/>
      <w:ind w:left="1260" w:firstLine="200" w:firstLineChars="200"/>
      <w:jc w:val="left"/>
    </w:pPr>
    <w:rPr>
      <w:rFonts w:ascii="Calibri" w:hAnsi="Calibri"/>
      <w:sz w:val="18"/>
      <w:szCs w:val="18"/>
    </w:rPr>
  </w:style>
  <w:style w:type="paragraph" w:styleId="13">
    <w:name w:val="index 8"/>
    <w:basedOn w:val="1"/>
    <w:next w:val="1"/>
    <w:qFormat/>
    <w:uiPriority w:val="0"/>
    <w:pPr>
      <w:ind w:left="1400" w:leftChars="1400"/>
    </w:pPr>
  </w:style>
  <w:style w:type="paragraph" w:styleId="14">
    <w:name w:val="Normal Indent"/>
    <w:basedOn w:val="1"/>
    <w:link w:val="76"/>
    <w:qFormat/>
    <w:uiPriority w:val="0"/>
    <w:pPr>
      <w:adjustRightInd w:val="0"/>
      <w:spacing w:line="312" w:lineRule="atLeast"/>
      <w:ind w:firstLine="420" w:firstLineChars="200"/>
    </w:pPr>
    <w:rPr>
      <w:kern w:val="0"/>
      <w:szCs w:val="20"/>
    </w:rPr>
  </w:style>
  <w:style w:type="paragraph" w:styleId="15">
    <w:name w:val="caption"/>
    <w:basedOn w:val="1"/>
    <w:next w:val="1"/>
    <w:qFormat/>
    <w:uiPriority w:val="0"/>
    <w:pPr>
      <w:spacing w:line="360" w:lineRule="exact"/>
      <w:ind w:firstLine="200" w:firstLineChars="200"/>
    </w:pPr>
    <w:rPr>
      <w:rFonts w:ascii="Cambria" w:hAnsi="Cambria" w:eastAsia="黑体"/>
      <w:sz w:val="20"/>
      <w:szCs w:val="20"/>
    </w:rPr>
  </w:style>
  <w:style w:type="paragraph" w:styleId="16">
    <w:name w:val="List Bullet"/>
    <w:basedOn w:val="1"/>
    <w:qFormat/>
    <w:uiPriority w:val="0"/>
    <w:pPr>
      <w:tabs>
        <w:tab w:val="left" w:pos="360"/>
      </w:tabs>
      <w:ind w:left="360" w:hanging="360"/>
    </w:pPr>
  </w:style>
  <w:style w:type="paragraph" w:styleId="17">
    <w:name w:val="Document Map"/>
    <w:basedOn w:val="1"/>
    <w:link w:val="77"/>
    <w:qFormat/>
    <w:uiPriority w:val="0"/>
    <w:pPr>
      <w:shd w:val="clear" w:color="auto" w:fill="000080"/>
      <w:spacing w:line="360" w:lineRule="exact"/>
      <w:ind w:firstLine="200" w:firstLineChars="200"/>
    </w:pPr>
    <w:rPr>
      <w:kern w:val="0"/>
      <w:sz w:val="20"/>
    </w:rPr>
  </w:style>
  <w:style w:type="paragraph" w:styleId="18">
    <w:name w:val="annotation text"/>
    <w:basedOn w:val="1"/>
    <w:link w:val="78"/>
    <w:qFormat/>
    <w:uiPriority w:val="0"/>
    <w:pPr>
      <w:widowControl/>
      <w:jc w:val="left"/>
    </w:pPr>
    <w:rPr>
      <w:kern w:val="0"/>
      <w:sz w:val="20"/>
    </w:rPr>
  </w:style>
  <w:style w:type="paragraph" w:styleId="19">
    <w:name w:val="Body Text 3"/>
    <w:basedOn w:val="1"/>
    <w:link w:val="79"/>
    <w:qFormat/>
    <w:uiPriority w:val="0"/>
    <w:pPr>
      <w:spacing w:line="360" w:lineRule="exact"/>
      <w:ind w:firstLine="200" w:firstLineChars="200"/>
    </w:pPr>
    <w:rPr>
      <w:rFonts w:ascii="宋体"/>
      <w:kern w:val="0"/>
      <w:sz w:val="24"/>
      <w:szCs w:val="20"/>
    </w:rPr>
  </w:style>
  <w:style w:type="paragraph" w:styleId="20">
    <w:name w:val="Body Text Indent"/>
    <w:basedOn w:val="1"/>
    <w:link w:val="81"/>
    <w:qFormat/>
    <w:uiPriority w:val="0"/>
    <w:pPr>
      <w:spacing w:after="120" w:line="360" w:lineRule="exact"/>
      <w:ind w:left="420" w:leftChars="200" w:firstLine="200" w:firstLineChars="200"/>
    </w:pPr>
    <w:rPr>
      <w:kern w:val="0"/>
      <w:sz w:val="20"/>
    </w:rPr>
  </w:style>
  <w:style w:type="paragraph" w:styleId="21">
    <w:name w:val="List 2"/>
    <w:basedOn w:val="1"/>
    <w:qFormat/>
    <w:uiPriority w:val="0"/>
    <w:pPr>
      <w:ind w:left="840" w:hanging="420"/>
    </w:pPr>
    <w:rPr>
      <w:szCs w:val="20"/>
    </w:rPr>
  </w:style>
  <w:style w:type="paragraph" w:styleId="22">
    <w:name w:val="Block Text"/>
    <w:basedOn w:val="1"/>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23">
    <w:name w:val="index 4"/>
    <w:basedOn w:val="1"/>
    <w:next w:val="1"/>
    <w:qFormat/>
    <w:uiPriority w:val="0"/>
    <w:pPr>
      <w:ind w:left="600" w:leftChars="600"/>
    </w:pPr>
  </w:style>
  <w:style w:type="paragraph" w:styleId="24">
    <w:name w:val="toc 5"/>
    <w:basedOn w:val="1"/>
    <w:next w:val="1"/>
    <w:qFormat/>
    <w:uiPriority w:val="0"/>
    <w:pPr>
      <w:spacing w:line="360" w:lineRule="exact"/>
      <w:ind w:left="840" w:firstLine="200" w:firstLineChars="200"/>
      <w:jc w:val="left"/>
    </w:pPr>
    <w:rPr>
      <w:rFonts w:ascii="Calibri" w:hAnsi="Calibri"/>
      <w:sz w:val="18"/>
      <w:szCs w:val="18"/>
    </w:rPr>
  </w:style>
  <w:style w:type="paragraph" w:styleId="25">
    <w:name w:val="toc 3"/>
    <w:basedOn w:val="1"/>
    <w:next w:val="1"/>
    <w:qFormat/>
    <w:uiPriority w:val="0"/>
    <w:pPr>
      <w:ind w:left="840" w:leftChars="400"/>
    </w:pPr>
  </w:style>
  <w:style w:type="paragraph" w:styleId="26">
    <w:name w:val="Plain Text"/>
    <w:basedOn w:val="1"/>
    <w:next w:val="6"/>
    <w:link w:val="82"/>
    <w:qFormat/>
    <w:uiPriority w:val="0"/>
    <w:rPr>
      <w:rFonts w:ascii="宋体" w:hAnsi="Courier New"/>
      <w:kern w:val="0"/>
      <w:sz w:val="20"/>
      <w:szCs w:val="20"/>
    </w:rPr>
  </w:style>
  <w:style w:type="paragraph" w:styleId="27">
    <w:name w:val="toc 8"/>
    <w:basedOn w:val="1"/>
    <w:next w:val="1"/>
    <w:qFormat/>
    <w:uiPriority w:val="0"/>
    <w:pPr>
      <w:spacing w:line="360" w:lineRule="exact"/>
      <w:ind w:left="1470" w:firstLine="200" w:firstLineChars="200"/>
      <w:jc w:val="left"/>
    </w:pPr>
    <w:rPr>
      <w:rFonts w:ascii="Calibri" w:hAnsi="Calibri"/>
      <w:sz w:val="18"/>
      <w:szCs w:val="18"/>
    </w:rPr>
  </w:style>
  <w:style w:type="paragraph" w:styleId="28">
    <w:name w:val="index 3"/>
    <w:basedOn w:val="1"/>
    <w:next w:val="1"/>
    <w:qFormat/>
    <w:uiPriority w:val="0"/>
    <w:pPr>
      <w:ind w:left="400" w:leftChars="400"/>
      <w:jc w:val="left"/>
    </w:pPr>
  </w:style>
  <w:style w:type="paragraph" w:styleId="29">
    <w:name w:val="Date"/>
    <w:basedOn w:val="1"/>
    <w:next w:val="1"/>
    <w:link w:val="83"/>
    <w:qFormat/>
    <w:uiPriority w:val="0"/>
    <w:pPr>
      <w:spacing w:line="360" w:lineRule="exact"/>
      <w:ind w:left="100" w:leftChars="2500" w:firstLine="200" w:firstLineChars="200"/>
    </w:pPr>
    <w:rPr>
      <w:kern w:val="0"/>
      <w:sz w:val="20"/>
    </w:rPr>
  </w:style>
  <w:style w:type="paragraph" w:styleId="30">
    <w:name w:val="Body Text Indent 2"/>
    <w:basedOn w:val="1"/>
    <w:link w:val="84"/>
    <w:qFormat/>
    <w:uiPriority w:val="0"/>
    <w:pPr>
      <w:spacing w:after="120" w:line="480" w:lineRule="auto"/>
      <w:ind w:left="420" w:leftChars="200" w:firstLine="200" w:firstLineChars="200"/>
    </w:pPr>
    <w:rPr>
      <w:kern w:val="0"/>
      <w:sz w:val="20"/>
    </w:rPr>
  </w:style>
  <w:style w:type="paragraph" w:styleId="31">
    <w:name w:val="Balloon Text"/>
    <w:basedOn w:val="1"/>
    <w:link w:val="85"/>
    <w:qFormat/>
    <w:uiPriority w:val="0"/>
    <w:rPr>
      <w:kern w:val="0"/>
      <w:sz w:val="18"/>
      <w:szCs w:val="18"/>
    </w:rPr>
  </w:style>
  <w:style w:type="paragraph" w:styleId="32">
    <w:name w:val="footer"/>
    <w:basedOn w:val="1"/>
    <w:link w:val="86"/>
    <w:qFormat/>
    <w:uiPriority w:val="0"/>
    <w:pPr>
      <w:tabs>
        <w:tab w:val="center" w:pos="4153"/>
        <w:tab w:val="right" w:pos="8306"/>
      </w:tabs>
      <w:snapToGrid w:val="0"/>
      <w:jc w:val="left"/>
    </w:pPr>
    <w:rPr>
      <w:kern w:val="0"/>
      <w:sz w:val="18"/>
      <w:szCs w:val="18"/>
    </w:rPr>
  </w:style>
  <w:style w:type="paragraph" w:styleId="33">
    <w:name w:val="header"/>
    <w:basedOn w:val="1"/>
    <w:link w:val="87"/>
    <w:qFormat/>
    <w:uiPriority w:val="0"/>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qFormat/>
    <w:uiPriority w:val="0"/>
  </w:style>
  <w:style w:type="paragraph" w:styleId="35">
    <w:name w:val="toc 4"/>
    <w:basedOn w:val="1"/>
    <w:next w:val="1"/>
    <w:qFormat/>
    <w:uiPriority w:val="0"/>
    <w:pPr>
      <w:spacing w:line="360" w:lineRule="exact"/>
      <w:ind w:left="630" w:firstLine="200" w:firstLineChars="200"/>
      <w:jc w:val="left"/>
    </w:pPr>
    <w:rPr>
      <w:rFonts w:ascii="Calibri" w:hAnsi="Calibri"/>
      <w:sz w:val="18"/>
      <w:szCs w:val="18"/>
    </w:rPr>
  </w:style>
  <w:style w:type="paragraph" w:styleId="36">
    <w:name w:val="Subtitle"/>
    <w:basedOn w:val="1"/>
    <w:next w:val="1"/>
    <w:link w:val="88"/>
    <w:qFormat/>
    <w:uiPriority w:val="0"/>
    <w:pPr>
      <w:spacing w:before="240" w:after="60" w:line="312" w:lineRule="auto"/>
      <w:ind w:firstLine="200" w:firstLineChars="200"/>
      <w:jc w:val="center"/>
      <w:outlineLvl w:val="1"/>
    </w:pPr>
    <w:rPr>
      <w:rFonts w:ascii="Cambria" w:hAnsi="Cambria"/>
      <w:b/>
      <w:bCs/>
      <w:kern w:val="28"/>
      <w:sz w:val="32"/>
      <w:szCs w:val="32"/>
    </w:rPr>
  </w:style>
  <w:style w:type="paragraph" w:styleId="37">
    <w:name w:val="footnote text"/>
    <w:basedOn w:val="1"/>
    <w:link w:val="89"/>
    <w:qFormat/>
    <w:uiPriority w:val="0"/>
    <w:pPr>
      <w:snapToGrid w:val="0"/>
      <w:jc w:val="left"/>
    </w:pPr>
    <w:rPr>
      <w:sz w:val="18"/>
      <w:szCs w:val="18"/>
    </w:rPr>
  </w:style>
  <w:style w:type="paragraph" w:styleId="38">
    <w:name w:val="toc 6"/>
    <w:basedOn w:val="1"/>
    <w:next w:val="1"/>
    <w:qFormat/>
    <w:uiPriority w:val="0"/>
    <w:pPr>
      <w:spacing w:line="360" w:lineRule="exact"/>
      <w:ind w:left="1050" w:firstLine="200" w:firstLineChars="200"/>
      <w:jc w:val="left"/>
    </w:pPr>
    <w:rPr>
      <w:rFonts w:ascii="Calibri" w:hAnsi="Calibri"/>
      <w:sz w:val="18"/>
      <w:szCs w:val="18"/>
    </w:rPr>
  </w:style>
  <w:style w:type="paragraph" w:styleId="39">
    <w:name w:val="List 5"/>
    <w:basedOn w:val="1"/>
    <w:qFormat/>
    <w:uiPriority w:val="0"/>
    <w:pPr>
      <w:ind w:left="2100" w:hanging="420"/>
    </w:pPr>
    <w:rPr>
      <w:szCs w:val="20"/>
    </w:rPr>
  </w:style>
  <w:style w:type="paragraph" w:styleId="40">
    <w:name w:val="Body Text Indent 3"/>
    <w:basedOn w:val="1"/>
    <w:link w:val="90"/>
    <w:qFormat/>
    <w:uiPriority w:val="0"/>
    <w:pPr>
      <w:spacing w:after="120" w:line="360" w:lineRule="exact"/>
      <w:ind w:left="420" w:leftChars="200" w:firstLine="200" w:firstLineChars="200"/>
    </w:pPr>
    <w:rPr>
      <w:kern w:val="0"/>
      <w:sz w:val="16"/>
      <w:szCs w:val="16"/>
    </w:rPr>
  </w:style>
  <w:style w:type="paragraph" w:styleId="41">
    <w:name w:val="index 9"/>
    <w:basedOn w:val="1"/>
    <w:next w:val="1"/>
    <w:qFormat/>
    <w:uiPriority w:val="0"/>
    <w:pPr>
      <w:ind w:left="1600" w:leftChars="1600"/>
    </w:pPr>
    <w:rPr>
      <w:szCs w:val="20"/>
    </w:rPr>
  </w:style>
  <w:style w:type="paragraph" w:styleId="42">
    <w:name w:val="toc 2"/>
    <w:basedOn w:val="1"/>
    <w:next w:val="1"/>
    <w:link w:val="91"/>
    <w:qFormat/>
    <w:uiPriority w:val="0"/>
    <w:pPr>
      <w:ind w:left="420" w:leftChars="200"/>
    </w:pPr>
    <w:rPr>
      <w:kern w:val="0"/>
      <w:sz w:val="20"/>
    </w:rPr>
  </w:style>
  <w:style w:type="paragraph" w:styleId="43">
    <w:name w:val="toc 9"/>
    <w:basedOn w:val="1"/>
    <w:next w:val="1"/>
    <w:qFormat/>
    <w:uiPriority w:val="0"/>
    <w:pPr>
      <w:spacing w:line="360" w:lineRule="exact"/>
      <w:ind w:left="1680" w:firstLine="200" w:firstLineChars="200"/>
      <w:jc w:val="left"/>
    </w:pPr>
    <w:rPr>
      <w:rFonts w:ascii="Calibri" w:hAnsi="Calibri"/>
      <w:sz w:val="18"/>
      <w:szCs w:val="18"/>
    </w:rPr>
  </w:style>
  <w:style w:type="paragraph" w:styleId="44">
    <w:name w:val="Body Text 2"/>
    <w:basedOn w:val="1"/>
    <w:link w:val="92"/>
    <w:qFormat/>
    <w:uiPriority w:val="0"/>
    <w:pPr>
      <w:spacing w:after="120" w:line="480" w:lineRule="auto"/>
      <w:ind w:firstLine="200" w:firstLineChars="200"/>
    </w:pPr>
    <w:rPr>
      <w:kern w:val="0"/>
      <w:sz w:val="20"/>
    </w:rPr>
  </w:style>
  <w:style w:type="paragraph" w:styleId="45">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4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7">
    <w:name w:val="index 1"/>
    <w:basedOn w:val="1"/>
    <w:next w:val="1"/>
    <w:qFormat/>
    <w:uiPriority w:val="0"/>
    <w:pPr>
      <w:ind w:right="257"/>
    </w:pPr>
    <w:rPr>
      <w:rFonts w:ascii="宋体" w:hAnsi="宋体"/>
      <w:szCs w:val="20"/>
    </w:rPr>
  </w:style>
  <w:style w:type="paragraph" w:styleId="48">
    <w:name w:val="Title"/>
    <w:basedOn w:val="1"/>
    <w:next w:val="1"/>
    <w:link w:val="94"/>
    <w:qFormat/>
    <w:uiPriority w:val="0"/>
    <w:pPr>
      <w:spacing w:before="240" w:after="240"/>
      <w:ind w:firstLine="1687"/>
      <w:jc w:val="center"/>
      <w:outlineLvl w:val="0"/>
    </w:pPr>
    <w:rPr>
      <w:rFonts w:ascii="Cambria" w:hAnsi="Cambria"/>
      <w:b/>
      <w:bCs/>
      <w:kern w:val="0"/>
      <w:sz w:val="32"/>
      <w:szCs w:val="32"/>
    </w:rPr>
  </w:style>
  <w:style w:type="paragraph" w:styleId="49">
    <w:name w:val="annotation subject"/>
    <w:basedOn w:val="18"/>
    <w:next w:val="18"/>
    <w:link w:val="95"/>
    <w:qFormat/>
    <w:uiPriority w:val="0"/>
    <w:pPr>
      <w:widowControl w:val="0"/>
      <w:spacing w:line="360" w:lineRule="exact"/>
      <w:ind w:firstLine="200" w:firstLineChars="200"/>
    </w:pPr>
    <w:rPr>
      <w:b/>
      <w:bCs/>
    </w:rPr>
  </w:style>
  <w:style w:type="paragraph" w:styleId="50">
    <w:name w:val="Body Text First Indent"/>
    <w:basedOn w:val="2"/>
    <w:link w:val="96"/>
    <w:qFormat/>
    <w:uiPriority w:val="0"/>
    <w:pPr>
      <w:ind w:firstLine="420" w:firstLineChars="100"/>
    </w:pPr>
    <w:rPr>
      <w:kern w:val="2"/>
      <w:sz w:val="21"/>
    </w:rPr>
  </w:style>
  <w:style w:type="paragraph" w:styleId="51">
    <w:name w:val="Body Text First Indent 2"/>
    <w:basedOn w:val="20"/>
    <w:qFormat/>
    <w:uiPriority w:val="0"/>
    <w:pPr>
      <w:ind w:firstLine="420"/>
    </w:pPr>
  </w:style>
  <w:style w:type="table" w:styleId="53">
    <w:name w:val="Table Grid"/>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qFormat/>
    <w:uiPriority w:val="0"/>
    <w:rPr>
      <w:rFonts w:ascii="Times New Roman" w:hAnsi="Times New Roman" w:eastAsia="宋体" w:cs="Times New Roman"/>
      <w:b/>
      <w:bCs/>
    </w:rPr>
  </w:style>
  <w:style w:type="character" w:styleId="56">
    <w:name w:val="page number"/>
    <w:basedOn w:val="54"/>
    <w:qFormat/>
    <w:uiPriority w:val="0"/>
    <w:rPr>
      <w:rFonts w:ascii="Times New Roman" w:hAnsi="Times New Roman" w:eastAsia="宋体" w:cs="Times New Roman"/>
    </w:rPr>
  </w:style>
  <w:style w:type="character" w:styleId="57">
    <w:name w:val="FollowedHyperlink"/>
    <w:qFormat/>
    <w:uiPriority w:val="0"/>
    <w:rPr>
      <w:rFonts w:ascii="Times New Roman" w:hAnsi="Times New Roman" w:eastAsia="宋体" w:cs="Times New Roman"/>
      <w:color w:val="333333"/>
      <w:u w:val="none"/>
    </w:rPr>
  </w:style>
  <w:style w:type="character" w:styleId="58">
    <w:name w:val="Emphasis"/>
    <w:qFormat/>
    <w:uiPriority w:val="0"/>
    <w:rPr>
      <w:rFonts w:ascii="Times New Roman" w:hAnsi="Times New Roman" w:eastAsia="宋体" w:cs="Times New Roman"/>
      <w:i/>
      <w:iCs/>
    </w:rPr>
  </w:style>
  <w:style w:type="character" w:styleId="59">
    <w:name w:val="HTML Definition"/>
    <w:qFormat/>
    <w:uiPriority w:val="0"/>
    <w:rPr>
      <w:rFonts w:ascii="Times New Roman" w:hAnsi="Times New Roman" w:eastAsia="宋体" w:cs="Times New Roman"/>
    </w:rPr>
  </w:style>
  <w:style w:type="character" w:styleId="60">
    <w:name w:val="HTML Acronym"/>
    <w:basedOn w:val="54"/>
    <w:qFormat/>
    <w:uiPriority w:val="0"/>
    <w:rPr>
      <w:rFonts w:ascii="Times New Roman" w:hAnsi="Times New Roman" w:eastAsia="宋体" w:cs="Times New Roman"/>
    </w:rPr>
  </w:style>
  <w:style w:type="character" w:styleId="61">
    <w:name w:val="HTML Variable"/>
    <w:qFormat/>
    <w:uiPriority w:val="0"/>
    <w:rPr>
      <w:rFonts w:ascii="Times New Roman" w:hAnsi="Times New Roman" w:eastAsia="宋体" w:cs="Times New Roman"/>
    </w:rPr>
  </w:style>
  <w:style w:type="character" w:styleId="62">
    <w:name w:val="Hyperlink"/>
    <w:basedOn w:val="54"/>
    <w:qFormat/>
    <w:uiPriority w:val="0"/>
    <w:rPr>
      <w:rFonts w:ascii="Times New Roman" w:hAnsi="Times New Roman" w:eastAsia="宋体" w:cs="Times New Roman"/>
      <w:color w:val="333333"/>
      <w:u w:val="none"/>
    </w:rPr>
  </w:style>
  <w:style w:type="character" w:styleId="63">
    <w:name w:val="HTML Code"/>
    <w:qFormat/>
    <w:uiPriority w:val="0"/>
    <w:rPr>
      <w:rFonts w:ascii="Courier New" w:hAnsi="Courier New" w:eastAsia="宋体" w:cs="Times New Roman"/>
      <w:color w:val="505050"/>
      <w:sz w:val="24"/>
      <w:szCs w:val="24"/>
    </w:rPr>
  </w:style>
  <w:style w:type="character" w:styleId="64">
    <w:name w:val="annotation reference"/>
    <w:qFormat/>
    <w:uiPriority w:val="0"/>
    <w:rPr>
      <w:rFonts w:ascii="Times New Roman" w:hAnsi="Times New Roman" w:eastAsia="宋体" w:cs="Times New Roman"/>
      <w:sz w:val="21"/>
      <w:szCs w:val="21"/>
    </w:rPr>
  </w:style>
  <w:style w:type="character" w:styleId="65">
    <w:name w:val="HTML Cite"/>
    <w:qFormat/>
    <w:uiPriority w:val="0"/>
    <w:rPr>
      <w:rFonts w:ascii="Times New Roman" w:hAnsi="Times New Roman" w:eastAsia="宋体" w:cs="Times New Roman"/>
    </w:rPr>
  </w:style>
  <w:style w:type="character" w:styleId="66">
    <w:name w:val="footnote reference"/>
    <w:qFormat/>
    <w:uiPriority w:val="0"/>
    <w:rPr>
      <w:rFonts w:ascii="Times New Roman" w:hAnsi="Times New Roman" w:eastAsia="宋体" w:cs="Times New Roman"/>
      <w:vertAlign w:val="superscript"/>
    </w:rPr>
  </w:style>
  <w:style w:type="character" w:customStyle="1" w:styleId="67">
    <w:name w:val="标题 1 Char"/>
    <w:link w:val="3"/>
    <w:qFormat/>
    <w:uiPriority w:val="0"/>
    <w:rPr>
      <w:rFonts w:ascii="Times New Roman" w:hAnsi="Times New Roman" w:eastAsia="宋体" w:cs="Times New Roman"/>
      <w:b/>
      <w:bCs/>
      <w:kern w:val="44"/>
      <w:sz w:val="36"/>
      <w:szCs w:val="44"/>
    </w:rPr>
  </w:style>
  <w:style w:type="character" w:customStyle="1" w:styleId="68">
    <w:name w:val="标题 2 Char1"/>
    <w:link w:val="4"/>
    <w:qFormat/>
    <w:uiPriority w:val="0"/>
    <w:rPr>
      <w:rFonts w:ascii="Cambria" w:hAnsi="Cambria" w:eastAsia="宋体" w:cs="Times New Roman"/>
      <w:b/>
      <w:bCs/>
      <w:sz w:val="32"/>
      <w:szCs w:val="32"/>
    </w:rPr>
  </w:style>
  <w:style w:type="character" w:customStyle="1" w:styleId="69">
    <w:name w:val="标题 3 Char"/>
    <w:link w:val="5"/>
    <w:qFormat/>
    <w:uiPriority w:val="0"/>
    <w:rPr>
      <w:rFonts w:ascii="Times New Roman" w:hAnsi="Times New Roman" w:eastAsia="宋体" w:cs="Times New Roman"/>
      <w:b/>
      <w:bCs/>
      <w:kern w:val="2"/>
      <w:sz w:val="24"/>
      <w:szCs w:val="32"/>
    </w:rPr>
  </w:style>
  <w:style w:type="character" w:customStyle="1" w:styleId="70">
    <w:name w:val="标题 4 Char"/>
    <w:link w:val="6"/>
    <w:qFormat/>
    <w:uiPriority w:val="0"/>
    <w:rPr>
      <w:rFonts w:ascii="Calibri Light" w:hAnsi="Calibri Light" w:eastAsia="宋体" w:cs="Times New Roman"/>
      <w:b/>
      <w:bCs/>
      <w:iCs/>
    </w:rPr>
  </w:style>
  <w:style w:type="character" w:customStyle="1" w:styleId="71">
    <w:name w:val="标题 5 Char"/>
    <w:link w:val="7"/>
    <w:qFormat/>
    <w:uiPriority w:val="0"/>
    <w:rPr>
      <w:rFonts w:ascii="Times New Roman" w:hAnsi="Times New Roman" w:eastAsia="宋体" w:cs="Times New Roman"/>
      <w:b/>
      <w:bCs/>
      <w:sz w:val="28"/>
      <w:szCs w:val="28"/>
    </w:rPr>
  </w:style>
  <w:style w:type="character" w:customStyle="1" w:styleId="72">
    <w:name w:val="标题 6 Char"/>
    <w:link w:val="8"/>
    <w:qFormat/>
    <w:uiPriority w:val="0"/>
    <w:rPr>
      <w:rFonts w:ascii="Cambria" w:hAnsi="Cambria" w:eastAsia="宋体" w:cs="Times New Roman"/>
      <w:b/>
      <w:bCs/>
      <w:sz w:val="24"/>
      <w:szCs w:val="24"/>
    </w:rPr>
  </w:style>
  <w:style w:type="character" w:customStyle="1" w:styleId="73">
    <w:name w:val="标题 7 Char"/>
    <w:link w:val="9"/>
    <w:qFormat/>
    <w:uiPriority w:val="0"/>
    <w:rPr>
      <w:rFonts w:ascii="Times New Roman" w:hAnsi="Times New Roman" w:eastAsia="宋体" w:cs="Times New Roman"/>
      <w:b/>
      <w:bCs/>
      <w:sz w:val="24"/>
      <w:szCs w:val="24"/>
    </w:rPr>
  </w:style>
  <w:style w:type="character" w:customStyle="1" w:styleId="74">
    <w:name w:val="标题 8 Char"/>
    <w:link w:val="10"/>
    <w:qFormat/>
    <w:uiPriority w:val="0"/>
    <w:rPr>
      <w:rFonts w:ascii="Cambria" w:hAnsi="Cambria" w:eastAsia="宋体" w:cs="Times New Roman"/>
      <w:sz w:val="24"/>
      <w:szCs w:val="24"/>
    </w:rPr>
  </w:style>
  <w:style w:type="character" w:customStyle="1" w:styleId="75">
    <w:name w:val="标题 9 Char"/>
    <w:link w:val="11"/>
    <w:qFormat/>
    <w:uiPriority w:val="0"/>
    <w:rPr>
      <w:rFonts w:ascii="Cambria" w:hAnsi="Cambria" w:eastAsia="宋体" w:cs="Times New Roman"/>
      <w:szCs w:val="21"/>
    </w:rPr>
  </w:style>
  <w:style w:type="character" w:customStyle="1" w:styleId="76">
    <w:name w:val="正文缩进 Char"/>
    <w:link w:val="14"/>
    <w:qFormat/>
    <w:uiPriority w:val="0"/>
    <w:rPr>
      <w:rFonts w:ascii="Times New Roman" w:hAnsi="Times New Roman" w:eastAsia="宋体" w:cs="Times New Roman"/>
      <w:sz w:val="21"/>
    </w:rPr>
  </w:style>
  <w:style w:type="character" w:customStyle="1" w:styleId="77">
    <w:name w:val="文档结构图 Char"/>
    <w:link w:val="17"/>
    <w:qFormat/>
    <w:uiPriority w:val="0"/>
    <w:rPr>
      <w:rFonts w:ascii="Times New Roman" w:hAnsi="Times New Roman" w:eastAsia="宋体" w:cs="Times New Roman"/>
      <w:szCs w:val="24"/>
      <w:shd w:val="clear" w:color="auto" w:fill="000080"/>
    </w:rPr>
  </w:style>
  <w:style w:type="character" w:customStyle="1" w:styleId="78">
    <w:name w:val="批注文字 Char"/>
    <w:link w:val="18"/>
    <w:qFormat/>
    <w:uiPriority w:val="0"/>
    <w:rPr>
      <w:rFonts w:ascii="Times New Roman" w:hAnsi="Times New Roman" w:eastAsia="宋体" w:cs="Times New Roman"/>
      <w:szCs w:val="24"/>
    </w:rPr>
  </w:style>
  <w:style w:type="character" w:customStyle="1" w:styleId="79">
    <w:name w:val="正文文本 3 Char"/>
    <w:link w:val="19"/>
    <w:qFormat/>
    <w:uiPriority w:val="0"/>
    <w:rPr>
      <w:rFonts w:ascii="宋体" w:hAnsi="Times New Roman" w:eastAsia="宋体" w:cs="Times New Roman"/>
      <w:sz w:val="24"/>
      <w:szCs w:val="20"/>
    </w:rPr>
  </w:style>
  <w:style w:type="character" w:customStyle="1" w:styleId="80">
    <w:name w:val="正文文本 Char"/>
    <w:link w:val="2"/>
    <w:qFormat/>
    <w:uiPriority w:val="0"/>
    <w:rPr>
      <w:rFonts w:ascii="Times New Roman" w:hAnsi="Times New Roman" w:eastAsia="宋体" w:cs="Times New Roman"/>
      <w:szCs w:val="24"/>
    </w:rPr>
  </w:style>
  <w:style w:type="character" w:customStyle="1" w:styleId="81">
    <w:name w:val="正文文本缩进 Char"/>
    <w:link w:val="20"/>
    <w:qFormat/>
    <w:uiPriority w:val="0"/>
    <w:rPr>
      <w:rFonts w:ascii="Times New Roman" w:hAnsi="Times New Roman" w:eastAsia="宋体" w:cs="Times New Roman"/>
      <w:szCs w:val="24"/>
    </w:rPr>
  </w:style>
  <w:style w:type="character" w:customStyle="1" w:styleId="82">
    <w:name w:val="纯文本 Char"/>
    <w:link w:val="26"/>
    <w:qFormat/>
    <w:uiPriority w:val="0"/>
    <w:rPr>
      <w:rFonts w:ascii="宋体" w:hAnsi="Courier New" w:eastAsia="宋体" w:cs="Times New Roman"/>
    </w:rPr>
  </w:style>
  <w:style w:type="character" w:customStyle="1" w:styleId="83">
    <w:name w:val="日期 Char"/>
    <w:link w:val="29"/>
    <w:qFormat/>
    <w:uiPriority w:val="0"/>
    <w:rPr>
      <w:rFonts w:ascii="Times New Roman" w:hAnsi="Times New Roman" w:eastAsia="宋体" w:cs="Times New Roman"/>
      <w:szCs w:val="24"/>
    </w:rPr>
  </w:style>
  <w:style w:type="character" w:customStyle="1" w:styleId="84">
    <w:name w:val="正文文本缩进 2 Char"/>
    <w:link w:val="30"/>
    <w:qFormat/>
    <w:uiPriority w:val="0"/>
    <w:rPr>
      <w:rFonts w:ascii="Times New Roman" w:hAnsi="Times New Roman" w:eastAsia="宋体" w:cs="Times New Roman"/>
      <w:szCs w:val="24"/>
    </w:rPr>
  </w:style>
  <w:style w:type="character" w:customStyle="1" w:styleId="85">
    <w:name w:val="批注框文本 Char"/>
    <w:link w:val="31"/>
    <w:qFormat/>
    <w:uiPriority w:val="0"/>
    <w:rPr>
      <w:rFonts w:ascii="Times New Roman" w:hAnsi="Times New Roman" w:eastAsia="宋体" w:cs="Times New Roman"/>
      <w:sz w:val="18"/>
      <w:szCs w:val="18"/>
    </w:rPr>
  </w:style>
  <w:style w:type="character" w:customStyle="1" w:styleId="86">
    <w:name w:val="页脚 Char"/>
    <w:link w:val="32"/>
    <w:qFormat/>
    <w:uiPriority w:val="0"/>
    <w:rPr>
      <w:rFonts w:ascii="Times New Roman" w:hAnsi="Times New Roman" w:eastAsia="宋体" w:cs="Times New Roman"/>
      <w:sz w:val="18"/>
      <w:szCs w:val="18"/>
    </w:rPr>
  </w:style>
  <w:style w:type="character" w:customStyle="1" w:styleId="87">
    <w:name w:val="页眉 Char"/>
    <w:link w:val="33"/>
    <w:qFormat/>
    <w:uiPriority w:val="0"/>
    <w:rPr>
      <w:rFonts w:ascii="Times New Roman" w:hAnsi="Times New Roman" w:eastAsia="宋体" w:cs="Times New Roman"/>
      <w:sz w:val="18"/>
      <w:szCs w:val="18"/>
    </w:rPr>
  </w:style>
  <w:style w:type="character" w:customStyle="1" w:styleId="88">
    <w:name w:val="副标题 Char"/>
    <w:link w:val="36"/>
    <w:qFormat/>
    <w:uiPriority w:val="0"/>
    <w:rPr>
      <w:rFonts w:ascii="Cambria" w:hAnsi="Cambria" w:eastAsia="宋体" w:cs="Times New Roman"/>
      <w:b/>
      <w:bCs/>
      <w:kern w:val="28"/>
      <w:sz w:val="32"/>
      <w:szCs w:val="32"/>
    </w:rPr>
  </w:style>
  <w:style w:type="character" w:customStyle="1" w:styleId="89">
    <w:name w:val="脚注文本 Char1"/>
    <w:link w:val="37"/>
    <w:qFormat/>
    <w:uiPriority w:val="0"/>
    <w:rPr>
      <w:rFonts w:ascii="Times New Roman" w:hAnsi="Times New Roman" w:eastAsia="宋体" w:cs="Times New Roman"/>
      <w:kern w:val="2"/>
      <w:sz w:val="18"/>
      <w:szCs w:val="18"/>
    </w:rPr>
  </w:style>
  <w:style w:type="character" w:customStyle="1" w:styleId="90">
    <w:name w:val="正文文本缩进 3 Char"/>
    <w:link w:val="40"/>
    <w:qFormat/>
    <w:uiPriority w:val="0"/>
    <w:rPr>
      <w:rFonts w:ascii="Times New Roman" w:hAnsi="Times New Roman" w:eastAsia="宋体" w:cs="Times New Roman"/>
      <w:sz w:val="16"/>
      <w:szCs w:val="16"/>
    </w:rPr>
  </w:style>
  <w:style w:type="character" w:customStyle="1" w:styleId="91">
    <w:name w:val="目录 2 Char"/>
    <w:link w:val="42"/>
    <w:qFormat/>
    <w:uiPriority w:val="0"/>
    <w:rPr>
      <w:rFonts w:ascii="Times New Roman" w:hAnsi="Times New Roman" w:eastAsia="宋体" w:cs="Times New Roman"/>
      <w:szCs w:val="24"/>
    </w:rPr>
  </w:style>
  <w:style w:type="character" w:customStyle="1" w:styleId="92">
    <w:name w:val="正文文本 2 Char"/>
    <w:link w:val="44"/>
    <w:qFormat/>
    <w:uiPriority w:val="0"/>
    <w:rPr>
      <w:rFonts w:ascii="Times New Roman" w:hAnsi="Times New Roman" w:eastAsia="宋体" w:cs="Times New Roman"/>
      <w:szCs w:val="24"/>
    </w:rPr>
  </w:style>
  <w:style w:type="character" w:customStyle="1" w:styleId="93">
    <w:name w:val="HTML 预设格式 Char"/>
    <w:link w:val="45"/>
    <w:qFormat/>
    <w:uiPriority w:val="0"/>
    <w:rPr>
      <w:rFonts w:ascii="Arial" w:hAnsi="Arial" w:eastAsia="宋体" w:cs="Arial"/>
      <w:sz w:val="24"/>
      <w:szCs w:val="24"/>
    </w:rPr>
  </w:style>
  <w:style w:type="character" w:customStyle="1" w:styleId="94">
    <w:name w:val="标题 Char"/>
    <w:link w:val="48"/>
    <w:qFormat/>
    <w:uiPriority w:val="0"/>
    <w:rPr>
      <w:rFonts w:ascii="Cambria" w:hAnsi="Cambria" w:eastAsia="宋体" w:cs="Times New Roman"/>
      <w:b/>
      <w:bCs/>
      <w:sz w:val="32"/>
      <w:szCs w:val="32"/>
    </w:rPr>
  </w:style>
  <w:style w:type="character" w:customStyle="1" w:styleId="95">
    <w:name w:val="批注主题 Char"/>
    <w:link w:val="49"/>
    <w:qFormat/>
    <w:uiPriority w:val="0"/>
    <w:rPr>
      <w:rFonts w:ascii="Times New Roman" w:hAnsi="Times New Roman" w:eastAsia="宋体" w:cs="Times New Roman"/>
      <w:b/>
      <w:bCs/>
      <w:szCs w:val="24"/>
    </w:rPr>
  </w:style>
  <w:style w:type="character" w:customStyle="1" w:styleId="96">
    <w:name w:val="正文首行缩进 Char"/>
    <w:link w:val="50"/>
    <w:qFormat/>
    <w:uiPriority w:val="0"/>
    <w:rPr>
      <w:rFonts w:ascii="Times New Roman" w:hAnsi="Times New Roman" w:eastAsia="宋体" w:cs="Times New Roman"/>
      <w:kern w:val="2"/>
      <w:sz w:val="21"/>
      <w:szCs w:val="24"/>
    </w:rPr>
  </w:style>
  <w:style w:type="character" w:customStyle="1" w:styleId="97">
    <w:name w:val="正文文本 (14)_"/>
    <w:link w:val="98"/>
    <w:qFormat/>
    <w:uiPriority w:val="0"/>
    <w:rPr>
      <w:rFonts w:ascii="MingLiU" w:hAnsi="MingLiU" w:eastAsia="MingLiU" w:cs="MingLiU"/>
      <w:sz w:val="18"/>
      <w:szCs w:val="18"/>
      <w:shd w:val="clear" w:color="auto" w:fill="FFFFFF"/>
    </w:rPr>
  </w:style>
  <w:style w:type="paragraph" w:customStyle="1" w:styleId="98">
    <w:name w:val="正文文本 (14)"/>
    <w:basedOn w:val="1"/>
    <w:link w:val="97"/>
    <w:qFormat/>
    <w:uiPriority w:val="0"/>
    <w:pPr>
      <w:shd w:val="clear" w:color="auto" w:fill="FFFFFF"/>
      <w:spacing w:before="300" w:line="300" w:lineRule="exact"/>
      <w:jc w:val="distribute"/>
    </w:pPr>
    <w:rPr>
      <w:rFonts w:ascii="MingLiU" w:hAnsi="MingLiU" w:eastAsia="MingLiU"/>
      <w:kern w:val="0"/>
      <w:sz w:val="18"/>
      <w:szCs w:val="18"/>
    </w:rPr>
  </w:style>
  <w:style w:type="character" w:customStyle="1" w:styleId="99">
    <w:name w:val="Char Char61"/>
    <w:qFormat/>
    <w:uiPriority w:val="0"/>
    <w:rPr>
      <w:rFonts w:ascii="Times New Roman" w:hAnsi="Times New Roman" w:eastAsia="宋体" w:cs="Times New Roman"/>
      <w:b/>
      <w:bCs/>
      <w:kern w:val="44"/>
      <w:sz w:val="32"/>
      <w:szCs w:val="44"/>
      <w:lang w:val="en-US" w:eastAsia="zh-CN" w:bidi="ar-SA"/>
    </w:rPr>
  </w:style>
  <w:style w:type="character" w:customStyle="1" w:styleId="100">
    <w:name w:val="样式3 Char Char"/>
    <w:link w:val="101"/>
    <w:qFormat/>
    <w:uiPriority w:val="0"/>
    <w:rPr>
      <w:rFonts w:ascii="Times New Roman" w:hAnsi="Times New Roman" w:eastAsia="宋体" w:cs="Times New Roman"/>
      <w:szCs w:val="24"/>
    </w:rPr>
  </w:style>
  <w:style w:type="paragraph" w:customStyle="1" w:styleId="101">
    <w:name w:val="样式3"/>
    <w:basedOn w:val="2"/>
    <w:link w:val="100"/>
    <w:qFormat/>
    <w:uiPriority w:val="0"/>
    <w:pPr>
      <w:spacing w:line="360" w:lineRule="exact"/>
    </w:pPr>
  </w:style>
  <w:style w:type="character" w:customStyle="1" w:styleId="102">
    <w:name w:val="日期 Char1"/>
    <w:qFormat/>
    <w:uiPriority w:val="0"/>
    <w:rPr>
      <w:rFonts w:ascii="Times New Roman" w:hAnsi="Times New Roman" w:eastAsia="宋体" w:cs="Times New Roman"/>
      <w:szCs w:val="24"/>
    </w:rPr>
  </w:style>
  <w:style w:type="character" w:customStyle="1" w:styleId="103">
    <w:name w:val="标题 #8_"/>
    <w:link w:val="104"/>
    <w:qFormat/>
    <w:uiPriority w:val="0"/>
    <w:rPr>
      <w:rFonts w:ascii="MingLiU" w:hAnsi="MingLiU" w:eastAsia="MingLiU" w:cs="MingLiU"/>
      <w:b/>
      <w:bCs/>
      <w:spacing w:val="10"/>
      <w:sz w:val="22"/>
      <w:shd w:val="clear" w:color="auto" w:fill="FFFFFF"/>
    </w:rPr>
  </w:style>
  <w:style w:type="paragraph" w:customStyle="1" w:styleId="104">
    <w:name w:val="标题 #8"/>
    <w:basedOn w:val="1"/>
    <w:link w:val="103"/>
    <w:qFormat/>
    <w:uiPriority w:val="0"/>
    <w:pPr>
      <w:shd w:val="clear" w:color="auto" w:fill="FFFFFF"/>
      <w:spacing w:before="120" w:after="420" w:line="0" w:lineRule="atLeast"/>
      <w:jc w:val="left"/>
      <w:outlineLvl w:val="7"/>
    </w:pPr>
    <w:rPr>
      <w:rFonts w:ascii="MingLiU" w:hAnsi="MingLiU" w:eastAsia="MingLiU"/>
      <w:b/>
      <w:bCs/>
      <w:spacing w:val="10"/>
      <w:kern w:val="0"/>
      <w:sz w:val="22"/>
      <w:szCs w:val="20"/>
    </w:rPr>
  </w:style>
  <w:style w:type="character" w:customStyle="1" w:styleId="105">
    <w:name w:val="Char Char5"/>
    <w:qFormat/>
    <w:uiPriority w:val="0"/>
    <w:rPr>
      <w:rFonts w:ascii="Times New Roman" w:hAnsi="Times New Roman" w:eastAsia="宋体" w:cs="Times New Roman"/>
      <w:b/>
      <w:bCs/>
      <w:kern w:val="2"/>
      <w:sz w:val="28"/>
      <w:szCs w:val="28"/>
      <w:lang w:val="en-US" w:eastAsia="zh-CN" w:bidi="ar-SA"/>
    </w:rPr>
  </w:style>
  <w:style w:type="character" w:customStyle="1" w:styleId="106">
    <w:name w:val="font161"/>
    <w:qFormat/>
    <w:uiPriority w:val="0"/>
    <w:rPr>
      <w:rFonts w:ascii="Arial" w:hAnsi="Arial" w:eastAsia="黑体" w:cs="Times New Roman"/>
      <w:b/>
      <w:bCs/>
      <w:kern w:val="2"/>
      <w:sz w:val="32"/>
      <w:szCs w:val="32"/>
      <w:lang w:val="en-US" w:eastAsia="zh-CN" w:bidi="ar-SA"/>
    </w:rPr>
  </w:style>
  <w:style w:type="character" w:customStyle="1" w:styleId="107">
    <w:name w:val="正文小标题 Char"/>
    <w:link w:val="108"/>
    <w:qFormat/>
    <w:uiPriority w:val="0"/>
    <w:rPr>
      <w:rFonts w:ascii="Times New Roman" w:hAnsi="宋体" w:eastAsia="宋体" w:cs="Times New Roman"/>
      <w:sz w:val="21"/>
      <w:szCs w:val="21"/>
    </w:rPr>
  </w:style>
  <w:style w:type="paragraph" w:customStyle="1" w:styleId="108">
    <w:name w:val="正文小标题"/>
    <w:basedOn w:val="3"/>
    <w:link w:val="107"/>
    <w:qFormat/>
    <w:uiPriority w:val="0"/>
    <w:pPr>
      <w:keepLines w:val="0"/>
      <w:spacing w:before="240" w:after="240" w:line="420" w:lineRule="exact"/>
    </w:pPr>
    <w:rPr>
      <w:rFonts w:hAnsi="宋体"/>
      <w:b w:val="0"/>
      <w:bCs w:val="0"/>
      <w:kern w:val="0"/>
      <w:sz w:val="21"/>
      <w:szCs w:val="21"/>
    </w:rPr>
  </w:style>
  <w:style w:type="character" w:customStyle="1" w:styleId="109">
    <w:name w:val="脚注文本 Char"/>
    <w:qFormat/>
    <w:uiPriority w:val="0"/>
    <w:rPr>
      <w:rFonts w:ascii="Times New Roman" w:hAnsi="Times New Roman" w:eastAsia="宋体" w:cs="Times New Roman"/>
      <w:sz w:val="18"/>
      <w:szCs w:val="18"/>
    </w:rPr>
  </w:style>
  <w:style w:type="character" w:customStyle="1" w:styleId="110">
    <w:name w:val="Char Char"/>
    <w:qFormat/>
    <w:uiPriority w:val="0"/>
    <w:rPr>
      <w:rFonts w:ascii="Cambria" w:hAnsi="Cambria" w:eastAsia="宋体" w:cs="Times New Roman"/>
      <w:b/>
      <w:bCs/>
      <w:kern w:val="2"/>
      <w:sz w:val="32"/>
      <w:szCs w:val="32"/>
      <w:lang w:bidi="ar-SA"/>
    </w:rPr>
  </w:style>
  <w:style w:type="character" w:customStyle="1" w:styleId="111">
    <w:name w:val="页眉或页脚"/>
    <w:qFormat/>
    <w:uiPriority w:val="0"/>
    <w:rPr>
      <w:rFonts w:hint="eastAsia" w:ascii="MingLiU" w:hAnsi="MingLiU" w:eastAsia="MingLiU" w:cs="MingLiU"/>
      <w:color w:val="000000"/>
      <w:spacing w:val="0"/>
      <w:w w:val="100"/>
      <w:position w:val="0"/>
      <w:sz w:val="18"/>
      <w:szCs w:val="18"/>
      <w:u w:val="none"/>
      <w:lang w:val="zh-CN" w:eastAsia="zh-CN" w:bidi="zh-CN"/>
    </w:rPr>
  </w:style>
  <w:style w:type="character" w:customStyle="1" w:styleId="112">
    <w:name w:val="Heading 4 Char"/>
    <w:qFormat/>
    <w:uiPriority w:val="0"/>
    <w:rPr>
      <w:rFonts w:ascii="Arial" w:hAnsi="Arial" w:eastAsia="宋体" w:cs="Times New Roman"/>
      <w:b/>
      <w:bCs/>
      <w:kern w:val="2"/>
      <w:sz w:val="21"/>
      <w:szCs w:val="28"/>
      <w:lang w:val="en-US" w:eastAsia="zh-CN" w:bidi="ar-SA"/>
    </w:rPr>
  </w:style>
  <w:style w:type="character" w:customStyle="1" w:styleId="113">
    <w:name w:val="正文文本 (2) + Times New Roman"/>
    <w:qFormat/>
    <w:uiPriority w:val="0"/>
    <w:rPr>
      <w:rFonts w:ascii="Times New Roman" w:hAnsi="Times New Roman" w:eastAsia="Times New Roman" w:cs="Times New Roman"/>
      <w:color w:val="000000"/>
      <w:spacing w:val="0"/>
      <w:w w:val="100"/>
      <w:position w:val="0"/>
      <w:sz w:val="24"/>
      <w:szCs w:val="24"/>
      <w:u w:val="none"/>
      <w:shd w:val="clear" w:color="auto" w:fill="FFFFFF"/>
      <w:lang w:val="en-US" w:eastAsia="en-US" w:bidi="en-US"/>
    </w:rPr>
  </w:style>
  <w:style w:type="character" w:customStyle="1" w:styleId="114">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character" w:customStyle="1" w:styleId="115">
    <w:name w:val="引用 Char2"/>
    <w:qFormat/>
    <w:uiPriority w:val="0"/>
    <w:rPr>
      <w:rFonts w:ascii="Times New Roman" w:hAnsi="Times New Roman" w:eastAsia="宋体" w:cs="Times New Roman"/>
      <w:i/>
      <w:iCs/>
      <w:color w:val="000000"/>
      <w:sz w:val="21"/>
    </w:rPr>
  </w:style>
  <w:style w:type="character" w:customStyle="1" w:styleId="116">
    <w:name w:val="en"/>
    <w:basedOn w:val="54"/>
    <w:qFormat/>
    <w:uiPriority w:val="0"/>
    <w:rPr>
      <w:rFonts w:ascii="Times New Roman" w:hAnsi="Times New Roman" w:eastAsia="宋体" w:cs="Times New Roman"/>
    </w:rPr>
  </w:style>
  <w:style w:type="character" w:customStyle="1" w:styleId="117">
    <w:name w:val="正文文本 (30)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118">
    <w:name w:val="Char Char3"/>
    <w:qFormat/>
    <w:uiPriority w:val="0"/>
    <w:rPr>
      <w:rFonts w:ascii="Times New Roman" w:hAnsi="Times New Roman" w:eastAsia="宋体" w:cs="Times New Roman"/>
      <w:kern w:val="2"/>
      <w:sz w:val="21"/>
      <w:szCs w:val="24"/>
      <w:lang w:val="en-US" w:eastAsia="zh-CN" w:bidi="ar-SA"/>
    </w:rPr>
  </w:style>
  <w:style w:type="character" w:customStyle="1" w:styleId="119">
    <w:name w:val="ca-11"/>
    <w:qFormat/>
    <w:uiPriority w:val="0"/>
    <w:rPr>
      <w:rFonts w:ascii="宋体" w:hAnsi="Times New Roman" w:eastAsia="宋体" w:cs="Times New Roman"/>
      <w:sz w:val="21"/>
      <w:szCs w:val="21"/>
    </w:rPr>
  </w:style>
  <w:style w:type="character" w:customStyle="1" w:styleId="120">
    <w:name w:val="Body Text Indent Char"/>
    <w:qFormat/>
    <w:uiPriority w:val="0"/>
    <w:rPr>
      <w:rFonts w:ascii="宋体" w:hAnsi="宋体" w:eastAsia="宋体" w:cs="Times New Roman"/>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44"/>
      <w:sz w:val="32"/>
      <w:szCs w:val="44"/>
      <w:lang w:val="en-US" w:eastAsia="zh-CN" w:bidi="ar-SA"/>
    </w:rPr>
  </w:style>
  <w:style w:type="character" w:customStyle="1" w:styleId="122">
    <w:name w:val="标题5 Char Char"/>
    <w:link w:val="123"/>
    <w:qFormat/>
    <w:uiPriority w:val="0"/>
    <w:rPr>
      <w:rFonts w:ascii="Arial" w:hAnsi="Arial" w:eastAsia="宋体" w:cs="Times New Roman"/>
      <w:b/>
      <w:bCs/>
      <w:sz w:val="24"/>
      <w:szCs w:val="32"/>
    </w:rPr>
  </w:style>
  <w:style w:type="paragraph" w:customStyle="1" w:styleId="123">
    <w:name w:val="标题5"/>
    <w:basedOn w:val="5"/>
    <w:link w:val="122"/>
    <w:qFormat/>
    <w:uiPriority w:val="0"/>
    <w:pPr>
      <w:widowControl w:val="0"/>
      <w:spacing w:line="413" w:lineRule="auto"/>
    </w:pPr>
    <w:rPr>
      <w:rFonts w:ascii="Arial" w:hAnsi="Arial"/>
      <w:kern w:val="0"/>
    </w:rPr>
  </w:style>
  <w:style w:type="character" w:customStyle="1" w:styleId="124">
    <w:name w:val="标题 #7_"/>
    <w:link w:val="125"/>
    <w:qFormat/>
    <w:uiPriority w:val="0"/>
    <w:rPr>
      <w:rFonts w:ascii="MingLiU" w:hAnsi="MingLiU" w:eastAsia="MingLiU" w:cs="Times New Roman"/>
      <w:spacing w:val="30"/>
      <w:sz w:val="26"/>
      <w:szCs w:val="26"/>
      <w:shd w:val="clear" w:color="auto" w:fill="FFFFFF"/>
    </w:rPr>
  </w:style>
  <w:style w:type="paragraph" w:customStyle="1" w:styleId="125">
    <w:name w:val="标题 #7"/>
    <w:basedOn w:val="1"/>
    <w:link w:val="124"/>
    <w:qFormat/>
    <w:uiPriority w:val="0"/>
    <w:pPr>
      <w:shd w:val="clear" w:color="auto" w:fill="FFFFFF"/>
      <w:spacing w:before="540" w:after="540" w:line="240" w:lineRule="atLeast"/>
      <w:jc w:val="center"/>
      <w:outlineLvl w:val="6"/>
    </w:pPr>
    <w:rPr>
      <w:rFonts w:ascii="MingLiU" w:hAnsi="MingLiU" w:eastAsia="MingLiU"/>
      <w:spacing w:val="30"/>
      <w:kern w:val="0"/>
      <w:sz w:val="26"/>
      <w:szCs w:val="26"/>
    </w:rPr>
  </w:style>
  <w:style w:type="character" w:customStyle="1" w:styleId="126">
    <w:name w:val="Char Char18"/>
    <w:qFormat/>
    <w:uiPriority w:val="0"/>
    <w:rPr>
      <w:rFonts w:ascii="Times New Roman" w:hAnsi="Times New Roman" w:eastAsia="宋体" w:cs="Times New Roman"/>
      <w:b/>
      <w:bCs/>
      <w:sz w:val="28"/>
      <w:szCs w:val="28"/>
    </w:rPr>
  </w:style>
  <w:style w:type="character" w:customStyle="1" w:styleId="127">
    <w:name w:val="Char Char1"/>
    <w:qFormat/>
    <w:uiPriority w:val="0"/>
    <w:rPr>
      <w:rFonts w:ascii="Times New Roman" w:hAnsi="Times New Roman" w:eastAsia="宋体" w:cs="Times New Roman"/>
      <w:kern w:val="2"/>
      <w:sz w:val="18"/>
      <w:szCs w:val="18"/>
      <w:lang w:val="en-US" w:eastAsia="zh-CN" w:bidi="ar-SA"/>
    </w:rPr>
  </w:style>
  <w:style w:type="character" w:customStyle="1" w:styleId="128">
    <w:name w:val="062"/>
    <w:qFormat/>
    <w:uiPriority w:val="0"/>
    <w:rPr>
      <w:rFonts w:ascii="宋体" w:hAnsi="宋体" w:eastAsia="宋体" w:cs="Times New Roman"/>
      <w:b/>
      <w:bCs/>
      <w:sz w:val="32"/>
    </w:rPr>
  </w:style>
  <w:style w:type="character" w:customStyle="1" w:styleId="129">
    <w:name w:val="副标题 Char2"/>
    <w:qFormat/>
    <w:uiPriority w:val="0"/>
    <w:rPr>
      <w:rFonts w:ascii="Cambria" w:hAnsi="Cambria" w:eastAsia="宋体" w:cs="Times New Roman"/>
      <w:b/>
      <w:bCs/>
      <w:kern w:val="28"/>
      <w:sz w:val="32"/>
      <w:szCs w:val="32"/>
    </w:rPr>
  </w:style>
  <w:style w:type="character" w:customStyle="1" w:styleId="130">
    <w:name w:val="Char Char Char"/>
    <w:qFormat/>
    <w:uiPriority w:val="0"/>
    <w:rPr>
      <w:rFonts w:ascii="Times New Roman" w:hAnsi="Times New Roman" w:eastAsia="宋体" w:cs="Times New Roman"/>
      <w:kern w:val="2"/>
      <w:sz w:val="18"/>
      <w:szCs w:val="18"/>
      <w:lang w:val="en-US" w:eastAsia="zh-CN" w:bidi="ar-SA"/>
    </w:rPr>
  </w:style>
  <w:style w:type="character" w:customStyle="1" w:styleId="131">
    <w:name w:val="明显引用 Char3"/>
    <w:qFormat/>
    <w:uiPriority w:val="0"/>
    <w:rPr>
      <w:rFonts w:ascii="Times New Roman" w:hAnsi="Times New Roman" w:eastAsia="宋体" w:cs="Times New Roman"/>
      <w:b/>
      <w:bCs/>
      <w:i/>
      <w:iCs/>
      <w:color w:val="4F81BD"/>
      <w:kern w:val="2"/>
      <w:sz w:val="21"/>
      <w:szCs w:val="24"/>
    </w:rPr>
  </w:style>
  <w:style w:type="character" w:customStyle="1" w:styleId="132">
    <w:name w:val="明显强调1"/>
    <w:qFormat/>
    <w:uiPriority w:val="0"/>
    <w:rPr>
      <w:rFonts w:ascii="Times New Roman" w:hAnsi="Times New Roman" w:eastAsia="宋体" w:cs="Times New Roman"/>
      <w:b/>
      <w:bCs/>
      <w:i/>
      <w:iCs/>
      <w:color w:val="4F81BD"/>
    </w:rPr>
  </w:style>
  <w:style w:type="character" w:customStyle="1" w:styleId="133">
    <w:name w:val="Footer Char"/>
    <w:qFormat/>
    <w:uiPriority w:val="0"/>
    <w:rPr>
      <w:rFonts w:ascii="Times New Roman" w:hAnsi="Times New Roman" w:eastAsia="宋体" w:cs="Times New Roman"/>
      <w:kern w:val="2"/>
      <w:sz w:val="18"/>
      <w:szCs w:val="18"/>
      <w:lang w:val="en-US" w:eastAsia="zh-CN" w:bidi="ar-SA"/>
    </w:rPr>
  </w:style>
  <w:style w:type="character" w:customStyle="1" w:styleId="134">
    <w:name w:val="批注主题 Char1"/>
    <w:qFormat/>
    <w:uiPriority w:val="0"/>
    <w:rPr>
      <w:rFonts w:ascii="Times New Roman" w:hAnsi="Times New Roman" w:eastAsia="宋体" w:cs="Times New Roman"/>
      <w:b/>
      <w:bCs/>
      <w:kern w:val="2"/>
      <w:sz w:val="21"/>
      <w:szCs w:val="24"/>
    </w:rPr>
  </w:style>
  <w:style w:type="character" w:customStyle="1" w:styleId="135">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character" w:customStyle="1" w:styleId="136">
    <w:name w:val="15"/>
    <w:qFormat/>
    <w:uiPriority w:val="0"/>
    <w:rPr>
      <w:rFonts w:hint="default" w:ascii="Times New Roman" w:hAnsi="Times New Roman" w:eastAsia="宋体" w:cs="Times New Roman"/>
      <w:color w:val="0000FF"/>
      <w:u w:val="single"/>
    </w:rPr>
  </w:style>
  <w:style w:type="character" w:customStyle="1" w:styleId="137">
    <w:name w:val="标题 #8 (3)_"/>
    <w:link w:val="138"/>
    <w:qFormat/>
    <w:uiPriority w:val="0"/>
    <w:rPr>
      <w:rFonts w:ascii="MingLiU" w:hAnsi="MingLiU" w:eastAsia="MingLiU" w:cs="MingLiU"/>
      <w:shd w:val="clear" w:color="auto" w:fill="FFFFFF"/>
    </w:rPr>
  </w:style>
  <w:style w:type="paragraph" w:customStyle="1" w:styleId="138">
    <w:name w:val="标题 #8 (3)"/>
    <w:basedOn w:val="1"/>
    <w:link w:val="137"/>
    <w:qFormat/>
    <w:uiPriority w:val="0"/>
    <w:pPr>
      <w:shd w:val="clear" w:color="auto" w:fill="FFFFFF"/>
      <w:spacing w:before="300" w:after="420" w:line="0" w:lineRule="atLeast"/>
      <w:jc w:val="distribute"/>
      <w:outlineLvl w:val="7"/>
    </w:pPr>
    <w:rPr>
      <w:rFonts w:ascii="MingLiU" w:hAnsi="MingLiU" w:eastAsia="MingLiU"/>
      <w:kern w:val="0"/>
      <w:sz w:val="20"/>
      <w:szCs w:val="20"/>
    </w:rPr>
  </w:style>
  <w:style w:type="character" w:customStyle="1" w:styleId="139">
    <w:name w:val="纯文本 Char1"/>
    <w:qFormat/>
    <w:uiPriority w:val="0"/>
    <w:rPr>
      <w:rFonts w:ascii="宋体" w:hAnsi="Courier New" w:eastAsia="宋体" w:cs="Courier New"/>
      <w:szCs w:val="21"/>
    </w:rPr>
  </w:style>
  <w:style w:type="character" w:customStyle="1" w:styleId="140">
    <w:name w:val="Char Char22"/>
    <w:qFormat/>
    <w:uiPriority w:val="0"/>
    <w:rPr>
      <w:rFonts w:ascii="Times New Roman" w:hAnsi="Times New Roman" w:eastAsia="宋体" w:cs="Times New Roman"/>
      <w:b/>
      <w:bCs/>
      <w:kern w:val="44"/>
      <w:sz w:val="32"/>
      <w:szCs w:val="44"/>
    </w:rPr>
  </w:style>
  <w:style w:type="character" w:customStyle="1" w:styleId="141">
    <w:name w:val="书籍标题3"/>
    <w:qFormat/>
    <w:uiPriority w:val="0"/>
    <w:rPr>
      <w:rFonts w:ascii="Times New Roman" w:hAnsi="Times New Roman" w:eastAsia="宋体" w:cs="Times New Roman"/>
      <w:b/>
      <w:bCs/>
      <w:smallCaps/>
      <w:spacing w:val="5"/>
    </w:rPr>
  </w:style>
  <w:style w:type="character" w:customStyle="1" w:styleId="142">
    <w:name w:val="Comment Subject Char"/>
    <w:qFormat/>
    <w:uiPriority w:val="0"/>
    <w:rPr>
      <w:rFonts w:ascii="Times New Roman" w:hAnsi="Times New Roman" w:eastAsia="宋体" w:cs="Times New Roman"/>
      <w:b/>
      <w:sz w:val="24"/>
      <w:lang w:bidi="ar-SA"/>
    </w:rPr>
  </w:style>
  <w:style w:type="character" w:customStyle="1" w:styleId="143">
    <w:name w:val="明显强调3"/>
    <w:qFormat/>
    <w:uiPriority w:val="0"/>
    <w:rPr>
      <w:rFonts w:ascii="Times New Roman" w:hAnsi="Times New Roman" w:eastAsia="宋体" w:cs="Times New Roman"/>
      <w:b/>
      <w:bCs/>
      <w:i/>
      <w:iCs/>
      <w:color w:val="4F81BD"/>
    </w:rPr>
  </w:style>
  <w:style w:type="character" w:customStyle="1" w:styleId="144">
    <w:name w:val="Char Char8"/>
    <w:qFormat/>
    <w:uiPriority w:val="0"/>
    <w:rPr>
      <w:rFonts w:ascii="Times New Roman" w:hAnsi="Times New Roman" w:eastAsia="宋体" w:cs="Times New Roman"/>
      <w:b/>
      <w:bCs/>
      <w:kern w:val="44"/>
      <w:sz w:val="32"/>
      <w:szCs w:val="44"/>
      <w:lang w:val="en-US" w:eastAsia="zh-CN" w:bidi="ar-SA"/>
    </w:rPr>
  </w:style>
  <w:style w:type="character" w:customStyle="1" w:styleId="145">
    <w:name w:val="样式 4 + 四号 Char Char"/>
    <w:link w:val="146"/>
    <w:qFormat/>
    <w:uiPriority w:val="0"/>
    <w:rPr>
      <w:rFonts w:ascii="Cambria" w:hAnsi="Cambria" w:eastAsia="宋体" w:cs="Times New Roman"/>
      <w:b/>
      <w:bCs/>
      <w:sz w:val="28"/>
      <w:szCs w:val="28"/>
    </w:rPr>
  </w:style>
  <w:style w:type="paragraph" w:customStyle="1" w:styleId="146">
    <w:name w:val="样式 4 + 四号"/>
    <w:basedOn w:val="147"/>
    <w:next w:val="6"/>
    <w:link w:val="145"/>
    <w:qFormat/>
    <w:uiPriority w:val="0"/>
    <w:rPr>
      <w:rFonts w:ascii="Times New Roman" w:hAnsi="Times New Roman"/>
      <w:sz w:val="28"/>
    </w:rPr>
  </w:style>
  <w:style w:type="paragraph" w:customStyle="1" w:styleId="147">
    <w:name w:val="4"/>
    <w:basedOn w:val="6"/>
    <w:next w:val="2"/>
    <w:link w:val="148"/>
    <w:qFormat/>
    <w:uiPriority w:val="0"/>
    <w:pPr>
      <w:widowControl w:val="0"/>
      <w:spacing w:before="120" w:after="120" w:line="360" w:lineRule="exact"/>
    </w:pPr>
    <w:rPr>
      <w:rFonts w:ascii="Cambria" w:hAnsi="Cambria"/>
      <w:iCs w:val="0"/>
      <w:sz w:val="32"/>
      <w:szCs w:val="28"/>
    </w:rPr>
  </w:style>
  <w:style w:type="character" w:customStyle="1" w:styleId="148">
    <w:name w:val="4 Char Char"/>
    <w:link w:val="147"/>
    <w:qFormat/>
    <w:uiPriority w:val="0"/>
    <w:rPr>
      <w:rFonts w:ascii="Cambria" w:hAnsi="Cambria" w:eastAsia="宋体" w:cs="Times New Roman"/>
      <w:b/>
      <w:bCs/>
      <w:sz w:val="32"/>
      <w:szCs w:val="28"/>
    </w:rPr>
  </w:style>
  <w:style w:type="character" w:customStyle="1" w:styleId="149">
    <w:name w:val="Comment Text Char1"/>
    <w:qFormat/>
    <w:uiPriority w:val="0"/>
    <w:rPr>
      <w:rFonts w:ascii="Times New Roman" w:hAnsi="Times New Roman" w:eastAsia="宋体" w:cs="Times New Roman"/>
      <w:sz w:val="24"/>
      <w:lang w:bidi="ar-SA"/>
    </w:rPr>
  </w:style>
  <w:style w:type="character" w:customStyle="1" w:styleId="150">
    <w:name w:val="正文文本缩进 Char1"/>
    <w:qFormat/>
    <w:uiPriority w:val="0"/>
    <w:rPr>
      <w:rFonts w:ascii="Times New Roman" w:hAnsi="Times New Roman" w:eastAsia="宋体" w:cs="Times New Roman"/>
      <w:sz w:val="21"/>
    </w:rPr>
  </w:style>
  <w:style w:type="character" w:customStyle="1" w:styleId="151">
    <w:name w:val="正文呀2 Char"/>
    <w:link w:val="152"/>
    <w:qFormat/>
    <w:uiPriority w:val="0"/>
    <w:rPr>
      <w:rFonts w:ascii="Times New Roman" w:hAnsi="Times New Roman" w:eastAsia="宋体" w:cs="Times New Roman"/>
      <w:kern w:val="2"/>
      <w:sz w:val="21"/>
      <w:szCs w:val="21"/>
    </w:rPr>
  </w:style>
  <w:style w:type="paragraph" w:customStyle="1" w:styleId="152">
    <w:name w:val="正文呀2"/>
    <w:basedOn w:val="153"/>
    <w:link w:val="151"/>
    <w:qFormat/>
    <w:uiPriority w:val="0"/>
    <w:rPr>
      <w:rFonts w:ascii="Times New Roman" w:hAnsi="Times New Roman"/>
    </w:rPr>
  </w:style>
  <w:style w:type="paragraph" w:customStyle="1" w:styleId="153">
    <w:name w:val="正文呀"/>
    <w:basedOn w:val="1"/>
    <w:link w:val="154"/>
    <w:qFormat/>
    <w:uiPriority w:val="0"/>
    <w:pPr>
      <w:spacing w:line="420" w:lineRule="exact"/>
      <w:ind w:firstLine="420" w:firstLineChars="200"/>
    </w:pPr>
    <w:rPr>
      <w:rFonts w:ascii="宋体" w:hAnsi="宋体"/>
      <w:szCs w:val="21"/>
    </w:rPr>
  </w:style>
  <w:style w:type="character" w:customStyle="1" w:styleId="154">
    <w:name w:val="正文呀 Char"/>
    <w:link w:val="153"/>
    <w:qFormat/>
    <w:uiPriority w:val="0"/>
    <w:rPr>
      <w:rFonts w:ascii="宋体" w:hAnsi="宋体" w:eastAsia="宋体" w:cs="Times New Roman"/>
      <w:kern w:val="2"/>
      <w:sz w:val="21"/>
      <w:szCs w:val="21"/>
    </w:rPr>
  </w:style>
  <w:style w:type="character" w:customStyle="1" w:styleId="155">
    <w:name w:val="明显引用 Char2"/>
    <w:qFormat/>
    <w:uiPriority w:val="0"/>
    <w:rPr>
      <w:rFonts w:ascii="Times New Roman" w:hAnsi="Times New Roman" w:eastAsia="宋体" w:cs="Times New Roman"/>
      <w:b/>
      <w:bCs/>
      <w:i/>
      <w:iCs/>
      <w:color w:val="4F81BD"/>
      <w:sz w:val="21"/>
    </w:rPr>
  </w:style>
  <w:style w:type="character" w:customStyle="1" w:styleId="156">
    <w:name w:val="正文文本缩进 2 Char1"/>
    <w:qFormat/>
    <w:uiPriority w:val="0"/>
    <w:rPr>
      <w:rFonts w:ascii="Times New Roman" w:hAnsi="Times New Roman" w:eastAsia="宋体" w:cs="Times New Roman"/>
      <w:sz w:val="21"/>
    </w:rPr>
  </w:style>
  <w:style w:type="character" w:customStyle="1" w:styleId="157">
    <w:name w:val="正文文本缩进 3 Char1"/>
    <w:qFormat/>
    <w:uiPriority w:val="0"/>
    <w:rPr>
      <w:rFonts w:ascii="Times New Roman" w:hAnsi="Times New Roman" w:eastAsia="宋体" w:cs="Times New Roman"/>
      <w:sz w:val="16"/>
      <w:szCs w:val="16"/>
    </w:rPr>
  </w:style>
  <w:style w:type="character" w:customStyle="1" w:styleId="158">
    <w:name w:val="标题 1 Char_1"/>
    <w:link w:val="159"/>
    <w:qFormat/>
    <w:uiPriority w:val="0"/>
    <w:rPr>
      <w:rFonts w:ascii="Calibri" w:hAnsi="Calibri" w:eastAsia="宋体" w:cs="Times New Roman"/>
      <w:b/>
      <w:bCs/>
      <w:kern w:val="44"/>
      <w:sz w:val="32"/>
      <w:szCs w:val="44"/>
    </w:rPr>
  </w:style>
  <w:style w:type="paragraph" w:customStyle="1" w:styleId="159">
    <w:name w:val="标题 1_1"/>
    <w:basedOn w:val="160"/>
    <w:next w:val="160"/>
    <w:link w:val="158"/>
    <w:qFormat/>
    <w:uiPriority w:val="0"/>
    <w:pPr>
      <w:keepNext/>
      <w:keepLines/>
      <w:spacing w:line="360" w:lineRule="auto"/>
      <w:outlineLvl w:val="0"/>
    </w:pPr>
    <w:rPr>
      <w:rFonts w:ascii="Times New Roman" w:hAnsi="Times New Roman"/>
      <w:b/>
      <w:bCs/>
      <w:kern w:val="44"/>
      <w:sz w:val="32"/>
      <w:szCs w:val="44"/>
    </w:rPr>
  </w:style>
  <w:style w:type="paragraph" w:customStyle="1" w:styleId="160">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1">
    <w:name w:val="不明显强调2"/>
    <w:qFormat/>
    <w:uiPriority w:val="0"/>
    <w:rPr>
      <w:rFonts w:ascii="Times New Roman" w:hAnsi="Times New Roman" w:eastAsia="宋体" w:cs="Times New Roman"/>
      <w:i/>
      <w:iCs/>
      <w:color w:val="808080"/>
    </w:rPr>
  </w:style>
  <w:style w:type="character" w:customStyle="1" w:styleId="162">
    <w:name w:val="正文文本 (2) + 间距 7 pt"/>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character" w:customStyle="1" w:styleId="163">
    <w:name w:val="Footnote Text Char"/>
    <w:qFormat/>
    <w:uiPriority w:val="0"/>
    <w:rPr>
      <w:rFonts w:ascii="Times New Roman" w:hAnsi="Times New Roman" w:eastAsia="宋体" w:cs="Times New Roman"/>
      <w:sz w:val="18"/>
      <w:lang w:val="en-US" w:eastAsia="zh-CN" w:bidi="ar-SA"/>
    </w:rPr>
  </w:style>
  <w:style w:type="character" w:customStyle="1" w:styleId="164">
    <w:name w:val="正文文本 (2) + 6.5 pt"/>
    <w:qFormat/>
    <w:uiPriority w:val="0"/>
    <w:rPr>
      <w:rFonts w:ascii="MingLiU" w:hAnsi="MingLiU" w:eastAsia="MingLiU" w:cs="MingLiU"/>
      <w:i/>
      <w:iCs/>
      <w:color w:val="000000"/>
      <w:spacing w:val="0"/>
      <w:w w:val="100"/>
      <w:position w:val="0"/>
      <w:sz w:val="13"/>
      <w:szCs w:val="13"/>
      <w:u w:val="none"/>
      <w:shd w:val="clear" w:color="auto" w:fill="FFFFFF"/>
      <w:lang w:val="en-US" w:eastAsia="en-US" w:bidi="ar-SA"/>
    </w:rPr>
  </w:style>
  <w:style w:type="character" w:customStyle="1" w:styleId="165">
    <w:name w:val="标题4 Char Char"/>
    <w:link w:val="166"/>
    <w:qFormat/>
    <w:uiPriority w:val="0"/>
    <w:rPr>
      <w:rFonts w:ascii="Arial" w:hAnsi="Arial" w:eastAsia="宋体" w:cs="Times New Roman"/>
      <w:b/>
      <w:bCs/>
      <w:sz w:val="24"/>
      <w:szCs w:val="32"/>
    </w:rPr>
  </w:style>
  <w:style w:type="paragraph" w:customStyle="1" w:styleId="166">
    <w:name w:val="标题4"/>
    <w:basedOn w:val="4"/>
    <w:next w:val="23"/>
    <w:link w:val="165"/>
    <w:qFormat/>
    <w:uiPriority w:val="0"/>
    <w:pPr>
      <w:spacing w:before="60" w:after="60" w:line="413" w:lineRule="auto"/>
      <w:jc w:val="center"/>
    </w:pPr>
    <w:rPr>
      <w:rFonts w:ascii="Arial" w:hAnsi="Arial"/>
      <w:sz w:val="24"/>
    </w:rPr>
  </w:style>
  <w:style w:type="character" w:customStyle="1" w:styleId="167">
    <w:name w:val="style6"/>
    <w:basedOn w:val="54"/>
    <w:qFormat/>
    <w:uiPriority w:val="0"/>
    <w:rPr>
      <w:rFonts w:ascii="Times New Roman" w:hAnsi="Times New Roman" w:eastAsia="宋体" w:cs="Times New Roman"/>
    </w:rPr>
  </w:style>
  <w:style w:type="character" w:customStyle="1" w:styleId="168">
    <w:name w:val="正文文本 (42)_"/>
    <w:link w:val="169"/>
    <w:qFormat/>
    <w:uiPriority w:val="0"/>
    <w:rPr>
      <w:rFonts w:ascii="MingLiU" w:hAnsi="MingLiU" w:eastAsia="MingLiU" w:cs="Times New Roman"/>
      <w:b/>
      <w:bCs/>
      <w:shd w:val="clear" w:color="auto" w:fill="FFFFFF"/>
    </w:rPr>
  </w:style>
  <w:style w:type="paragraph" w:customStyle="1" w:styleId="169">
    <w:name w:val="正文文本 (42)1"/>
    <w:basedOn w:val="1"/>
    <w:link w:val="168"/>
    <w:qFormat/>
    <w:uiPriority w:val="0"/>
    <w:pPr>
      <w:shd w:val="clear" w:color="auto" w:fill="FFFFFF"/>
      <w:spacing w:line="398" w:lineRule="exact"/>
      <w:jc w:val="distribute"/>
    </w:pPr>
    <w:rPr>
      <w:rFonts w:ascii="MingLiU" w:hAnsi="MingLiU" w:eastAsia="MingLiU"/>
      <w:b/>
      <w:bCs/>
      <w:kern w:val="0"/>
      <w:sz w:val="20"/>
      <w:szCs w:val="20"/>
    </w:rPr>
  </w:style>
  <w:style w:type="character" w:customStyle="1" w:styleId="170">
    <w:name w:val="fontstyle01"/>
    <w:qFormat/>
    <w:uiPriority w:val="0"/>
    <w:rPr>
      <w:rFonts w:ascii="宋体" w:hAnsi="宋体" w:eastAsia="宋体" w:cs="宋体"/>
      <w:color w:val="000000"/>
      <w:sz w:val="24"/>
      <w:szCs w:val="24"/>
    </w:rPr>
  </w:style>
  <w:style w:type="character" w:customStyle="1" w:styleId="171">
    <w:name w:val="正文文本 2 Char1"/>
    <w:qFormat/>
    <w:uiPriority w:val="0"/>
    <w:rPr>
      <w:rFonts w:ascii="Times New Roman" w:hAnsi="Times New Roman" w:eastAsia="宋体" w:cs="Times New Roman"/>
      <w:szCs w:val="24"/>
    </w:rPr>
  </w:style>
  <w:style w:type="character" w:customStyle="1" w:styleId="172">
    <w:name w:val="正文文本 (5)_"/>
    <w:link w:val="173"/>
    <w:qFormat/>
    <w:uiPriority w:val="0"/>
    <w:rPr>
      <w:rFonts w:ascii="MingLiU" w:hAnsi="MingLiU" w:eastAsia="MingLiU" w:cs="MingLiU"/>
      <w:shd w:val="clear" w:color="auto" w:fill="FFFFFF"/>
    </w:rPr>
  </w:style>
  <w:style w:type="paragraph" w:customStyle="1" w:styleId="173">
    <w:name w:val="正文文本 (5)"/>
    <w:basedOn w:val="1"/>
    <w:link w:val="172"/>
    <w:qFormat/>
    <w:uiPriority w:val="0"/>
    <w:pPr>
      <w:shd w:val="clear" w:color="auto" w:fill="FFFFFF"/>
      <w:spacing w:before="5100" w:line="0" w:lineRule="atLeast"/>
      <w:jc w:val="left"/>
    </w:pPr>
    <w:rPr>
      <w:rFonts w:ascii="MingLiU" w:hAnsi="MingLiU" w:eastAsia="MingLiU"/>
      <w:kern w:val="0"/>
      <w:sz w:val="20"/>
      <w:szCs w:val="20"/>
    </w:rPr>
  </w:style>
  <w:style w:type="character" w:customStyle="1" w:styleId="174">
    <w:name w:val="Char Char20"/>
    <w:qFormat/>
    <w:uiPriority w:val="0"/>
    <w:rPr>
      <w:rFonts w:ascii="Times New Roman" w:hAnsi="Times New Roman" w:eastAsia="宋体" w:cs="Times New Roman"/>
      <w:b/>
      <w:bCs/>
      <w:sz w:val="24"/>
      <w:szCs w:val="32"/>
    </w:rPr>
  </w:style>
  <w:style w:type="character" w:customStyle="1" w:styleId="175">
    <w:name w:val="页眉 Char1"/>
    <w:qFormat/>
    <w:uiPriority w:val="0"/>
    <w:rPr>
      <w:rFonts w:ascii="Times New Roman" w:hAnsi="Times New Roman" w:eastAsia="宋体" w:cs="Times New Roman"/>
      <w:sz w:val="18"/>
      <w:szCs w:val="18"/>
    </w:rPr>
  </w:style>
  <w:style w:type="character" w:customStyle="1" w:styleId="176">
    <w:name w:val="copy1"/>
    <w:qFormat/>
    <w:uiPriority w:val="0"/>
    <w:rPr>
      <w:rFonts w:hint="default" w:ascii="Arial" w:hAnsi="Arial" w:eastAsia="宋体" w:cs="Arial"/>
      <w:color w:val="525252"/>
      <w:sz w:val="15"/>
      <w:szCs w:val="15"/>
      <w:u w:val="none"/>
    </w:rPr>
  </w:style>
  <w:style w:type="character" w:customStyle="1" w:styleId="177">
    <w:name w:val="Balloon Text Char"/>
    <w:qFormat/>
    <w:uiPriority w:val="0"/>
    <w:rPr>
      <w:rFonts w:ascii="Times New Roman" w:hAnsi="Times New Roman" w:eastAsia="宋体" w:cs="Times New Roman"/>
      <w:sz w:val="18"/>
      <w:lang w:bidi="ar-SA"/>
    </w:rPr>
  </w:style>
  <w:style w:type="character" w:customStyle="1" w:styleId="178">
    <w:name w:val="不明显强调1"/>
    <w:qFormat/>
    <w:uiPriority w:val="0"/>
    <w:rPr>
      <w:rFonts w:ascii="Times New Roman" w:hAnsi="Times New Roman" w:eastAsia="宋体" w:cs="Times New Roman"/>
      <w:i/>
      <w:iCs/>
      <w:color w:val="808080"/>
    </w:rPr>
  </w:style>
  <w:style w:type="character" w:customStyle="1" w:styleId="179">
    <w:name w:val="纯文本 Char2"/>
    <w:qFormat/>
    <w:uiPriority w:val="0"/>
    <w:rPr>
      <w:rFonts w:ascii="宋体" w:hAnsi="Courier New" w:eastAsia="宋体" w:cs="Times New Roman"/>
      <w:kern w:val="2"/>
      <w:sz w:val="21"/>
    </w:rPr>
  </w:style>
  <w:style w:type="character" w:customStyle="1" w:styleId="180">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181">
    <w:name w:val="Heading 3 Char1"/>
    <w:qFormat/>
    <w:uiPriority w:val="0"/>
    <w:rPr>
      <w:rFonts w:ascii="Times New Roman" w:hAnsi="Times New Roman" w:eastAsia="宋体" w:cs="Times New Roman"/>
      <w:b/>
      <w:bCs/>
      <w:kern w:val="2"/>
      <w:sz w:val="24"/>
      <w:szCs w:val="32"/>
      <w:lang w:val="en-US" w:eastAsia="zh-CN" w:bidi="ar-SA"/>
    </w:rPr>
  </w:style>
  <w:style w:type="character" w:customStyle="1" w:styleId="182">
    <w:name w:val="Body Text Indent 2 Char"/>
    <w:qFormat/>
    <w:uiPriority w:val="0"/>
    <w:rPr>
      <w:rFonts w:ascii="Times New Roman" w:hAnsi="Times New Roman" w:eastAsia="宋体" w:cs="Times New Roman"/>
      <w:kern w:val="2"/>
      <w:sz w:val="21"/>
      <w:szCs w:val="24"/>
      <w:lang w:val="en-US" w:eastAsia="zh-CN" w:bidi="ar-SA"/>
    </w:rPr>
  </w:style>
  <w:style w:type="character" w:customStyle="1" w:styleId="183">
    <w:name w:val="引用 Char3"/>
    <w:qFormat/>
    <w:uiPriority w:val="0"/>
    <w:rPr>
      <w:rFonts w:ascii="Times New Roman" w:hAnsi="Times New Roman" w:eastAsia="宋体" w:cs="Times New Roman"/>
      <w:i/>
      <w:iCs/>
      <w:color w:val="000000"/>
      <w:kern w:val="2"/>
      <w:sz w:val="21"/>
      <w:szCs w:val="24"/>
    </w:rPr>
  </w:style>
  <w:style w:type="character" w:customStyle="1" w:styleId="184">
    <w:name w:val="para1"/>
    <w:qFormat/>
    <w:uiPriority w:val="0"/>
    <w:rPr>
      <w:rFonts w:hint="default" w:ascii="Arial" w:hAnsi="Arial" w:eastAsia="宋体" w:cs="Arial"/>
      <w:sz w:val="18"/>
      <w:szCs w:val="18"/>
    </w:rPr>
  </w:style>
  <w:style w:type="character" w:customStyle="1" w:styleId="185">
    <w:name w:val="正文文本 (2) + 10 pt14"/>
    <w:qFormat/>
    <w:uiPriority w:val="0"/>
    <w:rPr>
      <w:rFonts w:ascii="MingLiU" w:hAnsi="MingLiU" w:eastAsia="MingLiU" w:cs="MingLiU"/>
      <w:color w:val="000000"/>
      <w:spacing w:val="-40"/>
      <w:w w:val="100"/>
      <w:position w:val="0"/>
      <w:sz w:val="20"/>
      <w:szCs w:val="20"/>
      <w:u w:val="none"/>
      <w:shd w:val="clear" w:color="auto" w:fill="FFFFFF"/>
      <w:lang w:val="zh-CN" w:eastAsia="zh-CN"/>
    </w:rPr>
  </w:style>
  <w:style w:type="character" w:customStyle="1" w:styleId="186">
    <w:name w:val="Date Char"/>
    <w:qFormat/>
    <w:uiPriority w:val="0"/>
    <w:rPr>
      <w:rFonts w:ascii="Times New Roman" w:hAnsi="Times New Roman" w:eastAsia="宋体" w:cs="Times New Roman"/>
      <w:kern w:val="2"/>
      <w:sz w:val="21"/>
      <w:szCs w:val="24"/>
      <w:lang w:val="en-US" w:eastAsia="zh-CN" w:bidi="ar-SA"/>
    </w:rPr>
  </w:style>
  <w:style w:type="character" w:customStyle="1" w:styleId="187">
    <w:name w:val="小标题无样式 Char"/>
    <w:link w:val="188"/>
    <w:qFormat/>
    <w:uiPriority w:val="0"/>
    <w:rPr>
      <w:rFonts w:ascii="宋体" w:hAnsi="宋体" w:eastAsia="宋体" w:cs="Times New Roman"/>
      <w:b/>
      <w:sz w:val="24"/>
      <w:szCs w:val="21"/>
    </w:rPr>
  </w:style>
  <w:style w:type="paragraph" w:customStyle="1" w:styleId="188">
    <w:name w:val="小标题无样式"/>
    <w:basedOn w:val="153"/>
    <w:link w:val="187"/>
    <w:qFormat/>
    <w:uiPriority w:val="0"/>
    <w:pPr>
      <w:ind w:firstLine="0" w:firstLineChars="0"/>
    </w:pPr>
    <w:rPr>
      <w:rFonts w:ascii="Times New Roman" w:hAnsi="Times New Roman"/>
      <w:b/>
      <w:kern w:val="0"/>
      <w:sz w:val="24"/>
    </w:rPr>
  </w:style>
  <w:style w:type="character" w:customStyle="1" w:styleId="189">
    <w:name w:val="正文文本 (2) + 10 pt3"/>
    <w:qFormat/>
    <w:uiPriority w:val="0"/>
    <w:rPr>
      <w:rFonts w:ascii="MingLiU" w:hAnsi="MingLiU" w:eastAsia="MingLiU" w:cs="MingLiU"/>
      <w:color w:val="000000"/>
      <w:spacing w:val="0"/>
      <w:w w:val="100"/>
      <w:position w:val="0"/>
      <w:sz w:val="20"/>
      <w:szCs w:val="20"/>
      <w:u w:val="none"/>
      <w:lang w:val="zh-CN" w:eastAsia="zh-CN" w:bidi="zh-CN"/>
    </w:rPr>
  </w:style>
  <w:style w:type="character" w:customStyle="1" w:styleId="190">
    <w:name w:val="正文文本 (45)_"/>
    <w:link w:val="191"/>
    <w:qFormat/>
    <w:uiPriority w:val="0"/>
    <w:rPr>
      <w:rFonts w:ascii="MingLiU" w:hAnsi="MingLiU" w:eastAsia="MingLiU" w:cs="Times New Roman"/>
      <w:sz w:val="22"/>
      <w:shd w:val="clear" w:color="auto" w:fill="FFFFFF"/>
    </w:rPr>
  </w:style>
  <w:style w:type="paragraph" w:customStyle="1" w:styleId="191">
    <w:name w:val="正文文本 (45)"/>
    <w:basedOn w:val="1"/>
    <w:link w:val="190"/>
    <w:qFormat/>
    <w:uiPriority w:val="0"/>
    <w:pPr>
      <w:shd w:val="clear" w:color="auto" w:fill="FFFFFF"/>
      <w:spacing w:after="420" w:line="240" w:lineRule="atLeast"/>
      <w:jc w:val="center"/>
    </w:pPr>
    <w:rPr>
      <w:rFonts w:ascii="MingLiU" w:hAnsi="MingLiU" w:eastAsia="MingLiU"/>
      <w:kern w:val="0"/>
      <w:sz w:val="22"/>
      <w:szCs w:val="20"/>
    </w:rPr>
  </w:style>
  <w:style w:type="character" w:customStyle="1" w:styleId="192">
    <w:name w:val="1ji Char Char"/>
    <w:link w:val="193"/>
    <w:qFormat/>
    <w:uiPriority w:val="0"/>
    <w:rPr>
      <w:rFonts w:ascii="宋体" w:hAnsi="宋体" w:eastAsia="宋体" w:cs="Times New Roman"/>
      <w:b/>
      <w:bCs/>
      <w:sz w:val="36"/>
    </w:rPr>
  </w:style>
  <w:style w:type="paragraph" w:customStyle="1" w:styleId="193">
    <w:name w:val="1ji"/>
    <w:basedOn w:val="3"/>
    <w:link w:val="192"/>
    <w:qFormat/>
    <w:uiPriority w:val="0"/>
    <w:pPr>
      <w:keepLines w:val="0"/>
      <w:widowControl/>
      <w:spacing w:before="0" w:after="0" w:line="240" w:lineRule="auto"/>
      <w:jc w:val="center"/>
    </w:pPr>
    <w:rPr>
      <w:rFonts w:ascii="宋体" w:hAnsi="宋体"/>
      <w:kern w:val="0"/>
      <w:szCs w:val="20"/>
    </w:rPr>
  </w:style>
  <w:style w:type="character" w:customStyle="1" w:styleId="194">
    <w:name w:val="不明显参考1"/>
    <w:qFormat/>
    <w:uiPriority w:val="0"/>
    <w:rPr>
      <w:rFonts w:ascii="Times New Roman" w:hAnsi="Times New Roman" w:eastAsia="宋体" w:cs="Times New Roman"/>
      <w:smallCaps/>
      <w:color w:val="C0504D"/>
      <w:u w:val="single"/>
    </w:rPr>
  </w:style>
  <w:style w:type="character" w:customStyle="1" w:styleId="195">
    <w:name w:val="正文文本 Char1"/>
    <w:qFormat/>
    <w:uiPriority w:val="0"/>
    <w:rPr>
      <w:rFonts w:ascii="Times New Roman" w:hAnsi="Times New Roman" w:eastAsia="宋体" w:cs="Times New Roman"/>
      <w:sz w:val="21"/>
    </w:rPr>
  </w:style>
  <w:style w:type="character" w:customStyle="1" w:styleId="196">
    <w:name w:val="不明显参考3"/>
    <w:qFormat/>
    <w:uiPriority w:val="0"/>
    <w:rPr>
      <w:rFonts w:ascii="Times New Roman" w:hAnsi="Times New Roman" w:eastAsia="宋体" w:cs="Times New Roman"/>
      <w:smallCaps/>
      <w:color w:val="C0504D"/>
      <w:u w:val="single"/>
    </w:rPr>
  </w:style>
  <w:style w:type="character" w:customStyle="1" w:styleId="197">
    <w:name w:val="标题 3 Char Char"/>
    <w:qFormat/>
    <w:uiPriority w:val="0"/>
    <w:rPr>
      <w:rFonts w:ascii="Times New Roman" w:hAnsi="Times New Roman" w:eastAsia="宋体" w:cs="Times New Roman"/>
      <w:b/>
      <w:bCs/>
      <w:kern w:val="2"/>
      <w:sz w:val="32"/>
      <w:szCs w:val="32"/>
      <w:lang w:val="en-US" w:eastAsia="zh-CN" w:bidi="ar-SA"/>
    </w:rPr>
  </w:style>
  <w:style w:type="character" w:customStyle="1" w:styleId="198">
    <w:name w:val="书籍标题1"/>
    <w:qFormat/>
    <w:uiPriority w:val="0"/>
    <w:rPr>
      <w:rFonts w:ascii="Times New Roman" w:hAnsi="Times New Roman" w:eastAsia="宋体" w:cs="Times New Roman"/>
      <w:b/>
      <w:bCs/>
      <w:smallCaps/>
      <w:spacing w:val="5"/>
    </w:rPr>
  </w:style>
  <w:style w:type="character" w:customStyle="1" w:styleId="199">
    <w:name w:val="批注框文本 Char1"/>
    <w:qFormat/>
    <w:uiPriority w:val="0"/>
    <w:rPr>
      <w:rFonts w:ascii="Times New Roman" w:hAnsi="Times New Roman" w:eastAsia="宋体" w:cs="Times New Roman"/>
      <w:sz w:val="18"/>
      <w:szCs w:val="18"/>
    </w:rPr>
  </w:style>
  <w:style w:type="character" w:customStyle="1" w:styleId="200">
    <w:name w:val="明显参考2"/>
    <w:qFormat/>
    <w:uiPriority w:val="0"/>
    <w:rPr>
      <w:rFonts w:ascii="Times New Roman" w:hAnsi="Times New Roman" w:eastAsia="宋体" w:cs="Times New Roman"/>
      <w:b/>
      <w:bCs/>
      <w:smallCaps/>
      <w:color w:val="C0504D"/>
      <w:spacing w:val="5"/>
      <w:u w:val="single"/>
    </w:rPr>
  </w:style>
  <w:style w:type="character" w:customStyle="1" w:styleId="201">
    <w:name w:val="Comment Text Char"/>
    <w:qFormat/>
    <w:uiPriority w:val="0"/>
    <w:rPr>
      <w:rFonts w:ascii="Times New Roman" w:hAnsi="Times New Roman" w:eastAsia="宋体" w:cs="Times New Roman"/>
      <w:sz w:val="24"/>
      <w:szCs w:val="24"/>
    </w:rPr>
  </w:style>
  <w:style w:type="character" w:customStyle="1" w:styleId="202">
    <w:name w:val="明显强调2"/>
    <w:qFormat/>
    <w:uiPriority w:val="0"/>
    <w:rPr>
      <w:rFonts w:ascii="Times New Roman" w:hAnsi="Times New Roman" w:eastAsia="宋体" w:cs="Times New Roman"/>
      <w:b/>
      <w:bCs/>
      <w:i/>
      <w:iCs/>
      <w:color w:val="4F81BD"/>
    </w:rPr>
  </w:style>
  <w:style w:type="character" w:customStyle="1" w:styleId="203">
    <w:name w:val="标题 #7 + 间距 0 pt"/>
    <w:qFormat/>
    <w:uiPriority w:val="0"/>
    <w:rPr>
      <w:rFonts w:ascii="MingLiU" w:hAnsi="MingLiU" w:eastAsia="MingLiU" w:cs="MingLiU"/>
      <w:color w:val="000000"/>
      <w:spacing w:val="0"/>
      <w:w w:val="100"/>
      <w:position w:val="0"/>
      <w:sz w:val="26"/>
      <w:szCs w:val="26"/>
      <w:u w:val="none"/>
      <w:shd w:val="clear" w:color="auto" w:fill="FFFFFF"/>
      <w:lang w:val="zh-CN" w:eastAsia="zh-CN"/>
    </w:rPr>
  </w:style>
  <w:style w:type="character" w:customStyle="1" w:styleId="204">
    <w:name w:val="正文文本 (2) + 5.5 pt1"/>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205">
    <w:name w:val="Char Char91"/>
    <w:qFormat/>
    <w:uiPriority w:val="0"/>
    <w:rPr>
      <w:rFonts w:ascii="Times New Roman" w:hAnsi="Times New Roman" w:eastAsia="宋体" w:cs="Times New Roman"/>
      <w:b/>
      <w:bCs/>
      <w:kern w:val="44"/>
      <w:sz w:val="32"/>
      <w:szCs w:val="44"/>
      <w:lang w:val="en-US" w:eastAsia="zh-CN" w:bidi="ar-SA"/>
    </w:rPr>
  </w:style>
  <w:style w:type="character" w:customStyle="1" w:styleId="206">
    <w:name w:val="明显参考1"/>
    <w:qFormat/>
    <w:uiPriority w:val="0"/>
    <w:rPr>
      <w:rFonts w:ascii="Times New Roman" w:hAnsi="Times New Roman" w:eastAsia="宋体" w:cs="Times New Roman"/>
      <w:b/>
      <w:bCs/>
      <w:smallCaps/>
      <w:color w:val="C0504D"/>
      <w:spacing w:val="5"/>
      <w:u w:val="single"/>
    </w:rPr>
  </w:style>
  <w:style w:type="character" w:customStyle="1" w:styleId="207">
    <w:name w:val="页眉或页脚 + Times New Roman"/>
    <w:qFormat/>
    <w:uiPriority w:val="0"/>
    <w:rPr>
      <w:rFonts w:ascii="Times New Roman" w:hAnsi="Times New Roman" w:eastAsia="MingLiU" w:cs="Times New Roman"/>
      <w:color w:val="000000"/>
      <w:spacing w:val="0"/>
      <w:w w:val="100"/>
      <w:position w:val="0"/>
      <w:sz w:val="18"/>
      <w:szCs w:val="18"/>
      <w:u w:val="none"/>
      <w:lang w:val="zh-CN" w:eastAsia="zh-CN" w:bidi="ar-SA"/>
    </w:rPr>
  </w:style>
  <w:style w:type="character" w:customStyle="1" w:styleId="208">
    <w:name w:val="正文文本 (19)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09">
    <w:name w:val="普通文字 Char Char1"/>
    <w:qFormat/>
    <w:uiPriority w:val="0"/>
    <w:rPr>
      <w:rFonts w:ascii="宋体" w:hAnsi="Courier New" w:eastAsia="宋体" w:cs="Times New Roman"/>
      <w:kern w:val="2"/>
      <w:sz w:val="21"/>
      <w:lang w:val="en-US" w:eastAsia="zh-CN" w:bidi="ar-SA"/>
    </w:rPr>
  </w:style>
  <w:style w:type="character" w:customStyle="1" w:styleId="210">
    <w:name w:val="正文文本 Char2"/>
    <w:qFormat/>
    <w:uiPriority w:val="0"/>
    <w:rPr>
      <w:rFonts w:ascii="Times New Roman" w:hAnsi="Times New Roman" w:eastAsia="宋体" w:cs="Times New Roman"/>
      <w:kern w:val="2"/>
      <w:sz w:val="21"/>
      <w:szCs w:val="24"/>
    </w:rPr>
  </w:style>
  <w:style w:type="character" w:customStyle="1" w:styleId="211">
    <w:name w:val="正文文本 (2) + Impact1"/>
    <w:qFormat/>
    <w:uiPriority w:val="0"/>
    <w:rPr>
      <w:rFonts w:ascii="Impact" w:hAnsi="Impact" w:eastAsia="Times New Roman" w:cs="Impact"/>
      <w:color w:val="000000"/>
      <w:spacing w:val="0"/>
      <w:w w:val="100"/>
      <w:position w:val="0"/>
      <w:sz w:val="16"/>
      <w:szCs w:val="16"/>
      <w:u w:val="none"/>
      <w:shd w:val="clear" w:color="auto" w:fill="FFFFFF"/>
      <w:lang w:val="en-US" w:eastAsia="en-US"/>
    </w:rPr>
  </w:style>
  <w:style w:type="character" w:customStyle="1" w:styleId="212">
    <w:name w:val="样式4 Char Char"/>
    <w:link w:val="213"/>
    <w:qFormat/>
    <w:uiPriority w:val="0"/>
    <w:rPr>
      <w:rFonts w:ascii="宋体" w:hAnsi="宋体" w:eastAsia="宋体" w:cs="Times New Roman"/>
      <w:color w:val="FF0000"/>
      <w:kern w:val="2"/>
      <w:sz w:val="24"/>
      <w:szCs w:val="24"/>
      <w:lang w:val="en-US" w:eastAsia="zh-CN" w:bidi="ar-SA"/>
    </w:rPr>
  </w:style>
  <w:style w:type="paragraph" w:customStyle="1" w:styleId="213">
    <w:name w:val="样式4"/>
    <w:link w:val="212"/>
    <w:qFormat/>
    <w:uiPriority w:val="0"/>
    <w:pPr>
      <w:ind w:left="-178" w:leftChars="-85" w:right="-107" w:rightChars="-51"/>
      <w:jc w:val="center"/>
    </w:pPr>
    <w:rPr>
      <w:rFonts w:ascii="宋体" w:hAnsi="宋体" w:eastAsia="宋体" w:cs="Times New Roman"/>
      <w:color w:val="FF0000"/>
      <w:kern w:val="2"/>
      <w:sz w:val="24"/>
      <w:szCs w:val="24"/>
      <w:lang w:val="en-US" w:eastAsia="zh-CN" w:bidi="ar-SA"/>
    </w:rPr>
  </w:style>
  <w:style w:type="character" w:customStyle="1" w:styleId="214">
    <w:name w:val="标题 2 Char"/>
    <w:qFormat/>
    <w:uiPriority w:val="0"/>
    <w:rPr>
      <w:rFonts w:ascii="Cambria" w:hAnsi="Cambria" w:eastAsia="宋体" w:cs="Times New Roman"/>
      <w:b/>
      <w:bCs/>
      <w:sz w:val="32"/>
      <w:szCs w:val="32"/>
    </w:rPr>
  </w:style>
  <w:style w:type="character" w:customStyle="1" w:styleId="215">
    <w:name w:val="引用 Char"/>
    <w:link w:val="216"/>
    <w:qFormat/>
    <w:uiPriority w:val="0"/>
    <w:rPr>
      <w:rFonts w:ascii="Times New Roman" w:hAnsi="Times New Roman" w:eastAsia="宋体" w:cs="Times New Roman"/>
      <w:i/>
      <w:iCs/>
      <w:color w:val="000000"/>
      <w:szCs w:val="24"/>
    </w:rPr>
  </w:style>
  <w:style w:type="paragraph" w:styleId="216">
    <w:name w:val="Quote"/>
    <w:basedOn w:val="1"/>
    <w:next w:val="1"/>
    <w:link w:val="215"/>
    <w:qFormat/>
    <w:uiPriority w:val="0"/>
    <w:pPr>
      <w:spacing w:line="360" w:lineRule="exact"/>
      <w:ind w:firstLine="200" w:firstLineChars="200"/>
    </w:pPr>
    <w:rPr>
      <w:i/>
      <w:iCs/>
      <w:color w:val="000000"/>
      <w:kern w:val="0"/>
      <w:sz w:val="20"/>
    </w:rPr>
  </w:style>
  <w:style w:type="character" w:customStyle="1" w:styleId="217">
    <w:name w:val="正文文本 (31)_"/>
    <w:link w:val="218"/>
    <w:qFormat/>
    <w:uiPriority w:val="0"/>
    <w:rPr>
      <w:rFonts w:ascii="Times New Roman" w:hAnsi="Times New Roman" w:eastAsia="宋体" w:cs="Times New Roman"/>
      <w:shd w:val="clear" w:color="auto" w:fill="FFFFFF"/>
      <w:lang w:eastAsia="en-US"/>
    </w:rPr>
  </w:style>
  <w:style w:type="paragraph" w:customStyle="1" w:styleId="218">
    <w:name w:val="正文文本 (31)"/>
    <w:basedOn w:val="1"/>
    <w:link w:val="217"/>
    <w:qFormat/>
    <w:uiPriority w:val="0"/>
    <w:pPr>
      <w:shd w:val="clear" w:color="auto" w:fill="FFFFFF"/>
      <w:spacing w:line="401" w:lineRule="exact"/>
      <w:ind w:firstLine="500"/>
    </w:pPr>
    <w:rPr>
      <w:kern w:val="0"/>
      <w:sz w:val="20"/>
      <w:szCs w:val="20"/>
      <w:lang w:eastAsia="en-US"/>
    </w:rPr>
  </w:style>
  <w:style w:type="character" w:customStyle="1" w:styleId="219">
    <w:name w:val="正文文本 (30)_"/>
    <w:link w:val="220"/>
    <w:qFormat/>
    <w:uiPriority w:val="0"/>
    <w:rPr>
      <w:rFonts w:ascii="Times New Roman" w:hAnsi="Times New Roman" w:eastAsia="宋体" w:cs="Times New Roman"/>
      <w:shd w:val="clear" w:color="auto" w:fill="FFFFFF"/>
      <w:lang w:eastAsia="en-US"/>
    </w:rPr>
  </w:style>
  <w:style w:type="paragraph" w:customStyle="1" w:styleId="220">
    <w:name w:val="正文文本 (30)"/>
    <w:basedOn w:val="1"/>
    <w:link w:val="219"/>
    <w:qFormat/>
    <w:uiPriority w:val="0"/>
    <w:pPr>
      <w:shd w:val="clear" w:color="auto" w:fill="FFFFFF"/>
      <w:spacing w:before="420" w:line="401" w:lineRule="exact"/>
      <w:ind w:firstLine="500"/>
    </w:pPr>
    <w:rPr>
      <w:kern w:val="0"/>
      <w:sz w:val="20"/>
      <w:szCs w:val="20"/>
      <w:lang w:eastAsia="en-US"/>
    </w:rPr>
  </w:style>
  <w:style w:type="character" w:customStyle="1" w:styleId="221">
    <w:name w:val="正文文本 (31) + CordiaUPC"/>
    <w:qFormat/>
    <w:uiPriority w:val="0"/>
    <w:rPr>
      <w:rFonts w:ascii="CordiaUPC" w:hAnsi="CordiaUPC" w:eastAsia="Times New Roman" w:cs="CordiaUPC"/>
      <w:b/>
      <w:bCs/>
      <w:color w:val="000000"/>
      <w:spacing w:val="0"/>
      <w:w w:val="100"/>
      <w:position w:val="0"/>
      <w:sz w:val="34"/>
      <w:szCs w:val="34"/>
      <w:lang w:val="en-US" w:eastAsia="en-US" w:bidi="ar-SA"/>
    </w:rPr>
  </w:style>
  <w:style w:type="character" w:customStyle="1" w:styleId="222">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223">
    <w:name w:val="Char Char21"/>
    <w:qFormat/>
    <w:uiPriority w:val="0"/>
    <w:rPr>
      <w:rFonts w:ascii="Arial" w:hAnsi="Arial" w:eastAsia="黑体" w:cs="Times New Roman"/>
      <w:b/>
      <w:bCs/>
      <w:sz w:val="32"/>
      <w:szCs w:val="32"/>
    </w:rPr>
  </w:style>
  <w:style w:type="character" w:customStyle="1" w:styleId="224">
    <w:name w:val="不明显强调11"/>
    <w:qFormat/>
    <w:uiPriority w:val="0"/>
    <w:rPr>
      <w:rFonts w:ascii="Times New Roman" w:hAnsi="Times New Roman" w:eastAsia="宋体" w:cs="Times New Roman"/>
      <w:i/>
      <w:iCs/>
      <w:color w:val="808080"/>
    </w:rPr>
  </w:style>
  <w:style w:type="character" w:customStyle="1" w:styleId="225">
    <w:name w:val="标题 #7 (4)_"/>
    <w:link w:val="226"/>
    <w:qFormat/>
    <w:uiPriority w:val="0"/>
    <w:rPr>
      <w:rFonts w:ascii="MingLiU" w:hAnsi="MingLiU" w:eastAsia="MingLiU" w:cs="Times New Roman"/>
      <w:sz w:val="26"/>
      <w:szCs w:val="26"/>
      <w:shd w:val="clear" w:color="auto" w:fill="FFFFFF"/>
    </w:rPr>
  </w:style>
  <w:style w:type="paragraph" w:customStyle="1" w:styleId="226">
    <w:name w:val="标题 #7 (4)"/>
    <w:basedOn w:val="1"/>
    <w:link w:val="225"/>
    <w:qFormat/>
    <w:uiPriority w:val="0"/>
    <w:pPr>
      <w:shd w:val="clear" w:color="auto" w:fill="FFFFFF"/>
      <w:spacing w:after="1020" w:line="240" w:lineRule="atLeast"/>
      <w:jc w:val="left"/>
      <w:outlineLvl w:val="6"/>
    </w:pPr>
    <w:rPr>
      <w:rFonts w:ascii="MingLiU" w:hAnsi="MingLiU" w:eastAsia="MingLiU"/>
      <w:kern w:val="0"/>
      <w:sz w:val="26"/>
      <w:szCs w:val="26"/>
    </w:rPr>
  </w:style>
  <w:style w:type="character" w:customStyle="1" w:styleId="227">
    <w:name w:val="页眉或页脚 + Impact1"/>
    <w:qFormat/>
    <w:uiPriority w:val="0"/>
    <w:rPr>
      <w:rFonts w:ascii="Impact" w:hAnsi="Impact" w:eastAsia="Times New Roman" w:cs="Impact"/>
      <w:color w:val="000000"/>
      <w:spacing w:val="0"/>
      <w:w w:val="100"/>
      <w:position w:val="0"/>
      <w:sz w:val="16"/>
      <w:szCs w:val="16"/>
      <w:u w:val="none"/>
      <w:lang w:val="zh-CN" w:eastAsia="zh-CN" w:bidi="ar-SA"/>
    </w:rPr>
  </w:style>
  <w:style w:type="character" w:customStyle="1" w:styleId="228">
    <w:name w:val="表格标题_"/>
    <w:link w:val="229"/>
    <w:qFormat/>
    <w:uiPriority w:val="0"/>
    <w:rPr>
      <w:rFonts w:ascii="MingLiU" w:hAnsi="MingLiU" w:eastAsia="MingLiU" w:cs="Times New Roman"/>
      <w:shd w:val="clear" w:color="auto" w:fill="FFFFFF"/>
    </w:rPr>
  </w:style>
  <w:style w:type="paragraph" w:customStyle="1" w:styleId="229">
    <w:name w:val="表格标题"/>
    <w:basedOn w:val="1"/>
    <w:link w:val="228"/>
    <w:qFormat/>
    <w:uiPriority w:val="0"/>
    <w:pPr>
      <w:shd w:val="clear" w:color="auto" w:fill="FFFFFF"/>
      <w:spacing w:line="322" w:lineRule="exact"/>
      <w:jc w:val="distribute"/>
    </w:pPr>
    <w:rPr>
      <w:rFonts w:ascii="MingLiU" w:hAnsi="MingLiU" w:eastAsia="MingLiU"/>
      <w:kern w:val="0"/>
      <w:sz w:val="20"/>
      <w:szCs w:val="20"/>
    </w:rPr>
  </w:style>
  <w:style w:type="character" w:customStyle="1" w:styleId="230">
    <w:name w:val="textcontents"/>
    <w:qFormat/>
    <w:uiPriority w:val="0"/>
    <w:rPr>
      <w:rFonts w:ascii="Times New Roman" w:hAnsi="Times New Roman" w:eastAsia="宋体" w:cs="Times New Roman"/>
    </w:rPr>
  </w:style>
  <w:style w:type="character" w:customStyle="1" w:styleId="231">
    <w:name w:val="样式 宋体 小四 加粗 黑色"/>
    <w:qFormat/>
    <w:uiPriority w:val="0"/>
    <w:rPr>
      <w:rFonts w:ascii="宋体" w:hAnsi="宋体" w:eastAsia="宋体" w:cs="Times New Roman"/>
      <w:b/>
      <w:bCs/>
      <w:color w:val="000000"/>
      <w:sz w:val="24"/>
    </w:rPr>
  </w:style>
  <w:style w:type="character" w:customStyle="1" w:styleId="232">
    <w:name w:val="明显引用 Char"/>
    <w:link w:val="233"/>
    <w:qFormat/>
    <w:uiPriority w:val="0"/>
    <w:rPr>
      <w:rFonts w:ascii="Times New Roman" w:hAnsi="Times New Roman" w:eastAsia="宋体" w:cs="Times New Roman"/>
      <w:b/>
      <w:bCs/>
      <w:i/>
      <w:iCs/>
      <w:color w:val="4F81BD"/>
      <w:szCs w:val="24"/>
    </w:rPr>
  </w:style>
  <w:style w:type="paragraph" w:styleId="233">
    <w:name w:val="Intense Quote"/>
    <w:basedOn w:val="1"/>
    <w:next w:val="1"/>
    <w:link w:val="232"/>
    <w:qFormat/>
    <w:uiPriority w:val="0"/>
    <w:pPr>
      <w:pBdr>
        <w:bottom w:val="single" w:color="4F81BD" w:sz="4" w:space="4"/>
      </w:pBdr>
      <w:spacing w:before="200" w:after="280" w:line="360" w:lineRule="exact"/>
      <w:ind w:left="936" w:right="936" w:firstLine="200" w:firstLineChars="200"/>
    </w:pPr>
    <w:rPr>
      <w:b/>
      <w:bCs/>
      <w:i/>
      <w:iCs/>
      <w:color w:val="4F81BD"/>
      <w:kern w:val="0"/>
      <w:sz w:val="20"/>
    </w:rPr>
  </w:style>
  <w:style w:type="character" w:customStyle="1" w:styleId="234">
    <w:name w:val="明显参考11"/>
    <w:qFormat/>
    <w:uiPriority w:val="0"/>
    <w:rPr>
      <w:rFonts w:ascii="Times New Roman" w:hAnsi="Times New Roman" w:eastAsia="宋体" w:cs="Times New Roman"/>
      <w:b/>
      <w:bCs/>
      <w:smallCaps/>
      <w:color w:val="C0504D"/>
      <w:spacing w:val="5"/>
      <w:u w:val="single"/>
    </w:rPr>
  </w:style>
  <w:style w:type="character" w:customStyle="1" w:styleId="235">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236">
    <w:name w:val="目录 (2) + 间距 0 pt"/>
    <w:qFormat/>
    <w:uiPriority w:val="0"/>
    <w:rPr>
      <w:rFonts w:ascii="MingLiU" w:hAnsi="MingLiU" w:eastAsia="MingLiU" w:cs="MingLiU"/>
      <w:color w:val="000000"/>
      <w:spacing w:val="0"/>
      <w:w w:val="100"/>
      <w:position w:val="0"/>
      <w:sz w:val="22"/>
      <w:szCs w:val="22"/>
      <w:u w:val="none"/>
      <w:lang w:val="zh-CN" w:eastAsia="zh-CN"/>
    </w:rPr>
  </w:style>
  <w:style w:type="character" w:customStyle="1" w:styleId="237">
    <w:name w:val="表格标题 (4)_"/>
    <w:link w:val="238"/>
    <w:qFormat/>
    <w:uiPriority w:val="0"/>
    <w:rPr>
      <w:rFonts w:ascii="MingLiU" w:hAnsi="MingLiU" w:eastAsia="MingLiU" w:cs="Times New Roman"/>
      <w:b/>
      <w:bCs/>
      <w:sz w:val="22"/>
      <w:shd w:val="clear" w:color="auto" w:fill="FFFFFF"/>
    </w:rPr>
  </w:style>
  <w:style w:type="paragraph" w:customStyle="1" w:styleId="238">
    <w:name w:val="表格标题 (4)"/>
    <w:basedOn w:val="1"/>
    <w:link w:val="237"/>
    <w:qFormat/>
    <w:uiPriority w:val="0"/>
    <w:pPr>
      <w:shd w:val="clear" w:color="auto" w:fill="FFFFFF"/>
      <w:spacing w:line="240" w:lineRule="atLeast"/>
      <w:jc w:val="left"/>
    </w:pPr>
    <w:rPr>
      <w:rFonts w:ascii="MingLiU" w:hAnsi="MingLiU" w:eastAsia="MingLiU"/>
      <w:b/>
      <w:bCs/>
      <w:kern w:val="0"/>
      <w:sz w:val="22"/>
      <w:szCs w:val="20"/>
    </w:rPr>
  </w:style>
  <w:style w:type="character" w:customStyle="1" w:styleId="239">
    <w:name w:val="标题 Char2"/>
    <w:qFormat/>
    <w:uiPriority w:val="0"/>
    <w:rPr>
      <w:rFonts w:ascii="Cambria" w:hAnsi="Cambria" w:eastAsia="宋体" w:cs="Times New Roman"/>
      <w:b/>
      <w:bCs/>
      <w:sz w:val="32"/>
      <w:szCs w:val="32"/>
    </w:rPr>
  </w:style>
  <w:style w:type="character" w:customStyle="1" w:styleId="240">
    <w:name w:val="正文文本 (2) + 间距 2 pt1"/>
    <w:qFormat/>
    <w:uiPriority w:val="0"/>
    <w:rPr>
      <w:rFonts w:ascii="MingLiU" w:hAnsi="MingLiU" w:eastAsia="MingLiU" w:cs="MingLiU"/>
      <w:color w:val="000000"/>
      <w:spacing w:val="50"/>
      <w:w w:val="100"/>
      <w:position w:val="0"/>
      <w:sz w:val="22"/>
      <w:szCs w:val="22"/>
      <w:u w:val="none"/>
      <w:shd w:val="clear" w:color="auto" w:fill="FFFFFF"/>
      <w:lang w:val="zh-CN" w:eastAsia="zh-CN"/>
    </w:rPr>
  </w:style>
  <w:style w:type="character" w:customStyle="1" w:styleId="241">
    <w:name w:val="T10 Char"/>
    <w:link w:val="242"/>
    <w:qFormat/>
    <w:uiPriority w:val="0"/>
    <w:rPr>
      <w:rFonts w:ascii="宋体" w:hAnsi="宋体" w:eastAsia="宋体" w:cs="Times New Roman"/>
      <w:b/>
      <w:sz w:val="28"/>
    </w:rPr>
  </w:style>
  <w:style w:type="paragraph" w:customStyle="1" w:styleId="242">
    <w:name w:val="T10"/>
    <w:basedOn w:val="1"/>
    <w:link w:val="241"/>
    <w:qFormat/>
    <w:uiPriority w:val="0"/>
    <w:pPr>
      <w:adjustRightInd w:val="0"/>
      <w:spacing w:line="500" w:lineRule="exact"/>
      <w:ind w:left="10" w:leftChars="5" w:firstLine="561" w:firstLineChars="200"/>
      <w:jc w:val="center"/>
      <w:textAlignment w:val="baseline"/>
    </w:pPr>
    <w:rPr>
      <w:rFonts w:ascii="宋体" w:hAnsi="宋体"/>
      <w:b/>
      <w:kern w:val="0"/>
      <w:sz w:val="28"/>
      <w:szCs w:val="20"/>
    </w:rPr>
  </w:style>
  <w:style w:type="character" w:customStyle="1" w:styleId="243">
    <w:name w:val="标题 #8 + 间距 0 pt"/>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244">
    <w:name w:val="引用 Char1"/>
    <w:qFormat/>
    <w:uiPriority w:val="0"/>
    <w:rPr>
      <w:rFonts w:ascii="Times New Roman" w:hAnsi="Times New Roman" w:eastAsia="宋体" w:cs="Times New Roman"/>
      <w:i/>
      <w:iCs/>
      <w:color w:val="000000"/>
      <w:szCs w:val="24"/>
    </w:rPr>
  </w:style>
  <w:style w:type="character" w:customStyle="1" w:styleId="245">
    <w:name w:val="Char Char2"/>
    <w:qFormat/>
    <w:uiPriority w:val="0"/>
    <w:rPr>
      <w:rFonts w:ascii="宋体" w:hAnsi="Courier New" w:eastAsia="宋体" w:cs="Times New Roman"/>
      <w:kern w:val="2"/>
      <w:sz w:val="21"/>
      <w:szCs w:val="24"/>
      <w:lang w:val="en-US" w:eastAsia="zh-CN" w:bidi="ar-SA"/>
    </w:rPr>
  </w:style>
  <w:style w:type="character" w:customStyle="1" w:styleId="246">
    <w:name w:val="样式5 Char Char"/>
    <w:link w:val="247"/>
    <w:qFormat/>
    <w:uiPriority w:val="0"/>
    <w:rPr>
      <w:rFonts w:ascii="Times New Roman" w:hAnsi="Times New Roman" w:eastAsia="宋体" w:cs="Times New Roman"/>
      <w:szCs w:val="24"/>
    </w:rPr>
  </w:style>
  <w:style w:type="paragraph" w:customStyle="1" w:styleId="247">
    <w:name w:val="样式5"/>
    <w:basedOn w:val="1"/>
    <w:next w:val="248"/>
    <w:link w:val="246"/>
    <w:qFormat/>
    <w:uiPriority w:val="0"/>
    <w:pPr>
      <w:spacing w:line="360" w:lineRule="exact"/>
    </w:pPr>
    <w:rPr>
      <w:kern w:val="0"/>
      <w:sz w:val="20"/>
    </w:rPr>
  </w:style>
  <w:style w:type="paragraph" w:customStyle="1" w:styleId="248">
    <w:name w:val="样式2"/>
    <w:basedOn w:val="2"/>
    <w:link w:val="249"/>
    <w:qFormat/>
    <w:uiPriority w:val="0"/>
    <w:pPr>
      <w:wordWrap w:val="0"/>
      <w:spacing w:after="0" w:line="440" w:lineRule="exact"/>
      <w:ind w:firstLine="480" w:firstLineChars="200"/>
    </w:pPr>
    <w:rPr>
      <w:rFonts w:ascii="宋体" w:hAnsi="宋体"/>
      <w:sz w:val="24"/>
      <w:szCs w:val="84"/>
    </w:rPr>
  </w:style>
  <w:style w:type="character" w:customStyle="1" w:styleId="249">
    <w:name w:val="样式2 Char Char"/>
    <w:link w:val="248"/>
    <w:qFormat/>
    <w:uiPriority w:val="0"/>
    <w:rPr>
      <w:rFonts w:ascii="宋体" w:hAnsi="宋体" w:eastAsia="宋体" w:cs="Times New Roman"/>
      <w:sz w:val="24"/>
      <w:szCs w:val="84"/>
    </w:rPr>
  </w:style>
  <w:style w:type="character" w:customStyle="1" w:styleId="250">
    <w:name w:val="Header Char"/>
    <w:qFormat/>
    <w:uiPriority w:val="0"/>
    <w:rPr>
      <w:rFonts w:ascii="Times New Roman" w:hAnsi="Times New Roman" w:eastAsia="宋体" w:cs="Times New Roman"/>
      <w:kern w:val="2"/>
      <w:sz w:val="18"/>
      <w:szCs w:val="18"/>
      <w:lang w:val="en-US" w:eastAsia="zh-CN" w:bidi="ar-SA"/>
    </w:rPr>
  </w:style>
  <w:style w:type="character" w:customStyle="1" w:styleId="251">
    <w:name w:val="文档结构图 Char1"/>
    <w:qFormat/>
    <w:uiPriority w:val="0"/>
    <w:rPr>
      <w:rFonts w:ascii="宋体" w:hAnsi="Times New Roman" w:eastAsia="宋体" w:cs="Times New Roman"/>
      <w:sz w:val="18"/>
      <w:szCs w:val="18"/>
    </w:rPr>
  </w:style>
  <w:style w:type="character" w:customStyle="1" w:styleId="252">
    <w:name w:val="明显强调11"/>
    <w:qFormat/>
    <w:uiPriority w:val="0"/>
    <w:rPr>
      <w:rFonts w:ascii="Times New Roman" w:hAnsi="Times New Roman" w:eastAsia="宋体" w:cs="Times New Roman"/>
      <w:b/>
      <w:bCs/>
      <w:i/>
      <w:iCs/>
      <w:color w:val="4F81BD"/>
    </w:rPr>
  </w:style>
  <w:style w:type="character" w:customStyle="1" w:styleId="253">
    <w:name w:val="正文文本 (19)_"/>
    <w:link w:val="254"/>
    <w:qFormat/>
    <w:uiPriority w:val="0"/>
    <w:rPr>
      <w:rFonts w:ascii="MingLiU" w:hAnsi="MingLiU" w:eastAsia="MingLiU" w:cs="MingLiU"/>
      <w:b/>
      <w:bCs/>
      <w:spacing w:val="10"/>
      <w:sz w:val="22"/>
      <w:shd w:val="clear" w:color="auto" w:fill="FFFFFF"/>
    </w:rPr>
  </w:style>
  <w:style w:type="paragraph" w:customStyle="1" w:styleId="254">
    <w:name w:val="正文文本 (19)"/>
    <w:basedOn w:val="1"/>
    <w:link w:val="253"/>
    <w:qFormat/>
    <w:uiPriority w:val="0"/>
    <w:pPr>
      <w:shd w:val="clear" w:color="auto" w:fill="FFFFFF"/>
      <w:spacing w:line="559" w:lineRule="exact"/>
      <w:jc w:val="left"/>
    </w:pPr>
    <w:rPr>
      <w:rFonts w:ascii="MingLiU" w:hAnsi="MingLiU" w:eastAsia="MingLiU"/>
      <w:b/>
      <w:bCs/>
      <w:spacing w:val="10"/>
      <w:kern w:val="0"/>
      <w:sz w:val="22"/>
      <w:szCs w:val="20"/>
    </w:rPr>
  </w:style>
  <w:style w:type="character" w:customStyle="1" w:styleId="255">
    <w:name w:val="标题 3 Char Char Char"/>
    <w:qFormat/>
    <w:uiPriority w:val="0"/>
    <w:rPr>
      <w:rFonts w:ascii="Times New Roman" w:hAnsi="Times New Roman" w:eastAsia="宋体" w:cs="Times New Roman"/>
      <w:b/>
      <w:bCs/>
      <w:kern w:val="2"/>
      <w:sz w:val="32"/>
      <w:szCs w:val="32"/>
      <w:lang w:val="en-US" w:eastAsia="zh-CN" w:bidi="ar-SA"/>
    </w:rPr>
  </w:style>
  <w:style w:type="character" w:customStyle="1" w:styleId="256">
    <w:name w:val="批注文字 Char Char"/>
    <w:qFormat/>
    <w:uiPriority w:val="0"/>
    <w:rPr>
      <w:rFonts w:ascii="宋体" w:hAnsi="Times New Roman" w:eastAsia="宋体" w:cs="Times New Roman"/>
      <w:sz w:val="28"/>
      <w:szCs w:val="20"/>
    </w:rPr>
  </w:style>
  <w:style w:type="character" w:customStyle="1" w:styleId="257">
    <w:name w:val="Heading 1 Char"/>
    <w:qFormat/>
    <w:uiPriority w:val="0"/>
    <w:rPr>
      <w:rFonts w:ascii="Times New Roman" w:hAnsi="Times New Roman" w:eastAsia="宋体" w:cs="Times New Roman"/>
      <w:b/>
      <w:bCs/>
      <w:kern w:val="44"/>
      <w:sz w:val="32"/>
      <w:szCs w:val="44"/>
      <w:lang w:val="en-US" w:eastAsia="zh-CN" w:bidi="ar-SA"/>
    </w:rPr>
  </w:style>
  <w:style w:type="character" w:customStyle="1" w:styleId="258">
    <w:name w:val="样式 Char"/>
    <w:qFormat/>
    <w:uiPriority w:val="0"/>
    <w:rPr>
      <w:rFonts w:ascii="宋体" w:hAnsi="宋体" w:eastAsia="宋体" w:cs="宋体"/>
      <w:sz w:val="24"/>
      <w:szCs w:val="24"/>
      <w:lang w:val="en-US" w:eastAsia="zh-CN" w:bidi="ar-SA"/>
    </w:rPr>
  </w:style>
  <w:style w:type="character" w:customStyle="1" w:styleId="259">
    <w:name w:val="Document Map Char"/>
    <w:qFormat/>
    <w:uiPriority w:val="0"/>
    <w:rPr>
      <w:rFonts w:ascii="Times New Roman" w:hAnsi="Times New Roman" w:eastAsia="宋体" w:cs="Times New Roman"/>
      <w:kern w:val="2"/>
      <w:sz w:val="21"/>
      <w:szCs w:val="24"/>
      <w:lang w:val="en-US" w:eastAsia="zh-CN" w:bidi="ar-SA"/>
    </w:rPr>
  </w:style>
  <w:style w:type="character" w:customStyle="1" w:styleId="260">
    <w:name w:val="正文文本 (2) + 间距 3 pt"/>
    <w:qFormat/>
    <w:uiPriority w:val="0"/>
    <w:rPr>
      <w:rFonts w:ascii="MingLiU" w:hAnsi="MingLiU" w:eastAsia="MingLiU" w:cs="MingLiU"/>
      <w:color w:val="000000"/>
      <w:spacing w:val="60"/>
      <w:w w:val="100"/>
      <w:position w:val="0"/>
      <w:sz w:val="22"/>
      <w:szCs w:val="22"/>
      <w:u w:val="none"/>
      <w:shd w:val="clear" w:color="auto" w:fill="FFFFFF"/>
      <w:lang w:val="zh-CN" w:eastAsia="zh-CN"/>
    </w:rPr>
  </w:style>
  <w:style w:type="character" w:customStyle="1" w:styleId="261">
    <w:name w:val="标题 Char1"/>
    <w:qFormat/>
    <w:uiPriority w:val="0"/>
    <w:rPr>
      <w:rFonts w:ascii="Cambria" w:hAnsi="Cambria" w:eastAsia="宋体" w:cs="Times New Roman"/>
      <w:b/>
      <w:bCs/>
      <w:sz w:val="32"/>
      <w:szCs w:val="32"/>
    </w:rPr>
  </w:style>
  <w:style w:type="character" w:customStyle="1" w:styleId="262">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263">
    <w:name w:val="style1"/>
    <w:basedOn w:val="54"/>
    <w:qFormat/>
    <w:uiPriority w:val="0"/>
    <w:rPr>
      <w:rFonts w:ascii="Times New Roman" w:hAnsi="Times New Roman" w:eastAsia="宋体" w:cs="Times New Roman"/>
    </w:rPr>
  </w:style>
  <w:style w:type="character" w:customStyle="1" w:styleId="264">
    <w:name w:val="正文文本 (2) + 4 pt1"/>
    <w:qFormat/>
    <w:uiPriority w:val="0"/>
    <w:rPr>
      <w:rFonts w:ascii="MingLiU" w:hAnsi="MingLiU" w:eastAsia="MingLiU" w:cs="MingLiU"/>
      <w:color w:val="000000"/>
      <w:spacing w:val="0"/>
      <w:w w:val="100"/>
      <w:position w:val="0"/>
      <w:sz w:val="8"/>
      <w:szCs w:val="8"/>
      <w:u w:val="none"/>
      <w:shd w:val="clear" w:color="auto" w:fill="FFFFFF"/>
      <w:lang w:val="zh-CN" w:eastAsia="zh-CN"/>
    </w:rPr>
  </w:style>
  <w:style w:type="character" w:customStyle="1" w:styleId="265">
    <w:name w:val="正文文本 (2) + 10 pt34"/>
    <w:qFormat/>
    <w:uiPriority w:val="0"/>
    <w:rPr>
      <w:rFonts w:ascii="MingLiU" w:hAnsi="MingLiU" w:eastAsia="MingLiU" w:cs="MingLiU"/>
      <w:color w:val="000000"/>
      <w:spacing w:val="140"/>
      <w:w w:val="100"/>
      <w:position w:val="0"/>
      <w:sz w:val="20"/>
      <w:szCs w:val="20"/>
      <w:u w:val="none"/>
      <w:shd w:val="clear" w:color="auto" w:fill="FFFFFF"/>
      <w:lang w:val="zh-CN" w:eastAsia="zh-CN"/>
    </w:rPr>
  </w:style>
  <w:style w:type="character" w:customStyle="1" w:styleId="266">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267">
    <w:name w:val="页眉或页脚_"/>
    <w:link w:val="268"/>
    <w:qFormat/>
    <w:uiPriority w:val="0"/>
    <w:rPr>
      <w:rFonts w:ascii="MingLiU" w:hAnsi="MingLiU" w:eastAsia="MingLiU" w:cs="Times New Roman"/>
      <w:spacing w:val="10"/>
      <w:shd w:val="clear" w:color="auto" w:fill="FFFFFF"/>
    </w:rPr>
  </w:style>
  <w:style w:type="paragraph" w:customStyle="1" w:styleId="268">
    <w:name w:val="页眉或页脚1"/>
    <w:basedOn w:val="1"/>
    <w:link w:val="267"/>
    <w:qFormat/>
    <w:uiPriority w:val="0"/>
    <w:pPr>
      <w:shd w:val="clear" w:color="auto" w:fill="FFFFFF"/>
      <w:spacing w:line="240" w:lineRule="atLeast"/>
      <w:jc w:val="left"/>
    </w:pPr>
    <w:rPr>
      <w:rFonts w:ascii="MingLiU" w:hAnsi="MingLiU" w:eastAsia="MingLiU"/>
      <w:spacing w:val="10"/>
      <w:kern w:val="0"/>
      <w:sz w:val="20"/>
      <w:szCs w:val="20"/>
    </w:rPr>
  </w:style>
  <w:style w:type="character" w:customStyle="1" w:styleId="269">
    <w:name w:val="批注文字 Char2"/>
    <w:qFormat/>
    <w:uiPriority w:val="0"/>
    <w:rPr>
      <w:rFonts w:ascii="Times New Roman" w:hAnsi="Times New Roman" w:eastAsia="宋体" w:cs="Times New Roman"/>
      <w:kern w:val="2"/>
      <w:sz w:val="21"/>
      <w:szCs w:val="24"/>
    </w:rPr>
  </w:style>
  <w:style w:type="character" w:customStyle="1" w:styleId="270">
    <w:name w:val="明显引用 Char1"/>
    <w:qFormat/>
    <w:uiPriority w:val="0"/>
    <w:rPr>
      <w:rFonts w:ascii="Times New Roman" w:hAnsi="Times New Roman" w:eastAsia="宋体" w:cs="Times New Roman"/>
      <w:b/>
      <w:bCs/>
      <w:i/>
      <w:iCs/>
      <w:color w:val="4F81BD"/>
      <w:szCs w:val="24"/>
    </w:rPr>
  </w:style>
  <w:style w:type="character" w:customStyle="1" w:styleId="271">
    <w:name w:val="font5 Char"/>
    <w:qFormat/>
    <w:uiPriority w:val="0"/>
    <w:rPr>
      <w:rFonts w:ascii="宋体" w:hAnsi="宋体" w:eastAsia="宋体" w:cs="Times New Roman"/>
      <w:sz w:val="24"/>
      <w:szCs w:val="24"/>
      <w:lang w:val="en-US" w:eastAsia="zh-CN" w:bidi="ar-SA"/>
    </w:rPr>
  </w:style>
  <w:style w:type="character" w:customStyle="1" w:styleId="272">
    <w:name w:val="批注文字 Char1"/>
    <w:qFormat/>
    <w:uiPriority w:val="0"/>
    <w:rPr>
      <w:rFonts w:ascii="Times New Roman" w:hAnsi="Times New Roman" w:eastAsia="宋体" w:cs="Times New Roman"/>
      <w:szCs w:val="24"/>
    </w:rPr>
  </w:style>
  <w:style w:type="character" w:customStyle="1" w:styleId="273">
    <w:name w:val="不明显参考2"/>
    <w:qFormat/>
    <w:uiPriority w:val="0"/>
    <w:rPr>
      <w:rFonts w:ascii="Times New Roman" w:hAnsi="Times New Roman" w:eastAsia="宋体" w:cs="Times New Roman"/>
      <w:smallCaps/>
      <w:color w:val="C0504D"/>
      <w:u w:val="single"/>
    </w:rPr>
  </w:style>
  <w:style w:type="character" w:customStyle="1" w:styleId="274">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character" w:customStyle="1" w:styleId="275">
    <w:name w:val="op-map-singlepoint-info-right"/>
    <w:basedOn w:val="54"/>
    <w:qFormat/>
    <w:uiPriority w:val="0"/>
    <w:rPr>
      <w:rFonts w:ascii="Times New Roman" w:hAnsi="Times New Roman" w:eastAsia="宋体" w:cs="Times New Roman"/>
    </w:rPr>
  </w:style>
  <w:style w:type="character" w:customStyle="1" w:styleId="276">
    <w:name w:val="标题 Char3"/>
    <w:qFormat/>
    <w:uiPriority w:val="0"/>
    <w:rPr>
      <w:rFonts w:ascii="Cambria" w:hAnsi="Cambria" w:eastAsia="宋体" w:cs="Times New Roman"/>
      <w:b/>
      <w:bCs/>
      <w:kern w:val="2"/>
      <w:sz w:val="32"/>
      <w:szCs w:val="32"/>
    </w:rPr>
  </w:style>
  <w:style w:type="character" w:customStyle="1" w:styleId="277">
    <w:name w:val="页眉或页脚 + 间距 0 pt"/>
    <w:qFormat/>
    <w:uiPriority w:val="0"/>
    <w:rPr>
      <w:rFonts w:ascii="MingLiU" w:hAnsi="MingLiU" w:eastAsia="MingLiU" w:cs="MingLiU"/>
      <w:color w:val="000000"/>
      <w:spacing w:val="0"/>
      <w:w w:val="100"/>
      <w:position w:val="0"/>
      <w:sz w:val="20"/>
      <w:szCs w:val="20"/>
      <w:u w:val="none"/>
      <w:lang w:val="zh-CN" w:eastAsia="zh-CN" w:bidi="ar-SA"/>
    </w:rPr>
  </w:style>
  <w:style w:type="character" w:customStyle="1" w:styleId="278">
    <w:name w:val="页眉或页脚 + 间距 1 pt1"/>
    <w:qFormat/>
    <w:uiPriority w:val="0"/>
    <w:rPr>
      <w:rFonts w:ascii="MingLiU" w:hAnsi="MingLiU" w:eastAsia="MingLiU" w:cs="MingLiU"/>
      <w:color w:val="000000"/>
      <w:spacing w:val="30"/>
      <w:w w:val="100"/>
      <w:position w:val="0"/>
      <w:sz w:val="20"/>
      <w:szCs w:val="20"/>
      <w:u w:val="none"/>
      <w:lang w:val="zh-CN" w:eastAsia="zh-CN" w:bidi="ar-SA"/>
    </w:rPr>
  </w:style>
  <w:style w:type="character" w:customStyle="1" w:styleId="279">
    <w:name w:val="样式6 Char Char"/>
    <w:link w:val="280"/>
    <w:qFormat/>
    <w:uiPriority w:val="0"/>
    <w:rPr>
      <w:rFonts w:ascii="Times New Roman" w:hAnsi="Times New Roman" w:eastAsia="宋体" w:cs="Times New Roman"/>
      <w:sz w:val="18"/>
      <w:szCs w:val="18"/>
    </w:rPr>
  </w:style>
  <w:style w:type="paragraph" w:customStyle="1" w:styleId="280">
    <w:name w:val="样式6"/>
    <w:basedOn w:val="33"/>
    <w:next w:val="281"/>
    <w:link w:val="279"/>
    <w:qFormat/>
    <w:uiPriority w:val="0"/>
    <w:pPr>
      <w:pBdr>
        <w:bottom w:val="none" w:color="auto" w:sz="0" w:space="0"/>
      </w:pBdr>
      <w:spacing w:line="360" w:lineRule="exact"/>
      <w:ind w:firstLine="200" w:firstLineChars="200"/>
    </w:pPr>
  </w:style>
  <w:style w:type="paragraph" w:customStyle="1" w:styleId="281">
    <w:name w:val="样式1"/>
    <w:basedOn w:val="33"/>
    <w:next w:val="1"/>
    <w:link w:val="282"/>
    <w:qFormat/>
    <w:uiPriority w:val="0"/>
    <w:pPr>
      <w:pBdr>
        <w:bottom w:val="none" w:color="auto" w:sz="0" w:space="0"/>
      </w:pBdr>
      <w:spacing w:line="360" w:lineRule="auto"/>
      <w:ind w:right="-876" w:rightChars="-417"/>
    </w:pPr>
    <w:rPr>
      <w:rFonts w:eastAsia="黑体"/>
      <w:b/>
      <w:sz w:val="44"/>
    </w:rPr>
  </w:style>
  <w:style w:type="character" w:customStyle="1" w:styleId="282">
    <w:name w:val="样式1 Char Char"/>
    <w:link w:val="281"/>
    <w:qFormat/>
    <w:uiPriority w:val="0"/>
    <w:rPr>
      <w:rFonts w:ascii="Times New Roman" w:hAnsi="Times New Roman" w:eastAsia="黑体" w:cs="Times New Roman"/>
      <w:b/>
      <w:sz w:val="44"/>
      <w:szCs w:val="18"/>
    </w:rPr>
  </w:style>
  <w:style w:type="character" w:customStyle="1" w:styleId="283">
    <w:name w:val="正文文本 (15)_"/>
    <w:link w:val="284"/>
    <w:qFormat/>
    <w:uiPriority w:val="0"/>
    <w:rPr>
      <w:rFonts w:ascii="MingLiU" w:hAnsi="MingLiU" w:eastAsia="MingLiU" w:cs="Times New Roman"/>
      <w:b/>
      <w:bCs/>
      <w:sz w:val="28"/>
      <w:szCs w:val="28"/>
      <w:shd w:val="clear" w:color="auto" w:fill="FFFFFF"/>
    </w:rPr>
  </w:style>
  <w:style w:type="paragraph" w:customStyle="1" w:styleId="284">
    <w:name w:val="正文文本 (15)"/>
    <w:basedOn w:val="1"/>
    <w:link w:val="283"/>
    <w:qFormat/>
    <w:uiPriority w:val="0"/>
    <w:pPr>
      <w:shd w:val="clear" w:color="auto" w:fill="FFFFFF"/>
      <w:spacing w:before="120" w:after="420" w:line="240" w:lineRule="atLeast"/>
      <w:jc w:val="distribute"/>
    </w:pPr>
    <w:rPr>
      <w:rFonts w:ascii="MingLiU" w:hAnsi="MingLiU" w:eastAsia="MingLiU"/>
      <w:b/>
      <w:bCs/>
      <w:kern w:val="0"/>
      <w:sz w:val="28"/>
      <w:szCs w:val="28"/>
    </w:rPr>
  </w:style>
  <w:style w:type="character" w:customStyle="1" w:styleId="285">
    <w:name w:val="样式 Char Char"/>
    <w:qFormat/>
    <w:uiPriority w:val="0"/>
    <w:rPr>
      <w:rFonts w:ascii="宋体" w:hAnsi="宋体" w:eastAsia="宋体" w:cs="宋体"/>
      <w:sz w:val="24"/>
      <w:szCs w:val="24"/>
      <w:lang w:val="en-US" w:eastAsia="zh-CN" w:bidi="ar-SA"/>
    </w:rPr>
  </w:style>
  <w:style w:type="character" w:customStyle="1" w:styleId="286">
    <w:name w:val="NormalCharacter"/>
    <w:qFormat/>
    <w:uiPriority w:val="0"/>
    <w:rPr>
      <w:rFonts w:ascii="Times New Roman" w:hAnsi="Times New Roman" w:eastAsia="宋体" w:cs="Times New Roman"/>
    </w:rPr>
  </w:style>
  <w:style w:type="character" w:customStyle="1" w:styleId="287">
    <w:name w:val="脚注文本 Char2"/>
    <w:qFormat/>
    <w:uiPriority w:val="0"/>
    <w:rPr>
      <w:rFonts w:ascii="Times New Roman" w:hAnsi="Times New Roman" w:eastAsia="宋体" w:cs="Times New Roman"/>
      <w:kern w:val="2"/>
      <w:sz w:val="18"/>
      <w:szCs w:val="18"/>
    </w:rPr>
  </w:style>
  <w:style w:type="character" w:customStyle="1" w:styleId="288">
    <w:name w:val="页脚 Char1"/>
    <w:qFormat/>
    <w:uiPriority w:val="0"/>
    <w:rPr>
      <w:rFonts w:ascii="Times New Roman" w:hAnsi="Times New Roman" w:eastAsia="宋体" w:cs="Times New Roman"/>
      <w:sz w:val="18"/>
      <w:szCs w:val="18"/>
    </w:rPr>
  </w:style>
  <w:style w:type="character" w:customStyle="1" w:styleId="289">
    <w:name w:val="正文文本 (2) + 间距 -1 pt"/>
    <w:qFormat/>
    <w:uiPriority w:val="0"/>
    <w:rPr>
      <w:rFonts w:ascii="MingLiU" w:hAnsi="MingLiU" w:eastAsia="MingLiU" w:cs="MingLiU"/>
      <w:color w:val="000000"/>
      <w:spacing w:val="-20"/>
      <w:w w:val="100"/>
      <w:position w:val="0"/>
      <w:sz w:val="22"/>
      <w:szCs w:val="22"/>
      <w:u w:val="none"/>
      <w:shd w:val="clear" w:color="auto" w:fill="FFFFFF"/>
      <w:lang w:val="zh-CN" w:eastAsia="zh-CN" w:bidi="zh-CN"/>
    </w:rPr>
  </w:style>
  <w:style w:type="character" w:customStyle="1" w:styleId="290">
    <w:name w:val="正文文本 (2) + 间距 0 pt"/>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character" w:customStyle="1" w:styleId="291">
    <w:name w:val="正文文本 (2)_"/>
    <w:link w:val="292"/>
    <w:qFormat/>
    <w:uiPriority w:val="0"/>
    <w:rPr>
      <w:rFonts w:ascii="MingLiU" w:hAnsi="MingLiU" w:eastAsia="MingLiU" w:cs="MingLiU"/>
      <w:spacing w:val="20"/>
      <w:sz w:val="22"/>
      <w:shd w:val="clear" w:color="auto" w:fill="FFFFFF"/>
    </w:rPr>
  </w:style>
  <w:style w:type="paragraph" w:customStyle="1" w:styleId="292">
    <w:name w:val="正文文本 (2)4"/>
    <w:basedOn w:val="1"/>
    <w:link w:val="291"/>
    <w:qFormat/>
    <w:uiPriority w:val="0"/>
    <w:pPr>
      <w:shd w:val="clear" w:color="auto" w:fill="FFFFFF"/>
      <w:spacing w:before="300" w:line="439" w:lineRule="exact"/>
      <w:jc w:val="distribute"/>
    </w:pPr>
    <w:rPr>
      <w:rFonts w:ascii="MingLiU" w:hAnsi="MingLiU" w:eastAsia="MingLiU"/>
      <w:spacing w:val="20"/>
      <w:kern w:val="0"/>
      <w:sz w:val="22"/>
      <w:szCs w:val="20"/>
    </w:rPr>
  </w:style>
  <w:style w:type="character" w:customStyle="1" w:styleId="293">
    <w:name w:val="正文文本 (14) + Times New Roman"/>
    <w:qFormat/>
    <w:uiPriority w:val="0"/>
    <w:rPr>
      <w:rFonts w:ascii="Times New Roman" w:hAnsi="Times New Roman" w:eastAsia="MingLiU" w:cs="Times New Roman"/>
      <w:color w:val="000000"/>
      <w:spacing w:val="0"/>
      <w:w w:val="100"/>
      <w:position w:val="0"/>
      <w:sz w:val="24"/>
      <w:szCs w:val="24"/>
      <w:u w:val="none"/>
      <w:shd w:val="clear" w:color="auto" w:fill="FFFFFF"/>
      <w:lang w:val="en-US" w:eastAsia="en-US"/>
    </w:rPr>
  </w:style>
  <w:style w:type="character" w:customStyle="1" w:styleId="294">
    <w:name w:val="Char Char24"/>
    <w:qFormat/>
    <w:uiPriority w:val="0"/>
    <w:rPr>
      <w:rFonts w:ascii="Times New Roman" w:hAnsi="Times New Roman" w:eastAsia="宋体" w:cs="Times New Roman"/>
      <w:b/>
      <w:bCs/>
      <w:kern w:val="44"/>
      <w:sz w:val="32"/>
      <w:szCs w:val="44"/>
      <w:lang w:val="en-US" w:eastAsia="zh-CN" w:bidi="ar-SA"/>
    </w:rPr>
  </w:style>
  <w:style w:type="character" w:customStyle="1" w:styleId="295">
    <w:name w:val="Char Char23"/>
    <w:qFormat/>
    <w:uiPriority w:val="0"/>
    <w:rPr>
      <w:rFonts w:ascii="Times New Roman" w:hAnsi="Times New Roman" w:eastAsia="宋体" w:cs="Times New Roman"/>
      <w:b/>
      <w:bCs/>
      <w:kern w:val="44"/>
      <w:sz w:val="32"/>
      <w:szCs w:val="44"/>
      <w:lang w:val="en-US" w:eastAsia="zh-CN" w:bidi="ar-SA"/>
    </w:rPr>
  </w:style>
  <w:style w:type="character" w:customStyle="1" w:styleId="296">
    <w:name w:val="Char Char19"/>
    <w:qFormat/>
    <w:uiPriority w:val="0"/>
    <w:rPr>
      <w:rFonts w:ascii="Arial" w:hAnsi="Arial" w:eastAsia="宋体" w:cs="Times New Roman"/>
      <w:b/>
      <w:bCs/>
      <w:szCs w:val="28"/>
    </w:rPr>
  </w:style>
  <w:style w:type="character" w:customStyle="1" w:styleId="297">
    <w:name w:val="不明显参考21"/>
    <w:qFormat/>
    <w:uiPriority w:val="0"/>
    <w:rPr>
      <w:rFonts w:ascii="Times New Roman" w:hAnsi="Times New Roman" w:eastAsia="宋体" w:cs="Times New Roman"/>
      <w:smallCaps/>
      <w:color w:val="C0504D"/>
      <w:u w:val="single"/>
    </w:rPr>
  </w:style>
  <w:style w:type="character" w:customStyle="1" w:styleId="298">
    <w:name w:val="书籍标题11"/>
    <w:qFormat/>
    <w:uiPriority w:val="0"/>
    <w:rPr>
      <w:rFonts w:ascii="Times New Roman" w:hAnsi="Times New Roman" w:eastAsia="宋体" w:cs="Times New Roman"/>
      <w:b/>
      <w:bCs/>
      <w:smallCaps/>
      <w:spacing w:val="5"/>
    </w:rPr>
  </w:style>
  <w:style w:type="character" w:customStyle="1" w:styleId="299">
    <w:name w:val="Heading 2 Char"/>
    <w:qFormat/>
    <w:uiPriority w:val="0"/>
    <w:rPr>
      <w:rFonts w:ascii="Arial" w:hAnsi="Arial" w:eastAsia="黑体" w:cs="Times New Roman"/>
      <w:b/>
      <w:bCs/>
      <w:kern w:val="2"/>
      <w:sz w:val="32"/>
      <w:szCs w:val="32"/>
      <w:lang w:val="en-US" w:eastAsia="zh-CN" w:bidi="ar-SA"/>
    </w:rPr>
  </w:style>
  <w:style w:type="character" w:customStyle="1" w:styleId="300">
    <w:name w:val="Title Char"/>
    <w:qFormat/>
    <w:uiPriority w:val="0"/>
    <w:rPr>
      <w:rFonts w:ascii="Cambria" w:hAnsi="Cambria" w:eastAsia="宋体" w:cs="Times New Roman"/>
      <w:b/>
      <w:sz w:val="32"/>
      <w:lang w:bidi="ar-SA"/>
    </w:rPr>
  </w:style>
  <w:style w:type="character" w:customStyle="1" w:styleId="301">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character" w:customStyle="1" w:styleId="302">
    <w:name w:val="明显参考3"/>
    <w:qFormat/>
    <w:uiPriority w:val="0"/>
    <w:rPr>
      <w:rFonts w:ascii="Times New Roman" w:hAnsi="Times New Roman" w:eastAsia="宋体" w:cs="Times New Roman"/>
      <w:b/>
      <w:bCs/>
      <w:smallCaps/>
      <w:color w:val="C0504D"/>
      <w:spacing w:val="5"/>
      <w:u w:val="single"/>
    </w:rPr>
  </w:style>
  <w:style w:type="character" w:customStyle="1" w:styleId="303">
    <w:name w:val="副标题 Char1"/>
    <w:qFormat/>
    <w:uiPriority w:val="0"/>
    <w:rPr>
      <w:rFonts w:ascii="Cambria" w:hAnsi="Cambria" w:eastAsia="宋体" w:cs="Times New Roman"/>
      <w:b/>
      <w:bCs/>
      <w:kern w:val="28"/>
      <w:sz w:val="32"/>
      <w:szCs w:val="32"/>
    </w:rPr>
  </w:style>
  <w:style w:type="character" w:customStyle="1" w:styleId="304">
    <w:name w:val="普通文字 Char Char5"/>
    <w:qFormat/>
    <w:uiPriority w:val="0"/>
    <w:rPr>
      <w:rFonts w:ascii="宋体" w:hAnsi="Courier New" w:eastAsia="宋体" w:cs="Times New Roman"/>
      <w:szCs w:val="21"/>
      <w:lang w:bidi="ar-SA"/>
    </w:rPr>
  </w:style>
  <w:style w:type="character" w:customStyle="1" w:styleId="305">
    <w:name w:val="Heading 5 Char"/>
    <w:qFormat/>
    <w:uiPriority w:val="0"/>
    <w:rPr>
      <w:rFonts w:ascii="Times New Roman" w:hAnsi="Times New Roman" w:eastAsia="宋体" w:cs="Times New Roman"/>
      <w:b/>
      <w:bCs/>
      <w:kern w:val="2"/>
      <w:sz w:val="28"/>
      <w:szCs w:val="28"/>
      <w:lang w:val="en-US" w:eastAsia="zh-CN" w:bidi="ar-SA"/>
    </w:rPr>
  </w:style>
  <w:style w:type="character" w:customStyle="1" w:styleId="306">
    <w:name w:val="Char Char4"/>
    <w:qFormat/>
    <w:uiPriority w:val="0"/>
    <w:rPr>
      <w:rFonts w:ascii="Times New Roman" w:hAnsi="Times New Roman" w:eastAsia="宋体" w:cs="Times New Roman"/>
      <w:b/>
      <w:bCs/>
      <w:kern w:val="2"/>
      <w:sz w:val="21"/>
      <w:szCs w:val="24"/>
      <w:lang w:bidi="ar-SA"/>
    </w:rPr>
  </w:style>
  <w:style w:type="character" w:customStyle="1" w:styleId="307">
    <w:name w:val="书籍标题2"/>
    <w:qFormat/>
    <w:uiPriority w:val="0"/>
    <w:rPr>
      <w:rFonts w:ascii="Times New Roman" w:hAnsi="Times New Roman" w:eastAsia="宋体" w:cs="Times New Roman"/>
      <w:b/>
      <w:bCs/>
      <w:smallCaps/>
      <w:spacing w:val="5"/>
    </w:rPr>
  </w:style>
  <w:style w:type="character" w:customStyle="1" w:styleId="308">
    <w:name w:val="不明显强调3"/>
    <w:qFormat/>
    <w:uiPriority w:val="0"/>
    <w:rPr>
      <w:rFonts w:ascii="Times New Roman" w:hAnsi="Times New Roman" w:eastAsia="宋体" w:cs="Times New Roman"/>
      <w:i/>
      <w:iCs/>
      <w:color w:val="808080"/>
    </w:rPr>
  </w:style>
  <w:style w:type="character" w:customStyle="1" w:styleId="309">
    <w:name w:val="标题 3 Char1"/>
    <w:qFormat/>
    <w:uiPriority w:val="0"/>
    <w:rPr>
      <w:rFonts w:ascii="Times New Roman" w:hAnsi="Times New Roman" w:eastAsia="宋体" w:cs="Times New Roman"/>
      <w:b/>
      <w:bCs/>
      <w:kern w:val="2"/>
      <w:sz w:val="32"/>
      <w:szCs w:val="32"/>
    </w:rPr>
  </w:style>
  <w:style w:type="character" w:customStyle="1" w:styleId="310">
    <w:name w:val="标题 #7 (5)_"/>
    <w:link w:val="311"/>
    <w:qFormat/>
    <w:uiPriority w:val="0"/>
    <w:rPr>
      <w:rFonts w:ascii="MingLiU" w:hAnsi="MingLiU" w:eastAsia="MingLiU" w:cs="Times New Roman"/>
      <w:spacing w:val="50"/>
      <w:sz w:val="30"/>
      <w:szCs w:val="30"/>
      <w:shd w:val="clear" w:color="auto" w:fill="FFFFFF"/>
    </w:rPr>
  </w:style>
  <w:style w:type="paragraph" w:customStyle="1" w:styleId="311">
    <w:name w:val="标题 #7 (5)"/>
    <w:basedOn w:val="1"/>
    <w:link w:val="310"/>
    <w:qFormat/>
    <w:uiPriority w:val="0"/>
    <w:pPr>
      <w:shd w:val="clear" w:color="auto" w:fill="FFFFFF"/>
      <w:spacing w:line="559" w:lineRule="exact"/>
      <w:jc w:val="left"/>
      <w:outlineLvl w:val="6"/>
    </w:pPr>
    <w:rPr>
      <w:rFonts w:ascii="MingLiU" w:hAnsi="MingLiU" w:eastAsia="MingLiU"/>
      <w:spacing w:val="50"/>
      <w:kern w:val="0"/>
      <w:sz w:val="30"/>
      <w:szCs w:val="30"/>
    </w:rPr>
  </w:style>
  <w:style w:type="character" w:customStyle="1" w:styleId="312">
    <w:name w:val="Heading 3 Char"/>
    <w:qFormat/>
    <w:uiPriority w:val="0"/>
    <w:rPr>
      <w:rFonts w:ascii="Times New Roman" w:hAnsi="Times New Roman" w:eastAsia="宋体" w:cs="Times New Roman"/>
      <w:b/>
      <w:bCs/>
      <w:kern w:val="2"/>
      <w:sz w:val="32"/>
      <w:szCs w:val="32"/>
    </w:rPr>
  </w:style>
  <w:style w:type="character" w:customStyle="1" w:styleId="313">
    <w:name w:val="Char Char7"/>
    <w:qFormat/>
    <w:uiPriority w:val="0"/>
    <w:rPr>
      <w:rFonts w:ascii="Times New Roman" w:hAnsi="Times New Roman" w:eastAsia="宋体" w:cs="Times New Roman"/>
      <w:b/>
      <w:bCs/>
      <w:kern w:val="2"/>
      <w:sz w:val="24"/>
      <w:szCs w:val="32"/>
      <w:lang w:val="en-US" w:eastAsia="zh-CN" w:bidi="ar-SA"/>
    </w:rPr>
  </w:style>
  <w:style w:type="character" w:customStyle="1" w:styleId="314">
    <w:name w:val="Plain Text Char"/>
    <w:qFormat/>
    <w:uiPriority w:val="0"/>
    <w:rPr>
      <w:rFonts w:ascii="宋体" w:hAnsi="Courier New" w:eastAsia="宋体" w:cs="Times New Roman"/>
      <w:sz w:val="24"/>
      <w:lang w:bidi="ar-SA"/>
    </w:rPr>
  </w:style>
  <w:style w:type="character" w:customStyle="1" w:styleId="315">
    <w:name w:val="标题 1 Char Char"/>
    <w:qFormat/>
    <w:uiPriority w:val="0"/>
    <w:rPr>
      <w:rFonts w:ascii="Times New Roman" w:hAnsi="Times New Roman" w:eastAsia="宋体" w:cs="Times New Roman"/>
      <w:b/>
      <w:sz w:val="44"/>
      <w:lang w:val="en-US" w:eastAsia="zh-CN" w:bidi="ar-SA"/>
    </w:rPr>
  </w:style>
  <w:style w:type="character" w:customStyle="1" w:styleId="316">
    <w:name w:val="HTML 预设格式 Char1"/>
    <w:qFormat/>
    <w:uiPriority w:val="0"/>
    <w:rPr>
      <w:rFonts w:ascii="Courier New" w:hAnsi="Courier New" w:eastAsia="宋体" w:cs="Courier New"/>
      <w:kern w:val="2"/>
    </w:rPr>
  </w:style>
  <w:style w:type="character" w:customStyle="1" w:styleId="317">
    <w:name w:val="Char Char6"/>
    <w:qFormat/>
    <w:uiPriority w:val="0"/>
    <w:rPr>
      <w:rFonts w:ascii="Arial" w:hAnsi="Arial" w:eastAsia="宋体" w:cs="Times New Roman"/>
      <w:b/>
      <w:bCs/>
      <w:kern w:val="2"/>
      <w:sz w:val="21"/>
      <w:szCs w:val="28"/>
      <w:lang w:val="en-US" w:eastAsia="zh-CN" w:bidi="ar-SA"/>
    </w:rPr>
  </w:style>
  <w:style w:type="paragraph" w:customStyle="1" w:styleId="318">
    <w:name w:val="样式 4 + 小三 两端对齐 段前: 0 磅 段后: 0 磅 行距: 单倍行距"/>
    <w:basedOn w:val="147"/>
    <w:qFormat/>
    <w:uiPriority w:val="0"/>
    <w:pPr>
      <w:spacing w:before="0" w:after="0" w:line="240" w:lineRule="auto"/>
      <w:jc w:val="both"/>
    </w:pPr>
    <w:rPr>
      <w:rFonts w:ascii="Times New Roman" w:hAnsi="Times New Roman" w:cs="宋体"/>
      <w:sz w:val="30"/>
      <w:szCs w:val="20"/>
    </w:rPr>
  </w:style>
  <w:style w:type="paragraph" w:customStyle="1" w:styleId="319">
    <w:name w:val="纯文本11"/>
    <w:basedOn w:val="1"/>
    <w:qFormat/>
    <w:uiPriority w:val="0"/>
    <w:rPr>
      <w:rFonts w:ascii="宋体" w:hAnsi="Courier New"/>
      <w:szCs w:val="20"/>
    </w:rPr>
  </w:style>
  <w:style w:type="paragraph" w:customStyle="1" w:styleId="320">
    <w:name w:val="表头"/>
    <w:basedOn w:val="1"/>
    <w:qFormat/>
    <w:uiPriority w:val="0"/>
    <w:pPr>
      <w:adjustRightInd w:val="0"/>
      <w:spacing w:line="420" w:lineRule="atLeast"/>
      <w:ind w:firstLine="200" w:firstLineChars="200"/>
      <w:jc w:val="center"/>
      <w:textAlignment w:val="baseline"/>
    </w:pPr>
    <w:rPr>
      <w:rFonts w:ascii="黑体" w:eastAsia="黑体"/>
      <w:kern w:val="0"/>
      <w:szCs w:val="20"/>
    </w:rPr>
  </w:style>
  <w:style w:type="paragraph" w:customStyle="1" w:styleId="321">
    <w:name w:val="2-2ji"/>
    <w:basedOn w:val="4"/>
    <w:qFormat/>
    <w:uiPriority w:val="0"/>
    <w:pPr>
      <w:adjustRightInd w:val="0"/>
      <w:spacing w:before="0" w:after="0" w:line="360" w:lineRule="auto"/>
      <w:jc w:val="center"/>
      <w:textAlignment w:val="baseline"/>
    </w:pPr>
    <w:rPr>
      <w:rFonts w:ascii="宋体" w:hAnsi="宋体"/>
      <w:bCs w:val="0"/>
      <w:sz w:val="36"/>
    </w:rPr>
  </w:style>
  <w:style w:type="paragraph" w:customStyle="1" w:styleId="322">
    <w:name w:val="a 正文"/>
    <w:basedOn w:val="323"/>
    <w:qFormat/>
    <w:uiPriority w:val="0"/>
    <w:pPr>
      <w:tabs>
        <w:tab w:val="left" w:pos="720"/>
        <w:tab w:val="left" w:pos="3240"/>
        <w:tab w:val="left" w:pos="3750"/>
      </w:tabs>
      <w:ind w:left="681" w:hanging="227"/>
    </w:pPr>
  </w:style>
  <w:style w:type="paragraph" w:customStyle="1" w:styleId="323">
    <w:name w:val="A.正文"/>
    <w:basedOn w:val="1"/>
    <w:qFormat/>
    <w:uiPriority w:val="0"/>
    <w:pPr>
      <w:widowControl/>
      <w:tabs>
        <w:tab w:val="left" w:pos="720"/>
        <w:tab w:val="left" w:pos="3750"/>
      </w:tabs>
      <w:spacing w:before="40" w:after="40" w:line="300" w:lineRule="exact"/>
      <w:ind w:left="720" w:firstLine="510"/>
    </w:pPr>
    <w:rPr>
      <w:szCs w:val="20"/>
    </w:rPr>
  </w:style>
  <w:style w:type="paragraph" w:customStyle="1" w:styleId="324">
    <w:name w:val="font6"/>
    <w:basedOn w:val="1"/>
    <w:qFormat/>
    <w:uiPriority w:val="0"/>
    <w:pPr>
      <w:widowControl/>
      <w:spacing w:before="100" w:beforeAutospacing="1" w:after="100" w:afterAutospacing="1"/>
      <w:jc w:val="left"/>
    </w:pPr>
    <w:rPr>
      <w:kern w:val="0"/>
      <w:sz w:val="24"/>
    </w:rPr>
  </w:style>
  <w:style w:type="paragraph" w:customStyle="1" w:styleId="325">
    <w:name w:val="Char1 Char Char Char Char Char Char1"/>
    <w:basedOn w:val="1"/>
    <w:qFormat/>
    <w:uiPriority w:val="0"/>
    <w:rPr>
      <w:rFonts w:ascii="Tahoma" w:hAnsi="Tahoma"/>
      <w:sz w:val="24"/>
      <w:szCs w:val="20"/>
    </w:rPr>
  </w:style>
  <w:style w:type="paragraph" w:customStyle="1" w:styleId="326">
    <w:name w:val="正文文本 21"/>
    <w:basedOn w:val="1"/>
    <w:qFormat/>
    <w:uiPriority w:val="0"/>
    <w:pPr>
      <w:adjustRightInd w:val="0"/>
      <w:spacing w:line="460" w:lineRule="exact"/>
      <w:ind w:firstLine="635"/>
      <w:jc w:val="left"/>
      <w:textAlignment w:val="baseline"/>
    </w:pPr>
    <w:rPr>
      <w:sz w:val="28"/>
      <w:szCs w:val="20"/>
    </w:rPr>
  </w:style>
  <w:style w:type="paragraph" w:customStyle="1" w:styleId="32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28">
    <w:name w:val="样式 3 + 两端对齐 段前: 0 磅 段后: 0 磅 行距: 单倍行距"/>
    <w:basedOn w:val="329"/>
    <w:next w:val="5"/>
    <w:qFormat/>
    <w:uiPriority w:val="0"/>
    <w:pPr>
      <w:spacing w:line="240" w:lineRule="auto"/>
    </w:pPr>
    <w:rPr>
      <w:rFonts w:ascii="Times New Roman" w:eastAsia="宋体" w:cs="宋体"/>
      <w:sz w:val="32"/>
      <w:szCs w:val="20"/>
    </w:rPr>
  </w:style>
  <w:style w:type="paragraph" w:customStyle="1" w:styleId="329">
    <w:name w:val="3"/>
    <w:basedOn w:val="5"/>
    <w:next w:val="5"/>
    <w:qFormat/>
    <w:uiPriority w:val="0"/>
    <w:pPr>
      <w:widowControl w:val="0"/>
      <w:spacing w:before="0" w:after="0" w:line="415" w:lineRule="auto"/>
    </w:pPr>
    <w:rPr>
      <w:rFonts w:ascii="黑体" w:eastAsia="黑体"/>
      <w:sz w:val="28"/>
      <w:szCs w:val="28"/>
    </w:rPr>
  </w:style>
  <w:style w:type="paragraph" w:customStyle="1" w:styleId="3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31">
    <w:name w:val="F2"/>
    <w:basedOn w:val="1"/>
    <w:qFormat/>
    <w:uiPriority w:val="0"/>
    <w:pPr>
      <w:autoSpaceDE w:val="0"/>
      <w:autoSpaceDN w:val="0"/>
      <w:adjustRightInd w:val="0"/>
      <w:ind w:firstLine="601"/>
      <w:textAlignment w:val="baseline"/>
    </w:pPr>
    <w:rPr>
      <w:kern w:val="0"/>
      <w:sz w:val="24"/>
      <w:szCs w:val="20"/>
    </w:rPr>
  </w:style>
  <w:style w:type="paragraph" w:customStyle="1" w:styleId="332">
    <w:name w:val="List Paragraph1"/>
    <w:basedOn w:val="1"/>
    <w:qFormat/>
    <w:uiPriority w:val="0"/>
    <w:pPr>
      <w:ind w:left="424" w:firstLine="480"/>
    </w:pPr>
  </w:style>
  <w:style w:type="paragraph" w:customStyle="1" w:styleId="333">
    <w:name w:val="样式 3 + 段前: 0 磅 段后: 0 磅 行距: 多倍行距 1.73 字行"/>
    <w:basedOn w:val="329"/>
    <w:next w:val="5"/>
    <w:qFormat/>
    <w:uiPriority w:val="0"/>
    <w:rPr>
      <w:rFonts w:ascii="Times New Roman" w:eastAsia="宋体" w:cs="宋体"/>
      <w:szCs w:val="20"/>
    </w:rPr>
  </w:style>
  <w:style w:type="paragraph" w:customStyle="1" w:styleId="334">
    <w:name w:val="Char Char Char Char Char Char Char Char Char1 Char Char Char Char Char Char Char Char Char Char Char Char Char"/>
    <w:basedOn w:val="3"/>
    <w:qFormat/>
    <w:uiPriority w:val="0"/>
    <w:pPr>
      <w:snapToGrid w:val="0"/>
      <w:spacing w:before="240" w:after="240" w:line="348" w:lineRule="auto"/>
    </w:pPr>
    <w:rPr>
      <w:sz w:val="44"/>
    </w:rPr>
  </w:style>
  <w:style w:type="paragraph" w:customStyle="1" w:styleId="335">
    <w:name w:val="Char Char Char Char Char Char Char Char Char Char1"/>
    <w:basedOn w:val="17"/>
    <w:qFormat/>
    <w:uiPriority w:val="0"/>
    <w:pPr>
      <w:keepNext/>
      <w:spacing w:beforeLines="100" w:line="240" w:lineRule="auto"/>
      <w:ind w:firstLine="0" w:firstLineChars="0"/>
    </w:pPr>
    <w:rPr>
      <w:rFonts w:ascii="Tahoma" w:hAnsi="Tahoma"/>
      <w:sz w:val="24"/>
    </w:rPr>
  </w:style>
  <w:style w:type="paragraph" w:customStyle="1" w:styleId="336">
    <w:name w:val="样式 小四 加粗 居中"/>
    <w:basedOn w:val="7"/>
    <w:next w:val="7"/>
    <w:qFormat/>
    <w:uiPriority w:val="0"/>
    <w:pPr>
      <w:spacing w:beforeLines="50" w:afterLines="50" w:line="240" w:lineRule="auto"/>
      <w:jc w:val="center"/>
    </w:pPr>
    <w:rPr>
      <w:rFonts w:cs="宋体"/>
      <w:b w:val="0"/>
      <w:bCs w:val="0"/>
      <w:sz w:val="24"/>
      <w:szCs w:val="20"/>
    </w:rPr>
  </w:style>
  <w:style w:type="paragraph" w:customStyle="1" w:styleId="337">
    <w:name w:val="样式 宋体 小四 加粗 黑色 居中 左侧:  2 字符 首行缩进:  2 字符"/>
    <w:basedOn w:val="1"/>
    <w:next w:val="7"/>
    <w:qFormat/>
    <w:uiPriority w:val="0"/>
    <w:pPr>
      <w:spacing w:line="360" w:lineRule="exact"/>
      <w:ind w:left="420" w:firstLine="482" w:firstLineChars="200"/>
      <w:jc w:val="center"/>
    </w:pPr>
    <w:rPr>
      <w:rFonts w:ascii="宋体" w:hAnsi="宋体" w:cs="宋体"/>
      <w:b/>
      <w:bCs/>
      <w:color w:val="000000"/>
      <w:sz w:val="24"/>
      <w:szCs w:val="20"/>
    </w:rPr>
  </w:style>
  <w:style w:type="paragraph" w:customStyle="1" w:styleId="338">
    <w:name w:val="444"/>
    <w:basedOn w:val="1"/>
    <w:qFormat/>
    <w:uiPriority w:val="0"/>
    <w:pPr>
      <w:adjustRightInd w:val="0"/>
      <w:spacing w:line="312" w:lineRule="atLeast"/>
      <w:jc w:val="center"/>
      <w:textAlignment w:val="baseline"/>
    </w:pPr>
    <w:rPr>
      <w:b/>
      <w:kern w:val="0"/>
      <w:sz w:val="36"/>
      <w:szCs w:val="36"/>
    </w:rPr>
  </w:style>
  <w:style w:type="paragraph" w:customStyle="1" w:styleId="339">
    <w:name w:val="Char Char Char Char Char Char Char2"/>
    <w:basedOn w:val="1"/>
    <w:qFormat/>
    <w:uiPriority w:val="0"/>
  </w:style>
  <w:style w:type="paragraph" w:customStyle="1" w:styleId="340">
    <w:name w:val="批注框文本 Char Char"/>
    <w:basedOn w:val="1"/>
    <w:qFormat/>
    <w:uiPriority w:val="0"/>
    <w:rPr>
      <w:sz w:val="18"/>
      <w:szCs w:val="20"/>
    </w:rPr>
  </w:style>
  <w:style w:type="paragraph" w:customStyle="1" w:styleId="341">
    <w:name w:val="p15"/>
    <w:basedOn w:val="1"/>
    <w:qFormat/>
    <w:uiPriority w:val="0"/>
    <w:pPr>
      <w:widowControl/>
      <w:jc w:val="left"/>
    </w:pPr>
    <w:rPr>
      <w:kern w:val="0"/>
      <w:szCs w:val="21"/>
    </w:rPr>
  </w:style>
  <w:style w:type="paragraph" w:customStyle="1" w:styleId="342">
    <w:name w:val="样式 4 + 居中 段前: 0 磅 段后: 0 磅 行距: 单倍行距"/>
    <w:basedOn w:val="147"/>
    <w:next w:val="6"/>
    <w:qFormat/>
    <w:uiPriority w:val="0"/>
    <w:pPr>
      <w:spacing w:before="0" w:after="0" w:line="240" w:lineRule="auto"/>
      <w:jc w:val="center"/>
    </w:pPr>
    <w:rPr>
      <w:rFonts w:ascii="Times New Roman" w:hAnsi="Times New Roman" w:cs="宋体"/>
      <w:szCs w:val="20"/>
    </w:rPr>
  </w:style>
  <w:style w:type="paragraph" w:customStyle="1" w:styleId="343">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344">
    <w:name w:val="样式 4 + 段前: 0 磅 段后: 0 磅 行距: 单倍行距1"/>
    <w:basedOn w:val="147"/>
    <w:next w:val="6"/>
    <w:qFormat/>
    <w:uiPriority w:val="0"/>
    <w:pPr>
      <w:spacing w:before="0" w:after="0" w:line="240" w:lineRule="auto"/>
    </w:pPr>
    <w:rPr>
      <w:rFonts w:ascii="Times New Roman" w:hAnsi="Times New Roman" w:cs="宋体"/>
      <w:szCs w:val="20"/>
    </w:rPr>
  </w:style>
  <w:style w:type="paragraph" w:customStyle="1" w:styleId="345">
    <w:name w:val="xl44"/>
    <w:basedOn w:val="1"/>
    <w:qFormat/>
    <w:uiPriority w:val="0"/>
    <w:pPr>
      <w:widowControl/>
      <w:pBdr>
        <w:bottom w:val="single" w:color="auto" w:sz="4" w:space="0"/>
      </w:pBdr>
      <w:spacing w:before="100" w:beforeAutospacing="1" w:after="100" w:afterAutospacing="1"/>
      <w:jc w:val="center"/>
    </w:pPr>
    <w:rPr>
      <w:rFonts w:ascii="Arial Unicode MS" w:hAnsi="Arial Unicode MS"/>
      <w:kern w:val="0"/>
      <w:sz w:val="24"/>
    </w:rPr>
  </w:style>
  <w:style w:type="paragraph" w:customStyle="1" w:styleId="346">
    <w:name w:val="Char Char Char Char Char Char Char1"/>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4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34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49">
    <w:name w:val="section编号"/>
    <w:basedOn w:val="1"/>
    <w:qFormat/>
    <w:uiPriority w:val="0"/>
    <w:pPr>
      <w:widowControl/>
      <w:tabs>
        <w:tab w:val="left" w:pos="0"/>
        <w:tab w:val="left" w:pos="1260"/>
      </w:tabs>
      <w:spacing w:before="200" w:after="160" w:line="420" w:lineRule="exact"/>
      <w:jc w:val="center"/>
    </w:pPr>
    <w:rPr>
      <w:rFonts w:ascii="Arial" w:hAnsi="Arial" w:eastAsia="黑体"/>
      <w:spacing w:val="40"/>
      <w:sz w:val="28"/>
      <w:szCs w:val="20"/>
    </w:rPr>
  </w:style>
  <w:style w:type="paragraph" w:customStyle="1" w:styleId="350">
    <w:name w:val="样式 4 + 居中 段前: 0 磅 段后: 0 磅 行距: 单倍行距1"/>
    <w:basedOn w:val="147"/>
    <w:next w:val="6"/>
    <w:qFormat/>
    <w:uiPriority w:val="0"/>
    <w:pPr>
      <w:spacing w:before="0" w:after="0" w:line="240" w:lineRule="auto"/>
      <w:jc w:val="center"/>
    </w:pPr>
    <w:rPr>
      <w:rFonts w:ascii="Times New Roman" w:hAnsi="Times New Roman" w:cs="宋体"/>
      <w:szCs w:val="20"/>
    </w:rPr>
  </w:style>
  <w:style w:type="paragraph" w:customStyle="1" w:styleId="3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52">
    <w:name w:val="样式 样式 小四 加粗 居中 + 加粗"/>
    <w:basedOn w:val="2"/>
    <w:next w:val="1"/>
    <w:qFormat/>
    <w:uiPriority w:val="0"/>
    <w:pPr>
      <w:spacing w:line="360" w:lineRule="exact"/>
      <w:ind w:firstLine="200" w:firstLineChars="200"/>
    </w:pPr>
    <w:rPr>
      <w:b/>
      <w:bCs/>
    </w:rPr>
  </w:style>
  <w:style w:type="paragraph" w:customStyle="1" w:styleId="353">
    <w:name w:val="2ji"/>
    <w:basedOn w:val="4"/>
    <w:qFormat/>
    <w:uiPriority w:val="0"/>
    <w:pPr>
      <w:adjustRightInd w:val="0"/>
      <w:spacing w:before="0" w:after="0" w:line="360" w:lineRule="auto"/>
      <w:jc w:val="center"/>
      <w:textAlignment w:val="baseline"/>
    </w:pPr>
    <w:rPr>
      <w:rFonts w:ascii="宋体" w:hAnsi="宋体"/>
      <w:sz w:val="21"/>
      <w:szCs w:val="21"/>
    </w:rPr>
  </w:style>
  <w:style w:type="paragraph" w:customStyle="1" w:styleId="354">
    <w:name w:val="font7"/>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5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5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35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58">
    <w:name w:val="Char Char Char Char Char Char Char"/>
    <w:basedOn w:val="1"/>
    <w:qFormat/>
    <w:uiPriority w:val="0"/>
    <w:pPr>
      <w:widowControl/>
      <w:spacing w:after="160" w:line="240" w:lineRule="exact"/>
      <w:ind w:firstLine="200" w:firstLineChars="200"/>
      <w:jc w:val="left"/>
    </w:pPr>
    <w:rPr>
      <w:rFonts w:ascii="Arial" w:hAnsi="Arial" w:eastAsia="Times New Roman" w:cs="Verdana"/>
      <w:b/>
      <w:spacing w:val="2"/>
      <w:kern w:val="0"/>
      <w:sz w:val="24"/>
      <w:lang w:eastAsia="en-US"/>
    </w:rPr>
  </w:style>
  <w:style w:type="paragraph" w:customStyle="1" w:styleId="359">
    <w:name w:val="a"/>
    <w:basedOn w:val="360"/>
    <w:qFormat/>
    <w:uiPriority w:val="0"/>
    <w:pPr>
      <w:ind w:left="360" w:hanging="360"/>
    </w:pPr>
    <w:rPr>
      <w:rFonts w:ascii="楷体" w:eastAsia="楷体"/>
      <w:sz w:val="24"/>
    </w:rPr>
  </w:style>
  <w:style w:type="paragraph" w:customStyle="1" w:styleId="360">
    <w:name w:val="1.1"/>
    <w:basedOn w:val="1"/>
    <w:qFormat/>
    <w:uiPriority w:val="0"/>
    <w:pPr>
      <w:widowControl/>
      <w:overflowPunct w:val="0"/>
      <w:autoSpaceDE w:val="0"/>
      <w:autoSpaceDN w:val="0"/>
      <w:adjustRightInd w:val="0"/>
      <w:jc w:val="left"/>
      <w:textAlignment w:val="baseline"/>
    </w:pPr>
    <w:rPr>
      <w:rFonts w:ascii="黑体" w:eastAsia="黑体"/>
      <w:b/>
      <w:spacing w:val="-20"/>
      <w:kern w:val="28"/>
      <w:position w:val="-6"/>
      <w:sz w:val="28"/>
      <w:szCs w:val="20"/>
    </w:rPr>
  </w:style>
  <w:style w:type="paragraph" w:customStyle="1" w:styleId="361">
    <w:name w:val="表格2"/>
    <w:basedOn w:val="1"/>
    <w:qFormat/>
    <w:uiPriority w:val="0"/>
    <w:pPr>
      <w:adjustRightInd w:val="0"/>
      <w:spacing w:before="60" w:after="60"/>
      <w:jc w:val="center"/>
    </w:pPr>
    <w:rPr>
      <w:rFonts w:ascii="宋体"/>
      <w:color w:val="000000"/>
      <w:kern w:val="0"/>
      <w:sz w:val="24"/>
      <w:szCs w:val="20"/>
    </w:rPr>
  </w:style>
  <w:style w:type="paragraph" w:customStyle="1" w:styleId="362">
    <w:name w:val="head4"/>
    <w:basedOn w:val="1"/>
    <w:qFormat/>
    <w:uiPriority w:val="0"/>
    <w:pPr>
      <w:widowControl/>
      <w:overflowPunct w:val="0"/>
      <w:autoSpaceDE w:val="0"/>
      <w:autoSpaceDN w:val="0"/>
      <w:adjustRightInd w:val="0"/>
      <w:spacing w:before="120" w:line="360" w:lineRule="auto"/>
      <w:textAlignment w:val="baseline"/>
    </w:pPr>
    <w:rPr>
      <w:rFonts w:ascii="¿¬Ìå" w:hAnsi="¿¬Ìå"/>
      <w:kern w:val="0"/>
      <w:sz w:val="24"/>
    </w:rPr>
  </w:style>
  <w:style w:type="paragraph" w:customStyle="1" w:styleId="363">
    <w:name w:val="font5"/>
    <w:basedOn w:val="1"/>
    <w:qFormat/>
    <w:uiPriority w:val="0"/>
    <w:pPr>
      <w:widowControl/>
      <w:spacing w:before="100" w:beforeAutospacing="1" w:after="100" w:afterAutospacing="1"/>
      <w:jc w:val="left"/>
    </w:pPr>
    <w:rPr>
      <w:rFonts w:ascii="宋体" w:hAnsi="宋体"/>
      <w:kern w:val="0"/>
      <w:sz w:val="24"/>
    </w:rPr>
  </w:style>
  <w:style w:type="paragraph" w:customStyle="1" w:styleId="364">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65">
    <w:name w:val="默认段落字体 Para Char Char Char Char Char Char Char"/>
    <w:basedOn w:val="1"/>
    <w:qFormat/>
    <w:uiPriority w:val="0"/>
    <w:pPr>
      <w:adjustRightInd w:val="0"/>
      <w:spacing w:line="360" w:lineRule="auto"/>
      <w:ind w:left="200" w:hanging="200" w:hangingChars="200"/>
    </w:pPr>
    <w:rPr>
      <w:kern w:val="0"/>
      <w:sz w:val="24"/>
      <w:szCs w:val="20"/>
    </w:rPr>
  </w:style>
  <w:style w:type="paragraph" w:customStyle="1" w:styleId="366">
    <w:name w:val="Char1 Char Char Char Char Char Char Char Char Char Char Char Char Char Char Char"/>
    <w:basedOn w:val="7"/>
    <w:qFormat/>
    <w:uiPriority w:val="0"/>
    <w:pPr>
      <w:tabs>
        <w:tab w:val="left" w:pos="0"/>
        <w:tab w:val="left" w:pos="3660"/>
      </w:tabs>
      <w:adjustRightInd w:val="0"/>
      <w:spacing w:line="240" w:lineRule="auto"/>
      <w:ind w:left="3660" w:hanging="420"/>
      <w:textAlignment w:val="baseline"/>
    </w:pPr>
    <w:rPr>
      <w:rFonts w:ascii="黑体" w:eastAsia="黑体"/>
      <w:b w:val="0"/>
    </w:rPr>
  </w:style>
  <w:style w:type="paragraph" w:customStyle="1" w:styleId="367">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styleId="368">
    <w:name w:val="No Spacing"/>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369">
    <w:name w:val="Char"/>
    <w:basedOn w:val="1"/>
    <w:qFormat/>
    <w:uiPriority w:val="0"/>
    <w:rPr>
      <w:rFonts w:ascii="Tahoma" w:hAnsi="Tahoma"/>
      <w:sz w:val="24"/>
      <w:szCs w:val="20"/>
    </w:rPr>
  </w:style>
  <w:style w:type="paragraph" w:customStyle="1" w:styleId="37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8"/>
      <w:szCs w:val="28"/>
    </w:rPr>
  </w:style>
  <w:style w:type="paragraph" w:customStyle="1" w:styleId="371">
    <w:name w:val="_Style 21"/>
    <w:basedOn w:val="1"/>
    <w:next w:val="20"/>
    <w:qFormat/>
    <w:uiPriority w:val="0"/>
    <w:pPr>
      <w:spacing w:line="200" w:lineRule="exact"/>
      <w:ind w:firstLine="301"/>
    </w:pPr>
    <w:rPr>
      <w:rFonts w:ascii="宋体" w:hAnsi="Courier New"/>
      <w:spacing w:val="-4"/>
      <w:sz w:val="18"/>
      <w:szCs w:val="20"/>
    </w:rPr>
  </w:style>
  <w:style w:type="paragraph" w:customStyle="1" w:styleId="372">
    <w:name w:val="bb"/>
    <w:basedOn w:val="1"/>
    <w:qFormat/>
    <w:uiPriority w:val="0"/>
    <w:pPr>
      <w:widowControl/>
      <w:spacing w:before="100" w:beforeAutospacing="1" w:after="100" w:afterAutospacing="1"/>
      <w:jc w:val="left"/>
    </w:pPr>
    <w:rPr>
      <w:rFonts w:ascii="宋体"/>
      <w:kern w:val="0"/>
      <w:sz w:val="24"/>
    </w:rPr>
  </w:style>
  <w:style w:type="paragraph" w:customStyle="1" w:styleId="3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74">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5">
    <w:name w:val="TOC 标题2"/>
    <w:basedOn w:val="3"/>
    <w:next w:val="1"/>
    <w:uiPriority w:val="0"/>
    <w:pPr>
      <w:spacing w:beforeLines="50" w:afterLines="50" w:line="240" w:lineRule="auto"/>
      <w:jc w:val="center"/>
      <w:outlineLvl w:val="9"/>
    </w:pPr>
    <w:rPr>
      <w:rFonts w:eastAsia="黑体"/>
      <w:spacing w:val="200"/>
      <w:sz w:val="72"/>
    </w:rPr>
  </w:style>
  <w:style w:type="paragraph" w:customStyle="1" w:styleId="37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b/>
      <w:bCs/>
      <w:kern w:val="0"/>
      <w:sz w:val="24"/>
    </w:rPr>
  </w:style>
  <w:style w:type="paragraph" w:customStyle="1" w:styleId="377">
    <w:name w:val="xl45"/>
    <w:basedOn w:val="1"/>
    <w:qFormat/>
    <w:uiPriority w:val="0"/>
    <w:pPr>
      <w:widowControl/>
      <w:pBdr>
        <w:bottom w:val="single" w:color="auto" w:sz="4" w:space="0"/>
      </w:pBdr>
      <w:spacing w:before="100" w:beforeAutospacing="1" w:after="100" w:afterAutospacing="1"/>
      <w:jc w:val="center"/>
    </w:pPr>
    <w:rPr>
      <w:kern w:val="0"/>
      <w:sz w:val="40"/>
      <w:szCs w:val="40"/>
    </w:rPr>
  </w:style>
  <w:style w:type="paragraph" w:customStyle="1" w:styleId="378">
    <w:name w:val="1.正文"/>
    <w:basedOn w:val="1"/>
    <w:qFormat/>
    <w:uiPriority w:val="0"/>
    <w:pPr>
      <w:widowControl/>
      <w:tabs>
        <w:tab w:val="left" w:pos="840"/>
        <w:tab w:val="left" w:pos="2820"/>
      </w:tabs>
      <w:spacing w:before="40" w:after="40" w:line="300" w:lineRule="exact"/>
      <w:ind w:left="840" w:hanging="420"/>
    </w:pPr>
    <w:rPr>
      <w:szCs w:val="20"/>
    </w:rPr>
  </w:style>
  <w:style w:type="paragraph" w:customStyle="1" w:styleId="379">
    <w:name w:val="xl32"/>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24"/>
    </w:rPr>
  </w:style>
  <w:style w:type="paragraph" w:customStyle="1" w:styleId="380">
    <w:name w:val="(1)"/>
    <w:basedOn w:val="360"/>
    <w:uiPriority w:val="0"/>
    <w:pPr>
      <w:spacing w:before="240"/>
      <w:ind w:left="431" w:hanging="431"/>
    </w:pPr>
    <w:rPr>
      <w:rFonts w:ascii="Times New Roman" w:eastAsia="宋体"/>
      <w:b w:val="0"/>
      <w:sz w:val="24"/>
    </w:rPr>
  </w:style>
  <w:style w:type="paragraph" w:customStyle="1" w:styleId="3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paragraph" w:customStyle="1" w:styleId="382">
    <w:name w:val="5 Char Char Char Char Char Char Char Char Char Char"/>
    <w:basedOn w:val="1"/>
    <w:qFormat/>
    <w:uiPriority w:val="0"/>
  </w:style>
  <w:style w:type="paragraph" w:customStyle="1" w:styleId="383">
    <w:name w:val="部分编号"/>
    <w:basedOn w:val="1"/>
    <w:qFormat/>
    <w:uiPriority w:val="0"/>
    <w:pPr>
      <w:widowControl/>
      <w:tabs>
        <w:tab w:val="left" w:pos="0"/>
        <w:tab w:val="left" w:pos="1418"/>
      </w:tabs>
      <w:spacing w:before="160" w:after="120" w:line="400" w:lineRule="exact"/>
      <w:ind w:left="1418" w:hanging="1418"/>
    </w:pPr>
    <w:rPr>
      <w:rFonts w:ascii="Arial" w:hAnsi="Arial" w:eastAsia="黑体"/>
      <w:spacing w:val="30"/>
      <w:sz w:val="24"/>
      <w:szCs w:val="20"/>
    </w:rPr>
  </w:style>
  <w:style w:type="paragraph" w:customStyle="1" w:styleId="384">
    <w:name w:val="flNote"/>
    <w:basedOn w:val="1"/>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85">
    <w:name w:val="样式 样式 小四 加粗 居中 + 宋体 加粗 黑色"/>
    <w:basedOn w:val="336"/>
    <w:next w:val="7"/>
    <w:qFormat/>
    <w:uiPriority w:val="0"/>
    <w:rPr>
      <w:rFonts w:ascii="宋体" w:hAnsi="宋体" w:cs="Times New Roman"/>
      <w:b/>
      <w:bCs/>
      <w:color w:val="000000"/>
    </w:rPr>
  </w:style>
  <w:style w:type="paragraph" w:customStyle="1" w:styleId="386">
    <w:name w:val="**"/>
    <w:basedOn w:val="360"/>
    <w:qFormat/>
    <w:uiPriority w:val="0"/>
    <w:rPr>
      <w:rFonts w:ascii="楷体" w:eastAsia="楷体"/>
      <w:sz w:val="24"/>
    </w:rPr>
  </w:style>
  <w:style w:type="paragraph" w:customStyle="1" w:styleId="38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89">
    <w:name w:val="样式 3 + 三号"/>
    <w:basedOn w:val="329"/>
    <w:next w:val="5"/>
    <w:qFormat/>
    <w:uiPriority w:val="0"/>
    <w:rPr>
      <w:rFonts w:ascii="Times New Roman" w:eastAsia="宋体"/>
      <w:sz w:val="32"/>
    </w:rPr>
  </w:style>
  <w:style w:type="paragraph" w:customStyle="1" w:styleId="390">
    <w:name w:val="样式 4 + 黑色 段前: 0 磅 段后: 0 磅 行距: 单倍行距"/>
    <w:basedOn w:val="147"/>
    <w:next w:val="6"/>
    <w:qFormat/>
    <w:uiPriority w:val="0"/>
    <w:pPr>
      <w:spacing w:before="0" w:after="0" w:line="240" w:lineRule="auto"/>
    </w:pPr>
    <w:rPr>
      <w:rFonts w:ascii="Times New Roman" w:hAnsi="Times New Roman" w:cs="宋体"/>
      <w:color w:val="000000"/>
      <w:szCs w:val="20"/>
    </w:rPr>
  </w:style>
  <w:style w:type="paragraph" w:customStyle="1" w:styleId="391">
    <w:name w:val="Char2 Char Char Char"/>
    <w:basedOn w:val="1"/>
    <w:uiPriority w:val="0"/>
  </w:style>
  <w:style w:type="paragraph" w:customStyle="1" w:styleId="392">
    <w:name w:val="纯文本1"/>
    <w:basedOn w:val="1"/>
    <w:qFormat/>
    <w:uiPriority w:val="0"/>
    <w:pPr>
      <w:adjustRightInd w:val="0"/>
      <w:jc w:val="left"/>
      <w:textAlignment w:val="baseline"/>
    </w:pPr>
    <w:rPr>
      <w:rFonts w:ascii="宋体" w:hAnsi="Courier New"/>
      <w:szCs w:val="20"/>
    </w:rPr>
  </w:style>
  <w:style w:type="paragraph" w:customStyle="1" w:styleId="393">
    <w:name w:val="(i)正文"/>
    <w:basedOn w:val="1"/>
    <w:qFormat/>
    <w:uiPriority w:val="0"/>
    <w:pPr>
      <w:widowControl/>
      <w:tabs>
        <w:tab w:val="left" w:pos="0"/>
        <w:tab w:val="left" w:pos="2381"/>
      </w:tabs>
      <w:spacing w:line="360" w:lineRule="exact"/>
    </w:pPr>
    <w:rPr>
      <w:szCs w:val="20"/>
    </w:rPr>
  </w:style>
  <w:style w:type="paragraph" w:customStyle="1" w:styleId="394">
    <w:name w:val="."/>
    <w:basedOn w:val="1"/>
    <w:qFormat/>
    <w:uiPriority w:val="0"/>
    <w:pPr>
      <w:widowControl/>
      <w:overflowPunct w:val="0"/>
      <w:autoSpaceDE w:val="0"/>
      <w:autoSpaceDN w:val="0"/>
      <w:adjustRightInd w:val="0"/>
      <w:spacing w:before="60" w:line="264" w:lineRule="auto"/>
      <w:ind w:left="681" w:right="-57" w:hanging="227"/>
      <w:textAlignment w:val="baseline"/>
    </w:pPr>
    <w:rPr>
      <w:rFonts w:ascii="宋体"/>
      <w:kern w:val="0"/>
      <w:sz w:val="24"/>
      <w:szCs w:val="20"/>
    </w:rPr>
  </w:style>
  <w:style w:type="paragraph" w:customStyle="1" w:styleId="395">
    <w:name w:val="1"/>
    <w:basedOn w:val="4"/>
    <w:next w:val="26"/>
    <w:qFormat/>
    <w:uiPriority w:val="0"/>
    <w:pPr>
      <w:spacing w:before="360" w:after="360" w:line="360" w:lineRule="exact"/>
      <w:jc w:val="center"/>
    </w:pPr>
    <w:rPr>
      <w:rFonts w:ascii="Times New Roman" w:hAnsi="Times New Roman" w:eastAsia="黑体"/>
      <w:sz w:val="72"/>
    </w:rPr>
  </w:style>
  <w:style w:type="paragraph" w:customStyle="1" w:styleId="396">
    <w:name w:val="TOC 标题1"/>
    <w:basedOn w:val="3"/>
    <w:next w:val="1"/>
    <w:uiPriority w:val="0"/>
    <w:pPr>
      <w:widowControl/>
      <w:spacing w:before="480" w:after="0" w:line="276" w:lineRule="auto"/>
      <w:jc w:val="left"/>
      <w:outlineLvl w:val="9"/>
    </w:pPr>
    <w:rPr>
      <w:rFonts w:ascii="Cambria" w:hAnsi="Cambria"/>
      <w:color w:val="366091"/>
      <w:kern w:val="0"/>
      <w:sz w:val="28"/>
      <w:szCs w:val="28"/>
    </w:rPr>
  </w:style>
  <w:style w:type="paragraph" w:customStyle="1" w:styleId="397">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39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9">
    <w:name w:val="µ1"/>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400">
    <w:name w:val="列出段落1"/>
    <w:basedOn w:val="1"/>
    <w:qFormat/>
    <w:uiPriority w:val="0"/>
    <w:pPr>
      <w:autoSpaceDE w:val="0"/>
      <w:autoSpaceDN w:val="0"/>
      <w:ind w:left="400" w:firstLine="420"/>
      <w:jc w:val="left"/>
    </w:pPr>
    <w:rPr>
      <w:rFonts w:ascii="宋体" w:hAnsi="宋体" w:cs="宋体"/>
      <w:kern w:val="0"/>
      <w:sz w:val="22"/>
      <w:szCs w:val="22"/>
      <w:lang w:val="zh-CN" w:bidi="zh-CN"/>
    </w:rPr>
  </w:style>
  <w:style w:type="paragraph" w:customStyle="1" w:styleId="401">
    <w:name w:val="纯文本2"/>
    <w:basedOn w:val="1"/>
    <w:qFormat/>
    <w:uiPriority w:val="0"/>
    <w:rPr>
      <w:rFonts w:ascii="宋体" w:hAnsi="Courier New"/>
      <w:szCs w:val="20"/>
    </w:rPr>
  </w:style>
  <w:style w:type="paragraph" w:customStyle="1" w:styleId="402">
    <w:name w:val="Char1"/>
    <w:basedOn w:val="1"/>
    <w:uiPriority w:val="0"/>
    <w:rPr>
      <w:rFonts w:ascii="仿宋_GB2312" w:eastAsia="仿宋_GB2312"/>
      <w:b/>
      <w:sz w:val="32"/>
      <w:szCs w:val="32"/>
    </w:rPr>
  </w:style>
  <w:style w:type="paragraph" w:customStyle="1" w:styleId="403">
    <w:name w:val="Char Char Char Char Char Char Char Char Char Char"/>
    <w:basedOn w:val="1"/>
    <w:qFormat/>
    <w:uiPriority w:val="0"/>
  </w:style>
  <w:style w:type="paragraph" w:customStyle="1" w:styleId="404">
    <w:name w:val="默认段落字体 Para Char Char Char Char Char Char Char Char Char1 Char Char Char Char"/>
    <w:basedOn w:val="1"/>
    <w:qFormat/>
    <w:uiPriority w:val="0"/>
    <w:rPr>
      <w:rFonts w:ascii="Tahoma" w:hAnsi="Tahoma"/>
      <w:sz w:val="24"/>
      <w:szCs w:val="20"/>
    </w:rPr>
  </w:style>
  <w:style w:type="paragraph" w:customStyle="1" w:styleId="405">
    <w:name w:val="PlainText"/>
    <w:basedOn w:val="1"/>
    <w:next w:val="406"/>
    <w:qFormat/>
    <w:uiPriority w:val="0"/>
    <w:rPr>
      <w:rFonts w:ascii="宋体" w:hAnsi="Courier New"/>
      <w:szCs w:val="20"/>
    </w:rPr>
  </w:style>
  <w:style w:type="paragraph" w:customStyle="1" w:styleId="406">
    <w:name w:val="Index8"/>
    <w:basedOn w:val="1"/>
    <w:next w:val="1"/>
    <w:uiPriority w:val="0"/>
    <w:pPr>
      <w:ind w:left="2940"/>
    </w:pPr>
  </w:style>
  <w:style w:type="paragraph" w:customStyle="1" w:styleId="407">
    <w:name w:val="表"/>
    <w:basedOn w:val="1"/>
    <w:uiPriority w:val="0"/>
    <w:pPr>
      <w:spacing w:line="300" w:lineRule="auto"/>
    </w:pPr>
    <w:rPr>
      <w:color w:val="000000"/>
      <w:szCs w:val="21"/>
    </w:rPr>
  </w:style>
  <w:style w:type="paragraph" w:customStyle="1" w:styleId="408">
    <w:name w:val="段"/>
    <w:next w:val="1"/>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09">
    <w:name w:val="TOC 标题3"/>
    <w:basedOn w:val="3"/>
    <w:next w:val="1"/>
    <w:qFormat/>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410">
    <w:name w:val="样式 4 + 宋体 小三 黑色"/>
    <w:basedOn w:val="147"/>
    <w:next w:val="6"/>
    <w:uiPriority w:val="0"/>
    <w:rPr>
      <w:rFonts w:ascii="宋体" w:hAnsi="宋体"/>
      <w:color w:val="000000"/>
      <w:sz w:val="30"/>
    </w:rPr>
  </w:style>
  <w:style w:type="paragraph" w:customStyle="1" w:styleId="411">
    <w:name w:val="文件标题"/>
    <w:basedOn w:val="1"/>
    <w:qFormat/>
    <w:uiPriority w:val="0"/>
    <w:pPr>
      <w:jc w:val="center"/>
    </w:pPr>
    <w:rPr>
      <w:b/>
      <w:sz w:val="36"/>
      <w:szCs w:val="20"/>
    </w:rPr>
  </w:style>
  <w:style w:type="paragraph" w:customStyle="1" w:styleId="412">
    <w:name w:val="tds100"/>
    <w:basedOn w:val="42"/>
    <w:qFormat/>
    <w:uiPriority w:val="0"/>
    <w:pPr>
      <w:tabs>
        <w:tab w:val="right" w:leader="dot" w:pos="9628"/>
      </w:tabs>
      <w:ind w:left="200"/>
      <w:jc w:val="center"/>
    </w:pPr>
    <w:rPr>
      <w:b/>
      <w:sz w:val="44"/>
    </w:rPr>
  </w:style>
  <w:style w:type="paragraph" w:customStyle="1" w:styleId="41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14">
    <w:name w:val="简单回函地址"/>
    <w:basedOn w:val="1"/>
    <w:qFormat/>
    <w:uiPriority w:val="0"/>
    <w:rPr>
      <w:rFonts w:ascii="仿宋_GB2312" w:hAnsi="宋体" w:eastAsia="仿宋_GB2312"/>
      <w:bCs/>
      <w:sz w:val="30"/>
      <w:szCs w:val="20"/>
    </w:rPr>
  </w:style>
  <w:style w:type="paragraph" w:customStyle="1" w:styleId="415">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416">
    <w:name w:val="Normal_3"/>
    <w:qFormat/>
    <w:uiPriority w:val="0"/>
    <w:rPr>
      <w:rFonts w:ascii="Times New Roman" w:hAnsi="Times New Roman" w:eastAsia="Times New Roman" w:cs="Times New Roman"/>
      <w:sz w:val="24"/>
      <w:szCs w:val="24"/>
      <w:lang w:val="en-US" w:eastAsia="zh-CN" w:bidi="ar-SA"/>
    </w:rPr>
  </w:style>
  <w:style w:type="paragraph" w:customStyle="1" w:styleId="417">
    <w:name w:val="样式 标题 4 + 黑色 首行缩进:  2 字符"/>
    <w:basedOn w:val="7"/>
    <w:next w:val="7"/>
    <w:qFormat/>
    <w:uiPriority w:val="0"/>
    <w:pPr>
      <w:spacing w:beforeLines="50" w:afterLines="50" w:line="240" w:lineRule="auto"/>
      <w:ind w:firstLine="562" w:firstLineChars="200"/>
    </w:pPr>
    <w:rPr>
      <w:rFonts w:cs="宋体"/>
      <w:color w:val="000000"/>
      <w:szCs w:val="20"/>
    </w:rPr>
  </w:style>
  <w:style w:type="paragraph" w:customStyle="1" w:styleId="41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9">
    <w:name w:val="1.1编号"/>
    <w:basedOn w:val="1"/>
    <w:qFormat/>
    <w:uiPriority w:val="0"/>
    <w:pPr>
      <w:widowControl/>
      <w:tabs>
        <w:tab w:val="left" w:pos="1559"/>
      </w:tabs>
      <w:spacing w:before="120" w:after="80" w:line="380" w:lineRule="exact"/>
      <w:ind w:left="1559" w:hanging="1559"/>
    </w:pPr>
    <w:rPr>
      <w:b/>
      <w:spacing w:val="20"/>
      <w:szCs w:val="20"/>
    </w:rPr>
  </w:style>
  <w:style w:type="paragraph" w:customStyle="1" w:styleId="420">
    <w:name w:val="µ"/>
    <w:basedOn w:val="1"/>
    <w:qFormat/>
    <w:uiPriority w:val="0"/>
    <w:pPr>
      <w:widowControl/>
      <w:overflowPunct w:val="0"/>
      <w:autoSpaceDE w:val="0"/>
      <w:autoSpaceDN w:val="0"/>
      <w:adjustRightInd w:val="0"/>
      <w:ind w:left="360" w:hanging="360"/>
      <w:jc w:val="left"/>
      <w:textAlignment w:val="baseline"/>
    </w:pPr>
    <w:rPr>
      <w:rFonts w:ascii="宋体"/>
      <w:b/>
      <w:spacing w:val="2"/>
      <w:kern w:val="28"/>
      <w:position w:val="-6"/>
      <w:sz w:val="24"/>
      <w:szCs w:val="20"/>
    </w:rPr>
  </w:style>
  <w:style w:type="paragraph" w:customStyle="1" w:styleId="42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22">
    <w:name w:val="_Style 5"/>
    <w:uiPriority w:val="0"/>
    <w:pPr>
      <w:widowControl w:val="0"/>
      <w:jc w:val="both"/>
    </w:pPr>
    <w:rPr>
      <w:rFonts w:ascii="Calibri" w:hAnsi="Calibri" w:eastAsia="宋体" w:cs="Times New Roman"/>
      <w:kern w:val="2"/>
      <w:sz w:val="21"/>
      <w:szCs w:val="24"/>
      <w:lang w:val="en-US" w:eastAsia="zh-CN" w:bidi="ar-SA"/>
    </w:rPr>
  </w:style>
  <w:style w:type="paragraph" w:customStyle="1" w:styleId="423">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样式 标题 4 + 小四 首行缩进:  2 字符"/>
    <w:basedOn w:val="6"/>
    <w:next w:val="7"/>
    <w:qFormat/>
    <w:uiPriority w:val="0"/>
    <w:pPr>
      <w:widowControl w:val="0"/>
      <w:spacing w:before="120" w:after="120" w:line="360" w:lineRule="exact"/>
      <w:ind w:firstLine="482"/>
    </w:pPr>
    <w:rPr>
      <w:rFonts w:ascii="Cambria" w:hAnsi="Cambria" w:eastAsia="黑体" w:cs="宋体"/>
      <w:iCs w:val="0"/>
      <w:sz w:val="24"/>
    </w:rPr>
  </w:style>
  <w:style w:type="paragraph" w:customStyle="1" w:styleId="425">
    <w:name w:val="(a)正文"/>
    <w:basedOn w:val="1"/>
    <w:uiPriority w:val="0"/>
    <w:pPr>
      <w:widowControl/>
      <w:tabs>
        <w:tab w:val="left" w:pos="1871"/>
      </w:tabs>
      <w:spacing w:line="360" w:lineRule="exact"/>
    </w:pPr>
    <w:rPr>
      <w:szCs w:val="20"/>
    </w:rPr>
  </w:style>
  <w:style w:type="paragraph" w:customStyle="1" w:styleId="426">
    <w:name w:val="text"/>
    <w:basedOn w:val="1"/>
    <w:qFormat/>
    <w:uiPriority w:val="0"/>
    <w:pPr>
      <w:overflowPunct w:val="0"/>
      <w:autoSpaceDE w:val="0"/>
      <w:autoSpaceDN w:val="0"/>
      <w:adjustRightInd w:val="0"/>
      <w:spacing w:before="120" w:after="120"/>
      <w:ind w:left="864"/>
      <w:textAlignment w:val="baseline"/>
    </w:pPr>
    <w:rPr>
      <w:rFonts w:ascii="宋体"/>
      <w:spacing w:val="-14"/>
      <w:kern w:val="0"/>
      <w:sz w:val="24"/>
    </w:rPr>
  </w:style>
  <w:style w:type="paragraph" w:customStyle="1" w:styleId="427">
    <w:name w:val="2"/>
    <w:basedOn w:val="5"/>
    <w:qFormat/>
    <w:uiPriority w:val="0"/>
    <w:pPr>
      <w:widowControl w:val="0"/>
      <w:spacing w:beforeLines="50" w:afterLines="50" w:line="240" w:lineRule="auto"/>
      <w:jc w:val="center"/>
    </w:pPr>
    <w:rPr>
      <w:rFonts w:ascii="黑体" w:eastAsia="黑体"/>
      <w:sz w:val="44"/>
      <w:szCs w:val="28"/>
    </w:rPr>
  </w:style>
  <w:style w:type="paragraph" w:customStyle="1" w:styleId="428">
    <w:name w:val="Blockquote"/>
    <w:basedOn w:val="1"/>
    <w:uiPriority w:val="0"/>
    <w:pPr>
      <w:autoSpaceDE w:val="0"/>
      <w:autoSpaceDN w:val="0"/>
      <w:adjustRightInd w:val="0"/>
      <w:spacing w:before="100" w:after="100"/>
      <w:ind w:left="360" w:right="360"/>
      <w:jc w:val="left"/>
    </w:pPr>
    <w:rPr>
      <w:kern w:val="0"/>
      <w:sz w:val="24"/>
      <w:szCs w:val="20"/>
    </w:rPr>
  </w:style>
  <w:style w:type="paragraph" w:customStyle="1" w:styleId="429">
    <w:name w:val="修订1"/>
    <w:qFormat/>
    <w:uiPriority w:val="0"/>
    <w:rPr>
      <w:rFonts w:ascii="Times New Roman" w:hAnsi="Times New Roman" w:eastAsia="宋体" w:cs="Times New Roman"/>
      <w:sz w:val="21"/>
      <w:lang w:val="en-US" w:eastAsia="zh-CN" w:bidi="ar-SA"/>
    </w:rPr>
  </w:style>
  <w:style w:type="paragraph" w:customStyle="1" w:styleId="430">
    <w:name w:val="xl31"/>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43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432">
    <w:name w:val="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33">
    <w:name w:val="样式 标题 2 + Times New Roman 四号 非加粗 段前: 5 磅 段后: 0 磅 行距: 固定值 20..."/>
    <w:basedOn w:val="4"/>
    <w:qFormat/>
    <w:uiPriority w:val="0"/>
    <w:pPr>
      <w:spacing w:before="100" w:after="0" w:line="400" w:lineRule="exact"/>
      <w:jc w:val="center"/>
    </w:pPr>
    <w:rPr>
      <w:rFonts w:ascii="Times New Roman" w:hAnsi="Times New Roman" w:eastAsia="黑体" w:cs="宋体"/>
      <w:b w:val="0"/>
      <w:bCs w:val="0"/>
      <w:sz w:val="28"/>
      <w:szCs w:val="20"/>
    </w:rPr>
  </w:style>
  <w:style w:type="paragraph" w:customStyle="1" w:styleId="434">
    <w:name w:val="默认段落字体 Para Char Char Char Char Char Char Char Char Char Char"/>
    <w:basedOn w:val="1"/>
    <w:qFormat/>
    <w:uiPriority w:val="0"/>
    <w:rPr>
      <w:rFonts w:ascii="Tahoma" w:hAnsi="Tahoma"/>
      <w:sz w:val="24"/>
      <w:u w:val="single"/>
    </w:rPr>
  </w:style>
  <w:style w:type="paragraph" w:customStyle="1" w:styleId="435">
    <w:name w:val="修订2"/>
    <w:qFormat/>
    <w:uiPriority w:val="0"/>
    <w:rPr>
      <w:rFonts w:ascii="Times New Roman" w:hAnsi="Times New Roman" w:eastAsia="宋体" w:cs="Times New Roman"/>
      <w:sz w:val="21"/>
      <w:lang w:val="en-US" w:eastAsia="zh-CN" w:bidi="ar-SA"/>
    </w:rPr>
  </w:style>
  <w:style w:type="paragraph" w:customStyle="1" w:styleId="43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7">
    <w:name w:val="BodyText"/>
    <w:basedOn w:val="1"/>
    <w:uiPriority w:val="0"/>
    <w:pPr>
      <w:spacing w:after="60" w:line="360" w:lineRule="atLeast"/>
      <w:ind w:left="72" w:leftChars="30" w:right="30" w:rightChars="30"/>
      <w:jc w:val="center"/>
    </w:pPr>
    <w:rPr>
      <w:kern w:val="0"/>
      <w:sz w:val="20"/>
      <w:szCs w:val="20"/>
    </w:rPr>
  </w:style>
  <w:style w:type="paragraph" w:customStyle="1" w:styleId="438">
    <w:name w:val="样式 标题 3 + (中文) 黑体 小四 非加粗 段前: 7.8 磅 段后: 0 磅 行距: 固定值 20 磅"/>
    <w:basedOn w:val="5"/>
    <w:qFormat/>
    <w:uiPriority w:val="0"/>
    <w:pPr>
      <w:widowControl w:val="0"/>
      <w:spacing w:before="0" w:after="0" w:line="400" w:lineRule="exact"/>
    </w:pPr>
    <w:rPr>
      <w:rFonts w:ascii="黑体" w:eastAsia="黑体" w:cs="宋体"/>
      <w:b w:val="0"/>
      <w:bCs w:val="0"/>
      <w:szCs w:val="20"/>
    </w:rPr>
  </w:style>
  <w:style w:type="paragraph" w:customStyle="1" w:styleId="439">
    <w:name w:val="TOC 标题4"/>
    <w:basedOn w:val="3"/>
    <w:next w:val="1"/>
    <w:uiPriority w:val="0"/>
    <w:pPr>
      <w:widowControl/>
      <w:tabs>
        <w:tab w:val="left" w:pos="4184"/>
        <w:tab w:val="left" w:pos="6406"/>
      </w:tabs>
      <w:spacing w:before="480" w:after="0" w:line="240" w:lineRule="auto"/>
      <w:jc w:val="left"/>
      <w:outlineLvl w:val="9"/>
    </w:pPr>
    <w:rPr>
      <w:rFonts w:ascii="Cambria" w:hAnsi="Cambria"/>
      <w:b w:val="0"/>
      <w:color w:val="365F91"/>
      <w:kern w:val="0"/>
      <w:sz w:val="28"/>
      <w:szCs w:val="28"/>
    </w:rPr>
  </w:style>
  <w:style w:type="paragraph" w:customStyle="1" w:styleId="440">
    <w:name w:val="font9"/>
    <w:basedOn w:val="1"/>
    <w:uiPriority w:val="0"/>
    <w:pPr>
      <w:widowControl/>
      <w:spacing w:before="100" w:beforeAutospacing="1" w:after="100" w:afterAutospacing="1"/>
      <w:jc w:val="left"/>
    </w:pPr>
    <w:rPr>
      <w:kern w:val="0"/>
      <w:sz w:val="40"/>
      <w:szCs w:val="40"/>
    </w:rPr>
  </w:style>
  <w:style w:type="paragraph" w:customStyle="1" w:styleId="44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样式 2 + 段前: 0 磅 段后: 0 磅 行距: 多倍行距 1.73 字行"/>
    <w:basedOn w:val="427"/>
    <w:next w:val="4"/>
    <w:qFormat/>
    <w:uiPriority w:val="0"/>
    <w:pPr>
      <w:spacing w:beforeLines="0" w:afterLines="0" w:line="415" w:lineRule="auto"/>
    </w:pPr>
    <w:rPr>
      <w:rFonts w:ascii="Times New Roman" w:eastAsia="宋体" w:cs="宋体"/>
      <w:szCs w:val="20"/>
    </w:rPr>
  </w:style>
  <w:style w:type="paragraph" w:customStyle="1" w:styleId="443">
    <w:name w:val="样式 样式 样式 小四 加粗 居中 + 宋体 加粗 黑色 + 左侧:  0.74 厘米"/>
    <w:basedOn w:val="385"/>
    <w:qFormat/>
    <w:uiPriority w:val="0"/>
    <w:pPr>
      <w:ind w:left="420" w:firstLine="422"/>
    </w:pPr>
    <w:rPr>
      <w:rFonts w:ascii="Times New Roman" w:hAnsi="Times New Roman"/>
    </w:rPr>
  </w:style>
  <w:style w:type="paragraph" w:customStyle="1" w:styleId="444">
    <w:name w:val="标准正文"/>
    <w:basedOn w:val="1"/>
    <w:qFormat/>
    <w:uiPriority w:val="0"/>
    <w:pPr>
      <w:spacing w:afterLines="50"/>
      <w:ind w:firstLine="200" w:firstLineChars="200"/>
      <w:jc w:val="left"/>
    </w:pPr>
    <w:rPr>
      <w:sz w:val="24"/>
      <w:szCs w:val="21"/>
    </w:rPr>
  </w:style>
  <w:style w:type="paragraph" w:customStyle="1" w:styleId="445">
    <w:name w:val="表格"/>
    <w:basedOn w:val="1"/>
    <w:qFormat/>
    <w:uiPriority w:val="0"/>
    <w:pPr>
      <w:jc w:val="center"/>
      <w:textAlignment w:val="center"/>
    </w:pPr>
    <w:rPr>
      <w:rFonts w:ascii="华文细黑" w:hAnsi="华文细黑"/>
      <w:kern w:val="0"/>
      <w:szCs w:val="20"/>
    </w:rPr>
  </w:style>
  <w:style w:type="paragraph" w:customStyle="1" w:styleId="446">
    <w:name w:val="xl34"/>
    <w:basedOn w:val="1"/>
    <w:qFormat/>
    <w:uiPriority w:val="0"/>
    <w:pPr>
      <w:widowControl/>
      <w:pBdr>
        <w:left w:val="single" w:color="auto" w:sz="4" w:space="0"/>
        <w:right w:val="single" w:color="auto" w:sz="4" w:space="0"/>
      </w:pBdr>
      <w:spacing w:before="100" w:after="100"/>
      <w:jc w:val="center"/>
    </w:pPr>
    <w:rPr>
      <w:rFonts w:ascii="宋体" w:hAnsi="宋体"/>
      <w:kern w:val="0"/>
      <w:sz w:val="24"/>
      <w:szCs w:val="20"/>
    </w:rPr>
  </w:style>
  <w:style w:type="paragraph" w:customStyle="1" w:styleId="44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48">
    <w:name w:val="_Style 26"/>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449">
    <w:name w:val="样式 4 + 宋体 小三 黑色 两端对齐 段前: 0 磅 段后: 0 磅 行距: 单倍行距1"/>
    <w:basedOn w:val="147"/>
    <w:next w:val="6"/>
    <w:qFormat/>
    <w:uiPriority w:val="0"/>
    <w:pPr>
      <w:spacing w:before="0" w:after="0" w:line="240" w:lineRule="auto"/>
      <w:ind w:firstLine="422"/>
      <w:jc w:val="both"/>
    </w:pPr>
    <w:rPr>
      <w:rFonts w:ascii="宋体" w:hAnsi="宋体" w:cs="宋体"/>
      <w:color w:val="000000"/>
      <w:sz w:val="30"/>
      <w:szCs w:val="20"/>
    </w:rPr>
  </w:style>
  <w:style w:type="paragraph" w:customStyle="1" w:styleId="450">
    <w:name w:val="xl27"/>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451">
    <w:name w:val="样式 4 + 小三"/>
    <w:basedOn w:val="147"/>
    <w:next w:val="6"/>
    <w:qFormat/>
    <w:uiPriority w:val="0"/>
    <w:rPr>
      <w:rFonts w:ascii="Times New Roman" w:hAnsi="Times New Roman"/>
      <w:sz w:val="30"/>
    </w:rPr>
  </w:style>
  <w:style w:type="paragraph" w:customStyle="1" w:styleId="452">
    <w:name w:val="标题2"/>
    <w:basedOn w:val="4"/>
    <w:next w:val="1"/>
    <w:qFormat/>
    <w:uiPriority w:val="0"/>
    <w:pPr>
      <w:snapToGrid w:val="0"/>
      <w:spacing w:before="120" w:after="120" w:line="240" w:lineRule="auto"/>
      <w:jc w:val="left"/>
    </w:pPr>
    <w:rPr>
      <w:rFonts w:ascii="Arial" w:hAnsi="Arial" w:eastAsia="黑体"/>
      <w:b w:val="0"/>
      <w:bCs w:val="0"/>
      <w:sz w:val="21"/>
      <w:szCs w:val="21"/>
    </w:rPr>
  </w:style>
  <w:style w:type="paragraph" w:customStyle="1" w:styleId="4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54">
    <w:name w:val="文件目录"/>
    <w:basedOn w:val="1"/>
    <w:qFormat/>
    <w:uiPriority w:val="0"/>
    <w:pPr>
      <w:spacing w:line="600" w:lineRule="exact"/>
      <w:jc w:val="left"/>
    </w:pPr>
    <w:rPr>
      <w:b/>
      <w:sz w:val="30"/>
      <w:szCs w:val="20"/>
    </w:rPr>
  </w:style>
  <w:style w:type="paragraph" w:customStyle="1" w:styleId="455">
    <w:name w:val="+正文"/>
    <w:basedOn w:val="1"/>
    <w:uiPriority w:val="0"/>
    <w:pPr>
      <w:spacing w:line="360" w:lineRule="auto"/>
      <w:ind w:firstLine="200" w:firstLineChars="200"/>
    </w:pPr>
    <w:rPr>
      <w:sz w:val="24"/>
      <w:szCs w:val="28"/>
    </w:rPr>
  </w:style>
  <w:style w:type="paragraph" w:customStyle="1" w:styleId="456">
    <w:name w:val="样式 4 + 居中"/>
    <w:basedOn w:val="147"/>
    <w:next w:val="2"/>
    <w:uiPriority w:val="0"/>
    <w:pPr>
      <w:jc w:val="center"/>
    </w:pPr>
    <w:rPr>
      <w:rFonts w:ascii="Times New Roman" w:hAnsi="Times New Roman" w:cs="宋体"/>
      <w:szCs w:val="20"/>
    </w:rPr>
  </w:style>
  <w:style w:type="paragraph" w:customStyle="1" w:styleId="457">
    <w:name w:val="合同正文"/>
    <w:basedOn w:val="1"/>
    <w:qFormat/>
    <w:uiPriority w:val="0"/>
    <w:pPr>
      <w:adjustRightInd w:val="0"/>
      <w:spacing w:line="580" w:lineRule="exact"/>
    </w:pPr>
    <w:rPr>
      <w:b/>
      <w:sz w:val="24"/>
      <w:szCs w:val="20"/>
    </w:rPr>
  </w:style>
  <w:style w:type="paragraph" w:customStyle="1" w:styleId="458">
    <w:name w:val="样式 4 + 宋体 小三 黑色 两端对齐 段前: 0 磅 段后: 0 磅 行距: 单倍行距"/>
    <w:basedOn w:val="147"/>
    <w:next w:val="6"/>
    <w:qFormat/>
    <w:uiPriority w:val="0"/>
    <w:pPr>
      <w:spacing w:before="0" w:after="0" w:line="240" w:lineRule="auto"/>
      <w:jc w:val="both"/>
    </w:pPr>
    <w:rPr>
      <w:rFonts w:ascii="宋体" w:hAnsi="宋体" w:cs="宋体"/>
      <w:color w:val="000000"/>
      <w:sz w:val="30"/>
      <w:szCs w:val="20"/>
    </w:rPr>
  </w:style>
  <w:style w:type="paragraph" w:customStyle="1" w:styleId="459">
    <w:name w:val="样式 样式 4 + 宋体 小三 黑色 + 居中 左侧:  2 字符 首行缩进:  2 字符"/>
    <w:basedOn w:val="410"/>
    <w:next w:val="6"/>
    <w:qFormat/>
    <w:uiPriority w:val="0"/>
    <w:pPr>
      <w:ind w:left="420" w:firstLine="602"/>
      <w:jc w:val="center"/>
    </w:pPr>
    <w:rPr>
      <w:rFonts w:ascii="Times New Roman" w:hAnsi="Times New Roman" w:cs="宋体"/>
      <w:szCs w:val="20"/>
    </w:rPr>
  </w:style>
  <w:style w:type="paragraph" w:customStyle="1" w:styleId="460">
    <w:name w:val="_Style 15"/>
    <w:basedOn w:val="1"/>
    <w:next w:val="26"/>
    <w:qFormat/>
    <w:uiPriority w:val="0"/>
    <w:rPr>
      <w:rFonts w:ascii="宋体" w:hAnsi="Courier New"/>
      <w:szCs w:val="20"/>
    </w:rPr>
  </w:style>
  <w:style w:type="paragraph" w:styleId="461">
    <w:name w:val="List Paragraph"/>
    <w:basedOn w:val="1"/>
    <w:qFormat/>
    <w:uiPriority w:val="0"/>
    <w:pPr>
      <w:ind w:firstLine="420" w:firstLineChars="200"/>
    </w:pPr>
  </w:style>
  <w:style w:type="paragraph" w:customStyle="1" w:styleId="462">
    <w:name w:val="表格文字"/>
    <w:basedOn w:val="1"/>
    <w:qFormat/>
    <w:uiPriority w:val="0"/>
    <w:pPr>
      <w:adjustRightInd w:val="0"/>
      <w:spacing w:line="420" w:lineRule="atLeast"/>
      <w:ind w:firstLine="200" w:firstLineChars="200"/>
      <w:jc w:val="left"/>
      <w:textAlignment w:val="baseline"/>
    </w:pPr>
    <w:rPr>
      <w:kern w:val="0"/>
      <w:szCs w:val="20"/>
    </w:rPr>
  </w:style>
  <w:style w:type="paragraph" w:customStyle="1" w:styleId="463">
    <w:name w:val="表中"/>
    <w:basedOn w:val="1"/>
    <w:qFormat/>
    <w:uiPriority w:val="0"/>
    <w:pPr>
      <w:adjustRightInd w:val="0"/>
      <w:spacing w:line="420" w:lineRule="atLeast"/>
      <w:ind w:firstLine="200" w:firstLineChars="200"/>
      <w:jc w:val="center"/>
      <w:textAlignment w:val="baseline"/>
    </w:pPr>
    <w:rPr>
      <w:kern w:val="0"/>
      <w:szCs w:val="20"/>
    </w:rPr>
  </w:style>
  <w:style w:type="paragraph" w:customStyle="1" w:styleId="4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65">
    <w:name w:val="Char1 Char Char Char Char Char Char"/>
    <w:basedOn w:val="1"/>
    <w:qFormat/>
    <w:uiPriority w:val="0"/>
    <w:rPr>
      <w:rFonts w:ascii="Tahoma" w:hAnsi="Tahoma"/>
      <w:sz w:val="24"/>
      <w:szCs w:val="20"/>
    </w:rPr>
  </w:style>
  <w:style w:type="paragraph" w:customStyle="1" w:styleId="466">
    <w:name w:val="Table Paragraph"/>
    <w:basedOn w:val="1"/>
    <w:qFormat/>
    <w:uiPriority w:val="0"/>
    <w:pPr>
      <w:autoSpaceDE w:val="0"/>
      <w:autoSpaceDN w:val="0"/>
      <w:jc w:val="left"/>
    </w:pPr>
    <w:rPr>
      <w:rFonts w:ascii="Noto Sans CJK JP Regular" w:hAnsi="Noto Sans CJK JP Regular" w:eastAsia="Noto Sans CJK JP Regular" w:cs="Noto Sans CJK JP Regular"/>
      <w:kern w:val="0"/>
      <w:sz w:val="22"/>
      <w:szCs w:val="22"/>
      <w:lang w:val="zh-CN" w:bidi="zh-CN"/>
    </w:rPr>
  </w:style>
  <w:style w:type="paragraph" w:customStyle="1" w:styleId="467">
    <w:name w:val="样式 样式 标题 3 + (中文) 黑体 小四 非加粗 段前: 7.8 磅 段后: 0 磅 行距: 固定值 20 磅 + 黑色..."/>
    <w:basedOn w:val="438"/>
    <w:next w:val="147"/>
    <w:qFormat/>
    <w:uiPriority w:val="0"/>
    <w:pPr>
      <w:ind w:firstLine="480"/>
    </w:pPr>
    <w:rPr>
      <w:rFonts w:ascii="Times New Roman" w:eastAsia="宋体" w:cs="Times New Roman"/>
      <w:color w:val="000000"/>
    </w:rPr>
  </w:style>
  <w:style w:type="paragraph" w:customStyle="1" w:styleId="46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kern w:val="0"/>
      <w:sz w:val="28"/>
      <w:szCs w:val="28"/>
    </w:rPr>
  </w:style>
  <w:style w:type="paragraph" w:customStyle="1" w:styleId="469">
    <w:name w:val="样式 4 + 段前: 0 磅 段后: 0 磅 行距: 单倍行距"/>
    <w:basedOn w:val="147"/>
    <w:qFormat/>
    <w:uiPriority w:val="0"/>
    <w:pPr>
      <w:spacing w:before="0" w:after="0" w:line="240" w:lineRule="auto"/>
    </w:pPr>
    <w:rPr>
      <w:rFonts w:ascii="Times New Roman" w:hAnsi="Times New Roman" w:cs="宋体"/>
      <w:b w:val="0"/>
      <w:szCs w:val="20"/>
    </w:rPr>
  </w:style>
  <w:style w:type="paragraph" w:customStyle="1" w:styleId="470">
    <w:name w:val="菲页(卷)"/>
    <w:basedOn w:val="3"/>
    <w:next w:val="388"/>
    <w:qFormat/>
    <w:uiPriority w:val="0"/>
    <w:pPr>
      <w:keepLines w:val="0"/>
      <w:pageBreakBefore/>
      <w:widowControl/>
      <w:tabs>
        <w:tab w:val="left" w:pos="0"/>
      </w:tabs>
      <w:spacing w:before="0" w:after="0" w:line="240" w:lineRule="auto"/>
      <w:jc w:val="center"/>
      <w:outlineLvl w:val="1"/>
    </w:pPr>
    <w:rPr>
      <w:rFonts w:ascii="黑体" w:eastAsia="黑体"/>
      <w:bCs w:val="0"/>
      <w:kern w:val="0"/>
      <w:sz w:val="32"/>
      <w:szCs w:val="20"/>
    </w:rPr>
  </w:style>
  <w:style w:type="paragraph" w:customStyle="1" w:styleId="471">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472">
    <w:name w:val="head1"/>
    <w:basedOn w:val="1"/>
    <w:qFormat/>
    <w:uiPriority w:val="0"/>
    <w:pPr>
      <w:widowControl/>
      <w:tabs>
        <w:tab w:val="left" w:pos="1680"/>
      </w:tabs>
      <w:overflowPunct w:val="0"/>
      <w:autoSpaceDE w:val="0"/>
      <w:autoSpaceDN w:val="0"/>
      <w:adjustRightInd w:val="0"/>
      <w:spacing w:before="60" w:after="60"/>
      <w:ind w:left="1680"/>
      <w:jc w:val="left"/>
      <w:textAlignment w:val="baseline"/>
      <w:outlineLvl w:val="0"/>
    </w:pPr>
    <w:rPr>
      <w:rFonts w:ascii="黑体" w:hAnsi="¿¬Ìå" w:eastAsia="黑体"/>
      <w:kern w:val="0"/>
      <w:sz w:val="30"/>
      <w:szCs w:val="30"/>
    </w:rPr>
  </w:style>
  <w:style w:type="paragraph" w:customStyle="1" w:styleId="473">
    <w:name w:val="样式 3 + 首行缩进:  0.74 厘米"/>
    <w:basedOn w:val="329"/>
    <w:next w:val="5"/>
    <w:qFormat/>
    <w:uiPriority w:val="0"/>
    <w:pPr>
      <w:ind w:firstLine="422"/>
    </w:pPr>
    <w:rPr>
      <w:rFonts w:ascii="Times New Roman" w:eastAsia="宋体" w:cs="宋体"/>
      <w:szCs w:val="20"/>
    </w:rPr>
  </w:style>
  <w:style w:type="paragraph" w:customStyle="1" w:styleId="474">
    <w:name w:val="首行缩进"/>
    <w:basedOn w:val="1"/>
    <w:qFormat/>
    <w:uiPriority w:val="0"/>
    <w:pPr>
      <w:ind w:firstLine="480" w:firstLineChars="200"/>
    </w:pPr>
  </w:style>
  <w:style w:type="paragraph" w:customStyle="1" w:styleId="475">
    <w:name w:val="2 Char Char Char Char Char Char Char Char Char Char Char Char1 Char"/>
    <w:basedOn w:val="1"/>
    <w:qFormat/>
    <w:uiPriority w:val="0"/>
    <w:pPr>
      <w:spacing w:line="360" w:lineRule="auto"/>
      <w:ind w:firstLine="200" w:firstLineChars="200"/>
    </w:pPr>
  </w:style>
  <w:style w:type="paragraph" w:customStyle="1" w:styleId="476">
    <w:name w:val="样式 行距: 固定值 25 磅"/>
    <w:basedOn w:val="1"/>
    <w:qFormat/>
    <w:uiPriority w:val="0"/>
    <w:pPr>
      <w:spacing w:line="500" w:lineRule="exact"/>
    </w:pPr>
    <w:rPr>
      <w:rFonts w:cs="宋体"/>
      <w:sz w:val="28"/>
      <w:szCs w:val="20"/>
    </w:rPr>
  </w:style>
  <w:style w:type="paragraph" w:customStyle="1" w:styleId="477">
    <w:name w:val="p0"/>
    <w:basedOn w:val="1"/>
    <w:qFormat/>
    <w:uiPriority w:val="0"/>
    <w:pPr>
      <w:widowControl/>
    </w:pPr>
    <w:rPr>
      <w:rFonts w:ascii="Calibri" w:hAnsi="Calibri" w:cs="宋体"/>
      <w:kern w:val="0"/>
      <w:szCs w:val="21"/>
    </w:rPr>
  </w:style>
  <w:style w:type="paragraph" w:customStyle="1" w:styleId="478">
    <w:name w:val="font8"/>
    <w:basedOn w:val="1"/>
    <w:qFormat/>
    <w:uiPriority w:val="0"/>
    <w:pPr>
      <w:widowControl/>
      <w:spacing w:before="100" w:beforeAutospacing="1" w:after="100" w:afterAutospacing="1"/>
      <w:jc w:val="left"/>
    </w:pPr>
    <w:rPr>
      <w:rFonts w:hint="eastAsia" w:ascii="宋体" w:hAnsi="宋体"/>
      <w:kern w:val="0"/>
      <w:sz w:val="40"/>
      <w:szCs w:val="40"/>
    </w:rPr>
  </w:style>
  <w:style w:type="paragraph" w:customStyle="1" w:styleId="479">
    <w:name w:val="p16"/>
    <w:basedOn w:val="1"/>
    <w:uiPriority w:val="0"/>
    <w:pPr>
      <w:widowControl/>
    </w:pPr>
    <w:rPr>
      <w:kern w:val="0"/>
      <w:szCs w:val="21"/>
    </w:rPr>
  </w:style>
  <w:style w:type="paragraph" w:customStyle="1" w:styleId="480">
    <w:name w:val="_Style 37"/>
    <w:basedOn w:val="1"/>
    <w:next w:val="1"/>
    <w:qFormat/>
    <w:uiPriority w:val="0"/>
  </w:style>
  <w:style w:type="paragraph" w:customStyle="1" w:styleId="481">
    <w:name w:val="样式 样式 4 + 宋体 小三 黑色 + 左侧:  2 字符 首行缩进:  2 字符"/>
    <w:basedOn w:val="410"/>
    <w:next w:val="6"/>
    <w:qFormat/>
    <w:uiPriority w:val="0"/>
    <w:pPr>
      <w:ind w:left="420" w:firstLine="602"/>
    </w:pPr>
    <w:rPr>
      <w:rFonts w:ascii="Times New Roman" w:hAnsi="Times New Roman" w:cs="宋体"/>
      <w:szCs w:val="20"/>
    </w:rPr>
  </w:style>
  <w:style w:type="paragraph" w:customStyle="1" w:styleId="48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b/>
      <w:bCs/>
      <w:kern w:val="0"/>
      <w:sz w:val="24"/>
    </w:rPr>
  </w:style>
  <w:style w:type="paragraph" w:customStyle="1" w:styleId="483">
    <w:name w:val="样式 3 + 首行缩进:  0.31 厘米"/>
    <w:basedOn w:val="329"/>
    <w:next w:val="5"/>
    <w:qFormat/>
    <w:uiPriority w:val="0"/>
    <w:pPr>
      <w:ind w:firstLine="175"/>
    </w:pPr>
    <w:rPr>
      <w:rFonts w:ascii="Times New Roman" w:eastAsia="宋体" w:cs="宋体"/>
      <w:szCs w:val="20"/>
    </w:rPr>
  </w:style>
  <w:style w:type="paragraph" w:customStyle="1" w:styleId="48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85">
    <w:name w:val="table"/>
    <w:basedOn w:val="1"/>
    <w:qFormat/>
    <w:uiPriority w:val="0"/>
    <w:pPr>
      <w:keepNext/>
      <w:widowControl/>
      <w:overflowPunct w:val="0"/>
      <w:autoSpaceDE w:val="0"/>
      <w:autoSpaceDN w:val="0"/>
      <w:adjustRightInd w:val="0"/>
      <w:jc w:val="left"/>
      <w:textAlignment w:val="baseline"/>
    </w:pPr>
    <w:rPr>
      <w:rFonts w:ascii="楷体" w:eastAsia="楷体"/>
      <w:b/>
      <w:spacing w:val="2"/>
      <w:kern w:val="28"/>
      <w:position w:val="-6"/>
      <w:sz w:val="24"/>
      <w:szCs w:val="20"/>
    </w:rPr>
  </w:style>
  <w:style w:type="paragraph" w:customStyle="1" w:styleId="486">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487">
    <w:name w:val="Char Char10"/>
    <w:basedOn w:val="1"/>
    <w:qFormat/>
    <w:uiPriority w:val="0"/>
    <w:rPr>
      <w:rFonts w:ascii="仿宋_GB2312" w:eastAsia="仿宋_GB2312"/>
      <w:b/>
      <w:sz w:val="32"/>
      <w:szCs w:val="32"/>
    </w:rPr>
  </w:style>
  <w:style w:type="paragraph" w:customStyle="1" w:styleId="48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489">
    <w:name w:val="·"/>
    <w:basedOn w:val="1"/>
    <w:qFormat/>
    <w:uiPriority w:val="0"/>
    <w:pPr>
      <w:widowControl/>
      <w:overflowPunct w:val="0"/>
      <w:autoSpaceDE w:val="0"/>
      <w:autoSpaceDN w:val="0"/>
      <w:adjustRightInd w:val="0"/>
      <w:spacing w:before="120"/>
      <w:ind w:left="432" w:hanging="432"/>
      <w:textAlignment w:val="baseline"/>
    </w:pPr>
    <w:rPr>
      <w:rFonts w:ascii="楷体" w:eastAsia="楷体"/>
      <w:spacing w:val="-20"/>
      <w:kern w:val="28"/>
      <w:position w:val="-6"/>
      <w:sz w:val="24"/>
      <w:szCs w:val="20"/>
    </w:rPr>
  </w:style>
  <w:style w:type="paragraph" w:customStyle="1" w:styleId="4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rPr>
  </w:style>
  <w:style w:type="table" w:customStyle="1" w:styleId="491">
    <w:name w:val="Table Normal"/>
    <w:qFormat/>
    <w:uiPriority w:val="0"/>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92">
    <w:name w:val="Normal_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zyz</Company>
  <Pages>83</Pages>
  <Words>51574</Words>
  <Characters>55425</Characters>
  <Lines>423</Lines>
  <Paragraphs>119</Paragraphs>
  <TotalTime>4</TotalTime>
  <ScaleCrop>false</ScaleCrop>
  <LinksUpToDate>false</LinksUpToDate>
  <CharactersWithSpaces>56503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2019-07-01T07:04:00Z</dcterms:created>
  <dc:creator>NTKO</dc:creator>
  <cp:lastModifiedBy>Administrator</cp:lastModifiedBy>
  <cp:lastPrinted>2024-07-17T01:34:00Z</cp:lastPrinted>
  <dcterms:modified xsi:type="dcterms:W3CDTF">2024-07-17T10:12:16Z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098CDE0C50814D04BAE64FCD00B4F741_13</vt:lpwstr>
  </property>
</Properties>
</file>