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BFBBB">
      <w:pPr>
        <w:spacing w:line="360" w:lineRule="auto"/>
        <w:jc w:val="center"/>
        <w:rPr>
          <w:rFonts w:cs="宋体" w:asciiTheme="minorEastAsia" w:hAnsiTheme="minorEastAsia" w:eastAsiaTheme="minorEastAsia"/>
          <w:b/>
          <w:bCs/>
          <w:color w:val="auto"/>
          <w:sz w:val="52"/>
          <w:szCs w:val="52"/>
          <w:highlight w:val="none"/>
        </w:rPr>
      </w:pPr>
    </w:p>
    <w:p w14:paraId="52A9F052">
      <w:pPr>
        <w:spacing w:line="360" w:lineRule="auto"/>
        <w:jc w:val="center"/>
        <w:rPr>
          <w:rFonts w:cs="方正小标宋简体" w:asciiTheme="minorEastAsia" w:hAnsiTheme="minorEastAsia" w:eastAsiaTheme="minorEastAsia"/>
          <w:b/>
          <w:bCs/>
          <w:color w:val="auto"/>
          <w:sz w:val="52"/>
          <w:szCs w:val="52"/>
          <w:highlight w:val="none"/>
        </w:rPr>
      </w:pPr>
      <w:r>
        <w:rPr>
          <w:rFonts w:hint="eastAsia" w:cs="宋体" w:asciiTheme="minorEastAsia" w:hAnsiTheme="minorEastAsia" w:eastAsiaTheme="minorEastAsia"/>
          <w:b/>
          <w:bCs/>
          <w:color w:val="auto"/>
          <w:sz w:val="52"/>
          <w:szCs w:val="52"/>
          <w:highlight w:val="none"/>
        </w:rPr>
        <w:t>广西城建咨询设计有限公司</w:t>
      </w:r>
    </w:p>
    <w:p w14:paraId="0EC808F4">
      <w:pPr>
        <w:rPr>
          <w:color w:val="auto"/>
          <w:highlight w:val="none"/>
        </w:rPr>
      </w:pPr>
    </w:p>
    <w:p w14:paraId="5A4B372A">
      <w:pPr>
        <w:snapToGrid w:val="0"/>
        <w:spacing w:before="156" w:beforeLines="50" w:line="360" w:lineRule="auto"/>
        <w:jc w:val="center"/>
        <w:rPr>
          <w:rFonts w:hint="eastAsia" w:ascii="华文新魏" w:hAnsi="宋体" w:eastAsia="华文新魏"/>
          <w:color w:val="auto"/>
          <w:sz w:val="120"/>
          <w:szCs w:val="120"/>
          <w:highlight w:val="none"/>
        </w:rPr>
      </w:pPr>
    </w:p>
    <w:p w14:paraId="7E97156C">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097C3E9C">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w:t>
      </w:r>
      <w:r>
        <w:rPr>
          <w:rFonts w:hint="eastAsia" w:ascii="宋体" w:hAnsi="宋体"/>
          <w:b/>
          <w:color w:val="auto"/>
          <w:sz w:val="48"/>
          <w:szCs w:val="48"/>
          <w:highlight w:val="none"/>
        </w:rPr>
        <w:t>全流程电子化采购</w:t>
      </w:r>
      <w:r>
        <w:rPr>
          <w:rFonts w:hint="eastAsia" w:ascii="仿宋_GB2312" w:hAnsi="宋体" w:eastAsia="仿宋_GB2312"/>
          <w:b/>
          <w:color w:val="auto"/>
          <w:sz w:val="48"/>
          <w:szCs w:val="48"/>
          <w:highlight w:val="none"/>
        </w:rPr>
        <w:t>）</w:t>
      </w:r>
    </w:p>
    <w:p w14:paraId="36A5AAFD">
      <w:pPr>
        <w:snapToGrid w:val="0"/>
        <w:spacing w:line="360" w:lineRule="auto"/>
        <w:rPr>
          <w:rFonts w:ascii="仿宋_GB2312" w:hAnsi="宋体" w:eastAsia="仿宋_GB2312"/>
          <w:color w:val="auto"/>
          <w:sz w:val="30"/>
          <w:szCs w:val="72"/>
          <w:highlight w:val="none"/>
        </w:rPr>
      </w:pPr>
    </w:p>
    <w:p w14:paraId="4D17D001">
      <w:pPr>
        <w:pStyle w:val="22"/>
        <w:snapToGrid w:val="0"/>
        <w:spacing w:line="360" w:lineRule="auto"/>
        <w:ind w:left="2548" w:leftChars="568" w:hanging="1355" w:hangingChars="450"/>
        <w:rPr>
          <w:rFonts w:hint="eastAsia" w:asciiTheme="minorEastAsia" w:hAnsiTheme="minorEastAsia" w:eastAsiaTheme="minorEastAsia"/>
          <w:b/>
          <w:bCs/>
          <w:color w:val="auto"/>
          <w:sz w:val="30"/>
          <w:szCs w:val="30"/>
          <w:highlight w:val="none"/>
        </w:rPr>
      </w:pPr>
    </w:p>
    <w:p w14:paraId="3399826D">
      <w:pPr>
        <w:pStyle w:val="22"/>
        <w:snapToGrid w:val="0"/>
        <w:spacing w:line="360" w:lineRule="auto"/>
        <w:ind w:left="2548" w:leftChars="568" w:hanging="1355" w:hangingChars="450"/>
        <w:rPr>
          <w:rFonts w:hint="eastAsia" w:asciiTheme="minorEastAsia" w:hAnsiTheme="minorEastAsia" w:eastAsiaTheme="minorEastAsia"/>
          <w:b/>
          <w:bCs/>
          <w:color w:val="auto"/>
          <w:sz w:val="30"/>
          <w:szCs w:val="30"/>
          <w:highlight w:val="none"/>
        </w:rPr>
      </w:pPr>
    </w:p>
    <w:p w14:paraId="0A6A9FFF">
      <w:pPr>
        <w:pStyle w:val="22"/>
        <w:snapToGrid w:val="0"/>
        <w:spacing w:line="360" w:lineRule="auto"/>
        <w:ind w:left="2548" w:leftChars="568" w:hanging="1355" w:hangingChars="450"/>
        <w:rPr>
          <w:rFonts w:hint="eastAsia" w:asciiTheme="minorEastAsia" w:hAnsiTheme="minorEastAsia" w:eastAsiaTheme="minorEastAsia"/>
          <w:b/>
          <w:bCs/>
          <w:color w:val="auto"/>
          <w:sz w:val="30"/>
          <w:szCs w:val="30"/>
          <w:highlight w:val="none"/>
          <w:lang w:eastAsia="zh-CN"/>
        </w:rPr>
      </w:pPr>
      <w:r>
        <w:rPr>
          <w:rFonts w:hint="eastAsia" w:asciiTheme="minorEastAsia" w:hAnsiTheme="minorEastAsia" w:eastAsiaTheme="minorEastAsia"/>
          <w:b/>
          <w:bCs/>
          <w:color w:val="auto"/>
          <w:sz w:val="30"/>
          <w:szCs w:val="30"/>
          <w:highlight w:val="none"/>
        </w:rPr>
        <w:t>项目</w:t>
      </w:r>
      <w:r>
        <w:rPr>
          <w:rFonts w:hint="eastAsia" w:cs="Courier New" w:asciiTheme="minorEastAsia" w:hAnsiTheme="minorEastAsia" w:eastAsiaTheme="minorEastAsia"/>
          <w:b/>
          <w:bCs/>
          <w:color w:val="auto"/>
          <w:w w:val="95"/>
          <w:sz w:val="30"/>
          <w:szCs w:val="30"/>
          <w:highlight w:val="none"/>
        </w:rPr>
        <w:t>名称：</w:t>
      </w:r>
      <w:r>
        <w:rPr>
          <w:rFonts w:hint="eastAsia" w:asciiTheme="minorEastAsia" w:hAnsiTheme="minorEastAsia" w:eastAsiaTheme="minorEastAsia"/>
          <w:b/>
          <w:bCs/>
          <w:color w:val="auto"/>
          <w:sz w:val="30"/>
          <w:szCs w:val="30"/>
          <w:highlight w:val="none"/>
          <w:lang w:eastAsia="zh-CN"/>
        </w:rPr>
        <w:t>广西本级国有土地资产管理技术服务</w:t>
      </w:r>
    </w:p>
    <w:p w14:paraId="45846AB3">
      <w:pPr>
        <w:pStyle w:val="22"/>
        <w:snapToGrid w:val="0"/>
        <w:spacing w:line="360" w:lineRule="auto"/>
        <w:ind w:firstLine="1133" w:firstLineChars="396"/>
        <w:rPr>
          <w:rFonts w:hint="eastAsia" w:asciiTheme="minorEastAsia" w:hAnsiTheme="minorEastAsia" w:eastAsiaTheme="minorEastAsia"/>
          <w:color w:val="auto"/>
          <w:sz w:val="30"/>
          <w:szCs w:val="72"/>
          <w:highlight w:val="none"/>
          <w:lang w:eastAsia="zh-CN"/>
        </w:rPr>
      </w:pPr>
      <w:r>
        <w:rPr>
          <w:rFonts w:hint="eastAsia" w:cs="Courier New" w:asciiTheme="minorEastAsia" w:hAnsiTheme="minorEastAsia" w:eastAsiaTheme="minorEastAsia"/>
          <w:b/>
          <w:bCs/>
          <w:color w:val="auto"/>
          <w:w w:val="95"/>
          <w:sz w:val="30"/>
          <w:szCs w:val="30"/>
          <w:highlight w:val="none"/>
        </w:rPr>
        <w:t>项目</w:t>
      </w:r>
      <w:r>
        <w:rPr>
          <w:rFonts w:hint="eastAsia" w:asciiTheme="minorEastAsia" w:hAnsiTheme="minorEastAsia" w:eastAsiaTheme="minorEastAsia"/>
          <w:b/>
          <w:bCs/>
          <w:color w:val="auto"/>
          <w:sz w:val="30"/>
          <w:szCs w:val="30"/>
          <w:highlight w:val="none"/>
        </w:rPr>
        <w:t>编号</w:t>
      </w:r>
      <w:r>
        <w:rPr>
          <w:rFonts w:hint="eastAsia" w:cs="Courier New" w:asciiTheme="minorEastAsia" w:hAnsiTheme="minorEastAsia" w:eastAsiaTheme="minorEastAsia"/>
          <w:b/>
          <w:bCs/>
          <w:color w:val="auto"/>
          <w:w w:val="95"/>
          <w:sz w:val="30"/>
          <w:szCs w:val="30"/>
          <w:highlight w:val="none"/>
        </w:rPr>
        <w:t>：</w:t>
      </w:r>
      <w:r>
        <w:rPr>
          <w:rFonts w:hint="eastAsia" w:cs="Courier New" w:asciiTheme="minorEastAsia" w:hAnsiTheme="minorEastAsia" w:eastAsiaTheme="minorEastAsia"/>
          <w:b/>
          <w:bCs/>
          <w:color w:val="auto"/>
          <w:w w:val="95"/>
          <w:sz w:val="30"/>
          <w:szCs w:val="30"/>
          <w:highlight w:val="none"/>
          <w:lang w:eastAsia="zh-CN"/>
        </w:rPr>
        <w:t>GXZC2025-C3-000271-GXCJ</w:t>
      </w:r>
    </w:p>
    <w:p w14:paraId="6F46BA57">
      <w:pPr>
        <w:pStyle w:val="22"/>
        <w:snapToGrid w:val="0"/>
        <w:spacing w:line="360" w:lineRule="auto"/>
        <w:ind w:firstLine="1125" w:firstLineChars="393"/>
        <w:rPr>
          <w:rFonts w:asciiTheme="minorEastAsia" w:hAnsiTheme="minorEastAsia" w:eastAsiaTheme="minorEastAsia"/>
          <w:b/>
          <w:bCs/>
          <w:color w:val="auto"/>
          <w:w w:val="95"/>
          <w:sz w:val="30"/>
          <w:szCs w:val="30"/>
          <w:highlight w:val="none"/>
        </w:rPr>
      </w:pPr>
      <w:r>
        <w:rPr>
          <w:rFonts w:hint="eastAsia" w:asciiTheme="minorEastAsia" w:hAnsiTheme="minorEastAsia" w:eastAsiaTheme="minorEastAsia"/>
          <w:b/>
          <w:bCs/>
          <w:color w:val="auto"/>
          <w:w w:val="95"/>
          <w:sz w:val="30"/>
          <w:szCs w:val="30"/>
          <w:highlight w:val="none"/>
        </w:rPr>
        <w:t>采购人：广西壮族自治区自然资源厅</w:t>
      </w:r>
    </w:p>
    <w:p w14:paraId="4FF81344">
      <w:pPr>
        <w:pStyle w:val="22"/>
        <w:snapToGrid w:val="0"/>
        <w:spacing w:line="360" w:lineRule="auto"/>
        <w:ind w:firstLine="1125" w:firstLineChars="393"/>
        <w:rPr>
          <w:rFonts w:asciiTheme="minorEastAsia" w:hAnsiTheme="minorEastAsia" w:eastAsiaTheme="minorEastAsia"/>
          <w:b/>
          <w:bCs/>
          <w:color w:val="auto"/>
          <w:w w:val="95"/>
          <w:sz w:val="30"/>
          <w:szCs w:val="30"/>
          <w:highlight w:val="none"/>
        </w:rPr>
      </w:pPr>
      <w:r>
        <w:rPr>
          <w:rFonts w:hint="eastAsia" w:asciiTheme="minorEastAsia" w:hAnsiTheme="minorEastAsia" w:eastAsiaTheme="minorEastAsia"/>
          <w:b/>
          <w:bCs/>
          <w:color w:val="auto"/>
          <w:w w:val="95"/>
          <w:sz w:val="30"/>
          <w:szCs w:val="30"/>
          <w:highlight w:val="none"/>
        </w:rPr>
        <w:t>采购代理机构：广西城建咨询设计有限公司</w:t>
      </w:r>
    </w:p>
    <w:p w14:paraId="56D6940E">
      <w:pPr>
        <w:pStyle w:val="22"/>
        <w:snapToGrid w:val="0"/>
        <w:spacing w:line="360" w:lineRule="auto"/>
        <w:rPr>
          <w:rFonts w:asciiTheme="minorEastAsia" w:hAnsiTheme="minorEastAsia" w:eastAsiaTheme="minorEastAsia"/>
          <w:b/>
          <w:bCs/>
          <w:color w:val="auto"/>
          <w:w w:val="95"/>
          <w:sz w:val="30"/>
          <w:szCs w:val="30"/>
          <w:highlight w:val="none"/>
        </w:rPr>
      </w:pPr>
    </w:p>
    <w:p w14:paraId="045E0037">
      <w:pPr>
        <w:pStyle w:val="22"/>
        <w:snapToGrid w:val="0"/>
        <w:spacing w:line="360" w:lineRule="auto"/>
        <w:jc w:val="center"/>
        <w:rPr>
          <w:rFonts w:ascii="仿宋_GB2312" w:eastAsia="仿宋_GB2312"/>
          <w:color w:val="auto"/>
          <w:szCs w:val="20"/>
          <w:highlight w:val="none"/>
        </w:rPr>
      </w:pPr>
      <w:r>
        <w:rPr>
          <w:rFonts w:asciiTheme="minorEastAsia" w:hAnsiTheme="minorEastAsia" w:eastAsiaTheme="minorEastAsia"/>
          <w:b/>
          <w:bCs/>
          <w:color w:val="auto"/>
          <w:w w:val="95"/>
          <w:sz w:val="30"/>
          <w:szCs w:val="30"/>
          <w:highlight w:val="none"/>
        </w:rPr>
        <w:t>202</w:t>
      </w:r>
      <w:r>
        <w:rPr>
          <w:rFonts w:hint="eastAsia" w:asciiTheme="minorEastAsia" w:hAnsiTheme="minorEastAsia" w:eastAsiaTheme="minorEastAsia"/>
          <w:b/>
          <w:bCs/>
          <w:color w:val="auto"/>
          <w:w w:val="95"/>
          <w:sz w:val="30"/>
          <w:szCs w:val="30"/>
          <w:highlight w:val="none"/>
          <w:lang w:val="en-US" w:eastAsia="zh-CN"/>
        </w:rPr>
        <w:t>5</w:t>
      </w:r>
      <w:r>
        <w:rPr>
          <w:rFonts w:hint="eastAsia" w:asciiTheme="minorEastAsia" w:hAnsiTheme="minorEastAsia" w:eastAsiaTheme="minorEastAsia"/>
          <w:b/>
          <w:bCs/>
          <w:color w:val="auto"/>
          <w:w w:val="95"/>
          <w:sz w:val="30"/>
          <w:szCs w:val="30"/>
          <w:highlight w:val="none"/>
        </w:rPr>
        <w:t>年</w:t>
      </w:r>
      <w:r>
        <w:rPr>
          <w:rFonts w:hint="eastAsia" w:asciiTheme="minorEastAsia" w:hAnsiTheme="minorEastAsia" w:eastAsiaTheme="minorEastAsia"/>
          <w:b/>
          <w:bCs/>
          <w:color w:val="auto"/>
          <w:w w:val="95"/>
          <w:sz w:val="30"/>
          <w:szCs w:val="30"/>
          <w:highlight w:val="none"/>
          <w:lang w:val="en-US" w:eastAsia="zh-CN"/>
        </w:rPr>
        <w:t>3</w:t>
      </w:r>
      <w:r>
        <w:rPr>
          <w:rFonts w:hint="eastAsia" w:asciiTheme="minorEastAsia" w:hAnsiTheme="minorEastAsia" w:eastAsiaTheme="minorEastAsia"/>
          <w:b/>
          <w:bCs/>
          <w:color w:val="auto"/>
          <w:w w:val="95"/>
          <w:sz w:val="30"/>
          <w:szCs w:val="30"/>
          <w:highlight w:val="none"/>
        </w:rPr>
        <w:t>月</w:t>
      </w:r>
    </w:p>
    <w:p w14:paraId="58659C64">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目录</w:t>
      </w:r>
    </w:p>
    <w:p w14:paraId="7528802C">
      <w:pPr>
        <w:spacing w:line="400" w:lineRule="exact"/>
        <w:jc w:val="center"/>
        <w:rPr>
          <w:rFonts w:ascii="宋体" w:hAnsi="宋体"/>
          <w:b/>
          <w:color w:val="auto"/>
          <w:sz w:val="44"/>
          <w:szCs w:val="44"/>
          <w:highlight w:val="none"/>
        </w:rPr>
      </w:pPr>
    </w:p>
    <w:p w14:paraId="689254F2">
      <w:pPr>
        <w:pStyle w:val="28"/>
        <w:tabs>
          <w:tab w:val="right" w:leader="dot" w:pos="8869"/>
        </w:tabs>
        <w:rPr>
          <w:rFonts w:asciiTheme="minorEastAsia" w:hAnsiTheme="minorEastAsia" w:eastAsiaTheme="minorEastAsia" w:cstheme="minorBidi"/>
          <w:color w:val="auto"/>
          <w:sz w:val="28"/>
          <w:szCs w:val="32"/>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"_Toc151675536" </w:instrText>
      </w:r>
      <w:r>
        <w:rPr>
          <w:color w:val="auto"/>
          <w:highlight w:val="none"/>
        </w:rPr>
        <w:fldChar w:fldCharType="separate"/>
      </w:r>
      <w:r>
        <w:rPr>
          <w:rStyle w:val="41"/>
          <w:rFonts w:asciiTheme="minorEastAsia" w:hAnsiTheme="minorEastAsia" w:eastAsiaTheme="minorEastAsia"/>
          <w:color w:val="auto"/>
          <w:sz w:val="28"/>
          <w:szCs w:val="36"/>
          <w:highlight w:val="none"/>
        </w:rPr>
        <w:t>第一章  竞争性磋商公告</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_Toc151675536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1</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24DC3D67">
      <w:pPr>
        <w:pStyle w:val="28"/>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"_Toc151675537" </w:instrText>
      </w:r>
      <w:r>
        <w:rPr>
          <w:color w:val="auto"/>
          <w:highlight w:val="none"/>
        </w:rPr>
        <w:fldChar w:fldCharType="separate"/>
      </w:r>
      <w:r>
        <w:rPr>
          <w:rStyle w:val="41"/>
          <w:rFonts w:asciiTheme="minorEastAsia" w:hAnsiTheme="minorEastAsia" w:eastAsiaTheme="minorEastAsia"/>
          <w:color w:val="auto"/>
          <w:sz w:val="28"/>
          <w:szCs w:val="36"/>
          <w:highlight w:val="none"/>
        </w:rPr>
        <w:t>第二章  供应商须知</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_Toc151675537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4</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11D2AC54">
      <w:pPr>
        <w:pStyle w:val="28"/>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"_Toc151675538" </w:instrText>
      </w:r>
      <w:r>
        <w:rPr>
          <w:color w:val="auto"/>
          <w:highlight w:val="none"/>
        </w:rPr>
        <w:fldChar w:fldCharType="separate"/>
      </w:r>
      <w:r>
        <w:rPr>
          <w:rStyle w:val="41"/>
          <w:rFonts w:asciiTheme="minorEastAsia" w:hAnsiTheme="minorEastAsia" w:eastAsiaTheme="minorEastAsia"/>
          <w:color w:val="auto"/>
          <w:sz w:val="28"/>
          <w:szCs w:val="36"/>
          <w:highlight w:val="none"/>
        </w:rPr>
        <w:t>第三章  采购需求</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_Toc151675538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25</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7E3AAD2C">
      <w:pPr>
        <w:pStyle w:val="28"/>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"_Toc151675539" </w:instrText>
      </w:r>
      <w:r>
        <w:rPr>
          <w:color w:val="auto"/>
          <w:highlight w:val="none"/>
        </w:rPr>
        <w:fldChar w:fldCharType="separate"/>
      </w:r>
      <w:r>
        <w:rPr>
          <w:rStyle w:val="41"/>
          <w:rFonts w:asciiTheme="minorEastAsia" w:hAnsiTheme="minorEastAsia" w:eastAsiaTheme="minorEastAsia"/>
          <w:color w:val="auto"/>
          <w:sz w:val="28"/>
          <w:szCs w:val="36"/>
          <w:highlight w:val="none"/>
        </w:rPr>
        <w:t>第四章  评审程序、评审方法和评审标准</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_Toc151675539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30</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DE7A4B6">
      <w:pPr>
        <w:pStyle w:val="28"/>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"_Toc151675540" </w:instrText>
      </w:r>
      <w:r>
        <w:rPr>
          <w:color w:val="auto"/>
          <w:highlight w:val="none"/>
        </w:rPr>
        <w:fldChar w:fldCharType="separate"/>
      </w:r>
      <w:r>
        <w:rPr>
          <w:rStyle w:val="41"/>
          <w:rFonts w:asciiTheme="minorEastAsia" w:hAnsiTheme="minorEastAsia" w:eastAsiaTheme="minorEastAsia"/>
          <w:color w:val="auto"/>
          <w:sz w:val="28"/>
          <w:szCs w:val="36"/>
          <w:highlight w:val="none"/>
        </w:rPr>
        <w:t>第五章  响应文件格式</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_Toc151675540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42</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6364FD87">
      <w:pPr>
        <w:pStyle w:val="28"/>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"_Toc151675541" </w:instrText>
      </w:r>
      <w:r>
        <w:rPr>
          <w:color w:val="auto"/>
          <w:highlight w:val="none"/>
        </w:rPr>
        <w:fldChar w:fldCharType="separate"/>
      </w:r>
      <w:r>
        <w:rPr>
          <w:rStyle w:val="41"/>
          <w:rFonts w:asciiTheme="minorEastAsia" w:hAnsiTheme="minorEastAsia" w:eastAsiaTheme="minorEastAsia"/>
          <w:color w:val="auto"/>
          <w:sz w:val="28"/>
          <w:szCs w:val="36"/>
          <w:highlight w:val="none"/>
        </w:rPr>
        <w:t>第六章  合同文本</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_Toc151675541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72</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6EDD3F29">
      <w:pPr>
        <w:pStyle w:val="30"/>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0E96566A">
      <w:pPr>
        <w:spacing w:line="400" w:lineRule="exact"/>
        <w:jc w:val="left"/>
        <w:rPr>
          <w:rFonts w:ascii="宋体" w:hAnsi="宋体"/>
          <w:b/>
          <w:color w:val="auto"/>
          <w:sz w:val="32"/>
          <w:szCs w:val="32"/>
          <w:highlight w:val="none"/>
        </w:rPr>
      </w:pPr>
    </w:p>
    <w:p w14:paraId="04D6B92C">
      <w:pPr>
        <w:spacing w:line="400" w:lineRule="exact"/>
        <w:jc w:val="center"/>
        <w:rPr>
          <w:rFonts w:ascii="宋体" w:hAnsi="宋体"/>
          <w:b/>
          <w:color w:val="auto"/>
          <w:sz w:val="32"/>
          <w:szCs w:val="32"/>
          <w:highlight w:val="none"/>
        </w:rPr>
      </w:pPr>
    </w:p>
    <w:p w14:paraId="472C9787">
      <w:pPr>
        <w:spacing w:line="400" w:lineRule="exact"/>
        <w:jc w:val="center"/>
        <w:rPr>
          <w:rFonts w:ascii="宋体" w:hAnsi="宋体"/>
          <w:b/>
          <w:color w:val="auto"/>
          <w:sz w:val="32"/>
          <w:szCs w:val="32"/>
          <w:highlight w:val="none"/>
        </w:rPr>
      </w:pPr>
    </w:p>
    <w:p w14:paraId="75611A4E">
      <w:pPr>
        <w:spacing w:line="400" w:lineRule="exact"/>
        <w:jc w:val="center"/>
        <w:rPr>
          <w:rFonts w:ascii="宋体" w:hAnsi="宋体"/>
          <w:b/>
          <w:color w:val="auto"/>
          <w:sz w:val="32"/>
          <w:szCs w:val="32"/>
          <w:highlight w:val="none"/>
        </w:rPr>
      </w:pPr>
    </w:p>
    <w:p w14:paraId="26DD8801">
      <w:pPr>
        <w:spacing w:line="400" w:lineRule="exact"/>
        <w:jc w:val="center"/>
        <w:rPr>
          <w:rFonts w:ascii="宋体" w:hAnsi="宋体"/>
          <w:b/>
          <w:color w:val="auto"/>
          <w:sz w:val="32"/>
          <w:szCs w:val="32"/>
          <w:highlight w:val="none"/>
        </w:rPr>
      </w:pPr>
    </w:p>
    <w:p w14:paraId="57B0B45A">
      <w:pPr>
        <w:spacing w:line="400" w:lineRule="exact"/>
        <w:rPr>
          <w:rFonts w:ascii="宋体" w:hAnsi="宋体"/>
          <w:b/>
          <w:color w:val="auto"/>
          <w:sz w:val="32"/>
          <w:szCs w:val="32"/>
          <w:highlight w:val="none"/>
        </w:rPr>
        <w:sectPr>
          <w:headerReference r:id="rId3" w:type="first"/>
          <w:footerReference r:id="rId5" w:type="first"/>
          <w:footerReference r:id="rId4" w:type="default"/>
          <w:pgSz w:w="11906" w:h="16838"/>
          <w:pgMar w:top="1440" w:right="1440" w:bottom="1440" w:left="1587" w:header="851" w:footer="992" w:gutter="0"/>
          <w:pgNumType w:start="0"/>
          <w:cols w:space="720" w:num="1"/>
          <w:titlePg/>
          <w:docGrid w:type="lines" w:linePitch="312" w:charSpace="0"/>
        </w:sectPr>
      </w:pPr>
    </w:p>
    <w:p w14:paraId="6AA1695D">
      <w:pPr>
        <w:pStyle w:val="5"/>
        <w:jc w:val="center"/>
        <w:rPr>
          <w:color w:val="auto"/>
          <w:highlight w:val="none"/>
        </w:rPr>
      </w:pPr>
      <w:bookmarkStart w:id="0" w:name="_Toc151675536"/>
      <w:r>
        <w:rPr>
          <w:rFonts w:hint="eastAsia"/>
          <w:color w:val="auto"/>
          <w:highlight w:val="none"/>
        </w:rPr>
        <w:t xml:space="preserve">第一章 </w:t>
      </w:r>
      <w:r>
        <w:rPr>
          <w:color w:val="auto"/>
          <w:highlight w:val="none"/>
        </w:rPr>
        <w:t xml:space="preserve"> </w:t>
      </w:r>
      <w:r>
        <w:rPr>
          <w:rFonts w:hint="eastAsia"/>
          <w:color w:val="auto"/>
          <w:highlight w:val="none"/>
        </w:rPr>
        <w:t>竞争性磋商公告</w:t>
      </w:r>
      <w:bookmarkEnd w:id="0"/>
    </w:p>
    <w:p w14:paraId="50697273">
      <w:pPr>
        <w:spacing w:line="400" w:lineRule="exact"/>
        <w:jc w:val="center"/>
        <w:rPr>
          <w:rFonts w:ascii="宋体" w:hAnsi="宋体"/>
          <w:color w:val="auto"/>
          <w:sz w:val="30"/>
          <w:szCs w:val="30"/>
          <w:highlight w:val="none"/>
        </w:rPr>
      </w:pPr>
      <w:r>
        <w:rPr>
          <w:rFonts w:hint="eastAsia" w:ascii="宋体" w:hAnsi="宋体"/>
          <w:b/>
          <w:bCs/>
          <w:color w:val="auto"/>
          <w:sz w:val="30"/>
          <w:szCs w:val="30"/>
          <w:highlight w:val="none"/>
        </w:rPr>
        <w:t>广西城建咨询设计有限公司</w:t>
      </w:r>
      <w:r>
        <w:rPr>
          <w:rFonts w:hint="eastAsia" w:ascii="宋体" w:hAnsi="宋体"/>
          <w:b/>
          <w:bCs/>
          <w:color w:val="auto"/>
          <w:sz w:val="30"/>
          <w:szCs w:val="30"/>
          <w:highlight w:val="none"/>
          <w:lang w:val="en-US" w:eastAsia="zh-CN"/>
        </w:rPr>
        <w:t>关于广西本级国有土地资产管理技术服务（项目编号：GXZC2025-C3-000271-GXCJ）的</w:t>
      </w:r>
      <w:r>
        <w:rPr>
          <w:rFonts w:hint="eastAsia" w:ascii="宋体" w:hAnsi="宋体"/>
          <w:b/>
          <w:bCs/>
          <w:color w:val="auto"/>
          <w:sz w:val="30"/>
          <w:szCs w:val="30"/>
          <w:highlight w:val="none"/>
        </w:rPr>
        <w:t>竞争性磋商公告</w:t>
      </w:r>
    </w:p>
    <w:p w14:paraId="57CDDFB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1D64F8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lang w:eastAsia="zh-CN"/>
        </w:rPr>
        <w:t>广西本级国有土地资产管理技术服务</w:t>
      </w:r>
      <w:r>
        <w:rPr>
          <w:rFonts w:hint="eastAsia" w:ascii="宋体" w:hAnsi="宋体"/>
          <w:color w:val="auto"/>
          <w:szCs w:val="21"/>
          <w:highlight w:val="none"/>
        </w:rPr>
        <w:t>的潜在供应商应在广西政府采购云平台（https://www.gcy.zfcg.gxzf.gov.cn/）获取（下载）竞争性磋商文件，并于2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3</w:t>
      </w:r>
      <w:r>
        <w:rPr>
          <w:rFonts w:hint="eastAsia" w:ascii="宋体" w:hAnsi="宋体"/>
          <w:bCs/>
          <w:color w:val="auto"/>
          <w:szCs w:val="21"/>
          <w:highlight w:val="none"/>
        </w:rPr>
        <w:t>月</w:t>
      </w:r>
      <w:r>
        <w:rPr>
          <w:rFonts w:hint="eastAsia" w:ascii="宋体" w:hAnsi="宋体"/>
          <w:bCs/>
          <w:color w:val="auto"/>
          <w:szCs w:val="21"/>
          <w:highlight w:val="none"/>
          <w:lang w:val="en-US" w:eastAsia="zh-CN"/>
        </w:rPr>
        <w:t>19</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00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24DEF402">
      <w:pPr>
        <w:keepNext w:val="0"/>
        <w:keepLines w:val="0"/>
        <w:pageBreakBefore w:val="0"/>
        <w:widowControl w:val="0"/>
        <w:kinsoku/>
        <w:wordWrap/>
        <w:overflowPunct/>
        <w:topLinePunct w:val="0"/>
        <w:autoSpaceDE/>
        <w:autoSpaceDN/>
        <w:bidi w:val="0"/>
        <w:adjustRightInd/>
        <w:snapToGrid/>
        <w:spacing w:line="360" w:lineRule="exact"/>
        <w:ind w:firstLine="354" w:firstLineChars="147"/>
        <w:textAlignment w:val="auto"/>
        <w:rPr>
          <w:rFonts w:ascii="黑体" w:hAnsi="黑体" w:eastAsia="黑体"/>
          <w:b/>
          <w:color w:val="auto"/>
          <w:sz w:val="24"/>
          <w:highlight w:val="none"/>
        </w:rPr>
      </w:pPr>
      <w:bookmarkStart w:id="2" w:name="_Toc35393798"/>
      <w:bookmarkStart w:id="3" w:name="_Toc44229878"/>
      <w:bookmarkStart w:id="4" w:name="_Toc28359089"/>
      <w:bookmarkStart w:id="5" w:name="_Toc71365905"/>
      <w:bookmarkStart w:id="6" w:name="_Toc35393629"/>
      <w:bookmarkStart w:id="7" w:name="_Toc28359012"/>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064C53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GXZC2025-C3-000271-GXCJ</w:t>
      </w:r>
      <w:r>
        <w:rPr>
          <w:rFonts w:hint="eastAsia" w:ascii="宋体" w:hAnsi="宋体"/>
          <w:color w:val="auto"/>
          <w:szCs w:val="21"/>
          <w:highlight w:val="none"/>
        </w:rPr>
        <w:t>（政府采购计划编号：</w:t>
      </w:r>
      <w:r>
        <w:rPr>
          <w:rFonts w:hint="eastAsia" w:ascii="宋体" w:hAnsi="宋体"/>
          <w:color w:val="auto"/>
          <w:szCs w:val="21"/>
          <w:highlight w:val="none"/>
          <w:lang w:eastAsia="zh-CN"/>
        </w:rPr>
        <w:t>广西政采[2025]1720号</w:t>
      </w:r>
      <w:r>
        <w:rPr>
          <w:rFonts w:hint="eastAsia" w:ascii="宋体" w:hAnsi="宋体"/>
          <w:color w:val="auto"/>
          <w:szCs w:val="21"/>
          <w:highlight w:val="none"/>
        </w:rPr>
        <w:t>）</w:t>
      </w:r>
    </w:p>
    <w:p w14:paraId="1CFCBB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广西本级国有土地资产管理技术服务</w:t>
      </w:r>
    </w:p>
    <w:p w14:paraId="3BE6022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采购方式：竞争性磋商</w:t>
      </w:r>
    </w:p>
    <w:p w14:paraId="1045278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预算总金额：</w:t>
      </w:r>
      <w:r>
        <w:rPr>
          <w:rFonts w:hint="eastAsia" w:ascii="宋体" w:hAnsi="宋体"/>
          <w:color w:val="auto"/>
          <w:szCs w:val="21"/>
          <w:highlight w:val="none"/>
          <w:lang w:val="en-US" w:eastAsia="zh-CN"/>
        </w:rPr>
        <w:t>155</w:t>
      </w:r>
      <w:r>
        <w:rPr>
          <w:rFonts w:hint="eastAsia" w:ascii="宋体" w:hAnsi="宋体"/>
          <w:color w:val="auto"/>
          <w:szCs w:val="21"/>
          <w:highlight w:val="none"/>
        </w:rPr>
        <w:t>万元</w:t>
      </w:r>
    </w:p>
    <w:p w14:paraId="477F91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采购需求：</w:t>
      </w: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1487"/>
        <w:gridCol w:w="934"/>
        <w:gridCol w:w="3329"/>
        <w:gridCol w:w="1201"/>
        <w:gridCol w:w="1110"/>
        <w:gridCol w:w="608"/>
      </w:tblGrid>
      <w:tr w14:paraId="5FDAE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60F082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olor w:val="auto"/>
                <w:szCs w:val="21"/>
                <w:highlight w:val="none"/>
                <w:u w:val="single"/>
              </w:rPr>
            </w:pPr>
            <w:r>
              <w:rPr>
                <w:rFonts w:hint="eastAsia" w:ascii="宋体" w:hAnsi="宋体"/>
                <w:color w:val="auto"/>
                <w:szCs w:val="21"/>
                <w:highlight w:val="none"/>
              </w:rPr>
              <w:t>分标</w:t>
            </w:r>
            <w:r>
              <w:rPr>
                <w:rFonts w:hint="eastAsia" w:ascii="宋体" w:hAnsi="宋体"/>
                <w:color w:val="auto"/>
                <w:szCs w:val="21"/>
                <w:highlight w:val="none"/>
                <w:lang w:val="en-US" w:eastAsia="zh-CN"/>
              </w:rPr>
              <w:t>1</w:t>
            </w:r>
            <w:r>
              <w:rPr>
                <w:rFonts w:hint="eastAsia" w:ascii="宋体" w:hAnsi="宋体"/>
                <w:color w:val="auto"/>
                <w:szCs w:val="21"/>
                <w:highlight w:val="none"/>
              </w:rPr>
              <w:t>：预算金额：</w:t>
            </w:r>
            <w:r>
              <w:rPr>
                <w:rFonts w:hint="eastAsia" w:ascii="宋体" w:hAnsi="宋体"/>
                <w:color w:val="auto"/>
                <w:szCs w:val="21"/>
                <w:highlight w:val="none"/>
                <w:lang w:val="en-US" w:eastAsia="zh-CN"/>
              </w:rPr>
              <w:t>100</w:t>
            </w:r>
            <w:r>
              <w:rPr>
                <w:rFonts w:hint="eastAsia" w:ascii="宋体" w:hAnsi="宋体"/>
                <w:color w:val="auto"/>
                <w:szCs w:val="21"/>
                <w:highlight w:val="none"/>
              </w:rPr>
              <w:t>.00万元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最高限价：100.00万元</w:t>
            </w:r>
            <w:r>
              <w:rPr>
                <w:rFonts w:hint="eastAsia" w:ascii="宋体" w:hAnsi="宋体"/>
                <w:color w:val="auto"/>
                <w:szCs w:val="21"/>
                <w:highlight w:val="none"/>
              </w:rPr>
              <w:t>。</w:t>
            </w:r>
          </w:p>
        </w:tc>
      </w:tr>
      <w:tr w14:paraId="4072B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4" w:type="pct"/>
            <w:tcBorders>
              <w:top w:val="single" w:color="auto" w:sz="4" w:space="0"/>
              <w:left w:val="single" w:color="auto" w:sz="4" w:space="0"/>
              <w:bottom w:val="single" w:color="auto" w:sz="4" w:space="0"/>
              <w:right w:val="single" w:color="auto" w:sz="4" w:space="0"/>
            </w:tcBorders>
            <w:vAlign w:val="center"/>
          </w:tcPr>
          <w:p w14:paraId="31F28EA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bookmarkStart w:id="8" w:name="_Hlk97197921"/>
            <w:bookmarkStart w:id="9" w:name="OLE_LINK1" w:colFirst="0" w:colLast="3"/>
            <w:r>
              <w:rPr>
                <w:rFonts w:hint="eastAsia" w:ascii="宋体" w:hAnsi="宋体"/>
                <w:color w:val="auto"/>
                <w:szCs w:val="21"/>
                <w:highlight w:val="none"/>
              </w:rPr>
              <w:t>序号</w:t>
            </w:r>
          </w:p>
        </w:tc>
        <w:tc>
          <w:tcPr>
            <w:tcW w:w="818" w:type="pct"/>
            <w:tcBorders>
              <w:top w:val="single" w:color="auto" w:sz="4" w:space="0"/>
              <w:left w:val="single" w:color="auto" w:sz="4" w:space="0"/>
              <w:bottom w:val="single" w:color="auto" w:sz="4" w:space="0"/>
              <w:right w:val="single" w:color="auto" w:sz="4" w:space="0"/>
            </w:tcBorders>
            <w:vAlign w:val="center"/>
          </w:tcPr>
          <w:p w14:paraId="0BC7A3A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标的的名称</w:t>
            </w:r>
          </w:p>
        </w:tc>
        <w:tc>
          <w:tcPr>
            <w:tcW w:w="514" w:type="pct"/>
            <w:tcBorders>
              <w:top w:val="single" w:color="auto" w:sz="4" w:space="0"/>
              <w:left w:val="single" w:color="auto" w:sz="4" w:space="0"/>
              <w:bottom w:val="single" w:color="auto" w:sz="4" w:space="0"/>
              <w:right w:val="single" w:color="auto" w:sz="4" w:space="0"/>
            </w:tcBorders>
            <w:vAlign w:val="center"/>
          </w:tcPr>
          <w:p w14:paraId="0243081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数量及单位</w:t>
            </w:r>
          </w:p>
        </w:tc>
        <w:tc>
          <w:tcPr>
            <w:tcW w:w="1830" w:type="pct"/>
            <w:tcBorders>
              <w:top w:val="single" w:color="auto" w:sz="4" w:space="0"/>
              <w:left w:val="single" w:color="auto" w:sz="4" w:space="0"/>
              <w:bottom w:val="single" w:color="auto" w:sz="4" w:space="0"/>
              <w:right w:val="single" w:color="auto" w:sz="4" w:space="0"/>
            </w:tcBorders>
            <w:vAlign w:val="center"/>
          </w:tcPr>
          <w:p w14:paraId="5CC6174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简要技术需求或者服务要求</w:t>
            </w:r>
          </w:p>
        </w:tc>
        <w:tc>
          <w:tcPr>
            <w:tcW w:w="660" w:type="pct"/>
            <w:tcBorders>
              <w:top w:val="single" w:color="auto" w:sz="4" w:space="0"/>
              <w:left w:val="single" w:color="auto" w:sz="4" w:space="0"/>
              <w:bottom w:val="single" w:color="auto" w:sz="4" w:space="0"/>
              <w:right w:val="single" w:color="auto" w:sz="4" w:space="0"/>
            </w:tcBorders>
            <w:vAlign w:val="center"/>
          </w:tcPr>
          <w:p w14:paraId="218AEE9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合同履行期限</w:t>
            </w:r>
          </w:p>
        </w:tc>
        <w:tc>
          <w:tcPr>
            <w:tcW w:w="610" w:type="pct"/>
            <w:tcBorders>
              <w:top w:val="single" w:color="auto" w:sz="4" w:space="0"/>
              <w:left w:val="single" w:color="auto" w:sz="4" w:space="0"/>
              <w:bottom w:val="single" w:color="auto" w:sz="4" w:space="0"/>
              <w:right w:val="single" w:color="auto" w:sz="4" w:space="0"/>
            </w:tcBorders>
            <w:vAlign w:val="center"/>
          </w:tcPr>
          <w:p w14:paraId="011AE5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是否接受联合体</w:t>
            </w:r>
          </w:p>
        </w:tc>
        <w:tc>
          <w:tcPr>
            <w:tcW w:w="333" w:type="pct"/>
            <w:tcBorders>
              <w:top w:val="single" w:color="auto" w:sz="4" w:space="0"/>
              <w:left w:val="single" w:color="auto" w:sz="4" w:space="0"/>
              <w:bottom w:val="single" w:color="auto" w:sz="4" w:space="0"/>
              <w:right w:val="single" w:color="auto" w:sz="4" w:space="0"/>
            </w:tcBorders>
            <w:vAlign w:val="center"/>
          </w:tcPr>
          <w:p w14:paraId="3C836BF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备注</w:t>
            </w:r>
          </w:p>
        </w:tc>
      </w:tr>
      <w:tr w14:paraId="7671F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4" w:type="pct"/>
            <w:tcBorders>
              <w:top w:val="single" w:color="auto" w:sz="4" w:space="0"/>
              <w:left w:val="single" w:color="auto" w:sz="4" w:space="0"/>
              <w:bottom w:val="single" w:color="auto" w:sz="4" w:space="0"/>
              <w:right w:val="single" w:color="auto" w:sz="4" w:space="0"/>
            </w:tcBorders>
            <w:vAlign w:val="center"/>
          </w:tcPr>
          <w:p w14:paraId="5D47C63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ascii="宋体" w:hAnsi="宋体"/>
                <w:color w:val="auto"/>
                <w:szCs w:val="21"/>
                <w:highlight w:val="none"/>
              </w:rPr>
              <w:t>1</w:t>
            </w:r>
          </w:p>
        </w:tc>
        <w:tc>
          <w:tcPr>
            <w:tcW w:w="818" w:type="pct"/>
            <w:tcBorders>
              <w:top w:val="single" w:color="auto" w:sz="4" w:space="0"/>
              <w:left w:val="single" w:color="auto" w:sz="4" w:space="0"/>
              <w:bottom w:val="single" w:color="auto" w:sz="4" w:space="0"/>
              <w:right w:val="single" w:color="auto" w:sz="4" w:space="0"/>
            </w:tcBorders>
            <w:vAlign w:val="center"/>
          </w:tcPr>
          <w:p w14:paraId="6843EA51">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Cs w:val="21"/>
                <w:highlight w:val="none"/>
              </w:rPr>
            </w:pPr>
            <w:r>
              <w:rPr>
                <w:rFonts w:hint="eastAsia" w:ascii="宋体" w:hAnsi="宋体"/>
                <w:color w:val="auto"/>
                <w:szCs w:val="21"/>
                <w:highlight w:val="none"/>
              </w:rPr>
              <w:t>自治区本级国有土地清查及资产配置综合技术服务</w:t>
            </w:r>
          </w:p>
        </w:tc>
        <w:tc>
          <w:tcPr>
            <w:tcW w:w="514" w:type="pct"/>
            <w:tcBorders>
              <w:top w:val="single" w:color="auto" w:sz="4" w:space="0"/>
              <w:left w:val="single" w:color="auto" w:sz="4" w:space="0"/>
              <w:bottom w:val="single" w:color="auto" w:sz="4" w:space="0"/>
              <w:right w:val="single" w:color="auto" w:sz="4" w:space="0"/>
            </w:tcBorders>
            <w:vAlign w:val="center"/>
          </w:tcPr>
          <w:p w14:paraId="2430E769">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olor w:val="auto"/>
                <w:highlight w:val="none"/>
              </w:rPr>
            </w:pPr>
            <w:r>
              <w:rPr>
                <w:rFonts w:hint="eastAsia" w:ascii="宋体" w:hAnsi="宋体"/>
                <w:color w:val="auto"/>
                <w:highlight w:val="none"/>
              </w:rPr>
              <w:t>1项</w:t>
            </w:r>
          </w:p>
        </w:tc>
        <w:tc>
          <w:tcPr>
            <w:tcW w:w="1830" w:type="pct"/>
            <w:tcBorders>
              <w:top w:val="single" w:color="auto" w:sz="4" w:space="0"/>
              <w:left w:val="single" w:color="auto" w:sz="4" w:space="0"/>
              <w:bottom w:val="single" w:color="auto" w:sz="4" w:space="0"/>
              <w:right w:val="single" w:color="auto" w:sz="4" w:space="0"/>
            </w:tcBorders>
            <w:vAlign w:val="center"/>
          </w:tcPr>
          <w:p w14:paraId="25417596">
            <w:pPr>
              <w:pStyle w:val="2"/>
              <w:keepNext w:val="0"/>
              <w:keepLines w:val="0"/>
              <w:pageBreakBefore w:val="0"/>
              <w:widowControl w:val="0"/>
              <w:kinsoku/>
              <w:wordWrap/>
              <w:overflowPunct/>
              <w:topLinePunct w:val="0"/>
              <w:autoSpaceDE/>
              <w:autoSpaceDN/>
              <w:bidi w:val="0"/>
              <w:adjustRightInd/>
              <w:spacing w:line="360" w:lineRule="exact"/>
              <w:textAlignment w:val="auto"/>
              <w:rPr>
                <w:rFonts w:hint="default" w:eastAsia="宋体"/>
                <w:b/>
                <w:color w:val="auto"/>
                <w:highlight w:val="none"/>
                <w:lang w:val="en-US" w:eastAsia="zh-CN"/>
              </w:rPr>
            </w:pPr>
            <w:r>
              <w:rPr>
                <w:rFonts w:hint="eastAsia" w:ascii="宋体" w:hAnsi="宋体"/>
                <w:color w:val="auto"/>
                <w:szCs w:val="21"/>
                <w:highlight w:val="none"/>
                <w:lang w:val="en-US" w:eastAsia="zh-CN"/>
              </w:rPr>
              <w:t>完成</w:t>
            </w:r>
            <w:r>
              <w:rPr>
                <w:rFonts w:hint="eastAsia" w:ascii="宋体" w:hAnsi="宋体"/>
                <w:color w:val="auto"/>
                <w:szCs w:val="21"/>
                <w:highlight w:val="none"/>
              </w:rPr>
              <w:t>广西本级企事业单位名录及土地资产台账更新</w:t>
            </w:r>
            <w:r>
              <w:rPr>
                <w:rFonts w:hint="eastAsia" w:ascii="宋体" w:hAnsi="宋体"/>
                <w:color w:val="auto"/>
                <w:szCs w:val="21"/>
                <w:highlight w:val="none"/>
                <w:lang w:eastAsia="zh-CN"/>
              </w:rPr>
              <w:t>、自治区本级土地矢量化综合技术服务</w:t>
            </w:r>
            <w:r>
              <w:rPr>
                <w:rFonts w:hint="eastAsia" w:ascii="宋体" w:hAnsi="宋体"/>
                <w:color w:val="auto"/>
                <w:szCs w:val="21"/>
                <w:highlight w:val="none"/>
                <w:lang w:val="en-US" w:eastAsia="zh-CN"/>
              </w:rPr>
              <w:t>和</w:t>
            </w:r>
            <w:r>
              <w:rPr>
                <w:rFonts w:hint="eastAsia" w:ascii="宋体" w:hAnsi="宋体"/>
                <w:color w:val="auto"/>
                <w:szCs w:val="21"/>
                <w:highlight w:val="none"/>
                <w:lang w:eastAsia="zh-CN"/>
              </w:rPr>
              <w:t>全民所有自然资源资产配置方案和实施计划研究和实践-以南宁为例。</w:t>
            </w:r>
            <w:r>
              <w:rPr>
                <w:rFonts w:hint="eastAsia" w:ascii="宋体" w:hAnsi="宋体"/>
                <w:color w:val="auto"/>
                <w:szCs w:val="21"/>
                <w:highlight w:val="none"/>
                <w:lang w:val="en-US" w:eastAsia="zh-CN"/>
              </w:rPr>
              <w:t>具体要求详见竞争性磋商文件。</w:t>
            </w:r>
          </w:p>
        </w:tc>
        <w:tc>
          <w:tcPr>
            <w:tcW w:w="660" w:type="pct"/>
            <w:tcBorders>
              <w:top w:val="single" w:color="auto" w:sz="4" w:space="0"/>
              <w:left w:val="single" w:color="auto" w:sz="4" w:space="0"/>
              <w:bottom w:val="single" w:color="auto" w:sz="4" w:space="0"/>
              <w:right w:val="single" w:color="auto" w:sz="4" w:space="0"/>
            </w:tcBorders>
            <w:vAlign w:val="center"/>
          </w:tcPr>
          <w:p w14:paraId="020A27B7">
            <w:pPr>
              <w:pStyle w:val="2"/>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Cs w:val="21"/>
                <w:highlight w:val="none"/>
              </w:rPr>
            </w:pPr>
            <w:r>
              <w:rPr>
                <w:rFonts w:hint="eastAsia" w:ascii="宋体" w:hAnsi="宋体"/>
                <w:color w:val="auto"/>
                <w:szCs w:val="21"/>
                <w:highlight w:val="none"/>
              </w:rPr>
              <w:t>自合同签订之日起至202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12</w:t>
            </w:r>
            <w:r>
              <w:rPr>
                <w:rFonts w:hint="eastAsia" w:ascii="宋体" w:hAnsi="宋体"/>
                <w:color w:val="auto"/>
                <w:szCs w:val="21"/>
                <w:highlight w:val="none"/>
              </w:rPr>
              <w:t>月</w:t>
            </w:r>
            <w:r>
              <w:rPr>
                <w:rFonts w:hint="default" w:ascii="宋体" w:hAnsi="宋体"/>
                <w:color w:val="auto"/>
                <w:szCs w:val="21"/>
                <w:highlight w:val="none"/>
                <w:lang w:val="en-US" w:eastAsia="zh-CN"/>
              </w:rPr>
              <w:t>31</w:t>
            </w:r>
            <w:r>
              <w:rPr>
                <w:rFonts w:hint="eastAsia" w:ascii="宋体" w:hAnsi="宋体"/>
                <w:color w:val="auto"/>
                <w:szCs w:val="21"/>
                <w:highlight w:val="none"/>
              </w:rPr>
              <w:t>日</w:t>
            </w:r>
          </w:p>
        </w:tc>
        <w:tc>
          <w:tcPr>
            <w:tcW w:w="610" w:type="pct"/>
            <w:tcBorders>
              <w:top w:val="single" w:color="auto" w:sz="4" w:space="0"/>
              <w:left w:val="single" w:color="auto" w:sz="4" w:space="0"/>
              <w:bottom w:val="single" w:color="auto" w:sz="4" w:space="0"/>
              <w:right w:val="single" w:color="auto" w:sz="4" w:space="0"/>
            </w:tcBorders>
            <w:vAlign w:val="center"/>
          </w:tcPr>
          <w:p w14:paraId="0330B00A">
            <w:pPr>
              <w:pStyle w:val="2"/>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本标项不接收联合体</w:t>
            </w:r>
          </w:p>
        </w:tc>
        <w:tc>
          <w:tcPr>
            <w:tcW w:w="333" w:type="pct"/>
            <w:tcBorders>
              <w:top w:val="single" w:color="auto" w:sz="4" w:space="0"/>
              <w:left w:val="single" w:color="auto" w:sz="4" w:space="0"/>
              <w:bottom w:val="single" w:color="auto" w:sz="4" w:space="0"/>
              <w:right w:val="single" w:color="auto" w:sz="4" w:space="0"/>
            </w:tcBorders>
            <w:vAlign w:val="center"/>
          </w:tcPr>
          <w:p w14:paraId="6780354E">
            <w:pPr>
              <w:pStyle w:val="2"/>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w:t>
            </w:r>
          </w:p>
        </w:tc>
      </w:tr>
      <w:bookmarkEnd w:id="8"/>
      <w:bookmarkEnd w:id="9"/>
    </w:tbl>
    <w:p w14:paraId="3C97BB2D">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Cs w:val="21"/>
          <w:highlight w:val="none"/>
        </w:rPr>
      </w:pP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2"/>
        <w:gridCol w:w="1468"/>
        <w:gridCol w:w="946"/>
        <w:gridCol w:w="3327"/>
        <w:gridCol w:w="1208"/>
        <w:gridCol w:w="1150"/>
        <w:gridCol w:w="564"/>
      </w:tblGrid>
      <w:tr w14:paraId="746CC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5BBFDD7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olor w:val="auto"/>
                <w:szCs w:val="21"/>
                <w:highlight w:val="none"/>
                <w:u w:val="single"/>
              </w:rPr>
            </w:pPr>
            <w:r>
              <w:rPr>
                <w:rFonts w:hint="eastAsia" w:ascii="宋体" w:hAnsi="宋体"/>
                <w:color w:val="auto"/>
                <w:szCs w:val="21"/>
                <w:highlight w:val="none"/>
              </w:rPr>
              <w:t>分标</w:t>
            </w:r>
            <w:r>
              <w:rPr>
                <w:rFonts w:hint="eastAsia" w:ascii="宋体" w:hAnsi="宋体"/>
                <w:color w:val="auto"/>
                <w:szCs w:val="21"/>
                <w:highlight w:val="none"/>
                <w:lang w:val="en-US" w:eastAsia="zh-CN"/>
              </w:rPr>
              <w:t>2</w:t>
            </w:r>
            <w:r>
              <w:rPr>
                <w:rFonts w:hint="eastAsia" w:ascii="宋体" w:hAnsi="宋体"/>
                <w:color w:val="auto"/>
                <w:szCs w:val="21"/>
                <w:highlight w:val="none"/>
              </w:rPr>
              <w:t>：预算金额：</w:t>
            </w:r>
            <w:r>
              <w:rPr>
                <w:rFonts w:hint="eastAsia" w:ascii="宋体" w:hAnsi="宋体"/>
                <w:color w:val="auto"/>
                <w:szCs w:val="21"/>
                <w:highlight w:val="none"/>
                <w:lang w:val="en-US" w:eastAsia="zh-CN"/>
              </w:rPr>
              <w:t>55</w:t>
            </w:r>
            <w:r>
              <w:rPr>
                <w:rFonts w:hint="eastAsia" w:ascii="宋体" w:hAnsi="宋体"/>
                <w:color w:val="auto"/>
                <w:szCs w:val="21"/>
                <w:highlight w:val="none"/>
              </w:rPr>
              <w:t>.00万元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最高限价：55.00万元</w:t>
            </w:r>
            <w:r>
              <w:rPr>
                <w:rFonts w:hint="eastAsia" w:ascii="宋体" w:hAnsi="宋体"/>
                <w:color w:val="auto"/>
                <w:szCs w:val="21"/>
                <w:highlight w:val="none"/>
              </w:rPr>
              <w:t>。</w:t>
            </w:r>
          </w:p>
        </w:tc>
      </w:tr>
      <w:tr w14:paraId="5144A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8" w:type="pct"/>
            <w:tcBorders>
              <w:top w:val="single" w:color="auto" w:sz="4" w:space="0"/>
              <w:left w:val="single" w:color="auto" w:sz="4" w:space="0"/>
              <w:bottom w:val="single" w:color="auto" w:sz="4" w:space="0"/>
              <w:right w:val="single" w:color="auto" w:sz="4" w:space="0"/>
            </w:tcBorders>
            <w:vAlign w:val="center"/>
          </w:tcPr>
          <w:p w14:paraId="59C4C2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807" w:type="pct"/>
            <w:tcBorders>
              <w:top w:val="single" w:color="auto" w:sz="4" w:space="0"/>
              <w:left w:val="single" w:color="auto" w:sz="4" w:space="0"/>
              <w:bottom w:val="single" w:color="auto" w:sz="4" w:space="0"/>
              <w:right w:val="single" w:color="auto" w:sz="4" w:space="0"/>
            </w:tcBorders>
            <w:vAlign w:val="center"/>
          </w:tcPr>
          <w:p w14:paraId="1326240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标的的名称</w:t>
            </w:r>
          </w:p>
        </w:tc>
        <w:tc>
          <w:tcPr>
            <w:tcW w:w="520" w:type="pct"/>
            <w:tcBorders>
              <w:top w:val="single" w:color="auto" w:sz="4" w:space="0"/>
              <w:left w:val="single" w:color="auto" w:sz="4" w:space="0"/>
              <w:bottom w:val="single" w:color="auto" w:sz="4" w:space="0"/>
              <w:right w:val="single" w:color="auto" w:sz="4" w:space="0"/>
            </w:tcBorders>
            <w:vAlign w:val="center"/>
          </w:tcPr>
          <w:p w14:paraId="7EC0C9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数量及单位</w:t>
            </w:r>
          </w:p>
        </w:tc>
        <w:tc>
          <w:tcPr>
            <w:tcW w:w="1829" w:type="pct"/>
            <w:tcBorders>
              <w:top w:val="single" w:color="auto" w:sz="4" w:space="0"/>
              <w:left w:val="single" w:color="auto" w:sz="4" w:space="0"/>
              <w:bottom w:val="single" w:color="auto" w:sz="4" w:space="0"/>
              <w:right w:val="single" w:color="auto" w:sz="4" w:space="0"/>
            </w:tcBorders>
            <w:vAlign w:val="center"/>
          </w:tcPr>
          <w:p w14:paraId="624B69F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简要技术需求或者服务要求</w:t>
            </w:r>
          </w:p>
        </w:tc>
        <w:tc>
          <w:tcPr>
            <w:tcW w:w="664" w:type="pct"/>
            <w:tcBorders>
              <w:top w:val="single" w:color="auto" w:sz="4" w:space="0"/>
              <w:left w:val="single" w:color="auto" w:sz="4" w:space="0"/>
              <w:bottom w:val="single" w:color="auto" w:sz="4" w:space="0"/>
              <w:right w:val="single" w:color="auto" w:sz="4" w:space="0"/>
            </w:tcBorders>
            <w:vAlign w:val="center"/>
          </w:tcPr>
          <w:p w14:paraId="23CE4B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合同履行期限</w:t>
            </w:r>
          </w:p>
        </w:tc>
        <w:tc>
          <w:tcPr>
            <w:tcW w:w="632" w:type="pct"/>
            <w:tcBorders>
              <w:top w:val="single" w:color="auto" w:sz="4" w:space="0"/>
              <w:left w:val="single" w:color="auto" w:sz="4" w:space="0"/>
              <w:bottom w:val="single" w:color="auto" w:sz="4" w:space="0"/>
              <w:right w:val="single" w:color="auto" w:sz="4" w:space="0"/>
            </w:tcBorders>
            <w:vAlign w:val="center"/>
          </w:tcPr>
          <w:p w14:paraId="19FC675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lang w:val="en-US" w:eastAsia="zh-CN"/>
              </w:rPr>
              <w:t>是否接受联合体</w:t>
            </w:r>
          </w:p>
        </w:tc>
        <w:tc>
          <w:tcPr>
            <w:tcW w:w="307" w:type="pct"/>
            <w:tcBorders>
              <w:top w:val="single" w:color="auto" w:sz="4" w:space="0"/>
              <w:left w:val="single" w:color="auto" w:sz="4" w:space="0"/>
              <w:bottom w:val="single" w:color="auto" w:sz="4" w:space="0"/>
              <w:right w:val="single" w:color="auto" w:sz="4" w:space="0"/>
            </w:tcBorders>
            <w:vAlign w:val="center"/>
          </w:tcPr>
          <w:p w14:paraId="7412D6C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备注</w:t>
            </w:r>
          </w:p>
        </w:tc>
      </w:tr>
      <w:tr w14:paraId="21319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8" w:type="pct"/>
            <w:tcBorders>
              <w:top w:val="single" w:color="auto" w:sz="4" w:space="0"/>
              <w:left w:val="single" w:color="auto" w:sz="4" w:space="0"/>
              <w:bottom w:val="single" w:color="auto" w:sz="4" w:space="0"/>
              <w:right w:val="single" w:color="auto" w:sz="4" w:space="0"/>
            </w:tcBorders>
            <w:vAlign w:val="center"/>
          </w:tcPr>
          <w:p w14:paraId="153CA32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ascii="宋体" w:hAnsi="宋体"/>
                <w:color w:val="auto"/>
                <w:szCs w:val="21"/>
                <w:highlight w:val="none"/>
              </w:rPr>
              <w:t>1</w:t>
            </w:r>
          </w:p>
        </w:tc>
        <w:tc>
          <w:tcPr>
            <w:tcW w:w="807" w:type="pct"/>
            <w:tcBorders>
              <w:top w:val="single" w:color="auto" w:sz="4" w:space="0"/>
              <w:left w:val="single" w:color="auto" w:sz="4" w:space="0"/>
              <w:bottom w:val="single" w:color="auto" w:sz="4" w:space="0"/>
              <w:right w:val="single" w:color="auto" w:sz="4" w:space="0"/>
            </w:tcBorders>
            <w:vAlign w:val="center"/>
          </w:tcPr>
          <w:p w14:paraId="1A91DACB">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Cs w:val="21"/>
                <w:highlight w:val="none"/>
              </w:rPr>
            </w:pPr>
            <w:r>
              <w:rPr>
                <w:rFonts w:hint="eastAsia" w:ascii="宋体" w:hAnsi="宋体"/>
                <w:color w:val="auto"/>
                <w:szCs w:val="21"/>
                <w:highlight w:val="none"/>
              </w:rPr>
              <w:t>自治区本级国有土地集约利用技术服务</w:t>
            </w:r>
          </w:p>
        </w:tc>
        <w:tc>
          <w:tcPr>
            <w:tcW w:w="520" w:type="pct"/>
            <w:tcBorders>
              <w:top w:val="single" w:color="auto" w:sz="4" w:space="0"/>
              <w:left w:val="single" w:color="auto" w:sz="4" w:space="0"/>
              <w:bottom w:val="single" w:color="auto" w:sz="4" w:space="0"/>
              <w:right w:val="single" w:color="auto" w:sz="4" w:space="0"/>
            </w:tcBorders>
            <w:vAlign w:val="center"/>
          </w:tcPr>
          <w:p w14:paraId="7AF371A2">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olor w:val="auto"/>
                <w:highlight w:val="none"/>
              </w:rPr>
            </w:pPr>
            <w:r>
              <w:rPr>
                <w:rFonts w:hint="eastAsia" w:ascii="宋体" w:hAnsi="宋体"/>
                <w:color w:val="auto"/>
                <w:highlight w:val="none"/>
              </w:rPr>
              <w:t>1项</w:t>
            </w:r>
          </w:p>
        </w:tc>
        <w:tc>
          <w:tcPr>
            <w:tcW w:w="1829" w:type="pct"/>
            <w:tcBorders>
              <w:top w:val="single" w:color="auto" w:sz="4" w:space="0"/>
              <w:left w:val="single" w:color="auto" w:sz="4" w:space="0"/>
              <w:bottom w:val="single" w:color="auto" w:sz="4" w:space="0"/>
              <w:right w:val="single" w:color="auto" w:sz="4" w:space="0"/>
            </w:tcBorders>
            <w:vAlign w:val="center"/>
          </w:tcPr>
          <w:p w14:paraId="26F6009C">
            <w:pPr>
              <w:pStyle w:val="2"/>
              <w:keepNext w:val="0"/>
              <w:keepLines w:val="0"/>
              <w:pageBreakBefore w:val="0"/>
              <w:widowControl w:val="0"/>
              <w:kinsoku/>
              <w:wordWrap/>
              <w:overflowPunct/>
              <w:topLinePunct w:val="0"/>
              <w:autoSpaceDE/>
              <w:autoSpaceDN/>
              <w:bidi w:val="0"/>
              <w:adjustRightInd/>
              <w:spacing w:line="360" w:lineRule="exact"/>
              <w:textAlignment w:val="auto"/>
              <w:rPr>
                <w:rFonts w:hint="eastAsia" w:eastAsia="宋体"/>
                <w:b/>
                <w:color w:val="auto"/>
                <w:highlight w:val="none"/>
                <w:lang w:eastAsia="zh-CN"/>
              </w:rPr>
            </w:pPr>
            <w:r>
              <w:rPr>
                <w:rFonts w:hint="eastAsia" w:ascii="宋体" w:hAnsi="宋体"/>
                <w:color w:val="auto"/>
                <w:szCs w:val="21"/>
                <w:highlight w:val="none"/>
                <w:lang w:val="en-US" w:eastAsia="zh-CN"/>
              </w:rPr>
              <w:t>完成自治区本级存量国有土地盘活利用技术服务和自治区本级国有土地开发利用综合管理技术服务。具体要求详见竞争性磋商文件。</w:t>
            </w:r>
          </w:p>
        </w:tc>
        <w:tc>
          <w:tcPr>
            <w:tcW w:w="664" w:type="pct"/>
            <w:tcBorders>
              <w:top w:val="single" w:color="auto" w:sz="4" w:space="0"/>
              <w:left w:val="single" w:color="auto" w:sz="4" w:space="0"/>
              <w:bottom w:val="single" w:color="auto" w:sz="4" w:space="0"/>
              <w:right w:val="single" w:color="auto" w:sz="4" w:space="0"/>
            </w:tcBorders>
            <w:vAlign w:val="center"/>
          </w:tcPr>
          <w:p w14:paraId="1CBFA8AF">
            <w:pPr>
              <w:pStyle w:val="2"/>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自合同签订之日起至202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12</w:t>
            </w:r>
            <w:r>
              <w:rPr>
                <w:rFonts w:hint="eastAsia" w:ascii="宋体" w:hAnsi="宋体"/>
                <w:color w:val="auto"/>
                <w:szCs w:val="21"/>
                <w:highlight w:val="none"/>
              </w:rPr>
              <w:t>月</w:t>
            </w:r>
            <w:r>
              <w:rPr>
                <w:rFonts w:hint="default" w:ascii="宋体" w:hAnsi="宋体"/>
                <w:color w:val="auto"/>
                <w:szCs w:val="21"/>
                <w:highlight w:val="none"/>
                <w:lang w:val="en-US" w:eastAsia="zh-CN"/>
              </w:rPr>
              <w:t>31</w:t>
            </w:r>
            <w:r>
              <w:rPr>
                <w:rFonts w:hint="eastAsia" w:ascii="宋体" w:hAnsi="宋体"/>
                <w:color w:val="auto"/>
                <w:szCs w:val="21"/>
                <w:highlight w:val="none"/>
              </w:rPr>
              <w:t>日</w:t>
            </w:r>
          </w:p>
        </w:tc>
        <w:tc>
          <w:tcPr>
            <w:tcW w:w="632" w:type="pct"/>
            <w:tcBorders>
              <w:top w:val="single" w:color="auto" w:sz="4" w:space="0"/>
              <w:left w:val="single" w:color="auto" w:sz="4" w:space="0"/>
              <w:bottom w:val="single" w:color="auto" w:sz="4" w:space="0"/>
              <w:right w:val="single" w:color="auto" w:sz="4" w:space="0"/>
            </w:tcBorders>
            <w:vAlign w:val="center"/>
          </w:tcPr>
          <w:p w14:paraId="32F5E992">
            <w:pPr>
              <w:pStyle w:val="2"/>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Cs w:val="21"/>
                <w:highlight w:val="none"/>
              </w:rPr>
            </w:pPr>
            <w:r>
              <w:rPr>
                <w:rFonts w:hint="eastAsia" w:ascii="宋体" w:hAnsi="宋体"/>
                <w:color w:val="auto"/>
                <w:szCs w:val="21"/>
                <w:highlight w:val="none"/>
                <w:lang w:val="en-US" w:eastAsia="zh-CN"/>
              </w:rPr>
              <w:t>本标项接收联合体</w:t>
            </w:r>
          </w:p>
        </w:tc>
        <w:tc>
          <w:tcPr>
            <w:tcW w:w="307" w:type="pct"/>
            <w:tcBorders>
              <w:top w:val="single" w:color="auto" w:sz="4" w:space="0"/>
              <w:left w:val="single" w:color="auto" w:sz="4" w:space="0"/>
              <w:bottom w:val="single" w:color="auto" w:sz="4" w:space="0"/>
              <w:right w:val="single" w:color="auto" w:sz="4" w:space="0"/>
            </w:tcBorders>
            <w:vAlign w:val="center"/>
          </w:tcPr>
          <w:p w14:paraId="010F1404">
            <w:pPr>
              <w:pStyle w:val="2"/>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w:t>
            </w:r>
          </w:p>
        </w:tc>
      </w:tr>
    </w:tbl>
    <w:p w14:paraId="5D77FDE8">
      <w:pPr>
        <w:spacing w:line="360" w:lineRule="exact"/>
        <w:ind w:firstLine="354" w:firstLineChars="147"/>
        <w:rPr>
          <w:rFonts w:ascii="黑体" w:hAnsi="黑体" w:eastAsia="黑体"/>
          <w:b/>
          <w:color w:val="auto"/>
          <w:sz w:val="24"/>
          <w:highlight w:val="none"/>
        </w:rPr>
      </w:pPr>
      <w:bookmarkStart w:id="10" w:name="_Toc35393799"/>
      <w:bookmarkStart w:id="11" w:name="_Toc35393630"/>
      <w:bookmarkStart w:id="12" w:name="_Toc28359090"/>
      <w:bookmarkStart w:id="13" w:name="_Toc71365906"/>
      <w:bookmarkStart w:id="14" w:name="_Toc28359013"/>
      <w:bookmarkStart w:id="15" w:name="_Toc44229879"/>
      <w:r>
        <w:rPr>
          <w:rFonts w:hint="eastAsia" w:ascii="黑体" w:hAnsi="黑体" w:eastAsia="黑体"/>
          <w:b/>
          <w:color w:val="auto"/>
          <w:sz w:val="24"/>
          <w:highlight w:val="none"/>
        </w:rPr>
        <w:t>二、申请人的资格条件：</w:t>
      </w:r>
      <w:bookmarkEnd w:id="10"/>
      <w:bookmarkEnd w:id="11"/>
      <w:bookmarkEnd w:id="12"/>
      <w:bookmarkEnd w:id="13"/>
      <w:bookmarkEnd w:id="14"/>
      <w:bookmarkEnd w:id="15"/>
    </w:p>
    <w:p w14:paraId="35170E70">
      <w:pPr>
        <w:spacing w:line="360" w:lineRule="exact"/>
        <w:ind w:firstLine="420" w:firstLineChars="200"/>
        <w:rPr>
          <w:rFonts w:ascii="宋体" w:hAnsi="宋体"/>
          <w:color w:val="auto"/>
          <w:szCs w:val="21"/>
          <w:highlight w:val="none"/>
        </w:rPr>
      </w:pPr>
      <w:bookmarkStart w:id="16" w:name="_Toc35393800"/>
      <w:bookmarkStart w:id="17" w:name="_Toc28359091"/>
      <w:bookmarkStart w:id="18" w:name="_Toc44229880"/>
      <w:bookmarkStart w:id="19" w:name="_Toc35393631"/>
      <w:bookmarkStart w:id="20" w:name="_Toc28359014"/>
      <w:r>
        <w:rPr>
          <w:rFonts w:hint="eastAsia" w:ascii="宋体" w:hAnsi="宋体"/>
          <w:color w:val="auto"/>
          <w:szCs w:val="21"/>
          <w:highlight w:val="none"/>
        </w:rPr>
        <w:t>1.满足《中华人民共和国政府采购法》第二十二条规定；</w:t>
      </w:r>
    </w:p>
    <w:p w14:paraId="089547E2">
      <w:pPr>
        <w:spacing w:line="360" w:lineRule="exact"/>
        <w:ind w:firstLine="420" w:firstLineChars="200"/>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分标1：本标项为部分预留份额专门面向中小企业采购的项目：预留该部分采购项目预算总额的30%专门面向中小企业，其中预留给小微企业的比例为100%，大中型企业参与竞标的，应将不低于30%的份额分包给小微企业</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分标2：本标项为部分预留份额专门面向中小企业采购的项目：预留该部分采购项目预算总额的30%专门面向中小企业，其中预留给小微企业的比例为100%，大中型企业参与竞标的，应将不低于30%的份额分包给小微企业或与小微企业组成联合体，联合体中，小微企业的份额不低于30%</w:t>
      </w:r>
      <w:r>
        <w:rPr>
          <w:rFonts w:hint="eastAsia" w:ascii="宋体" w:hAnsi="宋体"/>
          <w:color w:val="auto"/>
          <w:szCs w:val="21"/>
          <w:highlight w:val="none"/>
          <w:lang w:eastAsia="zh-CN"/>
        </w:rPr>
        <w:t>。</w:t>
      </w:r>
    </w:p>
    <w:p w14:paraId="61BE81A7">
      <w:pPr>
        <w:spacing w:line="360" w:lineRule="exact"/>
        <w:ind w:firstLine="420" w:firstLineChars="200"/>
        <w:rPr>
          <w:rFonts w:ascii="宋体" w:hAnsi="宋体"/>
          <w:color w:val="auto"/>
          <w:highlight w:val="none"/>
        </w:rPr>
      </w:pPr>
      <w:r>
        <w:rPr>
          <w:rFonts w:hint="eastAsia" w:ascii="宋体" w:hAnsi="宋体"/>
          <w:color w:val="auto"/>
          <w:szCs w:val="21"/>
          <w:highlight w:val="none"/>
        </w:rPr>
        <w:t>3.本项目的特定资格要求：</w:t>
      </w:r>
      <w:bookmarkStart w:id="21" w:name="_Toc71365907"/>
      <w:r>
        <w:rPr>
          <w:rFonts w:hint="eastAsia" w:ascii="宋体" w:hAnsi="宋体"/>
          <w:color w:val="auto"/>
          <w:szCs w:val="21"/>
          <w:highlight w:val="none"/>
          <w:lang w:val="en-US" w:eastAsia="zh-CN"/>
        </w:rPr>
        <w:t>无</w:t>
      </w:r>
      <w:r>
        <w:rPr>
          <w:rFonts w:hint="eastAsia" w:ascii="宋体" w:hAnsi="宋体"/>
          <w:color w:val="auto"/>
          <w:szCs w:val="21"/>
          <w:highlight w:val="none"/>
        </w:rPr>
        <w:t>。</w:t>
      </w:r>
    </w:p>
    <w:p w14:paraId="5280FB11">
      <w:pPr>
        <w:spacing w:line="360" w:lineRule="exact"/>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6"/>
      <w:bookmarkEnd w:id="17"/>
      <w:bookmarkEnd w:id="18"/>
      <w:bookmarkEnd w:id="19"/>
      <w:bookmarkEnd w:id="20"/>
      <w:bookmarkEnd w:id="21"/>
    </w:p>
    <w:p w14:paraId="0E959493">
      <w:pPr>
        <w:spacing w:line="360" w:lineRule="exact"/>
        <w:ind w:firstLine="420" w:firstLineChars="200"/>
        <w:rPr>
          <w:rFonts w:ascii="宋体" w:hAnsi="宋体" w:cs="宋体"/>
          <w:bCs/>
          <w:color w:val="auto"/>
          <w:kern w:val="0"/>
          <w:szCs w:val="21"/>
          <w:highlight w:val="none"/>
        </w:rPr>
      </w:pPr>
      <w:bookmarkStart w:id="22" w:name="_Toc28359015"/>
      <w:bookmarkStart w:id="23" w:name="_Toc28359092"/>
      <w:bookmarkStart w:id="24" w:name="_Toc44229881"/>
      <w:bookmarkStart w:id="25" w:name="_Toc35393801"/>
      <w:bookmarkStart w:id="26" w:name="_Toc35393632"/>
      <w:r>
        <w:rPr>
          <w:rFonts w:hint="eastAsia" w:ascii="宋体" w:hAnsi="宋体" w:cs="宋体"/>
          <w:bCs/>
          <w:color w:val="auto"/>
          <w:kern w:val="0"/>
          <w:szCs w:val="21"/>
          <w:highlight w:val="none"/>
        </w:rPr>
        <w:t>时间：</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ascii="宋体" w:hAnsi="宋体" w:cs="宋体"/>
          <w:bCs/>
          <w:color w:val="auto"/>
          <w:kern w:val="0"/>
          <w:szCs w:val="21"/>
          <w:highlight w:val="none"/>
          <w:u w:val="single"/>
        </w:rPr>
        <w:t>0</w:t>
      </w:r>
      <w:r>
        <w:rPr>
          <w:rFonts w:hint="eastAsia" w:ascii="宋体" w:hAnsi="宋体" w:cs="宋体"/>
          <w:bCs/>
          <w:color w:val="auto"/>
          <w:kern w:val="0"/>
          <w:szCs w:val="21"/>
          <w:highlight w:val="none"/>
          <w:u w:val="single"/>
        </w:rPr>
        <w:t>：</w:t>
      </w:r>
      <w:r>
        <w:rPr>
          <w:rFonts w:ascii="宋体" w:hAnsi="宋体" w:cs="宋体"/>
          <w:bCs/>
          <w:color w:val="auto"/>
          <w:kern w:val="0"/>
          <w:szCs w:val="21"/>
          <w:highlight w:val="none"/>
          <w:u w:val="single"/>
        </w:rPr>
        <w:t>00</w:t>
      </w:r>
      <w:r>
        <w:rPr>
          <w:rFonts w:hint="eastAsia" w:ascii="宋体" w:hAnsi="宋体" w:cs="宋体"/>
          <w:bCs/>
          <w:color w:val="auto"/>
          <w:kern w:val="0"/>
          <w:szCs w:val="21"/>
          <w:highlight w:val="none"/>
        </w:rPr>
        <w:t>至12:0</w:t>
      </w:r>
      <w:r>
        <w:rPr>
          <w:rFonts w:ascii="宋体" w:hAnsi="宋体" w:cs="宋体"/>
          <w:bCs/>
          <w:color w:val="auto"/>
          <w:kern w:val="0"/>
          <w:szCs w:val="21"/>
          <w:highlight w:val="none"/>
        </w:rPr>
        <w:t>0</w:t>
      </w:r>
      <w:r>
        <w:rPr>
          <w:rFonts w:hint="eastAsia" w:ascii="宋体" w:hAnsi="宋体" w:cs="宋体"/>
          <w:bCs/>
          <w:color w:val="auto"/>
          <w:kern w:val="0"/>
          <w:szCs w:val="21"/>
          <w:highlight w:val="none"/>
        </w:rPr>
        <w:t>，下午</w:t>
      </w:r>
      <w:r>
        <w:rPr>
          <w:rFonts w:ascii="宋体" w:hAnsi="宋体" w:cs="宋体"/>
          <w:bCs/>
          <w:color w:val="auto"/>
          <w:kern w:val="0"/>
          <w:szCs w:val="21"/>
          <w:highlight w:val="none"/>
        </w:rPr>
        <w:t>12</w:t>
      </w:r>
      <w:r>
        <w:rPr>
          <w:rFonts w:hint="eastAsia" w:ascii="宋体" w:hAnsi="宋体" w:cs="宋体"/>
          <w:bCs/>
          <w:color w:val="auto"/>
          <w:kern w:val="0"/>
          <w:szCs w:val="21"/>
          <w:highlight w:val="none"/>
        </w:rPr>
        <w:t>:0</w:t>
      </w:r>
      <w:r>
        <w:rPr>
          <w:rFonts w:ascii="宋体" w:hAnsi="宋体" w:cs="宋体"/>
          <w:bCs/>
          <w:color w:val="auto"/>
          <w:kern w:val="0"/>
          <w:szCs w:val="21"/>
          <w:highlight w:val="none"/>
        </w:rPr>
        <w:t>0</w:t>
      </w:r>
      <w:r>
        <w:rPr>
          <w:rFonts w:hint="eastAsia" w:ascii="宋体" w:hAnsi="宋体" w:cs="宋体"/>
          <w:bCs/>
          <w:color w:val="auto"/>
          <w:kern w:val="0"/>
          <w:szCs w:val="21"/>
          <w:highlight w:val="none"/>
        </w:rPr>
        <w:t>至</w:t>
      </w:r>
      <w:r>
        <w:rPr>
          <w:rFonts w:ascii="宋体" w:hAnsi="宋体" w:cs="宋体"/>
          <w:bCs/>
          <w:color w:val="auto"/>
          <w:kern w:val="0"/>
          <w:szCs w:val="21"/>
          <w:highlight w:val="none"/>
        </w:rPr>
        <w:t>23</w:t>
      </w:r>
      <w:r>
        <w:rPr>
          <w:rFonts w:hint="eastAsia" w:ascii="宋体" w:hAnsi="宋体" w:cs="宋体"/>
          <w:bCs/>
          <w:color w:val="auto"/>
          <w:kern w:val="0"/>
          <w:szCs w:val="21"/>
          <w:highlight w:val="none"/>
        </w:rPr>
        <w:t>:</w:t>
      </w:r>
      <w:r>
        <w:rPr>
          <w:rFonts w:ascii="宋体" w:hAnsi="宋体" w:cs="宋体"/>
          <w:bCs/>
          <w:color w:val="auto"/>
          <w:kern w:val="0"/>
          <w:szCs w:val="21"/>
          <w:highlight w:val="none"/>
        </w:rPr>
        <w:t>59</w:t>
      </w:r>
      <w:r>
        <w:rPr>
          <w:rFonts w:hint="eastAsia" w:ascii="宋体" w:hAnsi="宋体" w:cs="宋体"/>
          <w:bCs/>
          <w:color w:val="auto"/>
          <w:kern w:val="0"/>
          <w:szCs w:val="21"/>
          <w:highlight w:val="none"/>
        </w:rPr>
        <w:t>（北京时间）</w:t>
      </w:r>
    </w:p>
    <w:p w14:paraId="38428994">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27A9FFB1">
      <w:pPr>
        <w:spacing w:line="360" w:lineRule="exact"/>
        <w:ind w:firstLine="420" w:firstLineChars="200"/>
        <w:rPr>
          <w:rFonts w:ascii="Arial" w:hAnsi="Arial" w:cs="Arial"/>
          <w:color w:val="auto"/>
          <w:kern w:val="0"/>
          <w:szCs w:val="21"/>
          <w:highlight w:val="none"/>
        </w:rPr>
      </w:pPr>
      <w:bookmarkStart w:id="27" w:name="_Toc71365908"/>
      <w:r>
        <w:rPr>
          <w:rFonts w:hint="eastAsia" w:ascii="宋体" w:hAnsi="宋体"/>
          <w:color w:val="auto"/>
          <w:szCs w:val="21"/>
          <w:highlight w:val="none"/>
        </w:rPr>
        <w:t>获取方式:网上下载。本项目不发放纸质采购文件，供应商登录广西政府采购云平台https://www.gcy.zfcg.gxzf.gov.cn/在线申请获取采购文件（进入“项目采购”应用，在获取采购文件菜单中选择项目，申请获取采购文件）。</w:t>
      </w:r>
    </w:p>
    <w:p w14:paraId="484976CC">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采购文件售价：</w:t>
      </w:r>
      <w:r>
        <w:rPr>
          <w:rFonts w:ascii="宋体" w:hAnsi="宋体"/>
          <w:color w:val="auto"/>
          <w:szCs w:val="21"/>
          <w:highlight w:val="none"/>
        </w:rPr>
        <w:t>0</w:t>
      </w:r>
      <w:r>
        <w:rPr>
          <w:rFonts w:hint="eastAsia" w:ascii="宋体" w:hAnsi="宋体"/>
          <w:color w:val="auto"/>
          <w:szCs w:val="21"/>
          <w:highlight w:val="none"/>
        </w:rPr>
        <w:t>元。</w:t>
      </w:r>
    </w:p>
    <w:p w14:paraId="4079B449">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22"/>
      <w:bookmarkEnd w:id="23"/>
      <w:bookmarkEnd w:id="24"/>
      <w:bookmarkEnd w:id="25"/>
      <w:bookmarkEnd w:id="26"/>
      <w:bookmarkEnd w:id="27"/>
    </w:p>
    <w:p w14:paraId="361645AE">
      <w:pPr>
        <w:spacing w:line="360" w:lineRule="exact"/>
        <w:ind w:firstLine="420" w:firstLineChars="200"/>
        <w:rPr>
          <w:rFonts w:ascii="宋体" w:hAnsi="宋体"/>
          <w:bCs/>
          <w:color w:val="auto"/>
          <w:szCs w:val="21"/>
          <w:highlight w:val="none"/>
        </w:rPr>
      </w:pPr>
      <w:bookmarkStart w:id="28" w:name="_Toc28359016"/>
      <w:bookmarkStart w:id="29" w:name="_Toc28359093"/>
      <w:bookmarkStart w:id="30" w:name="_Toc35393633"/>
      <w:bookmarkStart w:id="31" w:name="_Toc44229882"/>
      <w:bookmarkStart w:id="32" w:name="_Toc35393802"/>
      <w:r>
        <w:rPr>
          <w:rFonts w:hint="eastAsia" w:ascii="宋体" w:hAnsi="宋体"/>
          <w:color w:val="auto"/>
          <w:szCs w:val="21"/>
          <w:highlight w:val="none"/>
        </w:rPr>
        <w:t>截止时间：2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3</w:t>
      </w:r>
      <w:r>
        <w:rPr>
          <w:rFonts w:hint="eastAsia" w:ascii="宋体" w:hAnsi="宋体"/>
          <w:bCs/>
          <w:color w:val="auto"/>
          <w:szCs w:val="21"/>
          <w:highlight w:val="none"/>
        </w:rPr>
        <w:t>月</w:t>
      </w:r>
      <w:r>
        <w:rPr>
          <w:rFonts w:hint="eastAsia" w:ascii="宋体" w:hAnsi="宋体"/>
          <w:bCs/>
          <w:color w:val="auto"/>
          <w:szCs w:val="21"/>
          <w:highlight w:val="none"/>
          <w:lang w:val="en-US" w:eastAsia="zh-CN"/>
        </w:rPr>
        <w:t>19</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00</w:t>
      </w:r>
      <w:r>
        <w:rPr>
          <w:rFonts w:hint="eastAsia" w:ascii="宋体" w:hAnsi="宋体"/>
          <w:bCs/>
          <w:color w:val="auto"/>
          <w:szCs w:val="21"/>
          <w:highlight w:val="none"/>
        </w:rPr>
        <w:t>分（北京时间）</w:t>
      </w:r>
    </w:p>
    <w:p w14:paraId="6178BCC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28494133">
      <w:pPr>
        <w:spacing w:line="360" w:lineRule="exact"/>
        <w:ind w:firstLine="354" w:firstLineChars="147"/>
        <w:rPr>
          <w:rFonts w:ascii="黑体" w:hAnsi="黑体" w:eastAsia="黑体"/>
          <w:b/>
          <w:color w:val="auto"/>
          <w:sz w:val="24"/>
          <w:highlight w:val="none"/>
        </w:rPr>
      </w:pPr>
      <w:bookmarkStart w:id="33" w:name="_Toc71365909"/>
      <w:r>
        <w:rPr>
          <w:rFonts w:hint="eastAsia" w:ascii="黑体" w:hAnsi="黑体" w:eastAsia="黑体"/>
          <w:b/>
          <w:color w:val="auto"/>
          <w:sz w:val="24"/>
          <w:highlight w:val="none"/>
        </w:rPr>
        <w:t>五、开启</w:t>
      </w:r>
      <w:bookmarkEnd w:id="28"/>
      <w:bookmarkEnd w:id="29"/>
      <w:bookmarkEnd w:id="30"/>
      <w:bookmarkEnd w:id="31"/>
      <w:bookmarkEnd w:id="32"/>
      <w:bookmarkEnd w:id="33"/>
    </w:p>
    <w:p w14:paraId="7D00D268">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时间：2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3</w:t>
      </w:r>
      <w:r>
        <w:rPr>
          <w:rFonts w:hint="eastAsia" w:ascii="宋体" w:hAnsi="宋体"/>
          <w:bCs/>
          <w:color w:val="auto"/>
          <w:szCs w:val="21"/>
          <w:highlight w:val="none"/>
        </w:rPr>
        <w:t>月</w:t>
      </w:r>
      <w:r>
        <w:rPr>
          <w:rFonts w:hint="eastAsia" w:ascii="宋体" w:hAnsi="宋体"/>
          <w:bCs/>
          <w:color w:val="auto"/>
          <w:szCs w:val="21"/>
          <w:highlight w:val="none"/>
          <w:lang w:val="en-US" w:eastAsia="zh-CN"/>
        </w:rPr>
        <w:t>19</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00</w:t>
      </w:r>
      <w:r>
        <w:rPr>
          <w:rFonts w:hint="eastAsia" w:ascii="宋体" w:hAnsi="宋体"/>
          <w:bCs/>
          <w:color w:val="auto"/>
          <w:szCs w:val="21"/>
          <w:highlight w:val="none"/>
        </w:rPr>
        <w:t>分（北京时间）</w:t>
      </w:r>
    </w:p>
    <w:p w14:paraId="5DC84777">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54E90EA4">
      <w:pPr>
        <w:spacing w:line="360" w:lineRule="exact"/>
        <w:ind w:firstLine="354" w:firstLineChars="147"/>
        <w:rPr>
          <w:rFonts w:ascii="黑体" w:hAnsi="黑体" w:eastAsia="黑体"/>
          <w:b/>
          <w:color w:val="auto"/>
          <w:sz w:val="24"/>
          <w:highlight w:val="none"/>
        </w:rPr>
      </w:pPr>
      <w:bookmarkStart w:id="34" w:name="_Toc44229883"/>
      <w:bookmarkStart w:id="35" w:name="_Toc28359094"/>
      <w:bookmarkStart w:id="36" w:name="_Toc35393803"/>
      <w:bookmarkStart w:id="37" w:name="_Toc28359017"/>
      <w:bookmarkStart w:id="38" w:name="_Toc35393634"/>
      <w:bookmarkStart w:id="39" w:name="_Toc71365910"/>
      <w:r>
        <w:rPr>
          <w:rFonts w:hint="eastAsia" w:ascii="黑体" w:hAnsi="黑体" w:eastAsia="黑体"/>
          <w:b/>
          <w:color w:val="auto"/>
          <w:sz w:val="24"/>
          <w:highlight w:val="none"/>
        </w:rPr>
        <w:t>六、公告期限</w:t>
      </w:r>
      <w:bookmarkEnd w:id="34"/>
      <w:bookmarkEnd w:id="35"/>
      <w:bookmarkEnd w:id="36"/>
      <w:bookmarkEnd w:id="37"/>
      <w:bookmarkEnd w:id="38"/>
      <w:bookmarkEnd w:id="39"/>
    </w:p>
    <w:p w14:paraId="66F549E8">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46FCD76C">
      <w:pPr>
        <w:spacing w:line="360" w:lineRule="exact"/>
        <w:ind w:firstLine="354" w:firstLineChars="147"/>
        <w:rPr>
          <w:rFonts w:ascii="黑体" w:hAnsi="黑体" w:eastAsia="黑体"/>
          <w:b/>
          <w:color w:val="auto"/>
          <w:sz w:val="24"/>
          <w:highlight w:val="none"/>
        </w:rPr>
      </w:pPr>
      <w:bookmarkStart w:id="40" w:name="_Toc35393804"/>
      <w:bookmarkStart w:id="41" w:name="_Toc35393635"/>
      <w:bookmarkStart w:id="42" w:name="_Toc44229884"/>
      <w:bookmarkStart w:id="43" w:name="_Toc71365911"/>
      <w:r>
        <w:rPr>
          <w:rFonts w:hint="eastAsia" w:ascii="黑体" w:hAnsi="黑体" w:eastAsia="黑体"/>
          <w:b/>
          <w:color w:val="auto"/>
          <w:sz w:val="24"/>
          <w:highlight w:val="none"/>
        </w:rPr>
        <w:t>七、其他补充事宜</w:t>
      </w:r>
      <w:bookmarkEnd w:id="40"/>
      <w:bookmarkEnd w:id="41"/>
      <w:bookmarkEnd w:id="42"/>
      <w:bookmarkEnd w:id="43"/>
    </w:p>
    <w:p w14:paraId="40EB1CA6">
      <w:pPr>
        <w:spacing w:line="400" w:lineRule="exact"/>
        <w:ind w:firstLine="420" w:firstLineChars="200"/>
        <w:rPr>
          <w:rFonts w:ascii="宋体" w:hAnsi="宋体" w:cs="宋体"/>
          <w:color w:val="auto"/>
          <w:kern w:val="0"/>
          <w:szCs w:val="21"/>
          <w:highlight w:val="none"/>
        </w:rPr>
      </w:pPr>
      <w:bookmarkStart w:id="44" w:name="_Toc28359018"/>
      <w:bookmarkStart w:id="45" w:name="_Toc35393636"/>
      <w:bookmarkStart w:id="46" w:name="_Toc44229885"/>
      <w:bookmarkStart w:id="47" w:name="_Toc35393805"/>
      <w:bookmarkStart w:id="48" w:name="_Toc28359095"/>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磋商保证金：</w:t>
      </w:r>
      <w:r>
        <w:rPr>
          <w:rFonts w:hint="eastAsia" w:ascii="宋体" w:hAnsi="宋体" w:cs="宋体"/>
          <w:color w:val="auto"/>
          <w:kern w:val="0"/>
          <w:szCs w:val="21"/>
          <w:highlight w:val="none"/>
        </w:rPr>
        <w:t>分标1：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000.00元；分标2：</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00.00元。</w:t>
      </w:r>
    </w:p>
    <w:p w14:paraId="717F05E7">
      <w:pPr>
        <w:spacing w:line="36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lang w:val="en-US" w:eastAsia="zh-CN"/>
        </w:rPr>
        <w:t>磋商</w:t>
      </w:r>
      <w:r>
        <w:rPr>
          <w:rFonts w:hint="eastAsia" w:ascii="宋体" w:hAnsi="宋体"/>
          <w:color w:val="auto"/>
          <w:szCs w:val="21"/>
          <w:highlight w:val="none"/>
        </w:rPr>
        <w:t>保证金的交纳方式：银行转账、支票、汇票、本票或者银行、保险机构出具的保函，禁止采用现钞方式。采用银行转账方式的，在响应文件递交截止时间前交至采购代理机构指定账户并且到账（开户银行：中国建设银行股份有限公司南宁市民族大道东分理处，开户名称：广西城建咨询设计有限公司，银行账号：4500 1604 6530 5070 3663）。</w:t>
      </w:r>
    </w:p>
    <w:p w14:paraId="191DF95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发布公告的媒介：中国政府采购网、广西壮族自治区政府采购网。</w:t>
      </w:r>
    </w:p>
    <w:p w14:paraId="56B2E2D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本项目需要落实的政府采购政策：</w:t>
      </w:r>
    </w:p>
    <w:p w14:paraId="27C7B6D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（1）政府采购促进中小企业发展；</w:t>
      </w:r>
    </w:p>
    <w:p w14:paraId="4F29573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（2）政府采购支持监狱企业发展；</w:t>
      </w:r>
    </w:p>
    <w:p w14:paraId="75FAEFA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（3）政府采购促进残疾人就业政策；</w:t>
      </w:r>
    </w:p>
    <w:p w14:paraId="7D82F4F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资格条件特别说明：</w:t>
      </w:r>
    </w:p>
    <w:p w14:paraId="0115065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8EF006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C8F006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组成联合体或者接受分包合同的中小企业与联合体内其他企业、分包企业之间不得存在直接控股、管理关系。</w:t>
      </w:r>
    </w:p>
    <w:p w14:paraId="49B2D917">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）已获取磋商文件的供应商不等于符合本项目的供应商资格条件。</w:t>
      </w:r>
    </w:p>
    <w:p w14:paraId="766EF61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广西政府采购云平台电子竞标相关事宜：</w:t>
      </w:r>
    </w:p>
    <w:p w14:paraId="3076606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（1）本项目为全流程电子化采购项目，通过广西政府采购云平台实行在线电子竞标，供应商应先安装“广西政府采购云平台新版客户端”（请自行前往广西政府采购云平台进行下载），并按照本项目</w:t>
      </w:r>
      <w:r>
        <w:rPr>
          <w:rFonts w:hint="eastAsia" w:ascii="宋体" w:hAnsi="宋体"/>
          <w:color w:val="auto"/>
          <w:szCs w:val="21"/>
          <w:highlight w:val="none"/>
          <w:lang w:val="en-US" w:eastAsia="zh-CN"/>
        </w:rPr>
        <w:t>采购</w:t>
      </w:r>
      <w:r>
        <w:rPr>
          <w:rFonts w:hint="eastAsia" w:ascii="宋体" w:hAnsi="宋体"/>
          <w:color w:val="auto"/>
          <w:szCs w:val="21"/>
          <w:highlight w:val="none"/>
        </w:rPr>
        <w:t>文件和广西政府采购云平台的要求编制、加密后在响应截止时间前通过网络上传至广西政府采购云平台。</w:t>
      </w:r>
    </w:p>
    <w:p w14:paraId="2DBE367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响应截止时间前，完成电子交易平台上的CA数字证书办理及响应文件的提交（供应商可登录“广西政府采购网”，依次进入“办事服务-下载专区”或者登陆广西政府采购云平台，查看CA数字证书办理操作流程。如在操作过程中遇到问题或者需要技术支持，可拨打广西政府采购云平台服务热线获取热线服务帮助）。</w:t>
      </w:r>
    </w:p>
    <w:p w14:paraId="59A76EB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（3）CA证书在线解密：供应商竞标时，需凭制作响应文件时用来加密的有效数字证书（CA认证）登录广西政府采购云平台电子开标大厅按规定时间对加密的响应文件进行解密，否则后果自负。</w:t>
      </w:r>
    </w:p>
    <w:p w14:paraId="4391F8D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w:t>
      </w:r>
      <w:r>
        <w:rPr>
          <w:rFonts w:hint="eastAsia" w:ascii="宋体" w:hAnsi="宋体"/>
          <w:color w:val="auto"/>
          <w:szCs w:val="21"/>
          <w:highlight w:val="none"/>
          <w:lang w:val="en-US" w:eastAsia="zh-CN"/>
        </w:rPr>
        <w:t>采购</w:t>
      </w:r>
      <w:r>
        <w:rPr>
          <w:rFonts w:hint="eastAsia" w:ascii="宋体" w:hAnsi="宋体"/>
          <w:color w:val="auto"/>
          <w:szCs w:val="21"/>
          <w:highlight w:val="none"/>
        </w:rPr>
        <w:t>活动。2）供应商应当在响应截止时间前完成电子响应文件的上传、提交，响应截止时间前可以补充、修改或者撤回响应文件。补充或者修改响应文件的，应当先行撤回原响应文件，补充、修改后重新上传、提交，响应截止时间前未完成上传、提交的，视为撤回响应文件。响应截止时间以后上传递交的响应文件，广西政府采购云平台将予以拒收。</w:t>
      </w:r>
    </w:p>
    <w:p w14:paraId="3A914EC9">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4"/>
      <w:bookmarkEnd w:id="45"/>
      <w:bookmarkEnd w:id="46"/>
      <w:bookmarkEnd w:id="47"/>
      <w:bookmarkEnd w:id="48"/>
    </w:p>
    <w:bookmarkEnd w:id="1"/>
    <w:p w14:paraId="44306E2E">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131A4415">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称：广西壮族自治区自然资源厅</w:t>
      </w:r>
    </w:p>
    <w:p w14:paraId="7A589259">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址：广西壮族自治区南宁市青秀区中新路2号</w:t>
      </w:r>
    </w:p>
    <w:p w14:paraId="603EEE5A">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联系方式：谢鸣，</w:t>
      </w:r>
      <w:r>
        <w:rPr>
          <w:rFonts w:hint="eastAsia" w:ascii="宋体" w:hAnsi="宋体" w:cs="宋体"/>
          <w:color w:val="auto"/>
          <w:kern w:val="0"/>
          <w:szCs w:val="21"/>
          <w:highlight w:val="none"/>
          <w:lang w:val="en-US" w:eastAsia="zh-CN"/>
        </w:rPr>
        <w:t>0771-</w:t>
      </w:r>
      <w:r>
        <w:rPr>
          <w:rFonts w:hint="eastAsia" w:ascii="宋体" w:hAnsi="宋体" w:cs="宋体"/>
          <w:color w:val="auto"/>
          <w:kern w:val="0"/>
          <w:szCs w:val="21"/>
          <w:highlight w:val="none"/>
        </w:rPr>
        <w:t>5388365</w:t>
      </w:r>
    </w:p>
    <w:p w14:paraId="35F5E57F">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6A651F7">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称：广西城建咨询设计有限公司</w:t>
      </w:r>
    </w:p>
    <w:p w14:paraId="683AEB4D">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址：南宁市青秀区金湖路58号广西建设大厦三楼</w:t>
      </w:r>
    </w:p>
    <w:p w14:paraId="7FB41720">
      <w:pPr>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联系方式：廖启迪；</w:t>
      </w:r>
      <w:r>
        <w:rPr>
          <w:rFonts w:hint="eastAsia" w:ascii="宋体" w:hAnsi="宋体" w:cs="宋体"/>
          <w:color w:val="auto"/>
          <w:kern w:val="0"/>
          <w:szCs w:val="21"/>
          <w:highlight w:val="none"/>
          <w:lang w:eastAsia="zh-CN"/>
        </w:rPr>
        <w:t>0771-4352069</w:t>
      </w:r>
    </w:p>
    <w:p w14:paraId="22EC1C82">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79830753">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项目联系人：廖启迪</w:t>
      </w:r>
    </w:p>
    <w:p w14:paraId="4658E5EB">
      <w:pPr>
        <w:spacing w:line="360" w:lineRule="exact"/>
        <w:ind w:firstLine="420" w:firstLineChars="200"/>
        <w:rPr>
          <w:rFonts w:hint="eastAsia" w:ascii="宋体" w:hAnsi="宋体" w:eastAsia="宋体" w:cs="仿宋"/>
          <w:color w:val="auto"/>
          <w:kern w:val="0"/>
          <w:szCs w:val="21"/>
          <w:highlight w:val="none"/>
          <w:lang w:eastAsia="zh-CN"/>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lang w:eastAsia="zh-CN"/>
        </w:rPr>
        <w:t>0771-4352069</w:t>
      </w:r>
    </w:p>
    <w:p w14:paraId="589712FE">
      <w:pPr>
        <w:pStyle w:val="5"/>
        <w:jc w:val="center"/>
        <w:rPr>
          <w:color w:val="auto"/>
          <w:highlight w:val="none"/>
        </w:rPr>
      </w:pPr>
      <w:bookmarkStart w:id="49" w:name="_Toc151675537"/>
      <w:r>
        <w:rPr>
          <w:rFonts w:hint="eastAsia"/>
          <w:color w:val="auto"/>
          <w:highlight w:val="none"/>
        </w:rPr>
        <w:t xml:space="preserve">第二章 </w:t>
      </w:r>
      <w:r>
        <w:rPr>
          <w:color w:val="auto"/>
          <w:highlight w:val="none"/>
        </w:rPr>
        <w:t xml:space="preserve"> </w:t>
      </w:r>
      <w:r>
        <w:rPr>
          <w:rFonts w:hint="eastAsia"/>
          <w:color w:val="auto"/>
          <w:highlight w:val="none"/>
        </w:rPr>
        <w:t>供应商须知</w:t>
      </w:r>
      <w:bookmarkEnd w:id="49"/>
    </w:p>
    <w:p w14:paraId="23BC5287">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57275CDA">
      <w:pPr>
        <w:spacing w:line="400" w:lineRule="exact"/>
        <w:jc w:val="center"/>
        <w:rPr>
          <w:rFonts w:ascii="宋体" w:hAnsi="宋体"/>
          <w:b/>
          <w:color w:val="auto"/>
          <w:sz w:val="32"/>
          <w:szCs w:val="32"/>
          <w:highlight w:val="none"/>
        </w:rPr>
      </w:pPr>
    </w:p>
    <w:tbl>
      <w:tblPr>
        <w:tblStyle w:val="34"/>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8359"/>
      </w:tblGrid>
      <w:tr w14:paraId="5C7C4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tcPr>
          <w:p w14:paraId="06C89B1D">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359" w:type="dxa"/>
          </w:tcPr>
          <w:p w14:paraId="295016D0">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内容</w:t>
            </w:r>
          </w:p>
        </w:tc>
      </w:tr>
      <w:tr w14:paraId="71031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471EF55">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359" w:type="dxa"/>
            <w:vAlign w:val="center"/>
          </w:tcPr>
          <w:p w14:paraId="01731F7C">
            <w:pPr>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1.供应商的资格条件</w:t>
            </w:r>
            <w:r>
              <w:rPr>
                <w:rFonts w:hint="eastAsia" w:cs="宋体" w:asciiTheme="minorEastAsia" w:hAnsiTheme="minorEastAsia" w:eastAsiaTheme="minorEastAsia"/>
                <w:color w:val="auto"/>
                <w:szCs w:val="21"/>
                <w:highlight w:val="none"/>
              </w:rPr>
              <w:t>：详见竞争性磋商公告</w:t>
            </w:r>
          </w:p>
          <w:p w14:paraId="2A7ED5A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rPr>
              <w:t>供应商</w:t>
            </w:r>
            <w:r>
              <w:rPr>
                <w:rFonts w:hint="eastAsia" w:cs="宋体" w:asciiTheme="minorEastAsia" w:hAnsiTheme="minorEastAsia" w:eastAsiaTheme="minorEastAsia"/>
                <w:color w:val="auto"/>
                <w:szCs w:val="21"/>
                <w:highlight w:val="none"/>
              </w:rPr>
              <w:t>出现下列情形之一的，不得参加政府采购活动：</w:t>
            </w:r>
          </w:p>
          <w:p w14:paraId="784F3801">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F55030E">
            <w:pPr>
              <w:spacing w:line="43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9B35FE9">
            <w:pPr>
              <w:spacing w:line="43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3.组成联合体或者接受分包合同的中小企业与联合体内其他企业、分包企业之间不得存在直接控股、管理关系。</w:t>
            </w:r>
          </w:p>
          <w:p w14:paraId="023CD695">
            <w:pPr>
              <w:spacing w:line="43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已获取磋商文件的供应商不等于符合本项目的供应商资格条件。</w:t>
            </w:r>
          </w:p>
        </w:tc>
      </w:tr>
      <w:tr w14:paraId="500EC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297EA17">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w:t>
            </w:r>
          </w:p>
        </w:tc>
        <w:tc>
          <w:tcPr>
            <w:tcW w:w="8359" w:type="dxa"/>
            <w:vAlign w:val="center"/>
          </w:tcPr>
          <w:p w14:paraId="0381ADA5">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是否接受联合体竞标: 详见竞争性磋商公告</w:t>
            </w:r>
          </w:p>
        </w:tc>
      </w:tr>
      <w:tr w14:paraId="3DC7D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5" w:hRule="atLeast"/>
          <w:jc w:val="center"/>
        </w:trPr>
        <w:tc>
          <w:tcPr>
            <w:tcW w:w="1139" w:type="dxa"/>
            <w:vAlign w:val="center"/>
          </w:tcPr>
          <w:p w14:paraId="5DC00BBA">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.2</w:t>
            </w:r>
          </w:p>
        </w:tc>
        <w:tc>
          <w:tcPr>
            <w:tcW w:w="8359" w:type="dxa"/>
            <w:vAlign w:val="center"/>
          </w:tcPr>
          <w:p w14:paraId="096F3FDE">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如接受联合体磋商，联合体磋商要求如下：</w:t>
            </w:r>
          </w:p>
          <w:p w14:paraId="31B83F45">
            <w:pPr>
              <w:spacing w:line="43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两</w:t>
            </w:r>
            <w:r>
              <w:rPr>
                <w:rFonts w:hint="eastAsia" w:cs="宋体" w:asciiTheme="minorEastAsia" w:hAnsiTheme="minorEastAsia" w:eastAsiaTheme="minorEastAsia"/>
                <w:color w:val="auto"/>
                <w:sz w:val="21"/>
                <w:szCs w:val="21"/>
                <w:highlight w:val="none"/>
              </w:rPr>
              <w:t>个以上供应商可以组成一个磋商联合体，以一个供应商的身份共同参加磋商。联合体磋商的，须提供《联合体竞标协议书》（格式后附）。</w:t>
            </w:r>
          </w:p>
          <w:p w14:paraId="7B97C916">
            <w:pPr>
              <w:spacing w:line="43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以联合体形式参加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5B220A0E">
            <w:pPr>
              <w:spacing w:line="43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联合体各方之间必须签订联合磋商协议，协议书必须明确主体方（或者牵头方）并明确约定联合体各方承担的工作和相应的责任（</w:t>
            </w:r>
            <w:r>
              <w:rPr>
                <w:rFonts w:hint="eastAsia" w:cs="宋体" w:asciiTheme="minorEastAsia" w:hAnsiTheme="minorEastAsia" w:eastAsiaTheme="minorEastAsia"/>
                <w:b/>
                <w:color w:val="auto"/>
                <w:sz w:val="21"/>
                <w:szCs w:val="21"/>
                <w:highlight w:val="none"/>
              </w:rPr>
              <w:t>各方承担责任与义务的分工必须符合采购需求，否则，联合体竞标无效</w:t>
            </w:r>
            <w:r>
              <w:rPr>
                <w:rFonts w:hint="eastAsia" w:cs="宋体" w:asciiTheme="minorEastAsia" w:hAnsiTheme="minorEastAsia" w:eastAsiaTheme="minorEastAsia"/>
                <w:color w:val="auto"/>
                <w:sz w:val="21"/>
                <w:szCs w:val="21"/>
                <w:highlight w:val="none"/>
              </w:rPr>
              <w:t>），并将联合竞标协议</w:t>
            </w:r>
            <w:r>
              <w:rPr>
                <w:rFonts w:hint="eastAsia" w:cs="宋体" w:asciiTheme="minorEastAsia" w:hAnsiTheme="minorEastAsia" w:eastAsiaTheme="minorEastAsia"/>
                <w:color w:val="auto"/>
                <w:sz w:val="21"/>
                <w:szCs w:val="21"/>
                <w:highlight w:val="none"/>
                <w:lang w:val="en-US" w:eastAsia="zh-CN"/>
              </w:rPr>
              <w:t>书</w:t>
            </w:r>
            <w:r>
              <w:rPr>
                <w:rFonts w:hint="eastAsia" w:cs="宋体" w:asciiTheme="minorEastAsia" w:hAnsiTheme="minorEastAsia" w:eastAsiaTheme="minorEastAsia"/>
                <w:color w:val="auto"/>
                <w:sz w:val="21"/>
                <w:szCs w:val="21"/>
                <w:highlight w:val="none"/>
              </w:rPr>
              <w:t>放入响应文件。联合体各方必须共同与采购人签订采购合同，就采购合同约定的事项对采购人承担连带责任。</w:t>
            </w:r>
          </w:p>
          <w:p w14:paraId="3C9997F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以联合体形式参加政府采购活动的，联合体各方不得再单独参加或者与其他供应商另外组成联合体参加同一合同项下的政府采购活动。</w:t>
            </w:r>
          </w:p>
          <w:p w14:paraId="231CBB0B">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联合体中有同类资质的供应商按照联合体分工承担相同工作的，应当按照资质等级较低的供应商确定资质等级。</w:t>
            </w:r>
          </w:p>
          <w:p w14:paraId="18F08016">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供应商为联合体的，可以由联合体中的一方或者多方共同交纳磋商保证金，其交纳的保证金对联合体各方均具有约束力。</w:t>
            </w:r>
          </w:p>
          <w:p w14:paraId="6AF1FED2">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联合体各方均应按照磋商文件的规定提交资格证明文件。</w:t>
            </w:r>
          </w:p>
        </w:tc>
      </w:tr>
      <w:tr w14:paraId="09B66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DF7220C">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6.2</w:t>
            </w:r>
          </w:p>
        </w:tc>
        <w:tc>
          <w:tcPr>
            <w:tcW w:w="8359" w:type="dxa"/>
            <w:vAlign w:val="center"/>
          </w:tcPr>
          <w:p w14:paraId="7380CE77">
            <w:pPr>
              <w:pStyle w:val="17"/>
              <w:spacing w:line="430" w:lineRule="exact"/>
              <w:rPr>
                <w:rFonts w:hint="eastAsia" w:asciiTheme="minorEastAsia" w:hAnsiTheme="minorEastAsia" w:eastAsiaTheme="minorEastAsia"/>
                <w:color w:val="auto"/>
                <w:highlight w:val="none"/>
                <w:u w:val="single"/>
              </w:rPr>
            </w:pPr>
            <w:r>
              <w:rPr>
                <w:rFonts w:hint="eastAsia" w:asciiTheme="minorEastAsia" w:hAnsiTheme="minorEastAsia" w:eastAsiaTheme="minorEastAsia"/>
                <w:b/>
                <w:color w:val="auto"/>
                <w:highlight w:val="none"/>
                <w:lang w:val="en-US" w:eastAsia="zh-CN"/>
              </w:rPr>
              <w:t>分标1：</w:t>
            </w:r>
            <w:r>
              <w:rPr>
                <w:rFonts w:hint="eastAsia" w:asciiTheme="minorEastAsia" w:hAnsiTheme="minorEastAsia" w:eastAsiaTheme="minorEastAsia"/>
                <w:b/>
                <w:bCs/>
                <w:color w:val="auto"/>
                <w:highlight w:val="none"/>
              </w:rPr>
              <w:t>允许分包</w:t>
            </w:r>
            <w:r>
              <w:rPr>
                <w:rFonts w:hint="eastAsia" w:asciiTheme="minorEastAsia" w:hAnsiTheme="minorEastAsia" w:eastAsiaTheme="minorEastAsia"/>
                <w:b/>
                <w:bCs/>
                <w:color w:val="auto"/>
                <w:highlight w:val="none"/>
                <w:lang w:eastAsia="zh-CN"/>
              </w:rPr>
              <w:t>，</w:t>
            </w:r>
            <w:r>
              <w:rPr>
                <w:rFonts w:hint="eastAsia" w:asciiTheme="minorEastAsia" w:hAnsiTheme="minorEastAsia" w:eastAsiaTheme="minorEastAsia"/>
                <w:b/>
                <w:bCs/>
                <w:color w:val="auto"/>
                <w:highlight w:val="none"/>
              </w:rPr>
              <w:t>分包金额或者比例：</w:t>
            </w:r>
            <w:r>
              <w:rPr>
                <w:rFonts w:hint="eastAsia" w:asciiTheme="minorEastAsia" w:hAnsiTheme="minorEastAsia" w:eastAsiaTheme="minorEastAsia"/>
                <w:b/>
                <w:bCs/>
                <w:color w:val="auto"/>
                <w:highlight w:val="none"/>
                <w:u w:val="none"/>
                <w:lang w:val="en-US" w:eastAsia="zh-CN"/>
              </w:rPr>
              <w:t>不低于本标项合同金额的30%</w:t>
            </w:r>
            <w:r>
              <w:rPr>
                <w:rFonts w:hint="eastAsia" w:asciiTheme="minorEastAsia" w:hAnsiTheme="minorEastAsia" w:eastAsiaTheme="minorEastAsia"/>
                <w:b/>
                <w:bCs/>
                <w:color w:val="auto"/>
                <w:highlight w:val="none"/>
                <w:u w:val="none"/>
              </w:rPr>
              <w:t>。</w:t>
            </w:r>
          </w:p>
          <w:p w14:paraId="2A24EA9F">
            <w:pPr>
              <w:pStyle w:val="17"/>
              <w:spacing w:line="430" w:lineRule="exact"/>
              <w:rPr>
                <w:rFonts w:cs="宋体" w:asciiTheme="minorEastAsia" w:hAnsiTheme="minorEastAsia" w:eastAsiaTheme="minorEastAsia"/>
                <w:color w:val="auto"/>
                <w:highlight w:val="none"/>
              </w:rPr>
            </w:pPr>
            <w:r>
              <w:rPr>
                <w:rFonts w:hint="eastAsia" w:asciiTheme="minorEastAsia" w:hAnsiTheme="minorEastAsia" w:eastAsiaTheme="minorEastAsia"/>
                <w:b/>
                <w:color w:val="auto"/>
                <w:highlight w:val="none"/>
                <w:lang w:val="en-US" w:eastAsia="zh-CN"/>
              </w:rPr>
              <w:t>分标2：</w:t>
            </w:r>
            <w:r>
              <w:rPr>
                <w:rFonts w:hint="eastAsia" w:asciiTheme="minorEastAsia" w:hAnsiTheme="minorEastAsia" w:eastAsiaTheme="minorEastAsia"/>
                <w:b/>
                <w:bCs/>
                <w:color w:val="auto"/>
                <w:highlight w:val="none"/>
              </w:rPr>
              <w:t>允许分包</w:t>
            </w:r>
            <w:r>
              <w:rPr>
                <w:rFonts w:hint="eastAsia" w:asciiTheme="minorEastAsia" w:hAnsiTheme="minorEastAsia" w:eastAsiaTheme="minorEastAsia"/>
                <w:b/>
                <w:bCs/>
                <w:color w:val="auto"/>
                <w:highlight w:val="none"/>
                <w:lang w:eastAsia="zh-CN"/>
              </w:rPr>
              <w:t>，</w:t>
            </w:r>
            <w:r>
              <w:rPr>
                <w:rFonts w:hint="eastAsia" w:asciiTheme="minorEastAsia" w:hAnsiTheme="minorEastAsia" w:eastAsiaTheme="minorEastAsia"/>
                <w:b/>
                <w:bCs/>
                <w:color w:val="auto"/>
                <w:highlight w:val="none"/>
              </w:rPr>
              <w:t>分包金额或者比例：</w:t>
            </w:r>
            <w:r>
              <w:rPr>
                <w:rFonts w:hint="eastAsia" w:asciiTheme="minorEastAsia" w:hAnsiTheme="minorEastAsia" w:eastAsiaTheme="minorEastAsia"/>
                <w:b/>
                <w:bCs/>
                <w:color w:val="auto"/>
                <w:highlight w:val="none"/>
                <w:u w:val="none"/>
                <w:lang w:val="en-US" w:eastAsia="zh-CN"/>
              </w:rPr>
              <w:t>不低于本标项合同金额的30%</w:t>
            </w:r>
            <w:r>
              <w:rPr>
                <w:rFonts w:hint="eastAsia" w:asciiTheme="minorEastAsia" w:hAnsiTheme="minorEastAsia" w:eastAsiaTheme="minorEastAsia"/>
                <w:b/>
                <w:bCs/>
                <w:color w:val="auto"/>
                <w:highlight w:val="none"/>
                <w:u w:val="none"/>
              </w:rPr>
              <w:t>。</w:t>
            </w:r>
          </w:p>
        </w:tc>
      </w:tr>
      <w:tr w14:paraId="65956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A80EC7A">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w:t>
            </w:r>
            <w:r>
              <w:rPr>
                <w:rFonts w:cs="宋体" w:asciiTheme="minorEastAsia" w:hAnsiTheme="minorEastAsia" w:eastAsiaTheme="minorEastAsia"/>
                <w:color w:val="auto"/>
                <w:szCs w:val="21"/>
                <w:highlight w:val="none"/>
              </w:rPr>
              <w:t>1</w:t>
            </w:r>
          </w:p>
        </w:tc>
        <w:tc>
          <w:tcPr>
            <w:tcW w:w="8359" w:type="dxa"/>
            <w:vAlign w:val="center"/>
          </w:tcPr>
          <w:p w14:paraId="11DD5C06">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4B4C47E8">
            <w:pPr>
              <w:pStyle w:val="17"/>
              <w:spacing w:line="43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1.供应商为法人或者其他组织的提供其营业执照等证明文件（如营业执照或者事业单位法人证书或者执业许可证或者登记证书等），供应商为自然人的提供其身份证复印件；（</w:t>
            </w:r>
            <w:r>
              <w:rPr>
                <w:rFonts w:hint="eastAsia" w:cs="宋体" w:asciiTheme="minorEastAsia" w:hAnsiTheme="minorEastAsia" w:eastAsiaTheme="minorEastAsia"/>
                <w:b/>
                <w:color w:val="auto"/>
                <w:highlight w:val="none"/>
              </w:rPr>
              <w:t>必须提供，否则响应文件按无效响应处理</w:t>
            </w:r>
            <w:r>
              <w:rPr>
                <w:rFonts w:hint="eastAsia" w:cs="宋体" w:asciiTheme="minorEastAsia" w:hAnsiTheme="minorEastAsia" w:eastAsiaTheme="minorEastAsia"/>
                <w:color w:val="auto"/>
                <w:highlight w:val="none"/>
              </w:rPr>
              <w:t>）</w:t>
            </w:r>
          </w:p>
          <w:p w14:paraId="05D0C3FE">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 供应商依法缴纳税收的相关材料（</w:t>
            </w:r>
            <w:r>
              <w:rPr>
                <w:rFonts w:hint="eastAsia" w:ascii="宋体" w:hAnsi="宋体" w:cs="宋体"/>
                <w:color w:val="auto"/>
                <w:szCs w:val="21"/>
                <w:highlight w:val="none"/>
              </w:rPr>
              <w:t>提交响应文件截止时间前半年内任意连续</w:t>
            </w:r>
            <w:r>
              <w:rPr>
                <w:rFonts w:ascii="宋体" w:hAnsi="宋体" w:cs="宋体"/>
                <w:color w:val="auto"/>
                <w:szCs w:val="21"/>
                <w:highlight w:val="none"/>
              </w:rPr>
              <w:t>3</w:t>
            </w:r>
            <w:r>
              <w:rPr>
                <w:rFonts w:hint="eastAsia" w:ascii="宋体" w:hAnsi="宋体" w:cs="宋体"/>
                <w:color w:val="auto"/>
                <w:szCs w:val="21"/>
                <w:highlight w:val="none"/>
              </w:rPr>
              <w:t>个月的</w:t>
            </w:r>
            <w:r>
              <w:rPr>
                <w:rFonts w:hint="eastAsia" w:cs="宋体" w:asciiTheme="minorEastAsia" w:hAnsiTheme="minorEastAsia" w:eastAsiaTheme="minorEastAsia"/>
                <w:color w:val="auto"/>
                <w:szCs w:val="21"/>
                <w:highlight w:val="none"/>
              </w:rPr>
              <w:t>依法缴纳税收的凭据复印件；</w:t>
            </w:r>
            <w:r>
              <w:rPr>
                <w:rFonts w:hint="eastAsia" w:asciiTheme="minorEastAsia" w:hAnsiTheme="minorEastAsia" w:eastAsiaTheme="minorEastAsia"/>
                <w:color w:val="auto"/>
                <w:szCs w:val="21"/>
                <w:highlight w:val="none"/>
              </w:rPr>
              <w:t>依法免税的，必须提供相应文件证明其依法免税。</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的依法缴纳税收</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1D57A851">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 供应商依法缴纳社会保障资金的相关材料</w:t>
            </w:r>
            <w:r>
              <w:rPr>
                <w:rFonts w:hint="eastAsia" w:ascii="宋体" w:hAnsi="宋体" w:cs="宋体"/>
                <w:color w:val="auto"/>
                <w:szCs w:val="21"/>
                <w:highlight w:val="none"/>
              </w:rPr>
              <w:t>[提交响应文件截止时间前半年内任意连续</w:t>
            </w:r>
            <w:r>
              <w:rPr>
                <w:rFonts w:ascii="宋体" w:hAnsi="宋体" w:cs="宋体"/>
                <w:color w:val="auto"/>
                <w:szCs w:val="21"/>
                <w:highlight w:val="none"/>
              </w:rPr>
              <w:t>3</w:t>
            </w:r>
            <w:r>
              <w:rPr>
                <w:rFonts w:hint="eastAsia" w:ascii="宋体" w:hAnsi="宋体" w:cs="宋体"/>
                <w:color w:val="auto"/>
                <w:szCs w:val="21"/>
                <w:highlight w:val="none"/>
              </w:rPr>
              <w:t>个月的</w:t>
            </w:r>
            <w:r>
              <w:rPr>
                <w:rFonts w:hint="eastAsia" w:cs="宋体" w:asciiTheme="minorEastAsia" w:hAnsiTheme="minorEastAsia" w:eastAsiaTheme="minorEastAsia"/>
                <w:color w:val="auto"/>
                <w:szCs w:val="21"/>
                <w:highlight w:val="none"/>
              </w:rPr>
              <w:t>依法缴纳社会保障资金的缴费凭证（专用收据或者社会保险缴纳清单）复印件；</w:t>
            </w:r>
            <w:r>
              <w:rPr>
                <w:rFonts w:hint="eastAsia" w:asciiTheme="minorEastAsia" w:hAnsiTheme="minorEastAsia" w:eastAsiaTheme="minorEastAsia"/>
                <w:color w:val="auto"/>
                <w:szCs w:val="21"/>
                <w:highlight w:val="none"/>
              </w:rPr>
              <w:t>依法不需要缴纳社会保障资金的，必须提供相应文件证明不需要缴纳社会保障资金。</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的依法缴纳社会保障资金的</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404237B3">
            <w:pPr>
              <w:spacing w:line="430" w:lineRule="exact"/>
              <w:contextualSpacing/>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4. 供应商</w:t>
            </w:r>
            <w:r>
              <w:rPr>
                <w:rFonts w:hint="eastAsia" w:asciiTheme="minorEastAsia" w:hAnsiTheme="minorEastAsia" w:eastAsiaTheme="minorEastAsia"/>
                <w:color w:val="auto"/>
                <w:szCs w:val="21"/>
                <w:highlight w:val="none"/>
              </w:rPr>
              <w:t>财务状况报告（</w:t>
            </w:r>
            <w:r>
              <w:rPr>
                <w:rFonts w:hint="eastAsia" w:asciiTheme="minorEastAsia" w:hAnsiTheme="minorEastAsia" w:eastAsiaTheme="minorEastAsia"/>
                <w:color w:val="auto"/>
                <w:szCs w:val="21"/>
                <w:highlight w:val="none"/>
                <w:u w:val="single"/>
              </w:rPr>
              <w:t>202</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rPr>
              <w:t>或202</w:t>
            </w:r>
            <w:r>
              <w:rPr>
                <w:rFonts w:hint="eastAsia" w:asciiTheme="minorEastAsia" w:hAnsiTheme="minorEastAsia" w:eastAsiaTheme="minorEastAsia"/>
                <w:color w:val="auto"/>
                <w:szCs w:val="21"/>
                <w:highlight w:val="none"/>
                <w:u w:val="single"/>
                <w:lang w:val="en-US" w:eastAsia="zh-CN"/>
              </w:rPr>
              <w:t>4</w:t>
            </w:r>
            <w:r>
              <w:rPr>
                <w:rFonts w:hint="eastAsia" w:asciiTheme="minorEastAsia" w:hAnsiTheme="minorEastAsia" w:eastAsiaTheme="minorEastAsia"/>
                <w:color w:val="auto"/>
                <w:szCs w:val="21"/>
                <w:highlight w:val="none"/>
              </w:rPr>
              <w:t>年度财务报告复印件，或者银行出具的资信证明，或者中国人民银行征信中心出具的信用报告（企业竞标的提供企业信用报告，自然人竞标的提供个人信用报告）；供应商属于成立时间</w:t>
            </w:r>
            <w:r>
              <w:rPr>
                <w:rFonts w:hint="eastAsia" w:asciiTheme="minorEastAsia" w:hAnsiTheme="minorEastAsia" w:eastAsiaTheme="minorEastAsia"/>
                <w:color w:val="auto"/>
                <w:kern w:val="0"/>
                <w:szCs w:val="21"/>
                <w:highlight w:val="none"/>
              </w:rPr>
              <w:t>在规定年度之后</w:t>
            </w:r>
            <w:r>
              <w:rPr>
                <w:rFonts w:hint="eastAsia" w:asciiTheme="minorEastAsia" w:hAnsiTheme="minorEastAsia" w:eastAsiaTheme="minorEastAsia"/>
                <w:color w:val="auto"/>
                <w:szCs w:val="21"/>
                <w:highlight w:val="none"/>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w:t>
            </w:r>
            <w:r>
              <w:rPr>
                <w:rFonts w:hint="eastAsia" w:asciiTheme="minorEastAsia" w:hAnsiTheme="minorEastAsia" w:eastAsiaTheme="minorEastAsia"/>
                <w:b/>
                <w:color w:val="auto"/>
                <w:szCs w:val="21"/>
                <w:highlight w:val="none"/>
              </w:rPr>
              <w:t>必须提供</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bCs/>
                <w:color w:val="auto"/>
                <w:szCs w:val="21"/>
                <w:highlight w:val="none"/>
              </w:rPr>
              <w:t>）</w:t>
            </w:r>
          </w:p>
          <w:p w14:paraId="50DA8826">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5.供应商直接控股、管理关系信息表（格式后附）；（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4AA3401C">
            <w:pPr>
              <w:snapToGrid w:val="0"/>
              <w:spacing w:line="430" w:lineRule="exact"/>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6.竞标声明（格式后附）；（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15736A20">
            <w:pPr>
              <w:spacing w:line="43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.中小企业声明函或者残疾人福利性单位声明函或者供应商属于监狱企业的提供由省级以上监狱管理局、戒毒管理局（含新疆生产建设兵团）出具的属于监狱企业的证明文件；（</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0F010BEA">
            <w:pPr>
              <w:spacing w:line="430" w:lineRule="exact"/>
              <w:rPr>
                <w:color w:val="auto"/>
                <w:highlight w:val="none"/>
              </w:rPr>
            </w:pPr>
            <w:r>
              <w:rPr>
                <w:rFonts w:hint="eastAsia" w:cs="宋体" w:asciiTheme="minorEastAsia" w:hAnsiTheme="minorEastAsia" w:eastAsiaTheme="minorEastAsia"/>
                <w:color w:val="auto"/>
                <w:szCs w:val="21"/>
                <w:highlight w:val="none"/>
                <w:lang w:val="en-US" w:eastAsia="zh-CN"/>
              </w:rPr>
              <w:t>8.分包意向协议或联合体竞标协议书</w:t>
            </w:r>
            <w:r>
              <w:rPr>
                <w:rFonts w:hint="eastAsia" w:cs="宋体" w:asciiTheme="minorEastAsia" w:hAnsiTheme="minorEastAsia" w:eastAsiaTheme="minorEastAsia"/>
                <w:color w:val="auto"/>
                <w:szCs w:val="21"/>
                <w:highlight w:val="none"/>
              </w:rPr>
              <w:t>（格式后附）</w:t>
            </w:r>
            <w:r>
              <w:rPr>
                <w:rFonts w:hint="eastAsia" w:cs="宋体" w:asciiTheme="minorEastAsia" w:hAnsiTheme="minorEastAsia" w:eastAsiaTheme="minorEastAsia"/>
                <w:color w:val="auto"/>
                <w:szCs w:val="21"/>
                <w:highlight w:val="none"/>
                <w:lang w:val="en-US" w:eastAsia="zh-CN"/>
              </w:rPr>
              <w:t>；</w:t>
            </w:r>
            <w:r>
              <w:rPr>
                <w:rFonts w:hint="eastAsia" w:cs="宋体" w:asciiTheme="minorEastAsia" w:hAnsiTheme="minorEastAsia" w:eastAsiaTheme="minorEastAsia"/>
                <w:b/>
                <w:bCs/>
                <w:color w:val="auto"/>
                <w:szCs w:val="21"/>
                <w:highlight w:val="none"/>
                <w:lang w:val="en-US" w:eastAsia="zh-CN"/>
              </w:rPr>
              <w:t>（如有，请提供）</w:t>
            </w:r>
            <w:r>
              <w:rPr>
                <w:rFonts w:hint="eastAsia" w:cs="宋体" w:asciiTheme="minorEastAsia" w:hAnsiTheme="minorEastAsia" w:eastAsiaTheme="minorEastAsia"/>
                <w:color w:val="auto"/>
                <w:szCs w:val="21"/>
                <w:highlight w:val="none"/>
              </w:rPr>
              <w:t>。</w:t>
            </w:r>
          </w:p>
          <w:p w14:paraId="4744D4AE">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.除磋商文件规定必须提供以外，供应商认为需要提供的其他证明材料。（如有，请提供）</w:t>
            </w:r>
          </w:p>
          <w:p w14:paraId="564C80CE">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0027EFD9">
            <w:pPr>
              <w:snapToGrid w:val="0"/>
              <w:spacing w:line="430" w:lineRule="exact"/>
              <w:ind w:firstLine="413" w:firstLineChars="196"/>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p w14:paraId="0E851DB6">
            <w:pPr>
              <w:pStyle w:val="17"/>
              <w:spacing w:line="430" w:lineRule="exact"/>
              <w:ind w:firstLine="422" w:firstLineChars="20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2.联合体竞标时，第1-5项资格证明文件联合体各方均必须分别提供，</w:t>
            </w:r>
            <w:r>
              <w:rPr>
                <w:rFonts w:hint="eastAsia" w:asciiTheme="minorEastAsia" w:hAnsiTheme="minorEastAsia" w:eastAsiaTheme="minorEastAsia"/>
                <w:b/>
                <w:color w:val="auto"/>
                <w:highlight w:val="none"/>
              </w:rPr>
              <w:t>并由</w:t>
            </w:r>
            <w:r>
              <w:rPr>
                <w:rFonts w:hint="eastAsia" w:cs="宋体" w:asciiTheme="minorEastAsia" w:hAnsiTheme="minorEastAsia" w:eastAsiaTheme="minorEastAsia"/>
                <w:b/>
                <w:color w:val="auto"/>
                <w:highlight w:val="none"/>
              </w:rPr>
              <w:t>联合体</w:t>
            </w:r>
            <w:r>
              <w:rPr>
                <w:rFonts w:hint="eastAsia" w:asciiTheme="minorEastAsia" w:hAnsiTheme="minorEastAsia" w:eastAsiaTheme="minorEastAsia"/>
                <w:b/>
                <w:color w:val="auto"/>
                <w:highlight w:val="none"/>
              </w:rPr>
              <w:t>牵头人加盖电子签章</w:t>
            </w:r>
            <w:r>
              <w:rPr>
                <w:rFonts w:hint="eastAsia" w:cs="宋体"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规定签字</w:t>
            </w:r>
            <w:r>
              <w:rPr>
                <w:rFonts w:hint="eastAsia" w:cs="宋体" w:asciiTheme="minorEastAsia" w:hAnsiTheme="minorEastAsia" w:eastAsiaTheme="minorEastAsia"/>
                <w:b/>
                <w:color w:val="auto"/>
                <w:highlight w:val="none"/>
              </w:rPr>
              <w:t>处签字</w:t>
            </w:r>
            <w:r>
              <w:rPr>
                <w:rFonts w:hint="eastAsia" w:asciiTheme="minorEastAsia" w:hAnsiTheme="minorEastAsia" w:eastAsiaTheme="minorEastAsia"/>
                <w:b/>
                <w:bCs/>
                <w:color w:val="auto"/>
                <w:highlight w:val="none"/>
              </w:rPr>
              <w:t>（或者电子签名）</w:t>
            </w:r>
            <w:r>
              <w:rPr>
                <w:rFonts w:hint="eastAsia" w:cs="宋体" w:asciiTheme="minorEastAsia" w:hAnsiTheme="minorEastAsia" w:eastAsiaTheme="minorEastAsia"/>
                <w:b/>
                <w:color w:val="auto"/>
                <w:highlight w:val="none"/>
              </w:rPr>
              <w:t>，否则响应文件按无效处理。</w:t>
            </w:r>
          </w:p>
          <w:p w14:paraId="27D45F34">
            <w:pPr>
              <w:pStyle w:val="17"/>
              <w:spacing w:line="430" w:lineRule="exact"/>
              <w:ind w:firstLine="422" w:firstLineChars="200"/>
              <w:rPr>
                <w:rFonts w:cs="宋体" w:asciiTheme="minorEastAsia" w:hAnsiTheme="minorEastAsia" w:eastAsiaTheme="minorEastAsia"/>
                <w:b/>
                <w:color w:val="auto"/>
                <w:highlight w:val="none"/>
              </w:rPr>
            </w:pPr>
            <w:r>
              <w:rPr>
                <w:rFonts w:asciiTheme="minorEastAsia" w:hAnsiTheme="minorEastAsia" w:eastAsiaTheme="minorEastAsia"/>
                <w:b/>
                <w:bCs/>
                <w:color w:val="auto"/>
                <w:highlight w:val="none"/>
              </w:rPr>
              <w:t>3</w:t>
            </w:r>
            <w:r>
              <w:rPr>
                <w:rFonts w:hint="eastAsia" w:asciiTheme="minorEastAsia" w:hAnsiTheme="minorEastAsia" w:eastAsiaTheme="minorEastAsia"/>
                <w:b/>
                <w:bCs/>
                <w:color w:val="auto"/>
                <w:highlight w:val="none"/>
              </w:rPr>
              <w:t>.分公司参加竞标的，应当取得总公司授权；</w:t>
            </w:r>
          </w:p>
        </w:tc>
      </w:tr>
      <w:tr w14:paraId="644EF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158427F">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12.1.2</w:t>
            </w:r>
          </w:p>
        </w:tc>
        <w:tc>
          <w:tcPr>
            <w:tcW w:w="8359" w:type="dxa"/>
            <w:vAlign w:val="center"/>
          </w:tcPr>
          <w:p w14:paraId="7997B189">
            <w:pPr>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461717F9">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1.响应函（格式后附）；（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3598EB9B">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2.磋商报价表（格式后附）；（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07AFC910">
            <w:pPr>
              <w:spacing w:line="43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3.中小企业声明函或者残疾人福利性单位声明函或者供应商属于监狱企业的提供由省级以上监狱管理局、戒毒管理局（含新疆生产建设兵团）出具的属于监狱企业的证明文件；</w:t>
            </w:r>
          </w:p>
          <w:p w14:paraId="1A0482B6">
            <w:pPr>
              <w:spacing w:line="430" w:lineRule="exact"/>
              <w:rPr>
                <w:color w:val="auto"/>
                <w:highlight w:val="none"/>
              </w:rPr>
            </w:pPr>
            <w:r>
              <w:rPr>
                <w:rFonts w:hint="eastAsia" w:cs="宋体" w:asciiTheme="minorEastAsia" w:hAnsiTheme="minorEastAsia" w:eastAsiaTheme="minorEastAsia"/>
                <w:color w:val="auto"/>
                <w:szCs w:val="21"/>
                <w:highlight w:val="none"/>
                <w:lang w:val="en-US" w:eastAsia="zh-CN"/>
              </w:rPr>
              <w:t>4.分包意向协议或联合体竞标协议书</w:t>
            </w:r>
            <w:r>
              <w:rPr>
                <w:rFonts w:hint="eastAsia" w:cs="宋体" w:asciiTheme="minorEastAsia" w:hAnsiTheme="minorEastAsia" w:eastAsiaTheme="minorEastAsia"/>
                <w:color w:val="auto"/>
                <w:szCs w:val="21"/>
                <w:highlight w:val="none"/>
              </w:rPr>
              <w:t>（格式后附）</w:t>
            </w:r>
            <w:r>
              <w:rPr>
                <w:rFonts w:hint="eastAsia" w:cs="宋体" w:asciiTheme="minorEastAsia" w:hAnsiTheme="minorEastAsia" w:eastAsiaTheme="minorEastAsia"/>
                <w:color w:val="auto"/>
                <w:szCs w:val="21"/>
                <w:highlight w:val="none"/>
                <w:lang w:val="en-US" w:eastAsia="zh-CN"/>
              </w:rPr>
              <w:t>；</w:t>
            </w:r>
          </w:p>
          <w:p w14:paraId="6496DA93">
            <w:pPr>
              <w:spacing w:line="430" w:lineRule="exact"/>
              <w:rPr>
                <w:color w:val="auto"/>
                <w:highlight w:val="none"/>
              </w:rPr>
            </w:pP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供应商认为需要提供的其他有关资料。</w:t>
            </w:r>
          </w:p>
          <w:p w14:paraId="691E80F8">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780E2A74">
            <w:pPr>
              <w:snapToGrid w:val="0"/>
              <w:spacing w:line="430" w:lineRule="exact"/>
              <w:ind w:firstLine="413" w:firstLineChars="196"/>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tc>
      </w:tr>
      <w:tr w14:paraId="4D807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73F41E6">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.3</w:t>
            </w:r>
          </w:p>
        </w:tc>
        <w:tc>
          <w:tcPr>
            <w:tcW w:w="8359" w:type="dxa"/>
            <w:vAlign w:val="center"/>
          </w:tcPr>
          <w:p w14:paraId="65465F12">
            <w:pPr>
              <w:spacing w:line="430" w:lineRule="exac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商务技术文件</w:t>
            </w:r>
          </w:p>
          <w:p w14:paraId="7B5BA890">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1.无串通竞标行为的承诺函（格式后附）；（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22AA5B21">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.法定代表人身份证明书及法定代表人有效身份证正反面复印件（格式后附）；（</w:t>
            </w:r>
            <w:r>
              <w:rPr>
                <w:rFonts w:hint="eastAsia" w:cs="宋体" w:asciiTheme="minorEastAsia" w:hAnsiTheme="minorEastAsia" w:eastAsiaTheme="minorEastAsia"/>
                <w:b/>
                <w:bCs/>
                <w:color w:val="auto"/>
                <w:szCs w:val="21"/>
                <w:highlight w:val="none"/>
              </w:rPr>
              <w:t>除自然人竞标外</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7BF87BF">
            <w:pPr>
              <w:spacing w:line="430" w:lineRule="exact"/>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.授权委托书及委托代理人有效身份证正反面复印件（格式后附）；（</w:t>
            </w:r>
            <w:r>
              <w:rPr>
                <w:rFonts w:hint="eastAsia" w:cs="宋体" w:asciiTheme="minorEastAsia" w:hAnsiTheme="minorEastAsia" w:eastAsiaTheme="minorEastAsia"/>
                <w:b/>
                <w:color w:val="auto"/>
                <w:szCs w:val="21"/>
                <w:highlight w:val="none"/>
              </w:rPr>
              <w:t>委托时必须提供，否则响应文件按无效响应处理</w:t>
            </w:r>
            <w:r>
              <w:rPr>
                <w:rFonts w:hint="eastAsia" w:cs="宋体" w:asciiTheme="minorEastAsia" w:hAnsiTheme="minorEastAsia" w:eastAsiaTheme="minorEastAsia"/>
                <w:color w:val="auto"/>
                <w:szCs w:val="21"/>
                <w:highlight w:val="none"/>
              </w:rPr>
              <w:t>）</w:t>
            </w:r>
          </w:p>
          <w:p w14:paraId="53C11775">
            <w:pPr>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.磋商保证金提交凭证；（</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F39AFE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.商务要求偏离表（格式后附）；（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823145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.技术要求偏离表（格式后附）；（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4F69EA7C">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项目</w:t>
            </w:r>
            <w:r>
              <w:rPr>
                <w:rFonts w:hint="eastAsia" w:cs="宋体" w:asciiTheme="minorEastAsia" w:hAnsiTheme="minorEastAsia" w:eastAsiaTheme="minorEastAsia"/>
                <w:color w:val="auto"/>
                <w:szCs w:val="21"/>
                <w:highlight w:val="none"/>
              </w:rPr>
              <w:t>实施方案（格式自拟）；</w:t>
            </w:r>
          </w:p>
          <w:p w14:paraId="7EA076B1">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.项目实施人员一览表（格式自拟）；</w:t>
            </w:r>
          </w:p>
          <w:p w14:paraId="1863DCF6">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.对应采购需求的技术要求、商务要求提供的其他文件资料（格式自拟）；</w:t>
            </w:r>
          </w:p>
          <w:p w14:paraId="0D517361">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.供应商认为需要提供的其他有关资料。</w:t>
            </w:r>
          </w:p>
          <w:p w14:paraId="6147F528">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注：以上标明“必须提供”的材料属于复印件的，必须加盖供应商</w:t>
            </w:r>
            <w:r>
              <w:rPr>
                <w:rFonts w:hint="eastAsia" w:asciiTheme="minorEastAsia" w:hAnsiTheme="minorEastAsia" w:eastAsiaTheme="minorEastAsia"/>
                <w:b/>
                <w:bCs/>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，否则响应文件按无效响应处理。</w:t>
            </w:r>
          </w:p>
        </w:tc>
      </w:tr>
      <w:tr w14:paraId="26BDB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7360153">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15.2</w:t>
            </w:r>
          </w:p>
        </w:tc>
        <w:tc>
          <w:tcPr>
            <w:tcW w:w="8359" w:type="dxa"/>
            <w:vAlign w:val="center"/>
          </w:tcPr>
          <w:p w14:paraId="50296ABE">
            <w:pPr>
              <w:spacing w:line="430" w:lineRule="exact"/>
              <w:contextualSpacing/>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磋商报价是供应商完成本项目的全部服务内容及其相关工作所需的全部费用：</w:t>
            </w:r>
            <w:r>
              <w:rPr>
                <w:rFonts w:hint="eastAsia" w:cs="宋体"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包括服务价款，备件、技术培训及技术资料和税费等全部费用。</w:t>
            </w:r>
          </w:p>
        </w:tc>
      </w:tr>
      <w:tr w14:paraId="220CB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7AD1407">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r>
              <w:rPr>
                <w:rFonts w:cs="宋体" w:asciiTheme="minorEastAsia" w:hAnsiTheme="minorEastAsia" w:eastAsiaTheme="minorEastAsia"/>
                <w:color w:val="auto"/>
                <w:szCs w:val="21"/>
                <w:highlight w:val="none"/>
              </w:rPr>
              <w:t>2</w:t>
            </w:r>
          </w:p>
        </w:tc>
        <w:tc>
          <w:tcPr>
            <w:tcW w:w="8359" w:type="dxa"/>
            <w:vAlign w:val="center"/>
          </w:tcPr>
          <w:p w14:paraId="3FF5E296">
            <w:pPr>
              <w:pStyle w:val="15"/>
              <w:widowControl w:val="0"/>
              <w:tabs>
                <w:tab w:val="clear" w:pos="454"/>
              </w:tabs>
              <w:snapToGrid w:val="0"/>
              <w:spacing w:afterLines="0" w:line="430" w:lineRule="exact"/>
              <w:ind w:left="283" w:hanging="283" w:hangingChars="135"/>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竞标有效期：自首次响应文件提交截止之日起</w:t>
            </w:r>
            <w:r>
              <w:rPr>
                <w:rFonts w:cs="宋体" w:asciiTheme="minorEastAsia" w:hAnsiTheme="minorEastAsia" w:eastAsiaTheme="minorEastAsia"/>
                <w:color w:val="auto"/>
                <w:kern w:val="2"/>
                <w:sz w:val="21"/>
                <w:szCs w:val="21"/>
                <w:highlight w:val="none"/>
                <w:u w:val="single"/>
              </w:rPr>
              <w:t>60</w:t>
            </w:r>
            <w:r>
              <w:rPr>
                <w:rFonts w:hint="eastAsia" w:cs="宋体" w:asciiTheme="minorEastAsia" w:hAnsiTheme="minorEastAsia" w:eastAsiaTheme="minorEastAsia"/>
                <w:color w:val="auto"/>
                <w:kern w:val="2"/>
                <w:sz w:val="21"/>
                <w:szCs w:val="21"/>
                <w:highlight w:val="none"/>
              </w:rPr>
              <w:t>日。</w:t>
            </w:r>
          </w:p>
        </w:tc>
      </w:tr>
      <w:tr w14:paraId="68D3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9D45C03">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17.1</w:t>
            </w:r>
          </w:p>
        </w:tc>
        <w:tc>
          <w:tcPr>
            <w:tcW w:w="8359" w:type="dxa"/>
            <w:vAlign w:val="center"/>
          </w:tcPr>
          <w:p w14:paraId="1B71F634">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本项目不收取磋商保证金。</w:t>
            </w:r>
          </w:p>
          <w:p w14:paraId="089E8FA5">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Segoe UI Symbol" w:hAnsi="Segoe UI Symbol" w:cs="Segoe UI Symbol" w:eastAsiaTheme="minorEastAsia"/>
                <w:color w:val="auto"/>
                <w:szCs w:val="21"/>
                <w:highlight w:val="none"/>
                <w:lang w:eastAsia="zh-CN"/>
              </w:rPr>
              <w:t>☑</w:t>
            </w:r>
            <w:r>
              <w:rPr>
                <w:rFonts w:hint="eastAsia" w:asciiTheme="minorEastAsia" w:hAnsiTheme="minorEastAsia" w:eastAsiaTheme="minorEastAsia"/>
                <w:color w:val="auto"/>
                <w:szCs w:val="21"/>
                <w:highlight w:val="none"/>
              </w:rPr>
              <w:t>本项目收取磋商保证金，具体规定如下：</w:t>
            </w:r>
          </w:p>
          <w:p w14:paraId="1D8DDB33">
            <w:pPr>
              <w:autoSpaceDE w:val="0"/>
              <w:autoSpaceDN w:val="0"/>
              <w:snapToGrid w:val="0"/>
              <w:spacing w:line="430" w:lineRule="exact"/>
              <w:textAlignment w:val="bottom"/>
              <w:rPr>
                <w:rFonts w:hint="eastAsia"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kern w:val="0"/>
                <w:szCs w:val="21"/>
                <w:highlight w:val="none"/>
              </w:rPr>
              <w:t>磋商保证金</w:t>
            </w:r>
            <w:r>
              <w:rPr>
                <w:rFonts w:hint="eastAsia" w:cs="宋体" w:asciiTheme="minorEastAsia" w:hAnsiTheme="minorEastAsia" w:eastAsiaTheme="minorEastAsia"/>
                <w:color w:val="auto"/>
                <w:kern w:val="0"/>
                <w:szCs w:val="21"/>
                <w:highlight w:val="none"/>
                <w:lang w:eastAsia="zh-CN"/>
              </w:rPr>
              <w:t>：</w:t>
            </w:r>
            <w:r>
              <w:rPr>
                <w:rFonts w:hint="eastAsia" w:ascii="宋体" w:hAnsi="宋体" w:cs="宋体"/>
                <w:color w:val="auto"/>
                <w:kern w:val="0"/>
                <w:szCs w:val="21"/>
                <w:highlight w:val="none"/>
              </w:rPr>
              <w:t>分标1：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000.00元；分标2：</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00.00元。</w:t>
            </w:r>
          </w:p>
          <w:p w14:paraId="5566955B">
            <w:pPr>
              <w:snapToGrid w:val="0"/>
              <w:spacing w:line="43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磋商保证金的交纳方式：银行转账、支票、汇票、本票或者银行、保险机构出具的保函，禁止采用现钞方式。采用银行转账方式的，在响应文件提交截止时间前交至指定账户并且到账【</w:t>
            </w:r>
            <w:r>
              <w:rPr>
                <w:rFonts w:hint="eastAsia" w:ascii="宋体" w:hAnsi="宋体"/>
                <w:color w:val="auto"/>
                <w:szCs w:val="21"/>
                <w:highlight w:val="none"/>
              </w:rPr>
              <w:t>开户银行：中国建设银行股份有限公司南宁市民族大道东分理处，开户名称：广西城建咨询设计有限公司，银行账号：4500 1604 6530 5070 3663</w:t>
            </w:r>
            <w:r>
              <w:rPr>
                <w:rFonts w:hint="eastAsia" w:cs="宋体" w:asciiTheme="minorEastAsia" w:hAnsiTheme="minorEastAsia" w:eastAsiaTheme="minorEastAsia"/>
                <w:color w:val="auto"/>
                <w:kern w:val="0"/>
                <w:szCs w:val="21"/>
                <w:highlight w:val="none"/>
              </w:rPr>
              <w:t>】；采用支票、汇票、本票或者保函等方式的，在响应文件提交截止时间前，供应商必须提交单独密封的支票、汇票、本票或者保函原件。否则视为无效磋商保证金。</w:t>
            </w:r>
          </w:p>
          <w:p w14:paraId="7741FC02">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相关要求：</w:t>
            </w:r>
          </w:p>
          <w:p w14:paraId="23584D5A">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color w:val="auto"/>
                <w:szCs w:val="21"/>
                <w:highlight w:val="none"/>
              </w:rPr>
              <w:t>。</w:t>
            </w:r>
          </w:p>
          <w:p w14:paraId="79C60AFC">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cs="宋体" w:asciiTheme="minorEastAsia" w:hAnsiTheme="minorEastAsia" w:eastAsiaTheme="minorEastAsia"/>
                <w:color w:val="auto"/>
                <w:szCs w:val="21"/>
                <w:highlight w:val="none"/>
              </w:rPr>
              <w:t>商务技术文件</w:t>
            </w:r>
            <w:r>
              <w:rPr>
                <w:rFonts w:hint="eastAsia" w:asciiTheme="minorEastAsia" w:hAnsiTheme="minorEastAsia" w:eastAsiaTheme="minorEastAsia"/>
                <w:color w:val="auto"/>
                <w:szCs w:val="21"/>
                <w:highlight w:val="none"/>
              </w:rPr>
              <w:t>中，</w:t>
            </w:r>
            <w:r>
              <w:rPr>
                <w:rFonts w:hint="eastAsia" w:cs="宋体" w:asciiTheme="minorEastAsia" w:hAnsiTheme="minorEastAsia" w:eastAsiaTheme="minorEastAsia"/>
                <w:b/>
                <w:color w:val="auto"/>
                <w:szCs w:val="21"/>
                <w:highlight w:val="none"/>
              </w:rPr>
              <w:t>否则响应文件按无效处理</w:t>
            </w:r>
            <w:r>
              <w:rPr>
                <w:rFonts w:hint="eastAsia" w:asciiTheme="minorEastAsia" w:hAnsiTheme="minorEastAsia" w:eastAsiaTheme="minorEastAsia"/>
                <w:color w:val="auto"/>
                <w:szCs w:val="21"/>
                <w:highlight w:val="none"/>
              </w:rPr>
              <w:t>。供应商必须在响应文件提交截止时间前采用现场或邮寄方式（现场提交地址：</w:t>
            </w:r>
            <w:r>
              <w:rPr>
                <w:rFonts w:hint="eastAsia" w:ascii="宋体" w:hAnsi="宋体" w:cs="宋体"/>
                <w:color w:val="auto"/>
                <w:kern w:val="0"/>
                <w:szCs w:val="21"/>
                <w:highlight w:val="none"/>
              </w:rPr>
              <w:t>南宁市青秀区金湖路58号广西建设大厦三楼</w:t>
            </w:r>
            <w:r>
              <w:rPr>
                <w:rFonts w:hint="eastAsia" w:asciiTheme="minorEastAsia" w:hAnsiTheme="minorEastAsia" w:eastAsiaTheme="minorEastAsia"/>
                <w:color w:val="auto"/>
                <w:szCs w:val="21"/>
                <w:highlight w:val="none"/>
              </w:rPr>
              <w:t>；邮寄地址：</w:t>
            </w:r>
            <w:r>
              <w:rPr>
                <w:rFonts w:hint="eastAsia" w:ascii="宋体" w:hAnsi="宋体" w:cs="宋体"/>
                <w:color w:val="auto"/>
                <w:kern w:val="0"/>
                <w:szCs w:val="21"/>
                <w:highlight w:val="none"/>
              </w:rPr>
              <w:t>南宁市青秀区金湖路58号广西建设大厦三楼</w:t>
            </w:r>
            <w:r>
              <w:rPr>
                <w:rFonts w:hint="eastAsia" w:asciiTheme="minorEastAsia" w:hAnsiTheme="minorEastAsia" w:eastAsiaTheme="minorEastAsia"/>
                <w:color w:val="auto"/>
                <w:szCs w:val="21"/>
                <w:highlight w:val="none"/>
              </w:rPr>
              <w:t>，收件人：</w:t>
            </w:r>
            <w:r>
              <w:rPr>
                <w:rFonts w:hint="eastAsia" w:ascii="宋体" w:hAnsi="宋体" w:cs="宋体"/>
                <w:color w:val="auto"/>
                <w:kern w:val="0"/>
                <w:szCs w:val="21"/>
                <w:highlight w:val="none"/>
              </w:rPr>
              <w:t>廖启迪</w:t>
            </w:r>
            <w:r>
              <w:rPr>
                <w:rFonts w:hint="eastAsia" w:asciiTheme="minorEastAsia" w:hAnsiTheme="minorEastAsia" w:eastAsiaTheme="minorEastAsia"/>
                <w:color w:val="auto"/>
                <w:szCs w:val="21"/>
                <w:highlight w:val="none"/>
              </w:rPr>
              <w:t>，联系方式：</w:t>
            </w:r>
            <w:r>
              <w:rPr>
                <w:rFonts w:hint="eastAsia" w:ascii="宋体" w:hAnsi="宋体" w:cs="宋体"/>
                <w:color w:val="auto"/>
                <w:kern w:val="0"/>
                <w:szCs w:val="21"/>
                <w:highlight w:val="none"/>
                <w:lang w:eastAsia="zh-CN"/>
              </w:rPr>
              <w:t>0771-4352069</w:t>
            </w:r>
            <w:r>
              <w:rPr>
                <w:rFonts w:hint="eastAsia" w:asciiTheme="minorEastAsia" w:hAnsiTheme="minorEastAsia" w:eastAsiaTheme="minorEastAsia"/>
                <w:color w:val="auto"/>
                <w:szCs w:val="21"/>
                <w:highlight w:val="none"/>
              </w:rPr>
              <w:t>）将</w:t>
            </w:r>
            <w:r>
              <w:rPr>
                <w:rFonts w:hint="eastAsia" w:cs="宋体" w:asciiTheme="minorEastAsia" w:hAnsiTheme="minorEastAsia" w:eastAsiaTheme="minorEastAsia"/>
                <w:color w:val="auto"/>
                <w:kern w:val="0"/>
                <w:szCs w:val="21"/>
                <w:highlight w:val="none"/>
              </w:rPr>
              <w:t>单独密封的</w:t>
            </w:r>
            <w:r>
              <w:rPr>
                <w:rFonts w:hint="eastAsia" w:asciiTheme="minorEastAsia" w:hAnsiTheme="minorEastAsia" w:eastAsiaTheme="minorEastAsia"/>
                <w:color w:val="auto"/>
                <w:szCs w:val="21"/>
                <w:highlight w:val="none"/>
              </w:rPr>
              <w:t>支票、汇票、本票或者银行、保险机构出具的保函原件提交给采购人或者采购代理机构，由采购人或者采购代理机构向供应商出具回执（邮寄方式的除外），并妥善保管。</w:t>
            </w:r>
          </w:p>
          <w:p w14:paraId="0DD25B23">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3.供应商为联合体的，可以由联合体中的一方或者多方共同交纳磋商保证金，其交纳的保证金对联合体各方均具有约束力。</w:t>
            </w:r>
          </w:p>
          <w:p w14:paraId="0BCC096A">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备注：</w:t>
            </w:r>
          </w:p>
          <w:p w14:paraId="656B4D77">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1.磋商保证金在响应文件提交截止时间后提交的，或者不按规定交纳方式交纳的，或者未足额交纳的（包含保函额度不足的），视为无效磋商保证金。</w:t>
            </w:r>
          </w:p>
          <w:p w14:paraId="15042C42">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2.供应商采用现钞方式或者从个人账户（自然人竞标除外）转出的磋商保证金，视为无效磋商保证金。</w:t>
            </w:r>
          </w:p>
          <w:p w14:paraId="3949660F">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3.支票、汇票或者本票出现无效或者背书情形的，视为无效磋商保证金。</w:t>
            </w:r>
          </w:p>
          <w:p w14:paraId="31890C57">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4.保函有效期低于竞标有效期的，视为无效磋商保证金。</w:t>
            </w:r>
          </w:p>
          <w:p w14:paraId="30E313C4">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5.采用银行、保险机构出具保函的，必须为无条件保函，否则视为无效磋商保证金。</w:t>
            </w:r>
          </w:p>
        </w:tc>
      </w:tr>
      <w:tr w14:paraId="13417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1A98A8F">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19</w:t>
            </w:r>
          </w:p>
        </w:tc>
        <w:tc>
          <w:tcPr>
            <w:tcW w:w="8359" w:type="dxa"/>
            <w:vAlign w:val="center"/>
          </w:tcPr>
          <w:p w14:paraId="32AF2D85">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本项目不接受电子备份响应文件</w:t>
            </w:r>
          </w:p>
        </w:tc>
      </w:tr>
      <w:tr w14:paraId="44E8A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6CDF01C">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20.1</w:t>
            </w:r>
          </w:p>
        </w:tc>
        <w:tc>
          <w:tcPr>
            <w:tcW w:w="8359" w:type="dxa"/>
            <w:vAlign w:val="center"/>
          </w:tcPr>
          <w:p w14:paraId="060F15AC">
            <w:pPr>
              <w:spacing w:line="430" w:lineRule="exact"/>
              <w:contextualSpacing/>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响应文件提交截止时间：详见竞争性磋商公告。</w:t>
            </w:r>
          </w:p>
          <w:p w14:paraId="0DF330B1">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响应文件提交地点：详见竞争性磋商公告。</w:t>
            </w:r>
          </w:p>
        </w:tc>
      </w:tr>
      <w:tr w14:paraId="4F1D8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4990A53">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w:t>
            </w:r>
          </w:p>
        </w:tc>
        <w:tc>
          <w:tcPr>
            <w:tcW w:w="8359" w:type="dxa"/>
            <w:vAlign w:val="center"/>
          </w:tcPr>
          <w:p w14:paraId="2E2190BC">
            <w:pPr>
              <w:snapToGrid w:val="0"/>
              <w:spacing w:line="43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磋商小组的人数：</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rPr>
              <w:t>人或以上单数。</w:t>
            </w:r>
          </w:p>
        </w:tc>
      </w:tr>
      <w:tr w14:paraId="218D7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6CA849B">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5</w:t>
            </w:r>
          </w:p>
        </w:tc>
        <w:tc>
          <w:tcPr>
            <w:tcW w:w="8359" w:type="dxa"/>
            <w:vAlign w:val="center"/>
          </w:tcPr>
          <w:p w14:paraId="34E0331D">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首次响应文件开启时间详见“竞争性磋商公告”</w:t>
            </w:r>
          </w:p>
          <w:p w14:paraId="4EE554A5">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首次响应文件解密时间：</w:t>
            </w:r>
            <w:r>
              <w:rPr>
                <w:rFonts w:asciiTheme="minorEastAsia" w:hAnsiTheme="minorEastAsia" w:eastAsiaTheme="minorEastAsia"/>
                <w:color w:val="auto"/>
                <w:szCs w:val="21"/>
                <w:highlight w:val="none"/>
                <w:u w:val="single"/>
              </w:rPr>
              <w:t xml:space="preserve">30 </w:t>
            </w:r>
            <w:r>
              <w:rPr>
                <w:rFonts w:hint="eastAsia" w:asciiTheme="minorEastAsia" w:hAnsiTheme="minorEastAsia" w:eastAsiaTheme="minorEastAsia"/>
                <w:color w:val="auto"/>
                <w:szCs w:val="21"/>
                <w:highlight w:val="none"/>
              </w:rPr>
              <w:t>分钟</w:t>
            </w:r>
          </w:p>
        </w:tc>
      </w:tr>
      <w:tr w14:paraId="1E559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139" w:type="dxa"/>
            <w:vAlign w:val="center"/>
          </w:tcPr>
          <w:p w14:paraId="4BE99FD6">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6.3</w:t>
            </w:r>
          </w:p>
        </w:tc>
        <w:tc>
          <w:tcPr>
            <w:tcW w:w="8359" w:type="dxa"/>
            <w:vAlign w:val="center"/>
          </w:tcPr>
          <w:p w14:paraId="36E0CFFF">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商务要求评审中允许负偏离的条款数为</w:t>
            </w:r>
            <w:r>
              <w:rPr>
                <w:rFonts w:cs="宋体" w:asciiTheme="minorEastAsia" w:hAnsiTheme="minorEastAsia" w:eastAsiaTheme="minorEastAsia"/>
                <w:color w:val="auto"/>
                <w:szCs w:val="21"/>
                <w:highlight w:val="none"/>
                <w:u w:val="single"/>
              </w:rPr>
              <w:t>0</w:t>
            </w:r>
            <w:r>
              <w:rPr>
                <w:rFonts w:hint="eastAsia" w:cs="宋体" w:asciiTheme="minorEastAsia" w:hAnsiTheme="minorEastAsia" w:eastAsiaTheme="minorEastAsia"/>
                <w:color w:val="auto"/>
                <w:szCs w:val="21"/>
                <w:highlight w:val="none"/>
              </w:rPr>
              <w:t>项。</w:t>
            </w:r>
          </w:p>
          <w:p w14:paraId="34DE2373">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技术要求评审中允许负偏离的条款数为</w:t>
            </w:r>
            <w:r>
              <w:rPr>
                <w:rFonts w:cs="宋体" w:asciiTheme="minorEastAsia" w:hAnsiTheme="minorEastAsia" w:eastAsiaTheme="minorEastAsia"/>
                <w:color w:val="auto"/>
                <w:szCs w:val="21"/>
                <w:highlight w:val="none"/>
                <w:u w:val="single"/>
              </w:rPr>
              <w:t>0</w:t>
            </w:r>
            <w:r>
              <w:rPr>
                <w:rFonts w:hint="eastAsia" w:cs="宋体" w:asciiTheme="minorEastAsia" w:hAnsiTheme="minorEastAsia" w:eastAsiaTheme="minorEastAsia"/>
                <w:color w:val="auto"/>
                <w:szCs w:val="21"/>
                <w:highlight w:val="none"/>
              </w:rPr>
              <w:t>项。</w:t>
            </w:r>
          </w:p>
        </w:tc>
      </w:tr>
      <w:tr w14:paraId="4CF9E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ECE84F3">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28.1</w:t>
            </w:r>
          </w:p>
        </w:tc>
        <w:tc>
          <w:tcPr>
            <w:tcW w:w="8359" w:type="dxa"/>
            <w:vAlign w:val="center"/>
          </w:tcPr>
          <w:p w14:paraId="0FFD7C99">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Segoe UI Symbol"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本项目不收取履约保证金。</w:t>
            </w:r>
          </w:p>
          <w:p w14:paraId="25ADD45E">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Segoe UI Symbol" w:hAnsi="Segoe UI Symbol" w:cs="Segoe UI Symbol" w:eastAsiaTheme="minorEastAsia"/>
                <w:color w:val="auto"/>
                <w:szCs w:val="21"/>
                <w:highlight w:val="none"/>
              </w:rPr>
              <w:t>□</w:t>
            </w:r>
            <w:r>
              <w:rPr>
                <w:rFonts w:hint="eastAsia" w:asciiTheme="minorEastAsia" w:hAnsiTheme="minorEastAsia" w:eastAsiaTheme="minorEastAsia"/>
                <w:color w:val="auto"/>
                <w:szCs w:val="21"/>
                <w:highlight w:val="none"/>
              </w:rPr>
              <w:t>本项目收取履约保证金，具体规定如下：</w:t>
            </w:r>
          </w:p>
          <w:p w14:paraId="58B9E64E">
            <w:pPr>
              <w:autoSpaceDE w:val="0"/>
              <w:autoSpaceDN w:val="0"/>
              <w:snapToGrid w:val="0"/>
              <w:spacing w:line="430" w:lineRule="exact"/>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履约保证金金额：合同金额的</w:t>
            </w:r>
            <w:r>
              <w:rPr>
                <w:rFonts w:hint="eastAsia" w:cs="宋体" w:asciiTheme="minorEastAsia" w:hAnsiTheme="minorEastAsia" w:eastAsiaTheme="minorEastAsia"/>
                <w:color w:val="auto"/>
                <w:szCs w:val="21"/>
                <w:highlight w:val="none"/>
                <w:u w:val="single"/>
              </w:rPr>
              <w:t xml:space="preserve"> / </w:t>
            </w:r>
            <w:r>
              <w:rPr>
                <w:rFonts w:hint="eastAsia" w:cs="宋体" w:asciiTheme="minorEastAsia" w:hAnsiTheme="minorEastAsia" w:eastAsiaTheme="minorEastAsia"/>
                <w:color w:val="auto"/>
                <w:szCs w:val="21"/>
                <w:highlight w:val="none"/>
              </w:rPr>
              <w:t>%</w:t>
            </w:r>
          </w:p>
          <w:p w14:paraId="1E8D4AB8">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签订合同前交至采购人指定账户，否则不予签订合同</w:t>
            </w:r>
          </w:p>
          <w:p w14:paraId="43AA4847">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履约保证金递交方式：银行转账、电汇或网上支付、支票、汇票、本票或者银行、保险机构出具的保函等非现金方式</w:t>
            </w:r>
          </w:p>
          <w:p w14:paraId="357C1120">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履约保证金退付方式、时间及条件：试运行期满验收合格后无息退付。</w:t>
            </w:r>
          </w:p>
          <w:p w14:paraId="4A9CF4F9">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由成交供应商向履约保证金收取单位提供《广西壮族自治区政府采购项目合同验收书》（详见桂财采〔2015〕22号），保证金收取单位在收到合格材料后5个工作日内办理退还手续（不计利息）。</w:t>
            </w:r>
          </w:p>
          <w:p w14:paraId="7C67620C">
            <w:pPr>
              <w:autoSpaceDE w:val="0"/>
              <w:autoSpaceDN w:val="0"/>
              <w:snapToGrid w:val="0"/>
              <w:spacing w:line="430" w:lineRule="exact"/>
              <w:textAlignment w:val="bottom"/>
              <w:rPr>
                <w:rFonts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履约保证金收取单位指定账户：由采购人提供</w:t>
            </w:r>
          </w:p>
          <w:p w14:paraId="43DBFF7C">
            <w:pPr>
              <w:autoSpaceDE w:val="0"/>
              <w:autoSpaceDN w:val="0"/>
              <w:snapToGrid w:val="0"/>
              <w:spacing w:line="430" w:lineRule="exact"/>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w:t>
            </w:r>
          </w:p>
          <w:p w14:paraId="6932E48B">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w:t>
            </w:r>
            <w:bookmarkStart w:id="50" w:name="_Hlk54170335"/>
            <w:r>
              <w:rPr>
                <w:rFonts w:hint="eastAsia" w:asciiTheme="minorEastAsia" w:hAnsiTheme="minorEastAsia" w:eastAsiaTheme="minorEastAsia"/>
                <w:b/>
                <w:color w:val="auto"/>
                <w:szCs w:val="21"/>
                <w:highlight w:val="none"/>
              </w:rPr>
              <w:t>根据桂财规〔2022〕8号广西壮族自治区财政厅关于规范政府采购货物和服务项目保证金管理的通知的规定，</w:t>
            </w:r>
            <w:bookmarkEnd w:id="50"/>
            <w:r>
              <w:rPr>
                <w:rFonts w:hint="eastAsia" w:asciiTheme="minorEastAsia" w:hAnsiTheme="minorEastAsia" w:eastAsiaTheme="minorEastAsia"/>
                <w:b/>
                <w:color w:val="auto"/>
                <w:szCs w:val="21"/>
                <w:highlight w:val="none"/>
              </w:rPr>
              <w:t>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57A860A0">
            <w:pPr>
              <w:autoSpaceDE w:val="0"/>
              <w:autoSpaceDN w:val="0"/>
              <w:snapToGrid w:val="0"/>
              <w:spacing w:line="430" w:lineRule="exact"/>
              <w:textAlignment w:val="bottom"/>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61382478">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3.采用银行、保险机构出具的保函的，必须为无条件保函，否则不予签订合同。</w:t>
            </w:r>
          </w:p>
          <w:p w14:paraId="33B56944">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4.供应商为联合体的，由联合体任意一方按规定提交的履约保证金，视为有效履约保证金。</w:t>
            </w:r>
          </w:p>
        </w:tc>
      </w:tr>
      <w:tr w14:paraId="40E36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BF170BE">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29.1</w:t>
            </w:r>
          </w:p>
        </w:tc>
        <w:tc>
          <w:tcPr>
            <w:tcW w:w="8359" w:type="dxa"/>
            <w:vAlign w:val="center"/>
          </w:tcPr>
          <w:p w14:paraId="759BE8B8">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签订合同携带的证明材料：</w:t>
            </w:r>
          </w:p>
          <w:p w14:paraId="6C6A3513">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委托代理人负责签订合同的，须携带授权委托书及委托代理人身份证原件等其他资格证件。</w:t>
            </w:r>
          </w:p>
          <w:p w14:paraId="0E4CC35C">
            <w:pPr>
              <w:snapToGrid w:val="0"/>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法定代表人负责签订合同的，须携带法定代表人</w:t>
            </w:r>
            <w:r>
              <w:rPr>
                <w:rFonts w:asciiTheme="minorEastAsia" w:hAnsiTheme="minorEastAsia" w:eastAsiaTheme="minorEastAsia"/>
                <w:color w:val="auto"/>
                <w:szCs w:val="21"/>
                <w:highlight w:val="none"/>
              </w:rPr>
              <w:t>身份证明原件</w:t>
            </w:r>
            <w:r>
              <w:rPr>
                <w:rFonts w:hint="eastAsia" w:asciiTheme="minorEastAsia" w:hAnsiTheme="minorEastAsia" w:eastAsiaTheme="minorEastAsia"/>
                <w:color w:val="auto"/>
                <w:szCs w:val="21"/>
                <w:highlight w:val="none"/>
              </w:rPr>
              <w:t>及</w:t>
            </w:r>
            <w:r>
              <w:rPr>
                <w:rFonts w:asciiTheme="minorEastAsia" w:hAnsiTheme="minorEastAsia" w:eastAsiaTheme="minorEastAsia"/>
                <w:color w:val="auto"/>
                <w:szCs w:val="21"/>
                <w:highlight w:val="none"/>
              </w:rPr>
              <w:t>身份证原件</w:t>
            </w:r>
            <w:r>
              <w:rPr>
                <w:rFonts w:hint="eastAsia" w:asciiTheme="minorEastAsia" w:hAnsiTheme="minorEastAsia" w:eastAsiaTheme="minorEastAsia"/>
                <w:color w:val="auto"/>
                <w:szCs w:val="21"/>
                <w:highlight w:val="none"/>
              </w:rPr>
              <w:t>等其他证明材料。</w:t>
            </w:r>
          </w:p>
        </w:tc>
      </w:tr>
      <w:tr w14:paraId="4C618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A4920EF">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1.2</w:t>
            </w:r>
          </w:p>
        </w:tc>
        <w:tc>
          <w:tcPr>
            <w:tcW w:w="8359" w:type="dxa"/>
            <w:vAlign w:val="center"/>
          </w:tcPr>
          <w:p w14:paraId="4C6BF7C3">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接收质疑函方式：以书面形式。</w:t>
            </w:r>
          </w:p>
          <w:p w14:paraId="281E37FB">
            <w:pPr>
              <w:snapToGrid w:val="0"/>
              <w:spacing w:line="430" w:lineRule="exac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质疑联系部门及联系方式：</w:t>
            </w:r>
            <w:r>
              <w:rPr>
                <w:rFonts w:hint="eastAsia" w:cs="宋体" w:asciiTheme="minorEastAsia" w:hAnsiTheme="minorEastAsia" w:eastAsiaTheme="minorEastAsia"/>
                <w:color w:val="auto"/>
                <w:szCs w:val="21"/>
                <w:highlight w:val="none"/>
                <w:u w:val="single"/>
              </w:rPr>
              <w:t>广西城建咨询设计有限公司</w:t>
            </w:r>
          </w:p>
          <w:p w14:paraId="34FD5219">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u w:val="single"/>
              </w:rPr>
              <w:t>详见采购公告</w:t>
            </w:r>
          </w:p>
          <w:p w14:paraId="69A91738">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通讯地址：</w:t>
            </w:r>
            <w:r>
              <w:rPr>
                <w:rFonts w:hint="eastAsia" w:asciiTheme="minorEastAsia" w:hAnsiTheme="minorEastAsia" w:eastAsiaTheme="minorEastAsia"/>
                <w:color w:val="auto"/>
                <w:szCs w:val="21"/>
                <w:highlight w:val="none"/>
                <w:u w:val="single"/>
              </w:rPr>
              <w:t>详见采购公告</w:t>
            </w:r>
          </w:p>
          <w:p w14:paraId="222EC081">
            <w:pPr>
              <w:snapToGrid w:val="0"/>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业务时间：工作日每天上午</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时3</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分到</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分，下午</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分到</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双休日和法定节假日不办理业务。</w:t>
            </w:r>
          </w:p>
        </w:tc>
      </w:tr>
      <w:tr w14:paraId="36B91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5B90932">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32.1</w:t>
            </w:r>
          </w:p>
        </w:tc>
        <w:tc>
          <w:tcPr>
            <w:tcW w:w="8359" w:type="dxa"/>
            <w:vAlign w:val="center"/>
          </w:tcPr>
          <w:p w14:paraId="7CF74D42">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7936EAC6">
            <w:pPr>
              <w:pStyle w:val="22"/>
              <w:snapToGrid w:val="0"/>
              <w:spacing w:line="430" w:lineRule="exact"/>
              <w:rPr>
                <w:rFonts w:cs="宋体" w:asciiTheme="minorEastAsia" w:hAnsiTheme="minorEastAsia" w:eastAsiaTheme="minorEastAsia"/>
                <w:color w:val="auto"/>
                <w:sz w:val="21"/>
                <w:highlight w:val="none"/>
              </w:rPr>
            </w:pPr>
            <w:r>
              <w:rPr>
                <w:rFonts w:ascii="Segoe UI Symbol" w:hAnsi="Segoe UI Symbol" w:cs="Segoe UI Symbol" w:eastAsiaTheme="minorEastAsia"/>
                <w:color w:val="auto"/>
                <w:sz w:val="21"/>
                <w:highlight w:val="none"/>
              </w:rPr>
              <w:t>☑</w:t>
            </w:r>
            <w:r>
              <w:rPr>
                <w:rFonts w:hint="eastAsia" w:cs="宋体" w:asciiTheme="minorEastAsia" w:hAnsiTheme="minorEastAsia" w:eastAsiaTheme="minorEastAsia"/>
                <w:color w:val="auto"/>
                <w:sz w:val="21"/>
                <w:highlight w:val="none"/>
              </w:rPr>
              <w:t>本项目代理服务费按如下规定由</w:t>
            </w:r>
            <w:r>
              <w:rPr>
                <w:rFonts w:hint="eastAsia" w:cs="宋体" w:asciiTheme="minorEastAsia" w:hAnsiTheme="minorEastAsia" w:eastAsiaTheme="minorEastAsia"/>
                <w:color w:val="auto"/>
                <w:sz w:val="21"/>
                <w:highlight w:val="none"/>
                <w:u w:val="single"/>
              </w:rPr>
              <w:t>成交供应商</w:t>
            </w:r>
            <w:r>
              <w:rPr>
                <w:rFonts w:hint="eastAsia" w:cs="宋体" w:asciiTheme="minorEastAsia" w:hAnsiTheme="minorEastAsia" w:eastAsiaTheme="minorEastAsia"/>
                <w:color w:val="auto"/>
                <w:sz w:val="21"/>
                <w:highlight w:val="none"/>
              </w:rPr>
              <w:t>在领取成交通知书前，一次性向采购代理机构支付。</w:t>
            </w:r>
          </w:p>
          <w:p w14:paraId="675CD760">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63284B66">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2F4F787B">
            <w:pPr>
              <w:pStyle w:val="22"/>
              <w:snapToGrid w:val="0"/>
              <w:spacing w:line="430" w:lineRule="exact"/>
              <w:rPr>
                <w:rFonts w:cs="宋体" w:asciiTheme="minorEastAsia" w:hAnsiTheme="minorEastAsia" w:eastAsiaTheme="minorEastAsia"/>
                <w:color w:val="auto"/>
                <w:sz w:val="21"/>
                <w:highlight w:val="none"/>
              </w:rPr>
            </w:pPr>
            <w:r>
              <w:rPr>
                <w:rFonts w:ascii="Segoe UI Symbol" w:hAnsi="Segoe UI Symbol" w:cs="Segoe UI Symbol" w:eastAsiaTheme="minorEastAsia"/>
                <w:color w:val="auto"/>
                <w:sz w:val="21"/>
                <w:highlight w:val="none"/>
              </w:rPr>
              <w:t>☑</w:t>
            </w:r>
            <w:r>
              <w:rPr>
                <w:rFonts w:hint="eastAsia" w:cs="宋体" w:asciiTheme="minorEastAsia" w:hAnsiTheme="minorEastAsia" w:eastAsiaTheme="minorEastAsia"/>
                <w:color w:val="auto"/>
                <w:sz w:val="21"/>
                <w:highlight w:val="none"/>
              </w:rPr>
              <w:t>以分标（</w:t>
            </w:r>
            <w:r>
              <w:rPr>
                <w:rFonts w:ascii="Segoe UI Symbol" w:hAnsi="Segoe UI Symbol" w:cs="Segoe UI Symbol" w:eastAsiaTheme="minorEastAsia"/>
                <w:color w:val="auto"/>
                <w:sz w:val="21"/>
                <w:highlight w:val="none"/>
              </w:rPr>
              <w:t>☑</w:t>
            </w:r>
            <w:r>
              <w:rPr>
                <w:rFonts w:hint="eastAsia" w:cs="宋体" w:asciiTheme="minorEastAsia" w:hAnsiTheme="minorEastAsia" w:eastAsiaTheme="minorEastAsia"/>
                <w:color w:val="auto"/>
                <w:sz w:val="21"/>
                <w:highlight w:val="none"/>
              </w:rPr>
              <w:t>成交金额/□采购预算/□暂定成交金额/□其他</w:t>
            </w:r>
            <w:r>
              <w:rPr>
                <w:rFonts w:hint="eastAsia" w:cs="宋体" w:asciiTheme="minorEastAsia" w:hAnsiTheme="minorEastAsia" w:eastAsiaTheme="minorEastAsia"/>
                <w:color w:val="auto"/>
                <w:sz w:val="21"/>
                <w:highlight w:val="none"/>
                <w:u w:val="single"/>
              </w:rPr>
              <w:t xml:space="preserve"> /</w:t>
            </w:r>
            <w:r>
              <w:rPr>
                <w:rFonts w:cs="宋体" w:asciiTheme="minorEastAsia" w:hAnsiTheme="minorEastAsia" w:eastAsiaTheme="minorEastAsia"/>
                <w:color w:val="auto"/>
                <w:sz w:val="21"/>
                <w:highlight w:val="none"/>
                <w:u w:val="single"/>
              </w:rPr>
              <w:t xml:space="preserve"> </w:t>
            </w:r>
            <w:r>
              <w:rPr>
                <w:rFonts w:hint="eastAsia" w:cs="宋体" w:asciiTheme="minorEastAsia" w:hAnsiTheme="minorEastAsia" w:eastAsiaTheme="minorEastAsia"/>
                <w:color w:val="auto"/>
                <w:sz w:val="21"/>
                <w:highlight w:val="none"/>
              </w:rPr>
              <w:t>）为计费额，</w:t>
            </w:r>
            <w:r>
              <w:rPr>
                <w:rFonts w:hint="eastAsia" w:hAnsi="宋体" w:cs="宋体"/>
                <w:color w:val="auto"/>
                <w:sz w:val="21"/>
                <w:highlight w:val="none"/>
              </w:rPr>
              <w:t>按自治区物价局“桂价费[20051283号、桂价费字[2004]376号采用差额定率累进法计算出收费基准价格，采购代理收费以（□收费基准价格/</w:t>
            </w:r>
            <w:r>
              <w:rPr>
                <w:rFonts w:hint="eastAsia" w:hAnsi="宋体"/>
                <w:color w:val="auto"/>
                <w:sz w:val="21"/>
                <w:highlight w:val="none"/>
              </w:rPr>
              <w:t>√</w:t>
            </w:r>
            <w:r>
              <w:rPr>
                <w:rFonts w:hint="eastAsia" w:hAnsi="宋体" w:cs="宋体"/>
                <w:color w:val="auto"/>
                <w:sz w:val="21"/>
                <w:highlight w:val="none"/>
              </w:rPr>
              <w:t>收费基准价格下浮</w:t>
            </w:r>
            <w:r>
              <w:rPr>
                <w:rFonts w:hint="eastAsia" w:hAnsi="宋体" w:cs="宋体"/>
                <w:color w:val="auto"/>
                <w:sz w:val="21"/>
                <w:highlight w:val="none"/>
                <w:u w:val="single"/>
              </w:rPr>
              <w:t>20%</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w:t>
            </w:r>
          </w:p>
          <w:p w14:paraId="15EA6BDA">
            <w:pPr>
              <w:pStyle w:val="22"/>
              <w:snapToGrid w:val="0"/>
              <w:spacing w:line="430" w:lineRule="exact"/>
              <w:rPr>
                <w:rFonts w:cs="宋体" w:asciiTheme="minorEastAsia" w:hAnsiTheme="minorEastAsia" w:eastAsiaTheme="minorEastAsia"/>
                <w:color w:val="auto"/>
                <w:sz w:val="21"/>
                <w:highlight w:val="none"/>
                <w:u w:val="single"/>
              </w:rPr>
            </w:pPr>
            <w:r>
              <w:rPr>
                <w:rFonts w:hint="eastAsia" w:cs="宋体" w:asciiTheme="minorEastAsia" w:hAnsiTheme="minorEastAsia" w:eastAsiaTheme="minorEastAsia"/>
                <w:color w:val="auto"/>
                <w:sz w:val="21"/>
                <w:highlight w:val="none"/>
              </w:rPr>
              <w:t>□固定采购代理收费：</w:t>
            </w:r>
          </w:p>
          <w:p w14:paraId="50C5D1F8">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 采购代理费收取银行账户</w:t>
            </w:r>
          </w:p>
          <w:p w14:paraId="53DB17BE">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开户名称：</w:t>
            </w:r>
            <w:r>
              <w:rPr>
                <w:rFonts w:hint="eastAsia" w:cs="宋体" w:asciiTheme="minorEastAsia" w:hAnsiTheme="minorEastAsia" w:eastAsiaTheme="minorEastAsia"/>
                <w:color w:val="auto"/>
                <w:sz w:val="21"/>
                <w:highlight w:val="none"/>
                <w:u w:val="single"/>
              </w:rPr>
              <w:t>广西城建咨询设计有限公司</w:t>
            </w:r>
          </w:p>
          <w:p w14:paraId="3508F1C8">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开户银行：</w:t>
            </w:r>
            <w:r>
              <w:rPr>
                <w:rFonts w:hint="eastAsia" w:cs="宋体" w:asciiTheme="minorEastAsia" w:hAnsiTheme="minorEastAsia" w:eastAsiaTheme="minorEastAsia"/>
                <w:color w:val="auto"/>
                <w:sz w:val="21"/>
                <w:highlight w:val="none"/>
                <w:u w:val="single"/>
              </w:rPr>
              <w:t>建设银行南宁锦春支行</w:t>
            </w:r>
          </w:p>
          <w:p w14:paraId="7EC07D86">
            <w:pPr>
              <w:pStyle w:val="22"/>
              <w:snapToGrid w:val="0"/>
              <w:spacing w:line="430" w:lineRule="exact"/>
              <w:rPr>
                <w:rFonts w:cs="宋体" w:asciiTheme="minorEastAsia" w:hAnsiTheme="minorEastAsia" w:eastAsiaTheme="minorEastAsia"/>
                <w:color w:val="auto"/>
                <w:sz w:val="21"/>
                <w:highlight w:val="none"/>
                <w:u w:val="single"/>
              </w:rPr>
            </w:pPr>
            <w:r>
              <w:rPr>
                <w:rFonts w:hint="eastAsia" w:cs="宋体" w:asciiTheme="minorEastAsia" w:hAnsiTheme="minorEastAsia" w:eastAsiaTheme="minorEastAsia"/>
                <w:color w:val="auto"/>
                <w:sz w:val="21"/>
                <w:highlight w:val="none"/>
              </w:rPr>
              <w:t>银行账号：</w:t>
            </w:r>
            <w:r>
              <w:rPr>
                <w:rFonts w:cs="宋体" w:asciiTheme="minorEastAsia" w:hAnsiTheme="minorEastAsia" w:eastAsiaTheme="minorEastAsia"/>
                <w:color w:val="auto"/>
                <w:sz w:val="21"/>
                <w:highlight w:val="none"/>
                <w:u w:val="single"/>
              </w:rPr>
              <w:t>4505 0160 4783 0000 0080</w:t>
            </w:r>
          </w:p>
        </w:tc>
      </w:tr>
      <w:tr w14:paraId="2D2D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BDEA752">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3.1</w:t>
            </w:r>
          </w:p>
        </w:tc>
        <w:tc>
          <w:tcPr>
            <w:tcW w:w="8359" w:type="dxa"/>
            <w:vAlign w:val="center"/>
          </w:tcPr>
          <w:p w14:paraId="40A44376">
            <w:pPr>
              <w:pStyle w:val="22"/>
              <w:snapToGrid w:val="0"/>
              <w:spacing w:line="430" w:lineRule="exact"/>
              <w:rPr>
                <w:rFonts w:cs="宋体" w:asciiTheme="minorEastAsia" w:hAnsiTheme="minorEastAsia" w:eastAsiaTheme="minorEastAsia"/>
                <w:color w:val="auto"/>
                <w:kern w:val="2"/>
                <w:sz w:val="21"/>
                <w:highlight w:val="none"/>
              </w:rPr>
            </w:pPr>
            <w:r>
              <w:rPr>
                <w:rFonts w:hint="eastAsia" w:asciiTheme="minorEastAsia" w:hAnsiTheme="minorEastAsia" w:eastAsiaTheme="minorEastAsia"/>
                <w:color w:val="auto"/>
                <w:sz w:val="21"/>
                <w:highlight w:val="none"/>
              </w:rPr>
              <w:t>解释：</w:t>
            </w:r>
            <w:r>
              <w:rPr>
                <w:rFonts w:asciiTheme="minorEastAsia" w:hAnsiTheme="minorEastAsia" w:eastAsiaTheme="minorEastAsia"/>
                <w:color w:val="auto"/>
                <w:sz w:val="21"/>
                <w:highlight w:val="none"/>
              </w:rPr>
              <w:t>构成本</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的各个组成文件应互为解释，互为说明；除</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中有特别规定外，仅适用于</w:t>
            </w:r>
            <w:r>
              <w:rPr>
                <w:rFonts w:hint="eastAsia" w:asciiTheme="minorEastAsia" w:hAnsiTheme="minorEastAsia" w:eastAsiaTheme="minorEastAsia"/>
                <w:color w:val="auto"/>
                <w:sz w:val="21"/>
                <w:highlight w:val="none"/>
              </w:rPr>
              <w:t>竞标</w:t>
            </w:r>
            <w:r>
              <w:rPr>
                <w:rFonts w:asciiTheme="minorEastAsia" w:hAnsiTheme="minorEastAsia" w:eastAsiaTheme="minorEastAsia"/>
                <w:color w:val="auto"/>
                <w:sz w:val="21"/>
                <w:highlight w:val="none"/>
              </w:rPr>
              <w:t>阶段的规定，按</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竞争性磋商</w:t>
            </w:r>
            <w:r>
              <w:rPr>
                <w:rFonts w:asciiTheme="minorEastAsia" w:hAnsiTheme="minorEastAsia" w:eastAsiaTheme="minorEastAsia"/>
                <w:color w:val="auto"/>
                <w:sz w:val="21"/>
                <w:highlight w:val="none"/>
              </w:rPr>
              <w:t>公告、</w:t>
            </w:r>
            <w:r>
              <w:rPr>
                <w:rFonts w:hint="eastAsia" w:asciiTheme="minorEastAsia" w:hAnsiTheme="minorEastAsia" w:eastAsiaTheme="minorEastAsia"/>
                <w:color w:val="auto"/>
                <w:sz w:val="21"/>
                <w:highlight w:val="none"/>
              </w:rPr>
              <w:t>供应商</w:t>
            </w:r>
            <w:r>
              <w:rPr>
                <w:rFonts w:asciiTheme="minorEastAsia" w:hAnsiTheme="minorEastAsia" w:eastAsiaTheme="minorEastAsia"/>
                <w:color w:val="auto"/>
                <w:sz w:val="21"/>
                <w:highlight w:val="none"/>
              </w:rPr>
              <w:t>须知</w:t>
            </w:r>
            <w:r>
              <w:rPr>
                <w:rFonts w:hint="eastAsia" w:asciiTheme="minorEastAsia" w:hAnsiTheme="minorEastAsia" w:eastAsiaTheme="minorEastAsia"/>
                <w:color w:val="auto"/>
                <w:sz w:val="21"/>
                <w:highlight w:val="none"/>
              </w:rPr>
              <w:t>、采购需求</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评审程序、评审方法和评审标准</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响应</w:t>
            </w:r>
            <w:r>
              <w:rPr>
                <w:rFonts w:asciiTheme="minorEastAsia" w:hAnsiTheme="minorEastAsia" w:eastAsiaTheme="minorEastAsia"/>
                <w:color w:val="auto"/>
                <w:sz w:val="21"/>
                <w:highlight w:val="none"/>
              </w:rPr>
              <w:t>文件格式</w:t>
            </w:r>
            <w:r>
              <w:rPr>
                <w:rFonts w:hint="eastAsia" w:asciiTheme="minorEastAsia" w:hAnsiTheme="minorEastAsia" w:eastAsiaTheme="minorEastAsia"/>
                <w:color w:val="auto"/>
                <w:sz w:val="21"/>
                <w:highlight w:val="none"/>
              </w:rPr>
              <w:t>、合同文本</w:t>
            </w:r>
            <w:r>
              <w:rPr>
                <w:rFonts w:asciiTheme="minorEastAsia" w:hAnsiTheme="minorEastAsia" w:eastAsiaTheme="minorEastAsia"/>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与同步更新的</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不一致时以</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为准。按本款前述规定仍不能形成结论的，由</w:t>
            </w:r>
            <w:r>
              <w:rPr>
                <w:rFonts w:hint="eastAsia" w:asciiTheme="minorEastAsia" w:hAnsiTheme="minorEastAsia" w:eastAsiaTheme="minorEastAsia"/>
                <w:color w:val="auto"/>
                <w:sz w:val="21"/>
                <w:highlight w:val="none"/>
              </w:rPr>
              <w:t>采购</w:t>
            </w:r>
            <w:r>
              <w:rPr>
                <w:rFonts w:asciiTheme="minorEastAsia" w:hAnsiTheme="minorEastAsia" w:eastAsiaTheme="minorEastAsia"/>
                <w:color w:val="auto"/>
                <w:sz w:val="21"/>
                <w:highlight w:val="none"/>
              </w:rPr>
              <w:t>人</w:t>
            </w:r>
            <w:r>
              <w:rPr>
                <w:rFonts w:hint="eastAsia" w:asciiTheme="minorEastAsia" w:hAnsiTheme="minorEastAsia" w:eastAsiaTheme="minorEastAsia"/>
                <w:color w:val="auto"/>
                <w:sz w:val="21"/>
                <w:highlight w:val="none"/>
              </w:rPr>
              <w:t>或者采购代理机构</w:t>
            </w:r>
            <w:r>
              <w:rPr>
                <w:rFonts w:asciiTheme="minorEastAsia" w:hAnsiTheme="minorEastAsia" w:eastAsiaTheme="minorEastAsia"/>
                <w:color w:val="auto"/>
                <w:sz w:val="21"/>
                <w:highlight w:val="none"/>
              </w:rPr>
              <w:t>负责解释。</w:t>
            </w:r>
          </w:p>
        </w:tc>
      </w:tr>
      <w:tr w14:paraId="5988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6C455CE">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3.2</w:t>
            </w:r>
          </w:p>
        </w:tc>
        <w:tc>
          <w:tcPr>
            <w:tcW w:w="8359" w:type="dxa"/>
            <w:vAlign w:val="center"/>
          </w:tcPr>
          <w:p w14:paraId="3AB99D1B">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4CC4622">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Cs/>
                <w:color w:val="auto"/>
                <w:sz w:val="21"/>
                <w:highlight w:val="none"/>
              </w:rPr>
              <w:t>2.本磋商文件所称的“</w:t>
            </w:r>
            <w:r>
              <w:rPr>
                <w:rFonts w:hint="eastAsia"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asciiTheme="minorEastAsia" w:hAnsiTheme="minorEastAsia" w:eastAsiaTheme="minorEastAsia"/>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34DC7536">
            <w:pPr>
              <w:pStyle w:val="22"/>
              <w:snapToGrid w:val="0"/>
              <w:spacing w:line="430" w:lineRule="exact"/>
              <w:rPr>
                <w:rFonts w:cs="宋体" w:asciiTheme="minorEastAsia" w:hAnsiTheme="minorEastAsia" w:eastAsiaTheme="minorEastAsia"/>
                <w:bCs/>
                <w:color w:val="auto"/>
                <w:sz w:val="21"/>
                <w:highlight w:val="none"/>
              </w:rPr>
            </w:pPr>
            <w:r>
              <w:rPr>
                <w:rFonts w:cs="宋体" w:asciiTheme="minorEastAsia" w:hAnsiTheme="minorEastAsia" w:eastAsiaTheme="minorEastAsia"/>
                <w:color w:val="auto"/>
                <w:sz w:val="21"/>
                <w:highlight w:val="none"/>
              </w:rPr>
              <w:t>3</w:t>
            </w:r>
            <w:r>
              <w:rPr>
                <w:rFonts w:hint="eastAsia" w:cs="宋体" w:asciiTheme="minorEastAsia" w:hAnsiTheme="minorEastAsia" w:eastAsiaTheme="minorEastAsia"/>
                <w:color w:val="auto"/>
                <w:sz w:val="21"/>
                <w:highlight w:val="none"/>
              </w:rPr>
              <w:t>.供应商为其他组织或者自然人时，本磋商文件规定的法定代表人指负责人或者自然人。本磋商文件所称负责人是指参加竞标的其他组织</w:t>
            </w:r>
            <w:r>
              <w:rPr>
                <w:rFonts w:hint="eastAsia" w:cs="宋体" w:asciiTheme="minorEastAsia" w:hAnsiTheme="minorEastAsia" w:eastAsiaTheme="minorEastAsia"/>
                <w:bCs/>
                <w:color w:val="auto"/>
                <w:sz w:val="21"/>
                <w:highlight w:val="none"/>
              </w:rPr>
              <w:t>营业执照或者执业许可证等证照上的</w:t>
            </w:r>
            <w:r>
              <w:rPr>
                <w:rFonts w:hint="eastAsia" w:cs="宋体" w:asciiTheme="minorEastAsia" w:hAnsiTheme="minorEastAsia" w:eastAsiaTheme="minorEastAsia"/>
                <w:color w:val="auto"/>
                <w:sz w:val="21"/>
                <w:highlight w:val="none"/>
              </w:rPr>
              <w:t>负责人，本磋商文件所称自然人指参与竞标的自然人本人，</w:t>
            </w:r>
            <w:r>
              <w:rPr>
                <w:rFonts w:hint="eastAsia" w:cs="宋体" w:asciiTheme="minorEastAsia" w:hAnsiTheme="minorEastAsia" w:eastAsiaTheme="minorEastAsia"/>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19947B42">
            <w:pPr>
              <w:pStyle w:val="22"/>
              <w:snapToGrid w:val="0"/>
              <w:spacing w:line="430" w:lineRule="exact"/>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4.</w:t>
            </w:r>
            <w:r>
              <w:rPr>
                <w:rFonts w:hint="eastAsia" w:cs="宋体" w:asciiTheme="minorEastAsia" w:hAnsiTheme="minorEastAsia" w:eastAsiaTheme="minorEastAsia"/>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071C9B9A">
            <w:pPr>
              <w:pStyle w:val="22"/>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5</w:t>
            </w:r>
            <w:r>
              <w:rPr>
                <w:rFonts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本磋商文件所称的“以上”“以下”“以内”“届满”，包括本数；所称的“不满”“超过”“以外”，不包括本数。</w:t>
            </w:r>
          </w:p>
        </w:tc>
      </w:tr>
      <w:tr w14:paraId="76553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05E2B8A">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特别说明</w:t>
            </w:r>
          </w:p>
        </w:tc>
        <w:tc>
          <w:tcPr>
            <w:tcW w:w="8359" w:type="dxa"/>
            <w:vAlign w:val="center"/>
          </w:tcPr>
          <w:p w14:paraId="7218114D">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截标后将进行磋商：</w:t>
            </w:r>
          </w:p>
          <w:p w14:paraId="66E309A8">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）委托代理人（法定代表人）请注意预留的手机号码中广西政府采购云平台系统发送的短信提示，并按照要求进行响应及报价。</w:t>
            </w:r>
          </w:p>
          <w:p w14:paraId="521CE74F">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）进入广西政府采购云平台系统，点击页面右上角的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待办</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，找到对应的项目，按系统提示操作。</w:t>
            </w:r>
          </w:p>
          <w:p w14:paraId="0197A1A3">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）如仍无法找到，请电话咨询广西城建咨询设计有限公司。</w:t>
            </w:r>
          </w:p>
        </w:tc>
      </w:tr>
    </w:tbl>
    <w:p w14:paraId="7A32E240">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053689B7">
      <w:pPr>
        <w:spacing w:line="400" w:lineRule="exact"/>
        <w:jc w:val="center"/>
        <w:rPr>
          <w:rFonts w:ascii="宋体" w:hAnsi="宋体"/>
          <w:b/>
          <w:color w:val="auto"/>
          <w:sz w:val="32"/>
          <w:szCs w:val="32"/>
          <w:highlight w:val="none"/>
        </w:rPr>
      </w:pPr>
    </w:p>
    <w:p w14:paraId="79B156A8">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541F6BF6">
      <w:pPr>
        <w:spacing w:line="400" w:lineRule="exact"/>
        <w:rPr>
          <w:rFonts w:ascii="宋体" w:hAnsi="宋体"/>
          <w:color w:val="auto"/>
          <w:szCs w:val="21"/>
          <w:highlight w:val="none"/>
        </w:rPr>
      </w:pPr>
    </w:p>
    <w:p w14:paraId="1A6725F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43C8B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5D88FF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2E5EF69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5D5E73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13D1888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02D9C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20619FB">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2BAE47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449B5CB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200FEF2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3C489BC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0CF5039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021E18D6">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54C1604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B64385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2EA86D1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678F3A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3BA831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21C404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6D4135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0C2E4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80CDD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26CB9F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51" w:name="_Hlk66782192"/>
      <w:r>
        <w:rPr>
          <w:rFonts w:hint="eastAsia" w:ascii="宋体" w:hAnsi="宋体"/>
          <w:color w:val="auto"/>
          <w:szCs w:val="21"/>
          <w:highlight w:val="none"/>
        </w:rPr>
        <w:t>根据《政府采购促进中小企业发展管理办法》（财库〔2020〕46号）第九条第二款及桂财采〔2022〕30号广西壮族自治区财政厅关于进一步发挥政府采购政策功能促进企业发展的通知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51"/>
    </w:p>
    <w:p w14:paraId="1CD11DA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6.转包与分包</w:t>
      </w:r>
    </w:p>
    <w:p w14:paraId="65DDAA69">
      <w:pPr>
        <w:pStyle w:val="9"/>
        <w:keepNext w:val="0"/>
        <w:keepLines w:val="0"/>
        <w:spacing w:before="0" w:after="0" w:line="360" w:lineRule="auto"/>
        <w:ind w:left="420" w:leftChars="200"/>
        <w:rPr>
          <w:rFonts w:ascii="宋体" w:hAnsi="宋体"/>
          <w:b w:val="0"/>
          <w:color w:val="auto"/>
          <w:sz w:val="21"/>
          <w:szCs w:val="21"/>
          <w:highlight w:val="none"/>
        </w:rPr>
      </w:pPr>
      <w:bookmarkStart w:id="52" w:name="_Toc254970673"/>
      <w:bookmarkStart w:id="53" w:name="_Toc254970532"/>
      <w:r>
        <w:rPr>
          <w:rFonts w:hint="eastAsia" w:ascii="宋体" w:hAnsi="宋体"/>
          <w:b w:val="0"/>
          <w:color w:val="auto"/>
          <w:sz w:val="21"/>
          <w:szCs w:val="21"/>
          <w:highlight w:val="none"/>
        </w:rPr>
        <w:t>6.1本项目不允许转包。</w:t>
      </w:r>
    </w:p>
    <w:p w14:paraId="53661753">
      <w:pPr>
        <w:pStyle w:val="9"/>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F1B19FB">
      <w:pPr>
        <w:pStyle w:val="9"/>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6EF7DB2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2"/>
      <w:bookmarkEnd w:id="53"/>
    </w:p>
    <w:p w14:paraId="0467666D">
      <w:pPr>
        <w:spacing w:line="360" w:lineRule="auto"/>
        <w:ind w:firstLine="420" w:firstLineChars="200"/>
        <w:rPr>
          <w:rFonts w:ascii="宋体" w:hAnsi="宋体" w:cs="宋体"/>
          <w:color w:val="auto"/>
          <w:szCs w:val="21"/>
          <w:highlight w:val="none"/>
        </w:rPr>
      </w:pPr>
      <w:bookmarkStart w:id="54" w:name="_8.1提供相同品牌产品且通过资格审查、符合性审查的不同投标人参加同一合"/>
      <w:bookmarkEnd w:id="54"/>
      <w:r>
        <w:rPr>
          <w:rFonts w:hint="eastAsia" w:ascii="宋体" w:hAnsi="宋体" w:cs="宋体"/>
          <w:color w:val="auto"/>
          <w:szCs w:val="21"/>
          <w:highlight w:val="none"/>
        </w:rPr>
        <w:t>7.</w:t>
      </w:r>
      <w:r>
        <w:rPr>
          <w:rFonts w:ascii="宋体" w:hAnsi="宋体" w:cs="宋体"/>
          <w:color w:val="auto"/>
          <w:szCs w:val="21"/>
          <w:highlight w:val="none"/>
        </w:rPr>
        <w:t>1</w:t>
      </w:r>
      <w:bookmarkStart w:id="55"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55"/>
    <w:p w14:paraId="2F6C09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994BE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D2ED4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37AB90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5975C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E23C9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BB09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E6BC2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081CD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BCF2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4C6F42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6A9D1B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9DBA4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DA2F0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ACB22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2574C00">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5C6A4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5D7BD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23EE8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0BD56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A228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B528F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65DF5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E9F2D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FBB26A1">
      <w:pPr>
        <w:spacing w:line="360" w:lineRule="auto"/>
        <w:rPr>
          <w:rFonts w:ascii="宋体" w:hAnsi="宋体"/>
          <w:color w:val="auto"/>
          <w:highlight w:val="none"/>
        </w:rPr>
      </w:pPr>
      <w:bookmarkStart w:id="56" w:name="_Toc254970675"/>
      <w:bookmarkStart w:id="57" w:name="_Toc254970534"/>
    </w:p>
    <w:p w14:paraId="42DEB290">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56"/>
      <w:bookmarkEnd w:id="57"/>
    </w:p>
    <w:p w14:paraId="52BC772B">
      <w:pPr>
        <w:spacing w:line="360" w:lineRule="auto"/>
        <w:rPr>
          <w:rFonts w:ascii="宋体" w:hAnsi="宋体"/>
          <w:color w:val="auto"/>
          <w:szCs w:val="21"/>
          <w:highlight w:val="none"/>
        </w:rPr>
      </w:pPr>
    </w:p>
    <w:p w14:paraId="1EAC7D4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9A935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5ADAA2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（2）供应商须知；</w:t>
      </w:r>
    </w:p>
    <w:p w14:paraId="2F3C16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59FE45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2AAB4F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6BF06B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434CBE8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2A3E6A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37E417A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12740D77">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5AB5A889">
      <w:pPr>
        <w:spacing w:line="360" w:lineRule="auto"/>
        <w:rPr>
          <w:rFonts w:ascii="宋体" w:hAnsi="宋体"/>
          <w:color w:val="auto"/>
          <w:szCs w:val="21"/>
          <w:highlight w:val="none"/>
        </w:rPr>
      </w:pPr>
    </w:p>
    <w:p w14:paraId="31C6384C">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5FB8F776">
      <w:pPr>
        <w:spacing w:line="360" w:lineRule="auto"/>
        <w:rPr>
          <w:rFonts w:ascii="宋体" w:hAnsi="宋体"/>
          <w:color w:val="auto"/>
          <w:szCs w:val="21"/>
          <w:highlight w:val="none"/>
        </w:rPr>
      </w:pPr>
    </w:p>
    <w:p w14:paraId="3E38098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5AEF50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548EC38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444D6B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53A8242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7EB8C837">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1D5BA533">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20D7F8F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548AA1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78FE4F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14.磋商的风险</w:t>
      </w:r>
    </w:p>
    <w:p w14:paraId="586458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88C8F4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15.磋商报价</w:t>
      </w:r>
    </w:p>
    <w:p w14:paraId="6742E8C5">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15.1磋商报价应按磋商文件中“磋商报价表”格式填写。</w:t>
      </w:r>
    </w:p>
    <w:p w14:paraId="1B45E211">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15.2磋商报价的内容见“供应商须知前附表”。</w:t>
      </w:r>
    </w:p>
    <w:p w14:paraId="6E176102">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15.3磋商报价要求</w:t>
      </w:r>
    </w:p>
    <w:p w14:paraId="475AE9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供应商的磋商报价应符合以下要求，否则响应文件按无效响应处理：</w:t>
      </w:r>
    </w:p>
    <w:p w14:paraId="23A7D2E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4543451F">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5A8D34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28C57C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磋商报价（包含首次报价、最后报价）超过所磋商分标规定的采购预算金额或者最高限价的，其响应文件将按无效处理。</w:t>
      </w:r>
    </w:p>
    <w:p w14:paraId="009164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58" w:name="_Hlk42592874"/>
      <w:r>
        <w:rPr>
          <w:rFonts w:hint="eastAsia" w:ascii="宋体" w:hAnsi="宋体" w:cs="宋体"/>
          <w:color w:val="auto"/>
          <w:szCs w:val="21"/>
          <w:highlight w:val="none"/>
        </w:rPr>
        <w:t>磋商报价（包含首次报价、最后报价）超过分项采购预算金额或者最高限价的，其响应文件将按无效处理。</w:t>
      </w:r>
    </w:p>
    <w:bookmarkEnd w:id="58"/>
    <w:p w14:paraId="650D0F0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09F55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429A2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304B5C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11699E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3F86B1D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7AFDAD3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107D72C">
      <w:pPr>
        <w:spacing w:line="360" w:lineRule="auto"/>
        <w:ind w:firstLine="420" w:firstLineChars="200"/>
        <w:rPr>
          <w:rFonts w:ascii="宋体" w:hAnsi="宋体" w:cs="宋体"/>
          <w:color w:val="auto"/>
          <w:szCs w:val="21"/>
          <w:highlight w:val="none"/>
        </w:rPr>
      </w:pPr>
      <w:bookmarkStart w:id="5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个工作日内退还。</w:t>
      </w:r>
      <w:bookmarkEnd w:id="59"/>
    </w:p>
    <w:p w14:paraId="3822C3D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054E695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17.4供应商有下列情形之一的，磋商保证金将不予退还：</w:t>
      </w:r>
    </w:p>
    <w:p w14:paraId="1EFDEA0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EECEF82">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26B87AB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9EC89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600CCF3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8786DF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35957C6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0597EA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1FA47A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2CD8C6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43FA6A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4E60B2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053D373">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FA41855">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ascii="宋体" w:hAnsi="宋体" w:cs="宋体"/>
          <w:color w:val="auto"/>
          <w:szCs w:val="21"/>
          <w:highlight w:val="none"/>
        </w:rPr>
        <w:t>广西政府采购云平台新版客户端</w:t>
      </w:r>
      <w:r>
        <w:rPr>
          <w:rFonts w:hint="eastAsia"/>
          <w:color w:val="auto"/>
          <w:highlight w:val="none"/>
        </w:rPr>
        <w:t>”在线编制生成且后缀名为“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6D6CDA3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2827EF32">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26032A85">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0A0A66C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D16172A">
      <w:pPr>
        <w:snapToGrid w:val="0"/>
        <w:spacing w:line="360" w:lineRule="auto"/>
        <w:ind w:firstLine="420"/>
        <w:jc w:val="left"/>
        <w:rPr>
          <w:rFonts w:ascii="宋体" w:hAnsi="宋体"/>
          <w:color w:val="auto"/>
          <w:szCs w:val="21"/>
          <w:highlight w:val="none"/>
        </w:rPr>
      </w:pPr>
      <w:bookmarkStart w:id="60" w:name="_Toc254970543"/>
      <w:bookmarkStart w:id="61"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“电子投标文件制作与投送教程”）</w:t>
      </w:r>
    </w:p>
    <w:bookmarkEnd w:id="60"/>
    <w:bookmarkEnd w:id="61"/>
    <w:p w14:paraId="5F2091F7">
      <w:pPr>
        <w:pStyle w:val="62"/>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1DC91ADC">
      <w:pPr>
        <w:spacing w:line="360" w:lineRule="auto"/>
        <w:ind w:firstLine="482" w:firstLineChars="200"/>
        <w:rPr>
          <w:rFonts w:ascii="黑体" w:hAnsi="黑体" w:eastAsia="黑体" w:cs="宋体"/>
          <w:b/>
          <w:bCs/>
          <w:color w:val="auto"/>
          <w:sz w:val="24"/>
          <w:highlight w:val="none"/>
        </w:rPr>
      </w:pPr>
      <w:bookmarkStart w:id="62" w:name="_Hlk45702405"/>
      <w:r>
        <w:rPr>
          <w:rFonts w:hint="eastAsia" w:ascii="黑体" w:hAnsi="黑体" w:eastAsia="黑体" w:cs="宋体"/>
          <w:b/>
          <w:bCs/>
          <w:color w:val="auto"/>
          <w:sz w:val="24"/>
          <w:highlight w:val="none"/>
        </w:rPr>
        <w:t>22.响应文件的退回</w:t>
      </w:r>
    </w:p>
    <w:p w14:paraId="30212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722C7F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4FA56D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2"/>
    <w:p w14:paraId="12EEBC69">
      <w:pPr>
        <w:spacing w:line="360" w:lineRule="auto"/>
        <w:rPr>
          <w:rFonts w:ascii="宋体" w:hAnsi="宋体"/>
          <w:color w:val="auto"/>
          <w:szCs w:val="21"/>
          <w:highlight w:val="none"/>
        </w:rPr>
      </w:pPr>
    </w:p>
    <w:p w14:paraId="2F654BAC">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61B703F5">
      <w:pPr>
        <w:spacing w:line="360" w:lineRule="auto"/>
        <w:ind w:left="420" w:firstLine="420"/>
        <w:rPr>
          <w:rFonts w:ascii="宋体" w:hAnsi="宋体"/>
          <w:color w:val="auto"/>
          <w:szCs w:val="21"/>
          <w:highlight w:val="none"/>
        </w:rPr>
      </w:pPr>
    </w:p>
    <w:p w14:paraId="1511B57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3A5D06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C9FC3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918C3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64D9166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07B0DB7D">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0DBB743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4FC754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CCD13C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15A84A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323ABBA9">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37E9F9D">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75A9E546">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14:paraId="4CB65A98">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19CC4C19">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063D7AFB">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14:paraId="54AF3FA8">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0CB9CF2C">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816365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8242D7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C5DC191">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3"/>
    </w:p>
    <w:p w14:paraId="0F8B4A6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2371E00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6E4AD2FD">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493A3F43">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（3）除“第四章评审程序、评审方法和评审标准”第4.3条规定的情形外，在采购过程中符合要求的供应商或者报价未超过采购预算的供应商不足3家的。</w:t>
      </w:r>
    </w:p>
    <w:p w14:paraId="0B0515B5">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40802AA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39A61AFC">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2A996180">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34CCDF4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8F6869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57B368E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5903CDF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651E2E1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E82F61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42D383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E09F0C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2A5EEAC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DA9DC1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114C4D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F8EBD9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01FB9D7">
      <w:pPr>
        <w:pStyle w:val="10"/>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07C2DBF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rPr>
        <w:t>接收质疑函的方式、联系部门、联系电话和通讯地址等信息</w:t>
      </w:r>
      <w:r>
        <w:rPr>
          <w:rFonts w:hint="eastAsia" w:ascii="宋体" w:hAnsi="宋体" w:cs="Arial"/>
          <w:color w:val="auto"/>
          <w:highlight w:val="none"/>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66CAEB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033BD3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96278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F7559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A845A5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2C9E7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0A49D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5D5EE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1E2A42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DD3B0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A2F4A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2071C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8CB44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5D9C88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4D0AA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AE2BE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D7B71B4">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044694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0F17A10A">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2364803A">
      <w:pPr>
        <w:spacing w:line="440" w:lineRule="exact"/>
        <w:ind w:firstLine="420" w:firstLineChars="200"/>
        <w:rPr>
          <w:rFonts w:ascii="宋体" w:hAnsi="宋体" w:cs="宋体"/>
          <w:color w:val="auto"/>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r>
        <w:rPr>
          <w:rFonts w:hint="eastAsia" w:ascii="宋体" w:hAnsi="宋体" w:cs="宋体"/>
          <w:color w:val="auto"/>
          <w:highlight w:val="none"/>
        </w:rPr>
        <w:t>详见“供应商须知前附表”</w:t>
      </w:r>
      <w:r>
        <w:rPr>
          <w:rFonts w:hint="eastAsia" w:hAnsi="宋体" w:cs="宋体"/>
          <w:color w:val="auto"/>
          <w:highlight w:val="none"/>
        </w:rPr>
        <w:t>。</w:t>
      </w: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1832"/>
        <w:gridCol w:w="2088"/>
        <w:gridCol w:w="1896"/>
      </w:tblGrid>
      <w:tr w14:paraId="1282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3663" w:type="dxa"/>
            <w:tcBorders>
              <w:top w:val="single" w:color="auto" w:sz="4" w:space="0"/>
              <w:left w:val="single" w:color="auto" w:sz="4" w:space="0"/>
              <w:bottom w:val="single" w:color="auto" w:sz="4" w:space="0"/>
              <w:right w:val="single" w:color="auto" w:sz="4" w:space="0"/>
            </w:tcBorders>
          </w:tcPr>
          <w:p w14:paraId="49EE2FFD">
            <w:pPr>
              <w:spacing w:line="400" w:lineRule="exact"/>
              <w:ind w:firstLine="1640" w:firstLineChars="781"/>
              <w:rPr>
                <w:rFonts w:ascii="宋体" w:hAnsi="宋体" w:cs="宋体"/>
                <w:b/>
                <w:bC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36195</wp:posOffset>
                      </wp:positionV>
                      <wp:extent cx="2057400" cy="1176655"/>
                      <wp:effectExtent l="2540" t="4445" r="1651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11766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0.65pt;margin-top:2.85pt;height:92.65pt;width:162pt;z-index:251660288;mso-width-relative:page;mso-height-relative:page;" filled="f" stroked="t" coordsize="21600,21600" o:gfxdata="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z+Vj0AAAAAcBAAAPAAAAAAAAAAEAIAAAACIAAABkcnMvZG93bnJldi54bWxQSwECFAAU&#10;AAAACACHTuJAS+NtI/kBAADSAwAADgAAAAAAAAABACAAAAAfAQAAZHJzL2Uyb0RvYy54bWxQSwUG&#10;AAAAAAYABgBZAQAAigUAAAAA&#10;">
                      <v:fill on="f" focussize="0,0"/>
                      <v:stroke color="#000000" joinstyle="round"/>
                      <v:imagedata o:title=""/>
                      <o:lock v:ext="edit" aspectratio="f"/>
                    </v:lin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tIgMBuUB&#10;AAC0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cs="宋体"/>
                <w:b/>
                <w:bCs/>
                <w:color w:val="auto"/>
                <w:szCs w:val="21"/>
                <w:highlight w:val="none"/>
              </w:rPr>
              <w:t>服</w:t>
            </w:r>
          </w:p>
          <w:p w14:paraId="68FABE76">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费　　　　　      务</w:t>
            </w:r>
          </w:p>
          <w:p w14:paraId="0E5EFCC4">
            <w:pPr>
              <w:spacing w:line="400" w:lineRule="exact"/>
              <w:ind w:firstLine="1050" w:firstLineChars="500"/>
              <w:rPr>
                <w:rFonts w:ascii="宋体" w:hAnsi="宋体" w:cs="宋体"/>
                <w:b/>
                <w:bC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133350</wp:posOffset>
                      </wp:positionV>
                      <wp:extent cx="2171700" cy="605155"/>
                      <wp:effectExtent l="1270" t="4445" r="1778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605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3.85pt;margin-top:10.5pt;height:47.65pt;width:171pt;z-index:251662336;mso-width-relative:page;mso-height-relative:page;" filled="f" stroked="t" coordsize="21600,21600" o:gfxdata="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GgfsdQAAAAJAQAADwAAAAAAAAABACAAAAAiAAAAZHJzL2Rvd25yZXYueG1sUEsB&#10;AhQAFAAAAAgAh07iQKiv8fv5AQAA0QMAAA4AAAAAAAAAAQAgAAAAIwEAAGRycy9lMm9Eb2MueG1s&#10;UEsFBgAAAAAGAAYAWQEAAI4FAAAAAA==&#10;">
                      <v:fill on="f" focussize="0,0"/>
                      <v:stroke color="#000000" joinstyle="round"/>
                      <v:imagedata o:title=""/>
                      <o:lock v:ext="edit" aspectratio="f"/>
                    </v:line>
                  </w:pict>
                </mc:Fallback>
              </mc:AlternateContent>
            </w:r>
            <w:r>
              <w:rPr>
                <w:rFonts w:hint="eastAsia" w:ascii="宋体" w:hAnsi="宋体" w:cs="宋体"/>
                <w:b/>
                <w:bCs/>
                <w:color w:val="auto"/>
                <w:szCs w:val="21"/>
                <w:highlight w:val="none"/>
              </w:rPr>
              <w:t>　　   　      类</w:t>
            </w:r>
          </w:p>
          <w:p w14:paraId="64583E9F">
            <w:pPr>
              <w:spacing w:line="400" w:lineRule="exact"/>
              <w:ind w:firstLine="1777" w:firstLineChars="843"/>
              <w:rPr>
                <w:rFonts w:ascii="宋体" w:hAnsi="宋体" w:cs="宋体"/>
                <w:b/>
                <w:bCs/>
                <w:color w:val="auto"/>
                <w:szCs w:val="21"/>
                <w:highlight w:val="none"/>
              </w:rPr>
            </w:pPr>
            <w:r>
              <w:rPr>
                <w:rFonts w:hint="eastAsia" w:ascii="宋体" w:hAnsi="宋体" w:cs="宋体"/>
                <w:b/>
                <w:bCs/>
                <w:color w:val="auto"/>
                <w:szCs w:val="21"/>
                <w:highlight w:val="none"/>
              </w:rPr>
              <w:t xml:space="preserve">率　　　   型     </w:t>
            </w:r>
          </w:p>
          <w:p w14:paraId="38718F5F">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成交金额（万元）</w:t>
            </w:r>
          </w:p>
        </w:tc>
        <w:tc>
          <w:tcPr>
            <w:tcW w:w="1832" w:type="dxa"/>
            <w:tcBorders>
              <w:top w:val="single" w:color="auto" w:sz="4" w:space="0"/>
              <w:left w:val="single" w:color="auto" w:sz="4" w:space="0"/>
              <w:bottom w:val="single" w:color="auto" w:sz="4" w:space="0"/>
              <w:right w:val="single" w:color="auto" w:sz="4" w:space="0"/>
            </w:tcBorders>
            <w:vAlign w:val="center"/>
          </w:tcPr>
          <w:p w14:paraId="72C9F3D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货物采购</w:t>
            </w:r>
          </w:p>
        </w:tc>
        <w:tc>
          <w:tcPr>
            <w:tcW w:w="2088" w:type="dxa"/>
            <w:tcBorders>
              <w:top w:val="single" w:color="auto" w:sz="4" w:space="0"/>
              <w:left w:val="single" w:color="auto" w:sz="4" w:space="0"/>
              <w:bottom w:val="single" w:color="auto" w:sz="4" w:space="0"/>
              <w:right w:val="single" w:color="auto" w:sz="4" w:space="0"/>
            </w:tcBorders>
            <w:vAlign w:val="center"/>
          </w:tcPr>
          <w:p w14:paraId="1E213AF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服务采购</w:t>
            </w:r>
          </w:p>
        </w:tc>
        <w:tc>
          <w:tcPr>
            <w:tcW w:w="1896" w:type="dxa"/>
            <w:tcBorders>
              <w:top w:val="single" w:color="auto" w:sz="4" w:space="0"/>
              <w:left w:val="single" w:color="auto" w:sz="4" w:space="0"/>
              <w:bottom w:val="single" w:color="auto" w:sz="4" w:space="0"/>
              <w:right w:val="single" w:color="auto" w:sz="4" w:space="0"/>
            </w:tcBorders>
            <w:vAlign w:val="center"/>
          </w:tcPr>
          <w:p w14:paraId="719F259C">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工程采购</w:t>
            </w:r>
          </w:p>
        </w:tc>
      </w:tr>
      <w:tr w14:paraId="6CDF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6093D73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1832" w:type="dxa"/>
            <w:tcBorders>
              <w:top w:val="single" w:color="auto" w:sz="4" w:space="0"/>
              <w:left w:val="single" w:color="auto" w:sz="4" w:space="0"/>
              <w:bottom w:val="single" w:color="auto" w:sz="4" w:space="0"/>
              <w:right w:val="single" w:color="auto" w:sz="4" w:space="0"/>
            </w:tcBorders>
            <w:vAlign w:val="center"/>
          </w:tcPr>
          <w:p w14:paraId="6C113C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2088" w:type="dxa"/>
            <w:tcBorders>
              <w:top w:val="single" w:color="auto" w:sz="4" w:space="0"/>
              <w:left w:val="single" w:color="auto" w:sz="4" w:space="0"/>
              <w:bottom w:val="single" w:color="auto" w:sz="4" w:space="0"/>
              <w:right w:val="single" w:color="auto" w:sz="4" w:space="0"/>
            </w:tcBorders>
            <w:vAlign w:val="center"/>
          </w:tcPr>
          <w:p w14:paraId="318BB5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1896" w:type="dxa"/>
            <w:tcBorders>
              <w:top w:val="single" w:color="auto" w:sz="4" w:space="0"/>
              <w:left w:val="single" w:color="auto" w:sz="4" w:space="0"/>
              <w:bottom w:val="single" w:color="auto" w:sz="4" w:space="0"/>
              <w:right w:val="single" w:color="auto" w:sz="4" w:space="0"/>
            </w:tcBorders>
            <w:vAlign w:val="center"/>
          </w:tcPr>
          <w:p w14:paraId="3E5A3F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0.80%</w:t>
            </w:r>
          </w:p>
        </w:tc>
      </w:tr>
      <w:tr w14:paraId="0024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38B2523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100-500</w:t>
            </w:r>
          </w:p>
        </w:tc>
        <w:tc>
          <w:tcPr>
            <w:tcW w:w="1832" w:type="dxa"/>
            <w:tcBorders>
              <w:top w:val="single" w:color="auto" w:sz="4" w:space="0"/>
              <w:left w:val="single" w:color="auto" w:sz="4" w:space="0"/>
              <w:bottom w:val="single" w:color="auto" w:sz="4" w:space="0"/>
              <w:right w:val="single" w:color="auto" w:sz="4" w:space="0"/>
            </w:tcBorders>
            <w:vAlign w:val="center"/>
          </w:tcPr>
          <w:p w14:paraId="3E30C9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0.88%</w:t>
            </w:r>
          </w:p>
        </w:tc>
        <w:tc>
          <w:tcPr>
            <w:tcW w:w="2088" w:type="dxa"/>
            <w:tcBorders>
              <w:top w:val="single" w:color="auto" w:sz="4" w:space="0"/>
              <w:left w:val="single" w:color="auto" w:sz="4" w:space="0"/>
              <w:bottom w:val="single" w:color="auto" w:sz="4" w:space="0"/>
              <w:right w:val="single" w:color="auto" w:sz="4" w:space="0"/>
            </w:tcBorders>
            <w:vAlign w:val="center"/>
          </w:tcPr>
          <w:p w14:paraId="0A5BE3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0.64%</w:t>
            </w:r>
          </w:p>
        </w:tc>
        <w:tc>
          <w:tcPr>
            <w:tcW w:w="1896" w:type="dxa"/>
            <w:tcBorders>
              <w:top w:val="single" w:color="auto" w:sz="4" w:space="0"/>
              <w:left w:val="single" w:color="auto" w:sz="4" w:space="0"/>
              <w:bottom w:val="single" w:color="auto" w:sz="4" w:space="0"/>
              <w:right w:val="single" w:color="auto" w:sz="4" w:space="0"/>
            </w:tcBorders>
            <w:vAlign w:val="center"/>
          </w:tcPr>
          <w:p w14:paraId="18DDF9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0.56%</w:t>
            </w:r>
          </w:p>
        </w:tc>
      </w:tr>
      <w:tr w14:paraId="17BF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63" w:type="dxa"/>
            <w:tcBorders>
              <w:top w:val="single" w:color="auto" w:sz="4" w:space="0"/>
              <w:left w:val="single" w:color="auto" w:sz="4" w:space="0"/>
              <w:bottom w:val="single" w:color="auto" w:sz="4" w:space="0"/>
              <w:right w:val="single" w:color="auto" w:sz="4" w:space="0"/>
            </w:tcBorders>
            <w:vAlign w:val="center"/>
          </w:tcPr>
          <w:p w14:paraId="4472C71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500-1000</w:t>
            </w:r>
          </w:p>
        </w:tc>
        <w:tc>
          <w:tcPr>
            <w:tcW w:w="1832" w:type="dxa"/>
            <w:tcBorders>
              <w:top w:val="single" w:color="auto" w:sz="4" w:space="0"/>
              <w:left w:val="single" w:color="auto" w:sz="4" w:space="0"/>
              <w:bottom w:val="single" w:color="auto" w:sz="4" w:space="0"/>
              <w:right w:val="single" w:color="auto" w:sz="4" w:space="0"/>
            </w:tcBorders>
            <w:vAlign w:val="center"/>
          </w:tcPr>
          <w:p w14:paraId="5ECD4D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0.64%</w:t>
            </w:r>
          </w:p>
        </w:tc>
        <w:tc>
          <w:tcPr>
            <w:tcW w:w="2088" w:type="dxa"/>
            <w:tcBorders>
              <w:top w:val="single" w:color="auto" w:sz="4" w:space="0"/>
              <w:left w:val="single" w:color="auto" w:sz="4" w:space="0"/>
              <w:bottom w:val="single" w:color="auto" w:sz="4" w:space="0"/>
              <w:right w:val="single" w:color="auto" w:sz="4" w:space="0"/>
            </w:tcBorders>
            <w:vAlign w:val="center"/>
          </w:tcPr>
          <w:p w14:paraId="6DDBC1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0.36%</w:t>
            </w:r>
          </w:p>
        </w:tc>
        <w:tc>
          <w:tcPr>
            <w:tcW w:w="1896" w:type="dxa"/>
            <w:tcBorders>
              <w:top w:val="single" w:color="auto" w:sz="4" w:space="0"/>
              <w:left w:val="single" w:color="auto" w:sz="4" w:space="0"/>
              <w:bottom w:val="single" w:color="auto" w:sz="4" w:space="0"/>
              <w:right w:val="single" w:color="auto" w:sz="4" w:space="0"/>
            </w:tcBorders>
            <w:vAlign w:val="center"/>
          </w:tcPr>
          <w:p w14:paraId="5F6885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0.44%</w:t>
            </w:r>
          </w:p>
        </w:tc>
      </w:tr>
      <w:tr w14:paraId="26FF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781F6CC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1000-5000</w:t>
            </w:r>
          </w:p>
        </w:tc>
        <w:tc>
          <w:tcPr>
            <w:tcW w:w="1832" w:type="dxa"/>
            <w:tcBorders>
              <w:top w:val="single" w:color="auto" w:sz="4" w:space="0"/>
              <w:left w:val="single" w:color="auto" w:sz="4" w:space="0"/>
              <w:bottom w:val="single" w:color="auto" w:sz="4" w:space="0"/>
              <w:right w:val="single" w:color="auto" w:sz="4" w:space="0"/>
            </w:tcBorders>
            <w:vAlign w:val="center"/>
          </w:tcPr>
          <w:p w14:paraId="28C6E1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0.40%</w:t>
            </w:r>
          </w:p>
        </w:tc>
        <w:tc>
          <w:tcPr>
            <w:tcW w:w="2088" w:type="dxa"/>
            <w:tcBorders>
              <w:top w:val="single" w:color="auto" w:sz="4" w:space="0"/>
              <w:left w:val="single" w:color="auto" w:sz="4" w:space="0"/>
              <w:bottom w:val="single" w:color="auto" w:sz="4" w:space="0"/>
              <w:right w:val="single" w:color="auto" w:sz="4" w:space="0"/>
            </w:tcBorders>
            <w:vAlign w:val="center"/>
          </w:tcPr>
          <w:p w14:paraId="7411AA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c>
          <w:tcPr>
            <w:tcW w:w="1896" w:type="dxa"/>
            <w:tcBorders>
              <w:top w:val="single" w:color="auto" w:sz="4" w:space="0"/>
              <w:left w:val="single" w:color="auto" w:sz="4" w:space="0"/>
              <w:bottom w:val="single" w:color="auto" w:sz="4" w:space="0"/>
              <w:right w:val="single" w:color="auto" w:sz="4" w:space="0"/>
            </w:tcBorders>
            <w:vAlign w:val="center"/>
          </w:tcPr>
          <w:p w14:paraId="4E8B17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0.28%</w:t>
            </w:r>
          </w:p>
        </w:tc>
      </w:tr>
      <w:tr w14:paraId="64AA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76FB1EA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5000-10000</w:t>
            </w:r>
          </w:p>
        </w:tc>
        <w:tc>
          <w:tcPr>
            <w:tcW w:w="1832" w:type="dxa"/>
            <w:tcBorders>
              <w:top w:val="single" w:color="auto" w:sz="4" w:space="0"/>
              <w:left w:val="single" w:color="auto" w:sz="4" w:space="0"/>
              <w:bottom w:val="single" w:color="auto" w:sz="4" w:space="0"/>
              <w:right w:val="single" w:color="auto" w:sz="4" w:space="0"/>
            </w:tcBorders>
            <w:vAlign w:val="center"/>
          </w:tcPr>
          <w:p w14:paraId="319A9C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c>
          <w:tcPr>
            <w:tcW w:w="2088" w:type="dxa"/>
            <w:tcBorders>
              <w:top w:val="single" w:color="auto" w:sz="4" w:space="0"/>
              <w:left w:val="single" w:color="auto" w:sz="4" w:space="0"/>
              <w:bottom w:val="single" w:color="auto" w:sz="4" w:space="0"/>
              <w:right w:val="single" w:color="auto" w:sz="4" w:space="0"/>
            </w:tcBorders>
            <w:vAlign w:val="center"/>
          </w:tcPr>
          <w:p w14:paraId="44AD80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0.08%</w:t>
            </w:r>
          </w:p>
        </w:tc>
        <w:tc>
          <w:tcPr>
            <w:tcW w:w="1896" w:type="dxa"/>
            <w:tcBorders>
              <w:top w:val="single" w:color="auto" w:sz="4" w:space="0"/>
              <w:left w:val="single" w:color="auto" w:sz="4" w:space="0"/>
              <w:bottom w:val="single" w:color="auto" w:sz="4" w:space="0"/>
              <w:right w:val="single" w:color="auto" w:sz="4" w:space="0"/>
            </w:tcBorders>
            <w:vAlign w:val="center"/>
          </w:tcPr>
          <w:p w14:paraId="45A8F2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0.16%</w:t>
            </w:r>
          </w:p>
        </w:tc>
      </w:tr>
      <w:tr w14:paraId="41BE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663" w:type="dxa"/>
            <w:tcBorders>
              <w:top w:val="single" w:color="auto" w:sz="4" w:space="0"/>
              <w:left w:val="single" w:color="auto" w:sz="4" w:space="0"/>
              <w:bottom w:val="single" w:color="auto" w:sz="4" w:space="0"/>
              <w:right w:val="single" w:color="auto" w:sz="4" w:space="0"/>
            </w:tcBorders>
            <w:vAlign w:val="center"/>
          </w:tcPr>
          <w:p w14:paraId="341302B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10000-100000</w:t>
            </w:r>
          </w:p>
        </w:tc>
        <w:tc>
          <w:tcPr>
            <w:tcW w:w="1832" w:type="dxa"/>
            <w:tcBorders>
              <w:top w:val="single" w:color="auto" w:sz="4" w:space="0"/>
              <w:left w:val="single" w:color="auto" w:sz="4" w:space="0"/>
              <w:bottom w:val="single" w:color="auto" w:sz="4" w:space="0"/>
              <w:right w:val="single" w:color="auto" w:sz="4" w:space="0"/>
            </w:tcBorders>
            <w:vAlign w:val="center"/>
          </w:tcPr>
          <w:p w14:paraId="2EB54A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c>
          <w:tcPr>
            <w:tcW w:w="2088" w:type="dxa"/>
            <w:tcBorders>
              <w:top w:val="single" w:color="auto" w:sz="4" w:space="0"/>
              <w:left w:val="single" w:color="auto" w:sz="4" w:space="0"/>
              <w:bottom w:val="single" w:color="auto" w:sz="4" w:space="0"/>
              <w:right w:val="single" w:color="auto" w:sz="4" w:space="0"/>
            </w:tcBorders>
            <w:vAlign w:val="center"/>
          </w:tcPr>
          <w:p w14:paraId="6B39DE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c>
          <w:tcPr>
            <w:tcW w:w="1896" w:type="dxa"/>
            <w:tcBorders>
              <w:top w:val="single" w:color="auto" w:sz="4" w:space="0"/>
              <w:left w:val="single" w:color="auto" w:sz="4" w:space="0"/>
              <w:bottom w:val="single" w:color="auto" w:sz="4" w:space="0"/>
              <w:right w:val="single" w:color="auto" w:sz="4" w:space="0"/>
            </w:tcBorders>
            <w:vAlign w:val="center"/>
          </w:tcPr>
          <w:p w14:paraId="62F3B7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r>
    </w:tbl>
    <w:p w14:paraId="639F940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27DF5EE1">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194A8AB8">
      <w:pPr>
        <w:pStyle w:val="2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3E3FA5FF">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BD9D267">
      <w:pPr>
        <w:pStyle w:val="22"/>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A48182E">
      <w:pPr>
        <w:pStyle w:val="22"/>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47F5E0E4">
      <w:pPr>
        <w:pStyle w:val="22"/>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962B51B">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EC65582">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71B706AD">
      <w:pPr>
        <w:pStyle w:val="19"/>
        <w:ind w:firstLine="1126"/>
        <w:rPr>
          <w:rFonts w:ascii="宋体"/>
          <w:color w:val="auto"/>
          <w:szCs w:val="21"/>
          <w:highlight w:val="none"/>
        </w:rPr>
      </w:pPr>
      <w:r>
        <w:rPr>
          <w:color w:val="auto"/>
          <w:highlight w:val="none"/>
        </w:rPr>
        <w:br w:type="page"/>
      </w:r>
    </w:p>
    <w:p w14:paraId="0A6A3B21">
      <w:pPr>
        <w:pStyle w:val="22"/>
        <w:snapToGrid w:val="0"/>
        <w:spacing w:line="360" w:lineRule="auto"/>
        <w:ind w:left="840" w:hanging="420"/>
        <w:rPr>
          <w:rFonts w:hAnsi="宋体"/>
          <w:color w:val="auto"/>
          <w:highlight w:val="none"/>
        </w:rPr>
      </w:pPr>
      <w:r>
        <w:rPr>
          <w:rFonts w:hint="eastAsia" w:ascii="黑体" w:hAnsi="黑体" w:eastAsia="黑体" w:cs="黑体"/>
          <w:bCs/>
          <w:color w:val="auto"/>
          <w:sz w:val="32"/>
          <w:szCs w:val="32"/>
          <w:highlight w:val="none"/>
        </w:rPr>
        <w:t>附件1：</w:t>
      </w:r>
    </w:p>
    <w:p w14:paraId="0D73C3CD">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广西壮族自治区政府采购项目合同验收书（格式参考）</w:t>
      </w:r>
    </w:p>
    <w:p w14:paraId="4218F7FE">
      <w:pPr>
        <w:widowControl/>
        <w:shd w:val="clear" w:color="auto" w:fill="FFFFFF"/>
        <w:spacing w:line="480" w:lineRule="atLeast"/>
        <w:jc w:val="center"/>
        <w:rPr>
          <w:rFonts w:ascii="仿宋" w:hAnsi="仿宋" w:eastAsia="仿宋" w:cs="宋体"/>
          <w:color w:val="auto"/>
          <w:kern w:val="0"/>
          <w:sz w:val="32"/>
          <w:szCs w:val="32"/>
          <w:highlight w:val="none"/>
        </w:rPr>
      </w:pPr>
    </w:p>
    <w:p w14:paraId="5017503A">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76A88CA">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55D59D9">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3369F9B5">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14:paraId="7C616B81">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7BD4830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0C46C55C">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5633BD9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2E1D59D">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4595B3F9">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金额</w:t>
            </w:r>
          </w:p>
        </w:tc>
      </w:tr>
      <w:tr w14:paraId="1D1AE5C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E27A51E">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5CA869B">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60BA9A8">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FEC3041">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02E2E4F">
            <w:pPr>
              <w:widowControl/>
              <w:spacing w:before="100" w:beforeAutospacing="1" w:after="100" w:afterAutospacing="1" w:line="240" w:lineRule="atLeast"/>
              <w:jc w:val="center"/>
              <w:rPr>
                <w:rFonts w:ascii="宋体" w:hAnsi="宋体" w:cs="宋体"/>
                <w:color w:val="auto"/>
                <w:kern w:val="0"/>
                <w:szCs w:val="21"/>
                <w:highlight w:val="none"/>
              </w:rPr>
            </w:pPr>
          </w:p>
        </w:tc>
      </w:tr>
      <w:tr w14:paraId="57E2A5A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0E62DC2">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D6CD6D5">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589B05A">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7E5897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EEFE0DC">
            <w:pPr>
              <w:widowControl/>
              <w:spacing w:before="100" w:beforeAutospacing="1" w:after="100" w:afterAutospacing="1" w:line="240" w:lineRule="atLeast"/>
              <w:jc w:val="center"/>
              <w:rPr>
                <w:rFonts w:ascii="宋体" w:hAnsi="宋体" w:cs="宋体"/>
                <w:color w:val="auto"/>
                <w:kern w:val="0"/>
                <w:szCs w:val="21"/>
                <w:highlight w:val="none"/>
              </w:rPr>
            </w:pPr>
          </w:p>
        </w:tc>
      </w:tr>
      <w:tr w14:paraId="679CBDC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D844729">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C13894A">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81CE266">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4205AB6">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6B692EA">
            <w:pPr>
              <w:widowControl/>
              <w:spacing w:before="100" w:beforeAutospacing="1" w:after="100" w:afterAutospacing="1" w:line="240" w:lineRule="atLeast"/>
              <w:jc w:val="center"/>
              <w:rPr>
                <w:rFonts w:ascii="宋体" w:hAnsi="宋体" w:cs="宋体"/>
                <w:color w:val="auto"/>
                <w:kern w:val="0"/>
                <w:szCs w:val="21"/>
                <w:highlight w:val="none"/>
              </w:rPr>
            </w:pPr>
          </w:p>
        </w:tc>
      </w:tr>
      <w:tr w14:paraId="4C99A3D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49473C73">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6A5ADED1">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E7E2B0D">
            <w:pPr>
              <w:widowControl/>
              <w:spacing w:before="100" w:beforeAutospacing="1" w:after="100" w:afterAutospacing="1" w:line="240" w:lineRule="atLeast"/>
              <w:jc w:val="center"/>
              <w:rPr>
                <w:rFonts w:ascii="宋体" w:hAnsi="宋体" w:cs="宋体"/>
                <w:color w:val="auto"/>
                <w:kern w:val="0"/>
                <w:szCs w:val="21"/>
                <w:highlight w:val="none"/>
              </w:rPr>
            </w:pPr>
          </w:p>
        </w:tc>
      </w:tr>
      <w:tr w14:paraId="4576395B">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4CFFFFFE">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 xml:space="preserve">合计大写金额：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万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元</w:t>
            </w:r>
          </w:p>
        </w:tc>
      </w:tr>
      <w:tr w14:paraId="2C69D6BD">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8D2D999">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5687E12F">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A2AB76C">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BE196A1">
            <w:pPr>
              <w:widowControl/>
              <w:spacing w:before="100" w:beforeAutospacing="1" w:after="100" w:afterAutospacing="1" w:line="240" w:lineRule="atLeast"/>
              <w:jc w:val="center"/>
              <w:rPr>
                <w:rFonts w:ascii="宋体" w:hAnsi="宋体" w:cs="宋体"/>
                <w:color w:val="auto"/>
                <w:kern w:val="0"/>
                <w:szCs w:val="21"/>
                <w:highlight w:val="none"/>
              </w:rPr>
            </w:pPr>
          </w:p>
        </w:tc>
      </w:tr>
      <w:tr w14:paraId="28F60BAD">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C3496D4">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7A3758F7">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6582625">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28A318E2">
            <w:pPr>
              <w:widowControl/>
              <w:spacing w:before="100" w:beforeAutospacing="1" w:after="100" w:afterAutospacing="1" w:line="240" w:lineRule="atLeast"/>
              <w:jc w:val="center"/>
              <w:rPr>
                <w:rFonts w:ascii="宋体" w:hAnsi="宋体" w:cs="宋体"/>
                <w:color w:val="auto"/>
                <w:kern w:val="0"/>
                <w:szCs w:val="21"/>
                <w:highlight w:val="none"/>
              </w:rPr>
            </w:pPr>
          </w:p>
        </w:tc>
      </w:tr>
      <w:tr w14:paraId="6FB46A59">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F2855E">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2482E2E">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F48DB53">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99F688">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0AD70D5B">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14:paraId="4E6FFFE6">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C55B25F">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3FDAB37F">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14:paraId="5D4896F2">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14:paraId="5A36EB85">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280FAC">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14:paraId="75B7B64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A662EC">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监督人员或者其他相关人员签字：</w:t>
            </w:r>
          </w:p>
          <w:p w14:paraId="3E3CA692">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或者受邀机构的意见（盖章）：</w:t>
            </w:r>
          </w:p>
        </w:tc>
      </w:tr>
      <w:tr w14:paraId="45257F73">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7C2B17E4">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成交供应商负责人签字或者盖章：</w:t>
            </w:r>
          </w:p>
          <w:p w14:paraId="7C05AD5E">
            <w:pPr>
              <w:widowControl/>
              <w:spacing w:before="100" w:beforeAutospacing="1" w:after="100" w:afterAutospacing="1" w:line="320" w:lineRule="atLeast"/>
              <w:jc w:val="left"/>
              <w:rPr>
                <w:rFonts w:ascii="宋体" w:hAnsi="宋体" w:cs="宋体"/>
                <w:color w:val="auto"/>
                <w:kern w:val="0"/>
                <w:szCs w:val="21"/>
                <w:highlight w:val="none"/>
              </w:rPr>
            </w:pPr>
          </w:p>
          <w:p w14:paraId="7219A7A0">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19A1FE7B">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采购人或者受托机构的意见（盖章）：</w:t>
            </w:r>
          </w:p>
          <w:p w14:paraId="7A837FFF">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2BE5CB2E">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日</w:t>
            </w:r>
          </w:p>
        </w:tc>
      </w:tr>
    </w:tbl>
    <w:p w14:paraId="7E55C4AE">
      <w:pPr>
        <w:pStyle w:val="22"/>
        <w:snapToGrid w:val="0"/>
        <w:ind w:left="840" w:hanging="420"/>
        <w:rPr>
          <w:rFonts w:hAnsi="宋体"/>
          <w:color w:val="auto"/>
          <w:highlight w:val="none"/>
        </w:rPr>
      </w:pPr>
      <w:r>
        <w:rPr>
          <w:rFonts w:hAnsi="宋体"/>
          <w:color w:val="auto"/>
          <w:highlight w:val="none"/>
        </w:rPr>
        <w:br w:type="page"/>
      </w:r>
    </w:p>
    <w:p w14:paraId="1716184D">
      <w:pPr>
        <w:pStyle w:val="22"/>
        <w:snapToGrid w:val="0"/>
        <w:ind w:left="1060" w:hanging="6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71CBB40A">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5AE4B87E">
      <w:pPr>
        <w:jc w:val="center"/>
        <w:rPr>
          <w:rFonts w:ascii="黑体" w:hAnsi="黑体" w:eastAsia="黑体"/>
          <w:color w:val="auto"/>
          <w:sz w:val="36"/>
          <w:szCs w:val="36"/>
          <w:highlight w:val="none"/>
        </w:rPr>
      </w:pPr>
      <w:r>
        <w:rPr>
          <w:rFonts w:hint="eastAsia" w:ascii="宋体" w:hAnsi="宋体" w:cs="宋体"/>
          <w:b/>
          <w:bCs/>
          <w:color w:val="auto"/>
          <w:kern w:val="0"/>
          <w:sz w:val="18"/>
          <w:szCs w:val="18"/>
          <w:highlight w:val="none"/>
        </w:rPr>
        <w:t>（本项目如有，可以参考使用）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55C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6A30C111">
            <w:pPr>
              <w:jc w:val="center"/>
              <w:rPr>
                <w:color w:val="auto"/>
                <w:sz w:val="24"/>
                <w:highlight w:val="none"/>
              </w:rPr>
            </w:pPr>
            <w:r>
              <w:rPr>
                <w:rFonts w:hint="eastAsia"/>
                <w:color w:val="auto"/>
                <w:sz w:val="24"/>
                <w:highlight w:val="none"/>
              </w:rPr>
              <w:t>供</w:t>
            </w:r>
          </w:p>
          <w:p w14:paraId="7F380DAD">
            <w:pPr>
              <w:jc w:val="center"/>
              <w:rPr>
                <w:color w:val="auto"/>
                <w:sz w:val="24"/>
                <w:highlight w:val="none"/>
              </w:rPr>
            </w:pPr>
            <w:r>
              <w:rPr>
                <w:rFonts w:hint="eastAsia"/>
                <w:color w:val="auto"/>
                <w:sz w:val="24"/>
                <w:highlight w:val="none"/>
              </w:rPr>
              <w:t>应</w:t>
            </w:r>
          </w:p>
          <w:p w14:paraId="4671B0DD">
            <w:pPr>
              <w:jc w:val="center"/>
              <w:rPr>
                <w:color w:val="auto"/>
                <w:sz w:val="24"/>
                <w:highlight w:val="none"/>
              </w:rPr>
            </w:pPr>
            <w:r>
              <w:rPr>
                <w:rFonts w:hint="eastAsia"/>
                <w:color w:val="auto"/>
                <w:sz w:val="24"/>
                <w:highlight w:val="none"/>
              </w:rPr>
              <w:t>商</w:t>
            </w:r>
          </w:p>
          <w:p w14:paraId="636572FE">
            <w:pPr>
              <w:jc w:val="center"/>
              <w:rPr>
                <w:color w:val="auto"/>
                <w:sz w:val="24"/>
                <w:highlight w:val="none"/>
              </w:rPr>
            </w:pPr>
            <w:r>
              <w:rPr>
                <w:rFonts w:hint="eastAsia"/>
                <w:color w:val="auto"/>
                <w:sz w:val="24"/>
                <w:highlight w:val="none"/>
              </w:rPr>
              <w:t>申</w:t>
            </w:r>
          </w:p>
          <w:p w14:paraId="550C5BC0">
            <w:pPr>
              <w:jc w:val="center"/>
              <w:rPr>
                <w:color w:val="auto"/>
                <w:sz w:val="24"/>
                <w:highlight w:val="none"/>
              </w:rPr>
            </w:pPr>
            <w:r>
              <w:rPr>
                <w:rFonts w:hint="eastAsia"/>
                <w:color w:val="auto"/>
                <w:sz w:val="24"/>
                <w:highlight w:val="none"/>
              </w:rPr>
              <w:t>请</w:t>
            </w:r>
          </w:p>
        </w:tc>
        <w:tc>
          <w:tcPr>
            <w:tcW w:w="8009" w:type="dxa"/>
            <w:vAlign w:val="center"/>
          </w:tcPr>
          <w:p w14:paraId="4FD2A7EF">
            <w:pPr>
              <w:rPr>
                <w:color w:val="auto"/>
                <w:sz w:val="24"/>
                <w:highlight w:val="none"/>
              </w:rPr>
            </w:pPr>
            <w:r>
              <w:rPr>
                <w:rFonts w:hint="eastAsia"/>
                <w:color w:val="auto"/>
                <w:sz w:val="24"/>
                <w:highlight w:val="none"/>
              </w:rPr>
              <w:t>项目编号：</w:t>
            </w:r>
          </w:p>
        </w:tc>
      </w:tr>
      <w:tr w14:paraId="35B8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296E45B5">
            <w:pPr>
              <w:rPr>
                <w:color w:val="auto"/>
                <w:sz w:val="24"/>
                <w:highlight w:val="none"/>
              </w:rPr>
            </w:pPr>
          </w:p>
        </w:tc>
        <w:tc>
          <w:tcPr>
            <w:tcW w:w="8009" w:type="dxa"/>
            <w:vAlign w:val="center"/>
          </w:tcPr>
          <w:p w14:paraId="6256A8EA">
            <w:pPr>
              <w:rPr>
                <w:color w:val="auto"/>
                <w:sz w:val="24"/>
                <w:highlight w:val="none"/>
              </w:rPr>
            </w:pPr>
            <w:r>
              <w:rPr>
                <w:rFonts w:hint="eastAsia"/>
                <w:color w:val="auto"/>
                <w:sz w:val="24"/>
                <w:highlight w:val="none"/>
              </w:rPr>
              <w:t>项目名称：</w:t>
            </w:r>
          </w:p>
        </w:tc>
      </w:tr>
      <w:tr w14:paraId="14C1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29A91866">
            <w:pPr>
              <w:rPr>
                <w:color w:val="auto"/>
                <w:sz w:val="24"/>
                <w:highlight w:val="none"/>
              </w:rPr>
            </w:pPr>
          </w:p>
        </w:tc>
        <w:tc>
          <w:tcPr>
            <w:tcW w:w="8009" w:type="dxa"/>
          </w:tcPr>
          <w:p w14:paraId="097E2613">
            <w:pPr>
              <w:rPr>
                <w:color w:val="auto"/>
                <w:sz w:val="24"/>
                <w:highlight w:val="none"/>
              </w:rPr>
            </w:pPr>
            <w:r>
              <w:rPr>
                <w:rFonts w:hint="eastAsia"/>
                <w:color w:val="auto"/>
                <w:sz w:val="24"/>
                <w:highlight w:val="none"/>
              </w:rPr>
              <w:t xml:space="preserve">  </w:t>
            </w:r>
          </w:p>
          <w:p w14:paraId="51C23663">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113F55A3">
            <w:pPr>
              <w:rPr>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14:paraId="54165F98">
            <w:pPr>
              <w:rPr>
                <w:color w:val="auto"/>
                <w:sz w:val="24"/>
                <w:highlight w:val="none"/>
              </w:rPr>
            </w:pPr>
            <w:r>
              <w:rPr>
                <w:rFonts w:hint="eastAsia"/>
                <w:color w:val="auto"/>
                <w:sz w:val="24"/>
                <w:highlight w:val="none"/>
              </w:rPr>
              <w:t>单位名称：</w:t>
            </w:r>
          </w:p>
          <w:p w14:paraId="3414D50C">
            <w:pPr>
              <w:rPr>
                <w:color w:val="auto"/>
                <w:sz w:val="24"/>
                <w:highlight w:val="none"/>
              </w:rPr>
            </w:pPr>
            <w:r>
              <w:rPr>
                <w:rFonts w:hint="eastAsia"/>
                <w:color w:val="auto"/>
                <w:sz w:val="24"/>
                <w:highlight w:val="none"/>
              </w:rPr>
              <w:t>开户银行：</w:t>
            </w:r>
          </w:p>
          <w:p w14:paraId="53AC46BB">
            <w:pPr>
              <w:rPr>
                <w:color w:val="auto"/>
                <w:sz w:val="24"/>
                <w:highlight w:val="none"/>
              </w:rPr>
            </w:pPr>
            <w:r>
              <w:rPr>
                <w:rFonts w:hint="eastAsia"/>
                <w:color w:val="auto"/>
                <w:sz w:val="24"/>
                <w:highlight w:val="none"/>
              </w:rPr>
              <w:t>帐    号：</w:t>
            </w:r>
          </w:p>
          <w:p w14:paraId="633139EF">
            <w:pPr>
              <w:rPr>
                <w:color w:val="auto"/>
                <w:sz w:val="24"/>
                <w:highlight w:val="none"/>
              </w:rPr>
            </w:pPr>
            <w:r>
              <w:rPr>
                <w:rFonts w:hint="eastAsia"/>
                <w:color w:val="auto"/>
                <w:sz w:val="24"/>
                <w:highlight w:val="none"/>
              </w:rPr>
              <w:t>联系人及电话：</w:t>
            </w:r>
          </w:p>
          <w:p w14:paraId="686DF37C">
            <w:pPr>
              <w:rPr>
                <w:color w:val="auto"/>
                <w:sz w:val="24"/>
                <w:highlight w:val="none"/>
              </w:rPr>
            </w:pPr>
          </w:p>
          <w:p w14:paraId="22514427">
            <w:pPr>
              <w:jc w:val="center"/>
              <w:rPr>
                <w:color w:val="auto"/>
                <w:sz w:val="24"/>
                <w:highlight w:val="none"/>
              </w:rPr>
            </w:pPr>
            <w:r>
              <w:rPr>
                <w:rFonts w:hint="eastAsia"/>
                <w:color w:val="auto"/>
                <w:sz w:val="24"/>
                <w:highlight w:val="none"/>
              </w:rPr>
              <w:t xml:space="preserve">                           供应商公章：</w:t>
            </w:r>
          </w:p>
          <w:p w14:paraId="6B8D1978">
            <w:pPr>
              <w:jc w:val="center"/>
              <w:rPr>
                <w:color w:val="auto"/>
                <w:sz w:val="24"/>
                <w:highlight w:val="none"/>
              </w:rPr>
            </w:pPr>
            <w:r>
              <w:rPr>
                <w:rFonts w:hint="eastAsia"/>
                <w:color w:val="auto"/>
                <w:sz w:val="24"/>
                <w:highlight w:val="none"/>
              </w:rPr>
              <w:t xml:space="preserve">                                                年    月    日</w:t>
            </w:r>
          </w:p>
        </w:tc>
      </w:tr>
      <w:tr w14:paraId="53A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1BD63E16">
            <w:pPr>
              <w:jc w:val="center"/>
              <w:rPr>
                <w:color w:val="auto"/>
                <w:sz w:val="24"/>
                <w:highlight w:val="none"/>
              </w:rPr>
            </w:pPr>
            <w:r>
              <w:rPr>
                <w:rFonts w:hint="eastAsia"/>
                <w:color w:val="auto"/>
                <w:sz w:val="24"/>
                <w:highlight w:val="none"/>
              </w:rPr>
              <w:t>采</w:t>
            </w:r>
          </w:p>
          <w:p w14:paraId="4833185B">
            <w:pPr>
              <w:jc w:val="center"/>
              <w:rPr>
                <w:color w:val="auto"/>
                <w:sz w:val="24"/>
                <w:highlight w:val="none"/>
              </w:rPr>
            </w:pPr>
            <w:r>
              <w:rPr>
                <w:rFonts w:hint="eastAsia"/>
                <w:color w:val="auto"/>
                <w:sz w:val="24"/>
                <w:highlight w:val="none"/>
              </w:rPr>
              <w:t>购</w:t>
            </w:r>
          </w:p>
          <w:p w14:paraId="15875E71">
            <w:pPr>
              <w:jc w:val="center"/>
              <w:rPr>
                <w:color w:val="auto"/>
                <w:sz w:val="24"/>
                <w:highlight w:val="none"/>
              </w:rPr>
            </w:pPr>
            <w:r>
              <w:rPr>
                <w:rFonts w:hint="eastAsia"/>
                <w:color w:val="auto"/>
                <w:sz w:val="24"/>
                <w:highlight w:val="none"/>
              </w:rPr>
              <w:t>单</w:t>
            </w:r>
          </w:p>
          <w:p w14:paraId="173F698A">
            <w:pPr>
              <w:jc w:val="center"/>
              <w:rPr>
                <w:color w:val="auto"/>
                <w:sz w:val="24"/>
                <w:highlight w:val="none"/>
              </w:rPr>
            </w:pPr>
            <w:r>
              <w:rPr>
                <w:rFonts w:hint="eastAsia"/>
                <w:color w:val="auto"/>
                <w:sz w:val="24"/>
                <w:highlight w:val="none"/>
              </w:rPr>
              <w:t>位</w:t>
            </w:r>
          </w:p>
          <w:p w14:paraId="24558B09">
            <w:pPr>
              <w:jc w:val="center"/>
              <w:rPr>
                <w:color w:val="auto"/>
                <w:sz w:val="24"/>
                <w:highlight w:val="none"/>
              </w:rPr>
            </w:pPr>
            <w:r>
              <w:rPr>
                <w:rFonts w:hint="eastAsia"/>
                <w:color w:val="auto"/>
                <w:sz w:val="24"/>
                <w:highlight w:val="none"/>
              </w:rPr>
              <w:t>意</w:t>
            </w:r>
          </w:p>
          <w:p w14:paraId="7F339E2F">
            <w:pPr>
              <w:jc w:val="center"/>
              <w:rPr>
                <w:color w:val="auto"/>
                <w:sz w:val="24"/>
                <w:highlight w:val="none"/>
              </w:rPr>
            </w:pPr>
            <w:r>
              <w:rPr>
                <w:rFonts w:hint="eastAsia"/>
                <w:color w:val="auto"/>
                <w:sz w:val="24"/>
                <w:highlight w:val="none"/>
              </w:rPr>
              <w:t>见</w:t>
            </w:r>
          </w:p>
        </w:tc>
        <w:tc>
          <w:tcPr>
            <w:tcW w:w="8009" w:type="dxa"/>
          </w:tcPr>
          <w:p w14:paraId="0CD24426">
            <w:pPr>
              <w:rPr>
                <w:color w:val="auto"/>
                <w:sz w:val="24"/>
                <w:highlight w:val="none"/>
              </w:rPr>
            </w:pPr>
          </w:p>
          <w:p w14:paraId="4976BB5F">
            <w:pPr>
              <w:rPr>
                <w:color w:val="auto"/>
                <w:sz w:val="24"/>
                <w:highlight w:val="none"/>
              </w:rPr>
            </w:pPr>
            <w:r>
              <w:rPr>
                <w:rFonts w:hint="eastAsia"/>
                <w:color w:val="auto"/>
                <w:sz w:val="24"/>
                <w:highlight w:val="none"/>
              </w:rPr>
              <w:t>退付意见：是否同意退付履约保证金及退付金额：</w:t>
            </w:r>
          </w:p>
          <w:p w14:paraId="175B0D1F">
            <w:pPr>
              <w:rPr>
                <w:color w:val="auto"/>
                <w:sz w:val="24"/>
                <w:highlight w:val="none"/>
              </w:rPr>
            </w:pPr>
          </w:p>
          <w:p w14:paraId="02347217">
            <w:pPr>
              <w:rPr>
                <w:color w:val="auto"/>
                <w:sz w:val="24"/>
                <w:highlight w:val="none"/>
              </w:rPr>
            </w:pPr>
          </w:p>
          <w:p w14:paraId="67D624F6">
            <w:pPr>
              <w:rPr>
                <w:color w:val="auto"/>
                <w:sz w:val="24"/>
                <w:highlight w:val="none"/>
              </w:rPr>
            </w:pPr>
            <w:r>
              <w:rPr>
                <w:rFonts w:hint="eastAsia"/>
                <w:color w:val="auto"/>
                <w:sz w:val="24"/>
                <w:highlight w:val="none"/>
              </w:rPr>
              <w:t xml:space="preserve">联系人及电话：                                </w:t>
            </w:r>
          </w:p>
          <w:p w14:paraId="11665872">
            <w:pPr>
              <w:rPr>
                <w:color w:val="auto"/>
                <w:sz w:val="24"/>
                <w:highlight w:val="none"/>
              </w:rPr>
            </w:pPr>
          </w:p>
          <w:p w14:paraId="62C901EA">
            <w:pPr>
              <w:ind w:firstLine="4560" w:firstLineChars="1900"/>
              <w:rPr>
                <w:color w:val="auto"/>
                <w:sz w:val="24"/>
                <w:highlight w:val="none"/>
              </w:rPr>
            </w:pPr>
            <w:r>
              <w:rPr>
                <w:rFonts w:hint="eastAsia"/>
                <w:color w:val="auto"/>
                <w:sz w:val="24"/>
                <w:highlight w:val="none"/>
              </w:rPr>
              <w:t xml:space="preserve"> 采购单位公章：</w:t>
            </w:r>
          </w:p>
          <w:p w14:paraId="18CF4EE0">
            <w:pPr>
              <w:jc w:val="center"/>
              <w:rPr>
                <w:color w:val="auto"/>
                <w:sz w:val="24"/>
                <w:highlight w:val="none"/>
              </w:rPr>
            </w:pPr>
            <w:r>
              <w:rPr>
                <w:rFonts w:hint="eastAsia"/>
                <w:color w:val="auto"/>
                <w:sz w:val="24"/>
                <w:highlight w:val="none"/>
              </w:rPr>
              <w:t xml:space="preserve">                                                年    月    日</w:t>
            </w:r>
          </w:p>
        </w:tc>
      </w:tr>
      <w:tr w14:paraId="31EB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170408A8">
            <w:pPr>
              <w:jc w:val="center"/>
              <w:rPr>
                <w:color w:val="auto"/>
                <w:sz w:val="24"/>
                <w:highlight w:val="none"/>
              </w:rPr>
            </w:pPr>
            <w:r>
              <w:rPr>
                <w:rFonts w:hint="eastAsia"/>
                <w:color w:val="auto"/>
                <w:sz w:val="24"/>
                <w:highlight w:val="none"/>
              </w:rPr>
              <w:t>财</w:t>
            </w:r>
          </w:p>
          <w:p w14:paraId="54E3A641">
            <w:pPr>
              <w:jc w:val="center"/>
              <w:rPr>
                <w:color w:val="auto"/>
                <w:sz w:val="24"/>
                <w:highlight w:val="none"/>
              </w:rPr>
            </w:pPr>
            <w:r>
              <w:rPr>
                <w:rFonts w:hint="eastAsia"/>
                <w:color w:val="auto"/>
                <w:sz w:val="24"/>
                <w:highlight w:val="none"/>
              </w:rPr>
              <w:t>务</w:t>
            </w:r>
          </w:p>
          <w:p w14:paraId="3ED5CBEA">
            <w:pPr>
              <w:jc w:val="center"/>
              <w:rPr>
                <w:color w:val="auto"/>
                <w:sz w:val="24"/>
                <w:highlight w:val="none"/>
              </w:rPr>
            </w:pPr>
            <w:r>
              <w:rPr>
                <w:rFonts w:hint="eastAsia"/>
                <w:color w:val="auto"/>
                <w:sz w:val="24"/>
                <w:highlight w:val="none"/>
              </w:rPr>
              <w:t>部</w:t>
            </w:r>
          </w:p>
          <w:p w14:paraId="1859A008">
            <w:pPr>
              <w:jc w:val="center"/>
              <w:rPr>
                <w:color w:val="auto"/>
                <w:sz w:val="24"/>
                <w:highlight w:val="none"/>
              </w:rPr>
            </w:pPr>
            <w:r>
              <w:rPr>
                <w:rFonts w:hint="eastAsia"/>
                <w:color w:val="auto"/>
                <w:sz w:val="24"/>
                <w:highlight w:val="none"/>
              </w:rPr>
              <w:t>门</w:t>
            </w:r>
          </w:p>
          <w:p w14:paraId="6E7B9D16">
            <w:pPr>
              <w:jc w:val="center"/>
              <w:rPr>
                <w:color w:val="auto"/>
                <w:sz w:val="24"/>
                <w:highlight w:val="none"/>
              </w:rPr>
            </w:pPr>
            <w:r>
              <w:rPr>
                <w:rFonts w:hint="eastAsia"/>
                <w:color w:val="auto"/>
                <w:sz w:val="24"/>
                <w:highlight w:val="none"/>
              </w:rPr>
              <w:t>意</w:t>
            </w:r>
          </w:p>
          <w:p w14:paraId="763F4C2B">
            <w:pPr>
              <w:jc w:val="center"/>
              <w:rPr>
                <w:color w:val="auto"/>
                <w:sz w:val="24"/>
                <w:highlight w:val="none"/>
              </w:rPr>
            </w:pPr>
            <w:r>
              <w:rPr>
                <w:rFonts w:hint="eastAsia"/>
                <w:color w:val="auto"/>
                <w:sz w:val="24"/>
                <w:highlight w:val="none"/>
              </w:rPr>
              <w:t>见</w:t>
            </w:r>
          </w:p>
        </w:tc>
        <w:tc>
          <w:tcPr>
            <w:tcW w:w="8009" w:type="dxa"/>
          </w:tcPr>
          <w:p w14:paraId="308A1D64">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4F751AB6">
            <w:pPr>
              <w:rPr>
                <w:color w:val="auto"/>
                <w:sz w:val="24"/>
                <w:highlight w:val="none"/>
              </w:rPr>
            </w:pPr>
          </w:p>
          <w:p w14:paraId="61C77FBB">
            <w:pPr>
              <w:rPr>
                <w:color w:val="auto"/>
                <w:sz w:val="24"/>
                <w:highlight w:val="none"/>
              </w:rPr>
            </w:pPr>
            <w:r>
              <w:rPr>
                <w:rFonts w:hint="eastAsia"/>
                <w:color w:val="auto"/>
                <w:sz w:val="24"/>
                <w:highlight w:val="none"/>
              </w:rPr>
              <w:t>会计审核：</w:t>
            </w:r>
          </w:p>
          <w:p w14:paraId="18977EF4">
            <w:pPr>
              <w:rPr>
                <w:color w:val="auto"/>
                <w:sz w:val="24"/>
                <w:highlight w:val="none"/>
              </w:rPr>
            </w:pPr>
          </w:p>
          <w:p w14:paraId="3A5AB684">
            <w:pPr>
              <w:rPr>
                <w:color w:val="auto"/>
                <w:sz w:val="24"/>
                <w:highlight w:val="none"/>
              </w:rPr>
            </w:pPr>
            <w:r>
              <w:rPr>
                <w:rFonts w:hint="eastAsia"/>
                <w:color w:val="auto"/>
                <w:sz w:val="24"/>
                <w:highlight w:val="none"/>
              </w:rPr>
              <w:t>财务负责人审核：</w:t>
            </w:r>
          </w:p>
          <w:p w14:paraId="0622EF8F">
            <w:pPr>
              <w:rPr>
                <w:color w:val="auto"/>
                <w:sz w:val="24"/>
                <w:highlight w:val="none"/>
              </w:rPr>
            </w:pPr>
          </w:p>
          <w:p w14:paraId="65D9A73F">
            <w:pPr>
              <w:rPr>
                <w:color w:val="auto"/>
                <w:sz w:val="24"/>
                <w:highlight w:val="none"/>
              </w:rPr>
            </w:pPr>
            <w:r>
              <w:rPr>
                <w:rFonts w:hint="eastAsia"/>
                <w:color w:val="auto"/>
                <w:sz w:val="24"/>
                <w:highlight w:val="none"/>
              </w:rPr>
              <w:t>单位负责人签字：</w:t>
            </w:r>
          </w:p>
          <w:p w14:paraId="687F5101">
            <w:pPr>
              <w:rPr>
                <w:color w:val="auto"/>
                <w:sz w:val="24"/>
                <w:highlight w:val="none"/>
              </w:rPr>
            </w:pPr>
          </w:p>
          <w:p w14:paraId="0E6C5453">
            <w:pPr>
              <w:rPr>
                <w:color w:val="auto"/>
                <w:sz w:val="24"/>
                <w:highlight w:val="none"/>
              </w:rPr>
            </w:pPr>
            <w:r>
              <w:rPr>
                <w:rFonts w:hint="eastAsia"/>
                <w:color w:val="auto"/>
                <w:sz w:val="24"/>
                <w:highlight w:val="none"/>
              </w:rPr>
              <w:t>出纳办理转帐日期：</w:t>
            </w:r>
          </w:p>
        </w:tc>
      </w:tr>
    </w:tbl>
    <w:p w14:paraId="566C8757">
      <w:pPr>
        <w:pStyle w:val="2"/>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注：供应商凭经采购单位审批的退付意见书到履约保证金收取单位财务部门办理履约保证金退付事宜。</w:t>
      </w:r>
    </w:p>
    <w:p w14:paraId="36E94BCA">
      <w:pPr>
        <w:pStyle w:val="22"/>
        <w:spacing w:line="360" w:lineRule="auto"/>
        <w:ind w:firstLine="402" w:firstLineChars="200"/>
        <w:textAlignment w:val="center"/>
        <w:rPr>
          <w:rFonts w:hAnsi="宋体"/>
          <w:b/>
          <w:color w:val="auto"/>
          <w:sz w:val="32"/>
          <w:szCs w:val="32"/>
          <w:highlight w:val="none"/>
        </w:rPr>
      </w:pPr>
      <w:r>
        <w:rPr>
          <w:rFonts w:hAnsi="宋体"/>
          <w:b/>
          <w:color w:val="auto"/>
          <w:highlight w:val="none"/>
        </w:rPr>
        <w:br w:type="page"/>
      </w:r>
    </w:p>
    <w:p w14:paraId="5B8ABBB4">
      <w:pPr>
        <w:pStyle w:val="5"/>
        <w:jc w:val="center"/>
        <w:rPr>
          <w:color w:val="auto"/>
          <w:highlight w:val="none"/>
        </w:rPr>
      </w:pPr>
      <w:bookmarkStart w:id="64" w:name="_Toc151675538"/>
      <w:r>
        <w:rPr>
          <w:rFonts w:hint="eastAsia"/>
          <w:color w:val="auto"/>
          <w:highlight w:val="none"/>
        </w:rPr>
        <w:t xml:space="preserve">第三章 </w:t>
      </w:r>
      <w:r>
        <w:rPr>
          <w:color w:val="auto"/>
          <w:highlight w:val="none"/>
        </w:rPr>
        <w:t xml:space="preserve"> </w:t>
      </w:r>
      <w:r>
        <w:rPr>
          <w:rFonts w:hint="eastAsia"/>
          <w:color w:val="auto"/>
          <w:highlight w:val="none"/>
        </w:rPr>
        <w:t>采购需求</w:t>
      </w:r>
      <w:bookmarkEnd w:id="64"/>
    </w:p>
    <w:p w14:paraId="7758102D">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3665E11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4B38AB75">
      <w:pPr>
        <w:spacing w:line="360" w:lineRule="exact"/>
        <w:ind w:firstLine="420" w:firstLineChars="200"/>
        <w:jc w:val="left"/>
        <w:rPr>
          <w:rFonts w:ascii="宋体" w:hAnsi="宋体" w:cs="宋体"/>
          <w:color w:val="auto"/>
          <w:szCs w:val="21"/>
          <w:highlight w:val="none"/>
        </w:rPr>
      </w:pPr>
      <w:r>
        <w:rPr>
          <w:rFonts w:ascii="宋体" w:hAnsi="宋体"/>
          <w:color w:val="auto"/>
          <w:highlight w:val="none"/>
        </w:rPr>
        <w:t>1.</w:t>
      </w:r>
      <w:r>
        <w:rPr>
          <w:rFonts w:hint="eastAsia"/>
          <w:color w:val="auto"/>
          <w:highlight w:val="none"/>
        </w:rPr>
        <w:t>为落实政府采购政策需满足的要求</w:t>
      </w:r>
    </w:p>
    <w:p w14:paraId="1C12662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本竞争性磋商采购文件所称中小企业必须符合《政府采购促进中小企业发展管理办法》（财库〔2020〕46号）的规定。</w:t>
      </w:r>
    </w:p>
    <w:p w14:paraId="58CA9299">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615A452D">
      <w:pPr>
        <w:spacing w:line="360" w:lineRule="exact"/>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本采购需求表凡标注“▲”的条款或要求不响应或不满足的，其响应文件即作无效竞标处理。</w:t>
      </w:r>
    </w:p>
    <w:p w14:paraId="0AE0936A">
      <w:pPr>
        <w:spacing w:line="360" w:lineRule="exact"/>
        <w:ind w:firstLine="424" w:firstLineChars="202"/>
        <w:jc w:val="left"/>
        <w:rPr>
          <w:color w:val="auto"/>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hint="eastAsia"/>
          <w:color w:val="auto"/>
          <w:highlight w:val="none"/>
        </w:rPr>
        <w:t>供应商必须自行为其竞标产品侵犯他人的知识产权或者专利成果的行为承担相应法律责任。</w:t>
      </w:r>
    </w:p>
    <w:p w14:paraId="6292CF61">
      <w:pPr>
        <w:spacing w:line="360" w:lineRule="exact"/>
        <w:ind w:firstLine="424" w:firstLineChars="202"/>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.所属行业依照《中小企业划型标准规定》（工信部联企业〔2011〕300号）及《国民经济行业分类》（GB/T4754-2017）的有关规定执行。</w:t>
      </w:r>
    </w:p>
    <w:p w14:paraId="0AE063BF">
      <w:pPr>
        <w:spacing w:line="360" w:lineRule="exact"/>
        <w:ind w:firstLine="426" w:firstLineChars="202"/>
        <w:jc w:val="left"/>
        <w:rPr>
          <w:rFonts w:ascii="宋体" w:hAnsi="宋体"/>
          <w:b/>
          <w:color w:val="auto"/>
          <w:szCs w:val="21"/>
          <w:highlight w:val="none"/>
          <w:u w:val="single"/>
        </w:rPr>
      </w:pPr>
      <w:r>
        <w:rPr>
          <w:rFonts w:ascii="宋体" w:hAnsi="宋体"/>
          <w:b/>
          <w:color w:val="auto"/>
          <w:szCs w:val="21"/>
          <w:highlight w:val="none"/>
        </w:rPr>
        <w:t>5</w:t>
      </w:r>
      <w:r>
        <w:rPr>
          <w:rFonts w:hint="eastAsia" w:ascii="宋体" w:hAnsi="宋体"/>
          <w:b/>
          <w:color w:val="auto"/>
          <w:szCs w:val="21"/>
          <w:highlight w:val="none"/>
        </w:rPr>
        <w:t>.</w:t>
      </w:r>
      <w:r>
        <w:rPr>
          <w:rFonts w:hint="eastAsia" w:ascii="宋体" w:hAnsi="宋体"/>
          <w:b/>
          <w:color w:val="auto"/>
          <w:szCs w:val="21"/>
          <w:highlight w:val="none"/>
          <w:u w:val="single"/>
        </w:rPr>
        <w:t>本项目采购需求表中要求提供的文件材料或承诺书（如有），请在《技术要求偏离表》或《商务要求偏离表》中应答时，注明相关文件材料或承诺书放置的页码。</w:t>
      </w:r>
    </w:p>
    <w:p w14:paraId="2AB16C19">
      <w:pPr>
        <w:spacing w:line="360" w:lineRule="auto"/>
        <w:ind w:firstLine="310" w:firstLineChars="147"/>
        <w:jc w:val="left"/>
        <w:rPr>
          <w:rFonts w:hint="eastAsia" w:ascii="宋体" w:hAnsi="宋体" w:eastAsia="宋体" w:cs="Times New Roman"/>
          <w:b/>
          <w:color w:val="auto"/>
          <w:szCs w:val="21"/>
          <w:highlight w:val="none"/>
          <w:lang w:eastAsia="zh-CN"/>
        </w:rPr>
      </w:pPr>
      <w:r>
        <w:rPr>
          <w:rFonts w:hint="eastAsia" w:ascii="宋体" w:hAnsi="宋体"/>
          <w:b/>
          <w:color w:val="auto"/>
          <w:szCs w:val="21"/>
          <w:highlight w:val="none"/>
        </w:rPr>
        <w:t>分标</w:t>
      </w:r>
      <w:r>
        <w:rPr>
          <w:rFonts w:hint="eastAsia" w:ascii="宋体" w:hAnsi="宋体"/>
          <w:b/>
          <w:color w:val="auto"/>
          <w:szCs w:val="21"/>
          <w:highlight w:val="none"/>
          <w:lang w:val="en-US" w:eastAsia="zh-CN"/>
        </w:rPr>
        <w:t>1</w:t>
      </w:r>
      <w:r>
        <w:rPr>
          <w:rFonts w:hint="eastAsia" w:ascii="宋体" w:hAnsi="宋体"/>
          <w:b/>
          <w:color w:val="auto"/>
          <w:szCs w:val="21"/>
          <w:highlight w:val="none"/>
        </w:rPr>
        <w:t xml:space="preserve">      采购预算：</w:t>
      </w:r>
      <w:r>
        <w:rPr>
          <w:rFonts w:hint="eastAsia" w:ascii="宋体" w:hAnsi="宋体" w:eastAsia="宋体" w:cs="Times New Roman"/>
          <w:b/>
          <w:color w:val="auto"/>
          <w:szCs w:val="21"/>
          <w:highlight w:val="none"/>
        </w:rPr>
        <w:t xml:space="preserve"> </w:t>
      </w:r>
      <w:r>
        <w:rPr>
          <w:rFonts w:hint="eastAsia" w:ascii="宋体" w:hAnsi="宋体" w:cs="Times New Roman"/>
          <w:b/>
          <w:color w:val="auto"/>
          <w:szCs w:val="21"/>
          <w:highlight w:val="none"/>
          <w:lang w:val="en-US" w:eastAsia="zh-CN"/>
        </w:rPr>
        <w:t>1</w:t>
      </w:r>
      <w:r>
        <w:rPr>
          <w:rFonts w:hint="eastAsia" w:ascii="宋体" w:hAnsi="宋体" w:eastAsia="宋体" w:cs="Times New Roman"/>
          <w:b/>
          <w:color w:val="auto"/>
          <w:szCs w:val="21"/>
          <w:highlight w:val="none"/>
          <w:lang w:val="en-US" w:eastAsia="zh-CN"/>
        </w:rPr>
        <w:t>00</w:t>
      </w:r>
      <w:r>
        <w:rPr>
          <w:rFonts w:hint="eastAsia" w:ascii="宋体" w:hAnsi="宋体" w:eastAsia="宋体" w:cs="Times New Roman"/>
          <w:b/>
          <w:color w:val="auto"/>
          <w:szCs w:val="21"/>
          <w:highlight w:val="none"/>
        </w:rPr>
        <w:t xml:space="preserve">.00万元 </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最高限价：</w:t>
      </w:r>
      <w:r>
        <w:rPr>
          <w:rFonts w:hint="eastAsia" w:ascii="宋体" w:hAnsi="宋体" w:cs="Times New Roman"/>
          <w:b/>
          <w:color w:val="auto"/>
          <w:szCs w:val="21"/>
          <w:highlight w:val="none"/>
          <w:lang w:val="en-US" w:eastAsia="zh-CN"/>
        </w:rPr>
        <w:t>1</w:t>
      </w:r>
      <w:r>
        <w:rPr>
          <w:rFonts w:hint="eastAsia" w:ascii="宋体" w:hAnsi="宋体" w:eastAsia="宋体" w:cs="Times New Roman"/>
          <w:b/>
          <w:color w:val="auto"/>
          <w:szCs w:val="21"/>
          <w:highlight w:val="none"/>
          <w:lang w:val="en-US" w:eastAsia="zh-CN"/>
        </w:rPr>
        <w:t>00.00万元</w:t>
      </w:r>
    </w:p>
    <w:tbl>
      <w:tblPr>
        <w:tblStyle w:val="34"/>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4"/>
        <w:gridCol w:w="916"/>
        <w:gridCol w:w="405"/>
        <w:gridCol w:w="278"/>
        <w:gridCol w:w="735"/>
        <w:gridCol w:w="6162"/>
      </w:tblGrid>
      <w:tr w14:paraId="5C74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27" w:type="pct"/>
            <w:vAlign w:val="center"/>
          </w:tcPr>
          <w:p w14:paraId="73B823C2">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04" w:type="pct"/>
            <w:vAlign w:val="center"/>
          </w:tcPr>
          <w:p w14:paraId="0BD00DE2">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76" w:type="pct"/>
            <w:gridSpan w:val="2"/>
            <w:vAlign w:val="center"/>
          </w:tcPr>
          <w:p w14:paraId="7D032F59">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404" w:type="pct"/>
            <w:vAlign w:val="center"/>
          </w:tcPr>
          <w:p w14:paraId="5E2E25D7">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4F3E3C39">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3386" w:type="pct"/>
            <w:vAlign w:val="center"/>
          </w:tcPr>
          <w:p w14:paraId="4ADE38B3">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73CB9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jc w:val="center"/>
        </w:trPr>
        <w:tc>
          <w:tcPr>
            <w:tcW w:w="327" w:type="pct"/>
            <w:vAlign w:val="center"/>
          </w:tcPr>
          <w:p w14:paraId="2E8805DD">
            <w:pPr>
              <w:tabs>
                <w:tab w:val="left" w:pos="180"/>
                <w:tab w:val="left" w:pos="1620"/>
              </w:tabs>
              <w:spacing w:line="360" w:lineRule="exact"/>
              <w:rPr>
                <w:rFonts w:ascii="宋体" w:hAnsi="宋体" w:cs="宋体"/>
                <w:color w:val="auto"/>
                <w:szCs w:val="21"/>
                <w:highlight w:val="none"/>
              </w:rPr>
            </w:pPr>
            <w:r>
              <w:rPr>
                <w:rFonts w:hint="eastAsia" w:ascii="宋体" w:hAnsi="宋体" w:cs="宋体"/>
                <w:color w:val="auto"/>
                <w:szCs w:val="21"/>
                <w:highlight w:val="none"/>
              </w:rPr>
              <w:t>1</w:t>
            </w:r>
          </w:p>
        </w:tc>
        <w:tc>
          <w:tcPr>
            <w:tcW w:w="504" w:type="pct"/>
            <w:vAlign w:val="center"/>
          </w:tcPr>
          <w:p w14:paraId="31DB3FD7">
            <w:pPr>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自治区本级国有土地清查及资产配置综合技术服务</w:t>
            </w:r>
          </w:p>
        </w:tc>
        <w:tc>
          <w:tcPr>
            <w:tcW w:w="376" w:type="pct"/>
            <w:gridSpan w:val="2"/>
            <w:vAlign w:val="center"/>
          </w:tcPr>
          <w:p w14:paraId="5A53FCD8">
            <w:pPr>
              <w:spacing w:line="360" w:lineRule="exact"/>
              <w:rPr>
                <w:rFonts w:ascii="宋体" w:hAnsi="宋体" w:cs="宋体"/>
                <w:color w:val="auto"/>
                <w:szCs w:val="21"/>
                <w:highlight w:val="none"/>
              </w:rPr>
            </w:pPr>
            <w:r>
              <w:rPr>
                <w:rFonts w:hint="eastAsia" w:ascii="宋体" w:hAnsi="宋体" w:cs="宋体"/>
                <w:color w:val="auto"/>
                <w:szCs w:val="21"/>
                <w:highlight w:val="none"/>
              </w:rPr>
              <w:t>1项</w:t>
            </w:r>
          </w:p>
        </w:tc>
        <w:tc>
          <w:tcPr>
            <w:tcW w:w="404" w:type="pct"/>
            <w:vAlign w:val="center"/>
          </w:tcPr>
          <w:p w14:paraId="1B5C2449">
            <w:pPr>
              <w:tabs>
                <w:tab w:val="left" w:pos="180"/>
                <w:tab w:val="left" w:pos="1620"/>
              </w:tabs>
              <w:spacing w:line="360" w:lineRule="exact"/>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3386" w:type="pct"/>
            <w:shd w:val="clear" w:color="auto" w:fill="auto"/>
            <w:vAlign w:val="center"/>
          </w:tcPr>
          <w:p w14:paraId="62639C2D">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（一）广西本级企事业单位名录及土地资产台账更新</w:t>
            </w:r>
          </w:p>
          <w:p w14:paraId="586A3B20">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1.结合各单位开发利用自治区本级国有土地的申请、市县使用自治区本级国有土地的情况综合分析，</w:t>
            </w:r>
            <w:r>
              <w:rPr>
                <w:rFonts w:hint="eastAsia" w:ascii="宋体" w:hAnsi="宋体" w:cs="宋体"/>
                <w:color w:val="auto"/>
                <w:szCs w:val="21"/>
                <w:highlight w:val="none"/>
                <w:lang w:val="en-US" w:eastAsia="zh-CN"/>
              </w:rPr>
              <w:t>更新</w:t>
            </w:r>
            <w:r>
              <w:rPr>
                <w:rFonts w:hint="eastAsia" w:ascii="宋体" w:hAnsi="宋体" w:eastAsia="宋体" w:cs="宋体"/>
                <w:color w:val="auto"/>
                <w:szCs w:val="21"/>
                <w:highlight w:val="none"/>
                <w:lang w:eastAsia="zh-CN"/>
              </w:rPr>
              <w:t>自治区本级国有企事业单位名录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自治区本级国有土地资产管理台账，并收集整理</w:t>
            </w:r>
            <w:r>
              <w:rPr>
                <w:rFonts w:hint="eastAsia" w:ascii="宋体" w:hAnsi="宋体" w:cs="宋体"/>
                <w:color w:val="auto"/>
                <w:szCs w:val="21"/>
                <w:highlight w:val="none"/>
                <w:lang w:val="en-US" w:eastAsia="zh-CN"/>
              </w:rPr>
              <w:t>相关</w:t>
            </w:r>
            <w:r>
              <w:rPr>
                <w:rFonts w:hint="eastAsia" w:ascii="宋体" w:hAnsi="宋体" w:eastAsia="宋体" w:cs="宋体"/>
                <w:color w:val="auto"/>
                <w:szCs w:val="21"/>
                <w:highlight w:val="none"/>
                <w:lang w:eastAsia="zh-CN"/>
              </w:rPr>
              <w:t>佐证材料。</w:t>
            </w:r>
          </w:p>
          <w:p w14:paraId="575D2497">
            <w:pPr>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.协助指导各市县人民政府和土地管理单位做好权属纠纷调处和被侵占整治工作。</w:t>
            </w:r>
          </w:p>
          <w:p w14:paraId="3830E3AF">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（二）自治区本级土地矢量化综合技术服务</w:t>
            </w:r>
          </w:p>
          <w:p w14:paraId="7DA0D658">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1.持续完善自治区本级国有土地矢量数据库，</w:t>
            </w:r>
            <w:r>
              <w:rPr>
                <w:rFonts w:hint="eastAsia" w:ascii="宋体" w:hAnsi="宋体" w:cs="宋体"/>
                <w:color w:val="auto"/>
                <w:szCs w:val="21"/>
                <w:highlight w:val="none"/>
                <w:lang w:val="en-US" w:eastAsia="zh-CN"/>
              </w:rPr>
              <w:t>核实已入库自治区本级国有土地准确性</w:t>
            </w:r>
            <w:r>
              <w:rPr>
                <w:rFonts w:hint="eastAsia" w:ascii="宋体" w:hAnsi="宋体" w:eastAsia="宋体" w:cs="宋体"/>
                <w:color w:val="auto"/>
                <w:szCs w:val="21"/>
                <w:highlight w:val="none"/>
                <w:lang w:eastAsia="zh-CN"/>
              </w:rPr>
              <w:t>。</w:t>
            </w:r>
          </w:p>
          <w:p w14:paraId="5888577A">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2.根据</w:t>
            </w:r>
            <w:r>
              <w:rPr>
                <w:rFonts w:hint="eastAsia" w:ascii="宋体" w:hAnsi="宋体" w:cs="宋体"/>
                <w:color w:val="auto"/>
                <w:szCs w:val="21"/>
                <w:highlight w:val="none"/>
                <w:lang w:val="en-US" w:eastAsia="zh-CN"/>
              </w:rPr>
              <w:t>自治区本级国有土地资产</w:t>
            </w:r>
            <w:r>
              <w:rPr>
                <w:rFonts w:hint="eastAsia" w:ascii="宋体" w:hAnsi="宋体" w:eastAsia="宋体" w:cs="宋体"/>
                <w:color w:val="auto"/>
                <w:szCs w:val="21"/>
                <w:highlight w:val="none"/>
                <w:lang w:eastAsia="zh-CN"/>
              </w:rPr>
              <w:t>变化情况，动态更新自治区本级国有土地矢量数据库。</w:t>
            </w:r>
          </w:p>
          <w:p w14:paraId="38B055EA">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3.结合</w:t>
            </w:r>
            <w:r>
              <w:rPr>
                <w:rFonts w:hint="eastAsia" w:ascii="宋体" w:hAnsi="宋体" w:cs="宋体"/>
                <w:color w:val="auto"/>
                <w:szCs w:val="21"/>
                <w:highlight w:val="none"/>
                <w:lang w:val="en-US" w:eastAsia="zh-CN"/>
              </w:rPr>
              <w:t>自治区</w:t>
            </w:r>
            <w:r>
              <w:rPr>
                <w:rFonts w:hint="eastAsia" w:ascii="宋体" w:hAnsi="宋体" w:eastAsia="宋体" w:cs="宋体"/>
                <w:color w:val="auto"/>
                <w:szCs w:val="21"/>
                <w:highlight w:val="none"/>
                <w:lang w:eastAsia="zh-CN"/>
              </w:rPr>
              <w:t>本级企事业单位名录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国有土地</w:t>
            </w:r>
            <w:r>
              <w:rPr>
                <w:rFonts w:hint="eastAsia" w:ascii="宋体" w:hAnsi="宋体" w:cs="宋体"/>
                <w:color w:val="auto"/>
                <w:szCs w:val="21"/>
                <w:highlight w:val="none"/>
                <w:lang w:val="en-US" w:eastAsia="zh-CN"/>
              </w:rPr>
              <w:t>资产台账及</w:t>
            </w:r>
            <w:r>
              <w:rPr>
                <w:rFonts w:hint="eastAsia" w:ascii="宋体" w:hAnsi="宋体" w:eastAsia="宋体" w:cs="宋体"/>
                <w:color w:val="auto"/>
                <w:szCs w:val="21"/>
                <w:highlight w:val="none"/>
                <w:lang w:eastAsia="zh-CN"/>
              </w:rPr>
              <w:t>矢量数据库</w:t>
            </w:r>
            <w:r>
              <w:rPr>
                <w:rFonts w:hint="eastAsia" w:ascii="宋体" w:hAnsi="宋体" w:cs="宋体"/>
                <w:color w:val="auto"/>
                <w:szCs w:val="21"/>
                <w:highlight w:val="none"/>
                <w:lang w:val="en-US" w:eastAsia="zh-CN"/>
              </w:rPr>
              <w:t>更新情况</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提出</w:t>
            </w:r>
            <w:r>
              <w:rPr>
                <w:rFonts w:hint="eastAsia" w:ascii="宋体" w:hAnsi="宋体" w:eastAsia="宋体" w:cs="宋体"/>
                <w:color w:val="auto"/>
                <w:szCs w:val="21"/>
                <w:highlight w:val="none"/>
                <w:lang w:eastAsia="zh-CN"/>
              </w:rPr>
              <w:t>完善广西全民所有自然资源资产管理信息系统中自治区本级国有土地管理模块</w:t>
            </w:r>
            <w:r>
              <w:rPr>
                <w:rFonts w:hint="eastAsia" w:ascii="宋体" w:hAnsi="宋体" w:cs="宋体"/>
                <w:color w:val="auto"/>
                <w:szCs w:val="21"/>
                <w:highlight w:val="none"/>
                <w:lang w:val="en-US" w:eastAsia="zh-CN"/>
              </w:rPr>
              <w:t>功能需求</w:t>
            </w:r>
            <w:r>
              <w:rPr>
                <w:rFonts w:hint="eastAsia" w:ascii="宋体" w:hAnsi="宋体" w:eastAsia="宋体" w:cs="宋体"/>
                <w:color w:val="auto"/>
                <w:szCs w:val="21"/>
                <w:highlight w:val="none"/>
                <w:lang w:eastAsia="zh-CN"/>
              </w:rPr>
              <w:t>。</w:t>
            </w:r>
          </w:p>
          <w:p w14:paraId="3486E4A1">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（三）全民所有自然资源资产配置方案和实施计划研究和实践-以南宁为例</w:t>
            </w:r>
          </w:p>
          <w:p w14:paraId="131FD2AC">
            <w:pPr>
              <w:spacing w:line="36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1.收集整理</w:t>
            </w:r>
            <w:r>
              <w:rPr>
                <w:rFonts w:hint="eastAsia" w:ascii="宋体" w:hAnsi="宋体" w:cs="宋体"/>
                <w:color w:val="auto"/>
                <w:szCs w:val="21"/>
                <w:highlight w:val="none"/>
                <w:lang w:val="en-US" w:eastAsia="zh-CN"/>
              </w:rPr>
              <w:t>南宁市自然资源资产分布、权属、利用状况等情况，分析南宁市自然资源资产开发利用情况。</w:t>
            </w:r>
          </w:p>
          <w:p w14:paraId="653FA558">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cs="宋体"/>
                <w:color w:val="auto"/>
                <w:szCs w:val="21"/>
                <w:highlight w:val="none"/>
                <w:lang w:val="en-US" w:eastAsia="zh-CN"/>
              </w:rPr>
              <w:t>结合南宁市自然资源资产开发利用情况，统筹谋划南宁市自然资源资产</w:t>
            </w:r>
            <w:r>
              <w:rPr>
                <w:rFonts w:hint="eastAsia" w:ascii="宋体" w:hAnsi="宋体" w:eastAsia="宋体" w:cs="宋体"/>
                <w:color w:val="auto"/>
                <w:szCs w:val="21"/>
                <w:highlight w:val="none"/>
                <w:lang w:eastAsia="zh-CN"/>
              </w:rPr>
              <w:t>整备、配置以及权利流转、价值实现、收益分配、经营模式等重要内容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划定</w:t>
            </w:r>
            <w:r>
              <w:rPr>
                <w:rFonts w:hint="eastAsia" w:ascii="宋体" w:hAnsi="宋体" w:cs="宋体"/>
                <w:color w:val="auto"/>
                <w:szCs w:val="21"/>
                <w:highlight w:val="none"/>
                <w:lang w:val="en-US" w:eastAsia="zh-CN"/>
              </w:rPr>
              <w:t>南宁市自然资源资产</w:t>
            </w:r>
            <w:r>
              <w:rPr>
                <w:rFonts w:hint="eastAsia" w:ascii="宋体" w:hAnsi="宋体" w:eastAsia="宋体" w:cs="宋体"/>
                <w:color w:val="auto"/>
                <w:szCs w:val="21"/>
                <w:highlight w:val="none"/>
                <w:lang w:eastAsia="zh-CN"/>
              </w:rPr>
              <w:t>整备片区和配置单元。</w:t>
            </w:r>
          </w:p>
          <w:p w14:paraId="54E3E161">
            <w:pPr>
              <w:spacing w:line="360" w:lineRule="exact"/>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3.</w:t>
            </w:r>
            <w:r>
              <w:rPr>
                <w:rFonts w:hint="eastAsia" w:ascii="宋体" w:hAnsi="宋体" w:cs="宋体"/>
                <w:color w:val="auto"/>
                <w:szCs w:val="21"/>
                <w:highlight w:val="none"/>
                <w:lang w:val="en-US" w:eastAsia="zh-CN"/>
              </w:rPr>
              <w:t>研究</w:t>
            </w:r>
            <w:r>
              <w:rPr>
                <w:rFonts w:hint="eastAsia" w:ascii="宋体" w:hAnsi="宋体" w:eastAsia="宋体" w:cs="宋体"/>
                <w:color w:val="auto"/>
                <w:szCs w:val="21"/>
                <w:highlight w:val="none"/>
                <w:lang w:eastAsia="zh-CN"/>
              </w:rPr>
              <w:t>细化自然资源资产配置的时序、方式、规模、用途、权益等</w:t>
            </w:r>
            <w:r>
              <w:rPr>
                <w:rFonts w:hint="eastAsia" w:ascii="宋体" w:hAnsi="宋体" w:cs="宋体"/>
                <w:color w:val="auto"/>
                <w:szCs w:val="21"/>
                <w:highlight w:val="none"/>
                <w:lang w:eastAsia="zh-CN"/>
              </w:rPr>
              <w:t>。</w:t>
            </w:r>
          </w:p>
          <w:p w14:paraId="77DAA737">
            <w:pPr>
              <w:spacing w:line="36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4.配合</w:t>
            </w:r>
            <w:r>
              <w:rPr>
                <w:rFonts w:hint="eastAsia" w:ascii="宋体" w:hAnsi="宋体" w:eastAsia="宋体" w:cs="宋体"/>
                <w:color w:val="auto"/>
                <w:szCs w:val="21"/>
                <w:highlight w:val="none"/>
                <w:lang w:eastAsia="zh-CN"/>
              </w:rPr>
              <w:t>编制《全民所有自然资源资产配置方案—以南宁市为例》。</w:t>
            </w:r>
          </w:p>
        </w:tc>
      </w:tr>
      <w:tr w14:paraId="3D48B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tcPr>
          <w:p w14:paraId="22719ADB">
            <w:pPr>
              <w:spacing w:line="360" w:lineRule="exact"/>
              <w:rPr>
                <w:rFonts w:ascii="宋体" w:hAnsi="宋体" w:cs="宋体"/>
                <w:color w:val="auto"/>
                <w:szCs w:val="21"/>
                <w:highlight w:val="none"/>
              </w:rPr>
            </w:pPr>
            <w:r>
              <w:rPr>
                <w:rFonts w:hint="eastAsia" w:ascii="宋体" w:hAnsi="宋体" w:cs="宋体"/>
                <w:b/>
                <w:color w:val="auto"/>
                <w:szCs w:val="21"/>
                <w:highlight w:val="none"/>
              </w:rPr>
              <w:t>商务要求</w:t>
            </w:r>
          </w:p>
        </w:tc>
      </w:tr>
      <w:tr w14:paraId="74D2C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5" w:type="dxa"/>
            <w:gridSpan w:val="3"/>
            <w:tcBorders>
              <w:top w:val="single" w:color="auto" w:sz="4" w:space="0"/>
              <w:left w:val="single" w:color="auto" w:sz="4" w:space="0"/>
              <w:bottom w:val="single" w:color="auto" w:sz="4" w:space="0"/>
              <w:right w:val="single" w:color="auto" w:sz="4" w:space="0"/>
            </w:tcBorders>
            <w:vAlign w:val="center"/>
          </w:tcPr>
          <w:p w14:paraId="748D9DE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7175" w:type="dxa"/>
            <w:gridSpan w:val="3"/>
            <w:tcBorders>
              <w:top w:val="single" w:color="auto" w:sz="4" w:space="0"/>
              <w:left w:val="single" w:color="auto" w:sz="4" w:space="0"/>
              <w:bottom w:val="single" w:color="auto" w:sz="4" w:space="0"/>
              <w:right w:val="single" w:color="auto" w:sz="4" w:space="0"/>
            </w:tcBorders>
            <w:vAlign w:val="center"/>
          </w:tcPr>
          <w:p w14:paraId="7B595110">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通知书发出之日起25个日历日内。</w:t>
            </w:r>
          </w:p>
        </w:tc>
      </w:tr>
      <w:tr w14:paraId="17C12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5" w:type="dxa"/>
            <w:gridSpan w:val="3"/>
            <w:tcBorders>
              <w:top w:val="single" w:color="auto" w:sz="4" w:space="0"/>
              <w:left w:val="single" w:color="auto" w:sz="4" w:space="0"/>
              <w:bottom w:val="single" w:color="auto" w:sz="4" w:space="0"/>
              <w:right w:val="single" w:color="auto" w:sz="4" w:space="0"/>
            </w:tcBorders>
            <w:vAlign w:val="center"/>
          </w:tcPr>
          <w:p w14:paraId="0273838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服务期限及服务地点</w:t>
            </w:r>
          </w:p>
        </w:tc>
        <w:tc>
          <w:tcPr>
            <w:tcW w:w="7175" w:type="dxa"/>
            <w:gridSpan w:val="3"/>
            <w:tcBorders>
              <w:top w:val="single" w:color="auto" w:sz="4" w:space="0"/>
              <w:left w:val="single" w:color="auto" w:sz="4" w:space="0"/>
              <w:bottom w:val="single" w:color="auto" w:sz="4" w:space="0"/>
              <w:right w:val="single" w:color="auto" w:sz="4" w:space="0"/>
            </w:tcBorders>
            <w:vAlign w:val="center"/>
          </w:tcPr>
          <w:p w14:paraId="608A51B8">
            <w:pPr>
              <w:spacing w:line="360" w:lineRule="exact"/>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olor w:val="auto"/>
                <w:szCs w:val="21"/>
                <w:highlight w:val="none"/>
              </w:rPr>
              <w:t>自合同签订之日起至202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default" w:ascii="宋体" w:hAnsi="宋体"/>
                <w:color w:val="auto"/>
                <w:szCs w:val="21"/>
                <w:highlight w:val="none"/>
                <w:lang w:val="en-US" w:eastAsia="zh-CN"/>
              </w:rPr>
              <w:t>31</w:t>
            </w:r>
            <w:r>
              <w:rPr>
                <w:rFonts w:hint="eastAsia" w:ascii="宋体" w:hAnsi="宋体"/>
                <w:color w:val="auto"/>
                <w:szCs w:val="21"/>
                <w:highlight w:val="none"/>
              </w:rPr>
              <w:t>日</w:t>
            </w:r>
            <w:r>
              <w:rPr>
                <w:rFonts w:hint="eastAsia" w:ascii="宋体" w:hAnsi="宋体" w:cs="宋体"/>
                <w:color w:val="auto"/>
                <w:szCs w:val="21"/>
                <w:highlight w:val="none"/>
              </w:rPr>
              <w:t>。</w:t>
            </w:r>
          </w:p>
          <w:p w14:paraId="442ABAA1">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2、服务地点：广西区采购人指定地点。</w:t>
            </w:r>
          </w:p>
        </w:tc>
      </w:tr>
      <w:tr w14:paraId="1F34F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4" w:type="pct"/>
            <w:gridSpan w:val="3"/>
            <w:tcBorders>
              <w:top w:val="single" w:color="auto" w:sz="4" w:space="0"/>
              <w:left w:val="single" w:color="auto" w:sz="4" w:space="0"/>
              <w:bottom w:val="single" w:color="auto" w:sz="4" w:space="0"/>
              <w:right w:val="single" w:color="auto" w:sz="4" w:space="0"/>
            </w:tcBorders>
            <w:vAlign w:val="center"/>
          </w:tcPr>
          <w:p w14:paraId="6C2C83B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3945" w:type="pct"/>
            <w:gridSpan w:val="3"/>
            <w:tcBorders>
              <w:top w:val="single" w:color="auto" w:sz="4" w:space="0"/>
              <w:left w:val="single" w:color="auto" w:sz="4" w:space="0"/>
              <w:bottom w:val="single" w:color="auto" w:sz="4" w:space="0"/>
              <w:right w:val="single" w:color="auto" w:sz="4" w:space="0"/>
            </w:tcBorders>
            <w:vAlign w:val="center"/>
          </w:tcPr>
          <w:p w14:paraId="5C640CBE">
            <w:pPr>
              <w:spacing w:line="360" w:lineRule="exact"/>
              <w:rPr>
                <w:rFonts w:ascii="宋体" w:hAnsi="宋体" w:cs="宋体"/>
                <w:color w:val="auto"/>
                <w:szCs w:val="21"/>
                <w:highlight w:val="none"/>
              </w:rPr>
            </w:pPr>
            <w:r>
              <w:rPr>
                <w:rFonts w:hint="eastAsia" w:ascii="宋体" w:hAnsi="宋体" w:cs="宋体"/>
                <w:color w:val="auto"/>
                <w:szCs w:val="21"/>
                <w:highlight w:val="none"/>
              </w:rPr>
              <w:t>报价包含供应商完成本项目服务所有内容及其他相关服务的投入、项目验收费、附加培训、售后服务、税金、利润及其他所有可能发生的一切费用。项目实施过程中，采购人不再支付任何费用。</w:t>
            </w:r>
          </w:p>
        </w:tc>
      </w:tr>
      <w:tr w14:paraId="19181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4" w:type="pct"/>
            <w:gridSpan w:val="3"/>
            <w:tcBorders>
              <w:top w:val="single" w:color="auto" w:sz="4" w:space="0"/>
              <w:left w:val="single" w:color="auto" w:sz="4" w:space="0"/>
              <w:bottom w:val="single" w:color="auto" w:sz="4" w:space="0"/>
              <w:right w:val="single" w:color="auto" w:sz="4" w:space="0"/>
            </w:tcBorders>
            <w:vAlign w:val="center"/>
          </w:tcPr>
          <w:p w14:paraId="652F2F8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验收要求</w:t>
            </w:r>
          </w:p>
        </w:tc>
        <w:tc>
          <w:tcPr>
            <w:tcW w:w="3945" w:type="pct"/>
            <w:gridSpan w:val="3"/>
            <w:tcBorders>
              <w:top w:val="single" w:color="auto" w:sz="4" w:space="0"/>
              <w:left w:val="single" w:color="auto" w:sz="4" w:space="0"/>
              <w:bottom w:val="single" w:color="auto" w:sz="4" w:space="0"/>
              <w:right w:val="single" w:color="auto" w:sz="4" w:space="0"/>
            </w:tcBorders>
            <w:vAlign w:val="center"/>
          </w:tcPr>
          <w:p w14:paraId="3ECC9ECB">
            <w:pPr>
              <w:spacing w:line="360" w:lineRule="exact"/>
              <w:rPr>
                <w:rFonts w:ascii="宋体" w:hAnsi="宋体" w:cs="宋体"/>
                <w:color w:val="auto"/>
                <w:szCs w:val="21"/>
                <w:highlight w:val="none"/>
              </w:rPr>
            </w:pPr>
            <w:r>
              <w:rPr>
                <w:rFonts w:hint="eastAsia" w:ascii="宋体" w:hAnsi="宋体" w:cs="宋体"/>
                <w:color w:val="auto"/>
                <w:szCs w:val="21"/>
                <w:highlight w:val="none"/>
              </w:rPr>
              <w:t>采购人验收的标准以《采购合同书》、《竞争性磋商文件》和有关的补充协议或项目要求等作为验收合格的根据。经采购人验收，不符合</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合同规定的成果，采购人有权拒绝接受。</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供应商应根据国家及广西壮族自治区的标准及相关要求进行返工，所造成的经济损失由</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供应商承担。</w:t>
            </w:r>
          </w:p>
        </w:tc>
      </w:tr>
      <w:tr w14:paraId="52F3A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4" w:type="pct"/>
            <w:gridSpan w:val="3"/>
            <w:tcBorders>
              <w:top w:val="single" w:color="auto" w:sz="4" w:space="0"/>
              <w:left w:val="single" w:color="auto" w:sz="4" w:space="0"/>
              <w:bottom w:val="single" w:color="auto" w:sz="4" w:space="0"/>
              <w:right w:val="single" w:color="auto" w:sz="4" w:space="0"/>
            </w:tcBorders>
            <w:vAlign w:val="center"/>
          </w:tcPr>
          <w:p w14:paraId="67E5AB5B">
            <w:pPr>
              <w:spacing w:line="360" w:lineRule="exact"/>
              <w:jc w:val="center"/>
              <w:rPr>
                <w:rFonts w:ascii="宋体" w:hAnsi="宋体" w:cs="宋体"/>
                <w:b/>
                <w:color w:val="auto"/>
                <w:szCs w:val="21"/>
                <w:highlight w:val="none"/>
              </w:rPr>
            </w:pPr>
            <w:r>
              <w:rPr>
                <w:rFonts w:hint="eastAsia" w:ascii="宋体" w:hAnsi="宋体" w:cs="宋体"/>
                <w:color w:val="auto"/>
                <w:szCs w:val="21"/>
                <w:highlight w:val="none"/>
              </w:rPr>
              <w:t>付款条件</w:t>
            </w:r>
          </w:p>
        </w:tc>
        <w:tc>
          <w:tcPr>
            <w:tcW w:w="3945" w:type="pct"/>
            <w:gridSpan w:val="3"/>
            <w:tcBorders>
              <w:top w:val="single" w:color="auto" w:sz="4" w:space="0"/>
              <w:left w:val="single" w:color="auto" w:sz="4" w:space="0"/>
              <w:bottom w:val="single" w:color="auto" w:sz="4" w:space="0"/>
              <w:right w:val="single" w:color="auto" w:sz="4" w:space="0"/>
            </w:tcBorders>
            <w:vAlign w:val="center"/>
          </w:tcPr>
          <w:p w14:paraId="353BD9D1">
            <w:pPr>
              <w:spacing w:line="360" w:lineRule="exact"/>
              <w:rPr>
                <w:rFonts w:ascii="宋体" w:hAnsi="宋体" w:cs="宋体"/>
                <w:color w:val="auto"/>
                <w:szCs w:val="21"/>
                <w:highlight w:val="none"/>
              </w:rPr>
            </w:pP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双方签署合同后的10个工作日内，采购人向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支付合同总价款的30%；</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w:t>
            </w:r>
            <w:r>
              <w:rPr>
                <w:rFonts w:hint="eastAsia" w:ascii="宋体" w:hAnsi="宋体" w:cs="宋体"/>
                <w:color w:val="auto"/>
                <w:sz w:val="21"/>
                <w:szCs w:val="21"/>
                <w:highlight w:val="none"/>
                <w:lang w:val="en-US" w:eastAsia="zh-CN"/>
              </w:rPr>
              <w:t>要求</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val="en-US" w:eastAsia="zh-CN"/>
              </w:rPr>
              <w:t>《自治区本级国有土地资产管理技术服务工作方案》、《自然资源资产配置方案—以南宁市为例工作方案》</w:t>
            </w:r>
            <w:r>
              <w:rPr>
                <w:rFonts w:hint="eastAsia" w:ascii="宋体" w:hAnsi="宋体" w:cs="宋体"/>
                <w:color w:val="auto"/>
                <w:sz w:val="21"/>
                <w:szCs w:val="21"/>
                <w:highlight w:val="none"/>
              </w:rPr>
              <w:t>，并获得采购人确认后的10个工作日内，采购人向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支付合同总价款的30%；</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按要求完成</w:t>
            </w:r>
            <w:r>
              <w:rPr>
                <w:rFonts w:hint="eastAsia" w:ascii="宋体" w:hAnsi="宋体" w:cs="宋体"/>
                <w:color w:val="auto"/>
                <w:sz w:val="21"/>
                <w:szCs w:val="21"/>
                <w:highlight w:val="none"/>
                <w:lang w:val="en-US" w:eastAsia="zh-CN"/>
              </w:rPr>
              <w:t>2025年自治区本级国有土地矢量数据库、《自然资源资产配置方案—以南宁市为例》初步成果</w:t>
            </w:r>
            <w:r>
              <w:rPr>
                <w:rFonts w:hint="eastAsia" w:ascii="宋体" w:hAnsi="宋体" w:cs="宋体"/>
                <w:color w:val="auto"/>
                <w:sz w:val="21"/>
                <w:szCs w:val="21"/>
                <w:highlight w:val="none"/>
              </w:rPr>
              <w:t>，并获得采购人确认后的10个工作日内，采购人向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支付合同总价款的30%；</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按要求</w:t>
            </w:r>
            <w:r>
              <w:rPr>
                <w:rFonts w:hint="eastAsia" w:ascii="宋体" w:hAnsi="宋体" w:cs="宋体"/>
                <w:color w:val="auto"/>
                <w:sz w:val="21"/>
                <w:szCs w:val="21"/>
                <w:highlight w:val="none"/>
                <w:lang w:val="en-US" w:eastAsia="zh-CN"/>
              </w:rPr>
              <w:t>完成2025年自治区本级国有土地矢量数据库、《自然资源资产配置方案—以南宁市为例》最终成果</w:t>
            </w:r>
            <w:r>
              <w:rPr>
                <w:rFonts w:hint="eastAsia" w:ascii="宋体" w:hAnsi="宋体" w:cs="宋体"/>
                <w:color w:val="auto"/>
                <w:sz w:val="21"/>
                <w:szCs w:val="21"/>
                <w:highlight w:val="none"/>
              </w:rPr>
              <w:t>，提交甲方验收合格</w:t>
            </w:r>
            <w:r>
              <w:rPr>
                <w:rFonts w:hint="eastAsia" w:ascii="宋体" w:hAnsi="宋体" w:cs="宋体"/>
                <w:color w:val="auto"/>
                <w:sz w:val="21"/>
                <w:szCs w:val="21"/>
                <w:highlight w:val="none"/>
                <w:lang w:val="en-US" w:eastAsia="zh-CN"/>
              </w:rPr>
              <w:t>并移交成果数据至厅信息中心</w:t>
            </w:r>
            <w:r>
              <w:rPr>
                <w:rFonts w:hint="eastAsia" w:ascii="宋体" w:hAnsi="宋体" w:cs="宋体"/>
                <w:color w:val="auto"/>
                <w:sz w:val="21"/>
                <w:szCs w:val="21"/>
                <w:highlight w:val="none"/>
              </w:rPr>
              <w:t>后10个工作日内，甲方向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支付合同总价款的10%。</w:t>
            </w:r>
          </w:p>
        </w:tc>
      </w:tr>
      <w:tr w14:paraId="0BF0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4" w:type="pct"/>
            <w:gridSpan w:val="3"/>
            <w:tcBorders>
              <w:top w:val="single" w:color="auto" w:sz="4" w:space="0"/>
              <w:left w:val="single" w:color="auto" w:sz="4" w:space="0"/>
              <w:bottom w:val="single" w:color="auto" w:sz="4" w:space="0"/>
              <w:right w:val="single" w:color="auto" w:sz="4" w:space="0"/>
            </w:tcBorders>
            <w:vAlign w:val="center"/>
          </w:tcPr>
          <w:p w14:paraId="484788B4">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w:t>
            </w:r>
          </w:p>
        </w:tc>
        <w:tc>
          <w:tcPr>
            <w:tcW w:w="3945" w:type="pct"/>
            <w:gridSpan w:val="3"/>
            <w:tcBorders>
              <w:top w:val="single" w:color="auto" w:sz="4" w:space="0"/>
              <w:left w:val="single" w:color="auto" w:sz="4" w:space="0"/>
              <w:bottom w:val="single" w:color="auto" w:sz="4" w:space="0"/>
              <w:right w:val="single" w:color="auto" w:sz="4" w:space="0"/>
            </w:tcBorders>
            <w:vAlign w:val="center"/>
          </w:tcPr>
          <w:p w14:paraId="42D5D0E1">
            <w:pPr>
              <w:pStyle w:val="22"/>
              <w:snapToGrid w:val="0"/>
              <w:spacing w:line="360" w:lineRule="exact"/>
              <w:ind w:left="315" w:hanging="315" w:hangingChars="150"/>
              <w:outlineLvl w:val="0"/>
              <w:rPr>
                <w:rFonts w:hAnsi="宋体" w:cs="宋体"/>
                <w:color w:val="auto"/>
                <w:kern w:val="2"/>
                <w:sz w:val="21"/>
                <w:highlight w:val="none"/>
              </w:rPr>
            </w:pPr>
            <w:r>
              <w:rPr>
                <w:rFonts w:hint="eastAsia" w:hAnsi="宋体" w:cs="宋体"/>
                <w:color w:val="auto"/>
                <w:kern w:val="2"/>
                <w:sz w:val="21"/>
                <w:highlight w:val="none"/>
              </w:rPr>
              <w:t>1、免费提供技术支持及培训。</w:t>
            </w:r>
          </w:p>
          <w:p w14:paraId="471A6FB7">
            <w:pPr>
              <w:pStyle w:val="22"/>
              <w:snapToGrid w:val="0"/>
              <w:spacing w:line="360" w:lineRule="exact"/>
              <w:ind w:left="315" w:hanging="315" w:hangingChars="150"/>
              <w:outlineLvl w:val="0"/>
              <w:rPr>
                <w:rFonts w:hAnsi="宋体" w:cs="宋体"/>
                <w:color w:val="auto"/>
                <w:kern w:val="2"/>
                <w:sz w:val="21"/>
                <w:highlight w:val="none"/>
              </w:rPr>
            </w:pPr>
            <w:r>
              <w:rPr>
                <w:rFonts w:hint="eastAsia" w:hAnsi="宋体" w:cs="宋体"/>
                <w:color w:val="auto"/>
                <w:kern w:val="2"/>
                <w:sz w:val="21"/>
                <w:highlight w:val="none"/>
              </w:rPr>
              <w:t>2、提供</w:t>
            </w:r>
            <w:r>
              <w:rPr>
                <w:rFonts w:hint="eastAsia" w:hAnsi="宋体" w:cs="宋体"/>
                <w:color w:val="auto"/>
                <w:kern w:val="2"/>
                <w:sz w:val="21"/>
                <w:highlight w:val="none"/>
                <w:lang w:val="en-US" w:eastAsia="zh-CN"/>
              </w:rPr>
              <w:t>技术服务</w:t>
            </w:r>
            <w:r>
              <w:rPr>
                <w:rFonts w:hint="eastAsia" w:hAnsi="宋体" w:cs="宋体"/>
                <w:color w:val="auto"/>
                <w:kern w:val="2"/>
                <w:sz w:val="21"/>
                <w:highlight w:val="none"/>
              </w:rPr>
              <w:t>电话，7×24小时问题申告受理。接到采购人处理问题通知后</w:t>
            </w:r>
            <w:r>
              <w:rPr>
                <w:rFonts w:hint="eastAsia" w:hAnsi="宋体" w:cs="宋体"/>
                <w:color w:val="auto"/>
                <w:kern w:val="2"/>
                <w:sz w:val="21"/>
                <w:highlight w:val="none"/>
                <w:lang w:val="en-US" w:eastAsia="zh-CN"/>
              </w:rPr>
              <w:t>8</w:t>
            </w:r>
            <w:r>
              <w:rPr>
                <w:rFonts w:hint="eastAsia" w:hAnsi="宋体" w:cs="宋体"/>
                <w:color w:val="auto"/>
                <w:kern w:val="2"/>
                <w:sz w:val="21"/>
                <w:highlight w:val="none"/>
              </w:rPr>
              <w:t>小时内到达采购人指定现场，24小时内提出解决方案，3个工作日内完成问题处理。</w:t>
            </w:r>
          </w:p>
        </w:tc>
      </w:tr>
    </w:tbl>
    <w:p w14:paraId="21F905E8">
      <w:pPr>
        <w:pStyle w:val="43"/>
        <w:rPr>
          <w:color w:val="auto"/>
          <w:highlight w:val="none"/>
        </w:rPr>
      </w:pPr>
    </w:p>
    <w:p w14:paraId="4DA4301B">
      <w:pPr>
        <w:widowControl/>
        <w:jc w:val="left"/>
        <w:rPr>
          <w:rFonts w:ascii="宋体" w:hAnsi="宋体"/>
          <w:color w:val="auto"/>
          <w:kern w:val="0"/>
          <w:sz w:val="24"/>
          <w:szCs w:val="20"/>
          <w:highlight w:val="none"/>
        </w:rPr>
      </w:pPr>
      <w:r>
        <w:rPr>
          <w:color w:val="auto"/>
          <w:highlight w:val="none"/>
        </w:rPr>
        <w:br w:type="page"/>
      </w:r>
    </w:p>
    <w:p w14:paraId="74B080AB">
      <w:pPr>
        <w:spacing w:line="360" w:lineRule="auto"/>
        <w:ind w:firstLine="310" w:firstLineChars="147"/>
        <w:jc w:val="left"/>
        <w:rPr>
          <w:rFonts w:ascii="宋体" w:hAnsi="宋体" w:cs="Arial"/>
          <w:bCs/>
          <w:color w:val="auto"/>
          <w:szCs w:val="21"/>
          <w:highlight w:val="none"/>
          <w:u w:val="single"/>
        </w:rPr>
      </w:pPr>
      <w:r>
        <w:rPr>
          <w:rFonts w:hint="eastAsia" w:ascii="宋体" w:hAnsi="宋体"/>
          <w:b/>
          <w:color w:val="auto"/>
          <w:szCs w:val="21"/>
          <w:highlight w:val="none"/>
        </w:rPr>
        <w:t>分标</w:t>
      </w:r>
      <w:r>
        <w:rPr>
          <w:rFonts w:hint="eastAsia" w:ascii="宋体" w:hAnsi="宋体"/>
          <w:b/>
          <w:color w:val="auto"/>
          <w:szCs w:val="21"/>
          <w:highlight w:val="none"/>
          <w:lang w:val="en-US" w:eastAsia="zh-CN"/>
        </w:rPr>
        <w:t>2</w:t>
      </w:r>
      <w:r>
        <w:rPr>
          <w:rFonts w:hint="eastAsia" w:ascii="宋体" w:hAnsi="宋体"/>
          <w:b/>
          <w:color w:val="auto"/>
          <w:szCs w:val="21"/>
          <w:highlight w:val="none"/>
        </w:rPr>
        <w:t xml:space="preserve">        采购预算：</w:t>
      </w:r>
      <w:r>
        <w:rPr>
          <w:rFonts w:hint="eastAsia" w:ascii="宋体" w:hAnsi="宋体" w:eastAsia="宋体" w:cs="Times New Roman"/>
          <w:b/>
          <w:color w:val="auto"/>
          <w:szCs w:val="21"/>
          <w:highlight w:val="none"/>
        </w:rPr>
        <w:t xml:space="preserve"> </w:t>
      </w:r>
      <w:r>
        <w:rPr>
          <w:rFonts w:hint="eastAsia" w:ascii="宋体" w:hAnsi="宋体" w:cs="Times New Roman"/>
          <w:b/>
          <w:color w:val="auto"/>
          <w:szCs w:val="21"/>
          <w:highlight w:val="none"/>
          <w:lang w:val="en-US" w:eastAsia="zh-CN"/>
        </w:rPr>
        <w:t>55</w:t>
      </w:r>
      <w:r>
        <w:rPr>
          <w:rFonts w:hint="eastAsia" w:ascii="宋体" w:hAnsi="宋体" w:eastAsia="宋体" w:cs="Times New Roman"/>
          <w:b/>
          <w:color w:val="auto"/>
          <w:szCs w:val="21"/>
          <w:highlight w:val="none"/>
        </w:rPr>
        <w:t xml:space="preserve">.00万元 </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最高限价：</w:t>
      </w:r>
      <w:r>
        <w:rPr>
          <w:rFonts w:hint="eastAsia" w:ascii="宋体" w:hAnsi="宋体" w:cs="Times New Roman"/>
          <w:b/>
          <w:color w:val="auto"/>
          <w:szCs w:val="21"/>
          <w:highlight w:val="none"/>
          <w:lang w:val="en-US" w:eastAsia="zh-CN"/>
        </w:rPr>
        <w:t>55</w:t>
      </w:r>
      <w:r>
        <w:rPr>
          <w:rFonts w:hint="eastAsia" w:ascii="宋体" w:hAnsi="宋体" w:eastAsia="宋体" w:cs="Times New Roman"/>
          <w:b/>
          <w:color w:val="auto"/>
          <w:szCs w:val="21"/>
          <w:highlight w:val="none"/>
          <w:lang w:val="en-US" w:eastAsia="zh-CN"/>
        </w:rPr>
        <w:t>.00万元</w:t>
      </w:r>
    </w:p>
    <w:tbl>
      <w:tblPr>
        <w:tblStyle w:val="34"/>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2"/>
        <w:gridCol w:w="965"/>
        <w:gridCol w:w="902"/>
        <w:gridCol w:w="784"/>
        <w:gridCol w:w="5867"/>
      </w:tblGrid>
      <w:tr w14:paraId="77A0B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15" w:type="pct"/>
            <w:vAlign w:val="center"/>
          </w:tcPr>
          <w:p w14:paraId="0B1F1D46">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30" w:type="pct"/>
            <w:vAlign w:val="center"/>
          </w:tcPr>
          <w:p w14:paraId="55A409E3">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496" w:type="pct"/>
            <w:vAlign w:val="center"/>
          </w:tcPr>
          <w:p w14:paraId="5EB0FC10">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431" w:type="pct"/>
            <w:vAlign w:val="center"/>
          </w:tcPr>
          <w:p w14:paraId="0E7CE9EF">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109438B5">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3226" w:type="pct"/>
            <w:vAlign w:val="center"/>
          </w:tcPr>
          <w:p w14:paraId="785C4B9C">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60423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jc w:val="center"/>
        </w:trPr>
        <w:tc>
          <w:tcPr>
            <w:tcW w:w="315" w:type="pct"/>
            <w:vAlign w:val="center"/>
          </w:tcPr>
          <w:p w14:paraId="5A3FE506">
            <w:pPr>
              <w:tabs>
                <w:tab w:val="left" w:pos="180"/>
                <w:tab w:val="left" w:pos="1620"/>
              </w:tabs>
              <w:spacing w:line="360" w:lineRule="exact"/>
              <w:rPr>
                <w:rFonts w:ascii="宋体" w:hAnsi="宋体" w:cs="宋体"/>
                <w:color w:val="auto"/>
                <w:szCs w:val="21"/>
                <w:highlight w:val="none"/>
              </w:rPr>
            </w:pPr>
            <w:r>
              <w:rPr>
                <w:rFonts w:hint="eastAsia" w:ascii="宋体" w:hAnsi="宋体" w:cs="宋体"/>
                <w:color w:val="auto"/>
                <w:szCs w:val="21"/>
                <w:highlight w:val="none"/>
              </w:rPr>
              <w:t>1</w:t>
            </w:r>
          </w:p>
        </w:tc>
        <w:tc>
          <w:tcPr>
            <w:tcW w:w="530" w:type="pct"/>
            <w:vAlign w:val="center"/>
          </w:tcPr>
          <w:p w14:paraId="35039737">
            <w:pPr>
              <w:pStyle w:val="22"/>
              <w:snapToGrid w:val="0"/>
              <w:spacing w:line="360" w:lineRule="exact"/>
              <w:jc w:val="center"/>
              <w:outlineLvl w:val="0"/>
              <w:rPr>
                <w:rFonts w:hint="eastAsia" w:hAnsi="宋体" w:eastAsia="宋体" w:cs="宋体"/>
                <w:bCs/>
                <w:color w:val="auto"/>
                <w:sz w:val="21"/>
                <w:highlight w:val="none"/>
                <w:lang w:eastAsia="zh-CN"/>
              </w:rPr>
            </w:pPr>
            <w:r>
              <w:rPr>
                <w:rFonts w:hint="eastAsia" w:hAnsi="宋体" w:cs="宋体"/>
                <w:bCs/>
                <w:color w:val="auto"/>
                <w:sz w:val="21"/>
                <w:highlight w:val="none"/>
                <w:lang w:eastAsia="zh-CN"/>
              </w:rPr>
              <w:t>自治区本级国有土地集约利用技术服务</w:t>
            </w:r>
          </w:p>
        </w:tc>
        <w:tc>
          <w:tcPr>
            <w:tcW w:w="496" w:type="pct"/>
            <w:vAlign w:val="center"/>
          </w:tcPr>
          <w:p w14:paraId="73B92C2E">
            <w:pPr>
              <w:pStyle w:val="22"/>
              <w:snapToGrid w:val="0"/>
              <w:spacing w:line="360" w:lineRule="exact"/>
              <w:jc w:val="center"/>
              <w:outlineLvl w:val="0"/>
              <w:rPr>
                <w:rFonts w:hAnsi="宋体" w:cs="宋体"/>
                <w:b/>
                <w:color w:val="auto"/>
                <w:sz w:val="21"/>
                <w:highlight w:val="none"/>
              </w:rPr>
            </w:pPr>
            <w:r>
              <w:rPr>
                <w:rFonts w:hint="eastAsia" w:hAnsi="宋体" w:cs="宋体"/>
                <w:color w:val="auto"/>
                <w:sz w:val="21"/>
                <w:highlight w:val="none"/>
              </w:rPr>
              <w:t>1项</w:t>
            </w:r>
          </w:p>
        </w:tc>
        <w:tc>
          <w:tcPr>
            <w:tcW w:w="431" w:type="pct"/>
            <w:vAlign w:val="center"/>
          </w:tcPr>
          <w:p w14:paraId="09BDA4AB">
            <w:pPr>
              <w:tabs>
                <w:tab w:val="left" w:pos="180"/>
                <w:tab w:val="left" w:pos="1620"/>
              </w:tabs>
              <w:spacing w:line="360" w:lineRule="exact"/>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3226" w:type="pct"/>
            <w:vAlign w:val="center"/>
          </w:tcPr>
          <w:p w14:paraId="06C2DEC5">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（一）自治区本级存量国有土地盘活利用技术服务</w:t>
            </w:r>
          </w:p>
          <w:p w14:paraId="003A8CDC">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1.在已建立的自治区本级国有土地管理台账和矢量数据库基础上，梳理分析自治区本级存量建设用地低效利用情况，建立自治区本级存量建设用地低效利用台账和矢量数据库。</w:t>
            </w:r>
          </w:p>
          <w:p w14:paraId="649867AA">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2.针对自治区本级存量国有土地低效利用，实地核查低效利用具体情况，分析自治区本级存量国有土地粗放利用的原因，问诊把脉，归类总结，编制自治区本级存量国有建设用地低效利用情况调查报告。</w:t>
            </w:r>
          </w:p>
          <w:p w14:paraId="05CCAC4D">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3.以国土空间规划为依据，结合广西土地利用调研分析情况，研究制定盘活利用自治区本级存量国有土地的实施路径和处置方式，加大闲置土地资源的资产价值显化，增强自治区本级国有企事业单位抗风险能力，促进自治区本级国有土地节约集约用地和土地高效利用。</w:t>
            </w:r>
          </w:p>
          <w:p w14:paraId="4A5B5D60">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（二）自治区本级国有土地开发利用综合管理技术服务</w:t>
            </w:r>
          </w:p>
          <w:p w14:paraId="10C1109E">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1.协助收集汇总、核实整理全区14个市、111个县（区）2025年自治区本级国有土地开发利用年度计划情况，梳理自治区和各市县2024年开发利用、处置自治区本级国有土地的情况。</w:t>
            </w:r>
          </w:p>
          <w:p w14:paraId="656754B4">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2.结合全国土地市场动态监测监管系统、广西全民所有自然资源资产管理信息系统、广西自然资源开发利用监管平台、广西自然资源综合监测监管平台，核实2025年各市、县(市、区)开发利用自治区本级国有土地情况，含以城镇住宅用地、商业用地、商务金融用地、娱乐用地以及其他商业服务用地等经营性用途或综合用途开发利用的情况，和以工矿仓储及划拨方式供应自治区本级国有土地情况，形成年度开发利用台账和矢量数据库。</w:t>
            </w:r>
          </w:p>
          <w:p w14:paraId="1A35837F">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3.协助做好2025年度自治区本级国有土地年度开发利用管理，核算需上解自治区财政厅收益情况。</w:t>
            </w:r>
          </w:p>
          <w:p w14:paraId="667A1499">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4.协助完善广西全民所有自然资源资产管理信息系统中自治区本级国有土地开发利用监管模块。</w:t>
            </w:r>
          </w:p>
        </w:tc>
      </w:tr>
      <w:tr w14:paraId="78614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1A47B421">
            <w:pPr>
              <w:spacing w:line="360" w:lineRule="exact"/>
              <w:rPr>
                <w:rFonts w:ascii="宋体" w:hAnsi="宋体" w:cs="宋体"/>
                <w:color w:val="auto"/>
                <w:szCs w:val="21"/>
                <w:highlight w:val="none"/>
              </w:rPr>
            </w:pPr>
            <w:r>
              <w:rPr>
                <w:rFonts w:hint="eastAsia" w:ascii="宋体" w:hAnsi="宋体" w:cs="宋体"/>
                <w:b/>
                <w:color w:val="auto"/>
                <w:szCs w:val="21"/>
                <w:highlight w:val="none"/>
              </w:rPr>
              <w:t>商务要求</w:t>
            </w:r>
          </w:p>
        </w:tc>
      </w:tr>
      <w:tr w14:paraId="13C5D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846" w:type="pct"/>
            <w:gridSpan w:val="2"/>
            <w:tcBorders>
              <w:top w:val="single" w:color="auto" w:sz="4" w:space="0"/>
              <w:left w:val="single" w:color="auto" w:sz="4" w:space="0"/>
              <w:bottom w:val="single" w:color="auto" w:sz="4" w:space="0"/>
              <w:right w:val="single" w:color="auto" w:sz="4" w:space="0"/>
            </w:tcBorders>
            <w:vAlign w:val="center"/>
          </w:tcPr>
          <w:p w14:paraId="61FBEA30">
            <w:pPr>
              <w:spacing w:line="360" w:lineRule="exact"/>
              <w:jc w:val="center"/>
              <w:rPr>
                <w:rFonts w:ascii="宋体" w:hAnsi="宋体" w:cs="宋体"/>
                <w:color w:val="auto"/>
                <w:szCs w:val="21"/>
                <w:highlight w:val="none"/>
              </w:rPr>
            </w:pPr>
            <w:r>
              <w:rPr>
                <w:rFonts w:hint="eastAsia" w:ascii="宋体" w:hAnsi="宋体" w:eastAsia="宋体" w:cs="宋体"/>
                <w:color w:val="auto"/>
                <w:szCs w:val="21"/>
                <w:highlight w:val="none"/>
              </w:rPr>
              <w:t>合同签订时间</w:t>
            </w:r>
          </w:p>
        </w:tc>
        <w:tc>
          <w:tcPr>
            <w:tcW w:w="4153" w:type="pct"/>
            <w:gridSpan w:val="3"/>
            <w:tcBorders>
              <w:top w:val="single" w:color="auto" w:sz="4" w:space="0"/>
              <w:left w:val="single" w:color="auto" w:sz="4" w:space="0"/>
              <w:bottom w:val="single" w:color="auto" w:sz="4" w:space="0"/>
              <w:right w:val="single" w:color="auto" w:sz="4" w:space="0"/>
            </w:tcBorders>
            <w:vAlign w:val="center"/>
          </w:tcPr>
          <w:p w14:paraId="0AC17D7D">
            <w:pPr>
              <w:spacing w:line="360" w:lineRule="exact"/>
              <w:jc w:val="left"/>
              <w:rPr>
                <w:rFonts w:ascii="宋体" w:hAnsi="宋体" w:cs="宋体"/>
                <w:color w:val="auto"/>
                <w:szCs w:val="21"/>
                <w:highlight w:val="none"/>
              </w:rPr>
            </w:pP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通知书发出之日起25个日历日内。</w:t>
            </w:r>
          </w:p>
        </w:tc>
      </w:tr>
      <w:tr w14:paraId="00DF4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pct"/>
            <w:gridSpan w:val="2"/>
            <w:tcBorders>
              <w:top w:val="single" w:color="auto" w:sz="4" w:space="0"/>
              <w:left w:val="single" w:color="auto" w:sz="4" w:space="0"/>
              <w:bottom w:val="single" w:color="auto" w:sz="4" w:space="0"/>
              <w:right w:val="single" w:color="auto" w:sz="4" w:space="0"/>
            </w:tcBorders>
            <w:vAlign w:val="center"/>
          </w:tcPr>
          <w:p w14:paraId="5EAFBE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服务期限及服务地点</w:t>
            </w:r>
          </w:p>
        </w:tc>
        <w:tc>
          <w:tcPr>
            <w:tcW w:w="4153" w:type="pct"/>
            <w:gridSpan w:val="3"/>
            <w:tcBorders>
              <w:top w:val="single" w:color="auto" w:sz="4" w:space="0"/>
              <w:left w:val="single" w:color="auto" w:sz="4" w:space="0"/>
              <w:bottom w:val="single" w:color="auto" w:sz="4" w:space="0"/>
              <w:right w:val="single" w:color="auto" w:sz="4" w:space="0"/>
            </w:tcBorders>
            <w:vAlign w:val="center"/>
          </w:tcPr>
          <w:p w14:paraId="1BCAD3B0">
            <w:pPr>
              <w:spacing w:line="360" w:lineRule="exact"/>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olor w:val="auto"/>
                <w:szCs w:val="21"/>
                <w:highlight w:val="none"/>
              </w:rPr>
              <w:t>自合同签订之日起至202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31</w:t>
            </w:r>
            <w:r>
              <w:rPr>
                <w:rFonts w:hint="eastAsia" w:ascii="宋体" w:hAnsi="宋体"/>
                <w:color w:val="auto"/>
                <w:szCs w:val="21"/>
                <w:highlight w:val="none"/>
              </w:rPr>
              <w:t>日</w:t>
            </w:r>
            <w:r>
              <w:rPr>
                <w:rFonts w:hint="eastAsia" w:ascii="宋体" w:hAnsi="宋体" w:cs="宋体"/>
                <w:color w:val="auto"/>
                <w:szCs w:val="21"/>
                <w:highlight w:val="none"/>
              </w:rPr>
              <w:t>。</w:t>
            </w:r>
          </w:p>
          <w:p w14:paraId="03B85AF4">
            <w:pPr>
              <w:spacing w:line="360" w:lineRule="exact"/>
              <w:rPr>
                <w:rFonts w:ascii="宋体" w:hAnsi="宋体" w:cs="宋体"/>
                <w:color w:val="auto"/>
                <w:szCs w:val="21"/>
                <w:highlight w:val="none"/>
              </w:rPr>
            </w:pPr>
            <w:r>
              <w:rPr>
                <w:rFonts w:hint="eastAsia" w:ascii="宋体" w:hAnsi="宋体" w:cs="宋体"/>
                <w:color w:val="auto"/>
                <w:szCs w:val="21"/>
                <w:highlight w:val="none"/>
              </w:rPr>
              <w:t>2、服务地点：广西区采购人指定地点。</w:t>
            </w:r>
          </w:p>
        </w:tc>
      </w:tr>
      <w:tr w14:paraId="5BA44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pct"/>
            <w:gridSpan w:val="2"/>
            <w:tcBorders>
              <w:top w:val="single" w:color="auto" w:sz="4" w:space="0"/>
              <w:left w:val="single" w:color="auto" w:sz="4" w:space="0"/>
              <w:bottom w:val="single" w:color="auto" w:sz="4" w:space="0"/>
              <w:right w:val="single" w:color="auto" w:sz="4" w:space="0"/>
            </w:tcBorders>
            <w:vAlign w:val="center"/>
          </w:tcPr>
          <w:p w14:paraId="44FABDA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4153" w:type="pct"/>
            <w:gridSpan w:val="3"/>
            <w:tcBorders>
              <w:top w:val="single" w:color="auto" w:sz="4" w:space="0"/>
              <w:left w:val="single" w:color="auto" w:sz="4" w:space="0"/>
              <w:bottom w:val="single" w:color="auto" w:sz="4" w:space="0"/>
              <w:right w:val="single" w:color="auto" w:sz="4" w:space="0"/>
            </w:tcBorders>
            <w:vAlign w:val="center"/>
          </w:tcPr>
          <w:p w14:paraId="3BC22A30">
            <w:pPr>
              <w:spacing w:line="360" w:lineRule="exact"/>
              <w:rPr>
                <w:rFonts w:ascii="宋体" w:hAnsi="宋体" w:cs="宋体"/>
                <w:color w:val="auto"/>
                <w:szCs w:val="21"/>
                <w:highlight w:val="none"/>
              </w:rPr>
            </w:pPr>
            <w:r>
              <w:rPr>
                <w:rFonts w:hint="eastAsia" w:ascii="宋体" w:hAnsi="宋体" w:cs="宋体"/>
                <w:color w:val="auto"/>
                <w:szCs w:val="21"/>
                <w:highlight w:val="none"/>
              </w:rPr>
              <w:t>报价包含供应商完成本项目服务所有内容及其他相关服务的投入、项目验收费、附加培训、售后服务、税金、利润及其他所有可能发生的一切费用。项目实施过程中，采购人不再支付任何费用。</w:t>
            </w:r>
          </w:p>
        </w:tc>
      </w:tr>
      <w:tr w14:paraId="22E27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846" w:type="pct"/>
            <w:gridSpan w:val="2"/>
            <w:tcBorders>
              <w:top w:val="single" w:color="auto" w:sz="4" w:space="0"/>
              <w:left w:val="single" w:color="auto" w:sz="4" w:space="0"/>
              <w:bottom w:val="single" w:color="auto" w:sz="4" w:space="0"/>
              <w:right w:val="single" w:color="auto" w:sz="4" w:space="0"/>
            </w:tcBorders>
            <w:vAlign w:val="center"/>
          </w:tcPr>
          <w:p w14:paraId="783BD508">
            <w:pPr>
              <w:spacing w:line="360" w:lineRule="exact"/>
              <w:jc w:val="center"/>
              <w:rPr>
                <w:rFonts w:ascii="宋体" w:hAnsi="宋体" w:cs="宋体"/>
                <w:b/>
                <w:color w:val="auto"/>
                <w:szCs w:val="21"/>
                <w:highlight w:val="none"/>
              </w:rPr>
            </w:pPr>
            <w:r>
              <w:rPr>
                <w:rFonts w:hint="eastAsia" w:ascii="宋体" w:hAnsi="宋体" w:cs="宋体"/>
                <w:color w:val="auto"/>
                <w:szCs w:val="21"/>
                <w:highlight w:val="none"/>
              </w:rPr>
              <w:t>验收要求</w:t>
            </w:r>
          </w:p>
        </w:tc>
        <w:tc>
          <w:tcPr>
            <w:tcW w:w="4153" w:type="pct"/>
            <w:gridSpan w:val="3"/>
            <w:tcBorders>
              <w:top w:val="single" w:color="auto" w:sz="4" w:space="0"/>
              <w:left w:val="single" w:color="auto" w:sz="4" w:space="0"/>
              <w:bottom w:val="single" w:color="auto" w:sz="4" w:space="0"/>
              <w:right w:val="single" w:color="auto" w:sz="4" w:space="0"/>
            </w:tcBorders>
            <w:vAlign w:val="center"/>
          </w:tcPr>
          <w:p w14:paraId="647C48E5">
            <w:pPr>
              <w:spacing w:line="360" w:lineRule="exact"/>
              <w:rPr>
                <w:rFonts w:ascii="宋体" w:hAnsi="宋体" w:cs="宋体"/>
                <w:color w:val="auto"/>
                <w:szCs w:val="21"/>
                <w:highlight w:val="none"/>
              </w:rPr>
            </w:pPr>
            <w:r>
              <w:rPr>
                <w:rFonts w:hint="eastAsia" w:ascii="宋体" w:hAnsi="宋体" w:cs="宋体"/>
                <w:color w:val="auto"/>
                <w:szCs w:val="21"/>
                <w:highlight w:val="none"/>
              </w:rPr>
              <w:t>采购人验收的标准以《采购合同书》、《竞争性磋商文件》和有关的补充协议或项目要求等作为验收合格的根据。经采购人验收，不符合</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合同规定的成果，采购人有权拒绝接受。</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供应商应根据国家及广西壮族自治区的标准及相关要求进行返工，所造成的经济损失由</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供应商承担。</w:t>
            </w:r>
          </w:p>
        </w:tc>
      </w:tr>
      <w:tr w14:paraId="44659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pct"/>
            <w:gridSpan w:val="2"/>
            <w:tcBorders>
              <w:top w:val="single" w:color="auto" w:sz="4" w:space="0"/>
              <w:left w:val="single" w:color="auto" w:sz="4" w:space="0"/>
              <w:bottom w:val="single" w:color="auto" w:sz="4" w:space="0"/>
              <w:right w:val="single" w:color="auto" w:sz="4" w:space="0"/>
            </w:tcBorders>
            <w:vAlign w:val="center"/>
          </w:tcPr>
          <w:p w14:paraId="175215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付款条件</w:t>
            </w:r>
          </w:p>
        </w:tc>
        <w:tc>
          <w:tcPr>
            <w:tcW w:w="4153" w:type="pct"/>
            <w:gridSpan w:val="3"/>
            <w:tcBorders>
              <w:top w:val="single" w:color="auto" w:sz="4" w:space="0"/>
              <w:left w:val="single" w:color="auto" w:sz="4" w:space="0"/>
              <w:bottom w:val="single" w:color="auto" w:sz="4" w:space="0"/>
              <w:right w:val="single" w:color="auto" w:sz="4" w:space="0"/>
            </w:tcBorders>
            <w:vAlign w:val="center"/>
          </w:tcPr>
          <w:p w14:paraId="1C68C205">
            <w:pPr>
              <w:spacing w:line="360" w:lineRule="exact"/>
              <w:rPr>
                <w:rFonts w:ascii="宋体" w:hAnsi="宋体" w:cs="宋体"/>
                <w:color w:val="auto"/>
                <w:szCs w:val="21"/>
                <w:highlight w:val="none"/>
              </w:rPr>
            </w:pP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双方签署合同后的10个工作日内，采购人向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支付合同总价款的30%；</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w:t>
            </w:r>
            <w:r>
              <w:rPr>
                <w:rFonts w:hint="eastAsia" w:ascii="宋体" w:hAnsi="宋体" w:cs="宋体"/>
                <w:color w:val="auto"/>
                <w:sz w:val="21"/>
                <w:szCs w:val="21"/>
                <w:highlight w:val="none"/>
                <w:lang w:val="en-US" w:eastAsia="zh-CN"/>
              </w:rPr>
              <w:t>要求</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自治区本级存量国有土地盘活利用技术服务</w:t>
            </w:r>
            <w:r>
              <w:rPr>
                <w:rFonts w:hint="eastAsia" w:ascii="宋体" w:hAnsi="宋体" w:cs="宋体"/>
                <w:color w:val="auto"/>
                <w:sz w:val="21"/>
                <w:szCs w:val="21"/>
                <w:highlight w:val="none"/>
                <w:lang w:val="en-US" w:eastAsia="zh-CN"/>
              </w:rPr>
              <w:t>工作方案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自治区本级国有土地开发利用综合管理技术服务</w:t>
            </w:r>
            <w:r>
              <w:rPr>
                <w:rFonts w:hint="eastAsia" w:ascii="宋体" w:hAnsi="宋体" w:cs="宋体"/>
                <w:color w:val="auto"/>
                <w:sz w:val="21"/>
                <w:szCs w:val="21"/>
                <w:highlight w:val="none"/>
                <w:lang w:val="en-US" w:eastAsia="zh-CN"/>
              </w:rPr>
              <w:t>工作方案》</w:t>
            </w:r>
            <w:r>
              <w:rPr>
                <w:rFonts w:hint="eastAsia" w:ascii="宋体" w:hAnsi="宋体" w:cs="宋体"/>
                <w:color w:val="auto"/>
                <w:sz w:val="21"/>
                <w:szCs w:val="21"/>
                <w:highlight w:val="none"/>
              </w:rPr>
              <w:t>，并获得采购人确认后的10个工作日内，采购人向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支付合同总价款的30%；</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按要求完成自治区本级存量国有用地低效利用台账和矢量数据库</w:t>
            </w:r>
            <w:r>
              <w:rPr>
                <w:rFonts w:hint="eastAsia" w:ascii="宋体" w:hAnsi="宋体" w:cs="宋体"/>
                <w:color w:val="auto"/>
                <w:sz w:val="21"/>
                <w:szCs w:val="21"/>
                <w:highlight w:val="none"/>
                <w:lang w:eastAsia="zh-CN"/>
              </w:rPr>
              <w:t>、自治区本级存量国有用地低效利用调查报告、2024年自治区本级国有土地开发利用台账、2025年各市土地年度开发利用计划台账及矢量数据库</w:t>
            </w:r>
            <w:r>
              <w:rPr>
                <w:rFonts w:hint="eastAsia" w:ascii="宋体" w:hAnsi="宋体" w:cs="宋体"/>
                <w:color w:val="auto"/>
                <w:sz w:val="21"/>
                <w:szCs w:val="21"/>
                <w:highlight w:val="none"/>
              </w:rPr>
              <w:t>，并获得采购人确认后的10个工作日内，采购人向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支付合同总价款的30%；</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按要求</w:t>
            </w:r>
            <w:r>
              <w:rPr>
                <w:rFonts w:hint="eastAsia" w:ascii="宋体" w:hAnsi="宋体" w:cs="宋体"/>
                <w:color w:val="auto"/>
                <w:sz w:val="21"/>
                <w:szCs w:val="21"/>
                <w:highlight w:val="none"/>
                <w:lang w:val="en-US" w:eastAsia="zh-CN"/>
              </w:rPr>
              <w:t>完成自治区本级存量国有土地盘活利用方案、2025年自治区本级国有土地开发利用台账及矢量数据、2025年各市开发利用本级土地情况核查报告</w:t>
            </w:r>
            <w:r>
              <w:rPr>
                <w:rFonts w:hint="eastAsia" w:ascii="宋体" w:hAnsi="宋体" w:cs="宋体"/>
                <w:color w:val="auto"/>
                <w:sz w:val="21"/>
                <w:szCs w:val="21"/>
                <w:highlight w:val="none"/>
              </w:rPr>
              <w:t>，提交甲方验收合格</w:t>
            </w:r>
            <w:r>
              <w:rPr>
                <w:rFonts w:hint="eastAsia" w:ascii="宋体" w:hAnsi="宋体" w:cs="宋体"/>
                <w:color w:val="auto"/>
                <w:sz w:val="21"/>
                <w:szCs w:val="21"/>
                <w:highlight w:val="none"/>
                <w:lang w:val="en-US" w:eastAsia="zh-CN"/>
              </w:rPr>
              <w:t>并移交成果数据至厅信息中心</w:t>
            </w:r>
            <w:r>
              <w:rPr>
                <w:rFonts w:hint="eastAsia" w:ascii="宋体" w:hAnsi="宋体" w:cs="宋体"/>
                <w:color w:val="auto"/>
                <w:sz w:val="21"/>
                <w:szCs w:val="21"/>
                <w:highlight w:val="none"/>
              </w:rPr>
              <w:t>后10个工作日内，甲方向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支付合同总价款的10%。</w:t>
            </w:r>
          </w:p>
        </w:tc>
      </w:tr>
    </w:tbl>
    <w:p w14:paraId="52392048">
      <w:pPr>
        <w:rPr>
          <w:color w:val="auto"/>
          <w:highlight w:val="none"/>
        </w:rPr>
      </w:pPr>
      <w:r>
        <w:rPr>
          <w:color w:val="auto"/>
          <w:highlight w:val="none"/>
        </w:rPr>
        <w:br w:type="page"/>
      </w:r>
    </w:p>
    <w:p w14:paraId="4918C672">
      <w:pPr>
        <w:pStyle w:val="43"/>
        <w:rPr>
          <w:color w:val="auto"/>
          <w:highlight w:val="none"/>
        </w:rPr>
      </w:pPr>
    </w:p>
    <w:p w14:paraId="516FF4F7">
      <w:pPr>
        <w:spacing w:line="428" w:lineRule="exact"/>
        <w:ind w:left="11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0BF03868">
      <w:pPr>
        <w:spacing w:line="528" w:lineRule="exact"/>
        <w:jc w:val="center"/>
        <w:rPr>
          <w:rFonts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4"/>
        <w:tblW w:w="5000" w:type="pct"/>
        <w:tblInd w:w="0" w:type="dxa"/>
        <w:tblLayout w:type="autofit"/>
        <w:tblCellMar>
          <w:top w:w="0" w:type="dxa"/>
          <w:left w:w="108" w:type="dxa"/>
          <w:bottom w:w="0" w:type="dxa"/>
          <w:right w:w="108" w:type="dxa"/>
        </w:tblCellMar>
      </w:tblPr>
      <w:tblGrid>
        <w:gridCol w:w="1778"/>
        <w:gridCol w:w="1512"/>
        <w:gridCol w:w="1361"/>
        <w:gridCol w:w="1750"/>
        <w:gridCol w:w="1641"/>
        <w:gridCol w:w="1053"/>
      </w:tblGrid>
      <w:tr w14:paraId="55EF58C3">
        <w:trPr>
          <w:trHeight w:val="285" w:hRule="atLeast"/>
        </w:trPr>
        <w:tc>
          <w:tcPr>
            <w:tcW w:w="978" w:type="pct"/>
            <w:tcBorders>
              <w:top w:val="single" w:color="auto" w:sz="4" w:space="0"/>
              <w:left w:val="single" w:color="auto" w:sz="4" w:space="0"/>
              <w:bottom w:val="single" w:color="auto" w:sz="4" w:space="0"/>
              <w:right w:val="single" w:color="auto" w:sz="4" w:space="0"/>
            </w:tcBorders>
            <w:vAlign w:val="center"/>
          </w:tcPr>
          <w:p w14:paraId="171B928D">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行业</w:t>
            </w:r>
            <w:r>
              <w:rPr>
                <w:rFonts w:hint="eastAsia" w:ascii="___WRD_EMBED_SUB_45" w:hAnsi="___WRD_EMBED_SUB_45" w:eastAsia="___WRD_EMBED_SUB_45" w:cs="___WRD_EMBED_SUB_45"/>
                <w:b/>
                <w:color w:val="auto"/>
                <w:kern w:val="0"/>
                <w:sz w:val="24"/>
                <w:highlight w:val="none"/>
              </w:rPr>
              <w:t>名称</w:t>
            </w:r>
          </w:p>
        </w:tc>
        <w:tc>
          <w:tcPr>
            <w:tcW w:w="831" w:type="pct"/>
            <w:tcBorders>
              <w:top w:val="single" w:color="auto" w:sz="4" w:space="0"/>
              <w:left w:val="nil"/>
              <w:bottom w:val="single" w:color="auto" w:sz="4" w:space="0"/>
              <w:right w:val="single" w:color="auto" w:sz="4" w:space="0"/>
            </w:tcBorders>
            <w:vAlign w:val="center"/>
          </w:tcPr>
          <w:p w14:paraId="3B76B4C8">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指标</w:t>
            </w:r>
            <w:r>
              <w:rPr>
                <w:rFonts w:hint="eastAsia" w:ascii="___WRD_EMBED_SUB_45" w:hAnsi="___WRD_EMBED_SUB_45" w:eastAsia="___WRD_EMBED_SUB_45" w:cs="___WRD_EMBED_SUB_45"/>
                <w:b/>
                <w:color w:val="auto"/>
                <w:kern w:val="0"/>
                <w:sz w:val="24"/>
                <w:highlight w:val="none"/>
              </w:rPr>
              <w:t>名称</w:t>
            </w:r>
          </w:p>
        </w:tc>
        <w:tc>
          <w:tcPr>
            <w:tcW w:w="748" w:type="pct"/>
            <w:tcBorders>
              <w:top w:val="single" w:color="auto" w:sz="4" w:space="0"/>
              <w:left w:val="nil"/>
              <w:bottom w:val="single" w:color="auto" w:sz="4" w:space="0"/>
              <w:right w:val="single" w:color="auto" w:sz="4" w:space="0"/>
            </w:tcBorders>
            <w:vAlign w:val="center"/>
          </w:tcPr>
          <w:p w14:paraId="0672DF14">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计量单位</w:t>
            </w:r>
          </w:p>
        </w:tc>
        <w:tc>
          <w:tcPr>
            <w:tcW w:w="962" w:type="pct"/>
            <w:tcBorders>
              <w:top w:val="single" w:color="auto" w:sz="4" w:space="0"/>
              <w:left w:val="nil"/>
              <w:bottom w:val="single" w:color="auto" w:sz="4" w:space="0"/>
              <w:right w:val="single" w:color="auto" w:sz="4" w:space="0"/>
            </w:tcBorders>
            <w:vAlign w:val="center"/>
          </w:tcPr>
          <w:p w14:paraId="400745FF">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中型</w:t>
            </w:r>
          </w:p>
        </w:tc>
        <w:tc>
          <w:tcPr>
            <w:tcW w:w="902" w:type="pct"/>
            <w:tcBorders>
              <w:top w:val="single" w:color="auto" w:sz="4" w:space="0"/>
              <w:left w:val="nil"/>
              <w:bottom w:val="single" w:color="auto" w:sz="4" w:space="0"/>
              <w:right w:val="single" w:color="auto" w:sz="4" w:space="0"/>
            </w:tcBorders>
            <w:vAlign w:val="center"/>
          </w:tcPr>
          <w:p w14:paraId="05422A92">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小型</w:t>
            </w:r>
          </w:p>
        </w:tc>
        <w:tc>
          <w:tcPr>
            <w:tcW w:w="579" w:type="pct"/>
            <w:tcBorders>
              <w:top w:val="single" w:color="auto" w:sz="4" w:space="0"/>
              <w:left w:val="nil"/>
              <w:bottom w:val="single" w:color="auto" w:sz="4" w:space="0"/>
              <w:right w:val="single" w:color="auto" w:sz="4" w:space="0"/>
            </w:tcBorders>
            <w:vAlign w:val="center"/>
          </w:tcPr>
          <w:p w14:paraId="07A10E50">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微型</w:t>
            </w:r>
          </w:p>
        </w:tc>
      </w:tr>
      <w:tr w14:paraId="418DD136">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47C28843">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农、林、牧、渔</w:t>
            </w:r>
          </w:p>
        </w:tc>
        <w:tc>
          <w:tcPr>
            <w:tcW w:w="831" w:type="pct"/>
            <w:tcBorders>
              <w:top w:val="nil"/>
              <w:left w:val="nil"/>
              <w:bottom w:val="single" w:color="auto" w:sz="4" w:space="0"/>
              <w:right w:val="single" w:color="auto" w:sz="4" w:space="0"/>
            </w:tcBorders>
            <w:vAlign w:val="center"/>
          </w:tcPr>
          <w:p w14:paraId="7F97E70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48B38C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20AF2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2558B4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0414C6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39F8F324">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D34EDF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工业</w:t>
            </w:r>
          </w:p>
        </w:tc>
        <w:tc>
          <w:tcPr>
            <w:tcW w:w="831" w:type="pct"/>
            <w:tcBorders>
              <w:top w:val="nil"/>
              <w:left w:val="nil"/>
              <w:bottom w:val="single" w:color="auto" w:sz="4" w:space="0"/>
              <w:right w:val="single" w:color="auto" w:sz="4" w:space="0"/>
            </w:tcBorders>
            <w:vAlign w:val="center"/>
          </w:tcPr>
          <w:p w14:paraId="24085B1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D2693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485ED6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1A9132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71B07C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24B3D1B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F751A14">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6952DDD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0D33DBE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3243C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67E353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5ED541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496D26A8">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46AFAE9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w:t>
            </w:r>
            <w:r>
              <w:rPr>
                <w:rFonts w:hint="eastAsia" w:ascii="微软雅黑" w:hAnsi="微软雅黑" w:eastAsia="微软雅黑" w:cs="微软雅黑"/>
                <w:b/>
                <w:bCs/>
                <w:color w:val="auto"/>
                <w:kern w:val="0"/>
                <w:sz w:val="18"/>
                <w:szCs w:val="18"/>
                <w:highlight w:val="none"/>
              </w:rPr>
              <w:t>筑业</w:t>
            </w:r>
          </w:p>
        </w:tc>
        <w:tc>
          <w:tcPr>
            <w:tcW w:w="831" w:type="pct"/>
            <w:tcBorders>
              <w:top w:val="nil"/>
              <w:left w:val="nil"/>
              <w:bottom w:val="single" w:color="auto" w:sz="4" w:space="0"/>
              <w:right w:val="single" w:color="auto" w:sz="4" w:space="0"/>
            </w:tcBorders>
            <w:vAlign w:val="center"/>
          </w:tcPr>
          <w:p w14:paraId="4E4A0A92">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AF560D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F16E6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6D9EB2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6000</w:t>
            </w:r>
          </w:p>
        </w:tc>
        <w:tc>
          <w:tcPr>
            <w:tcW w:w="579" w:type="pct"/>
            <w:tcBorders>
              <w:top w:val="nil"/>
              <w:left w:val="nil"/>
              <w:bottom w:val="single" w:color="auto" w:sz="4" w:space="0"/>
              <w:right w:val="single" w:color="auto" w:sz="4" w:space="0"/>
            </w:tcBorders>
            <w:vAlign w:val="center"/>
          </w:tcPr>
          <w:p w14:paraId="39CCBF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5EF83686">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8D4E899">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436BB53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41D95BE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6A98B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205583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015AA3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5B284076">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509572E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批发业</w:t>
            </w:r>
          </w:p>
        </w:tc>
        <w:tc>
          <w:tcPr>
            <w:tcW w:w="831" w:type="pct"/>
            <w:tcBorders>
              <w:top w:val="nil"/>
              <w:left w:val="nil"/>
              <w:bottom w:val="single" w:color="auto" w:sz="4" w:space="0"/>
              <w:right w:val="single" w:color="auto" w:sz="4" w:space="0"/>
            </w:tcBorders>
            <w:vAlign w:val="center"/>
          </w:tcPr>
          <w:p w14:paraId="5CFB2A2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0835B8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14839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254C93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c>
          <w:tcPr>
            <w:tcW w:w="579" w:type="pct"/>
            <w:tcBorders>
              <w:top w:val="nil"/>
              <w:left w:val="nil"/>
              <w:bottom w:val="single" w:color="auto" w:sz="4" w:space="0"/>
              <w:right w:val="single" w:color="auto" w:sz="4" w:space="0"/>
            </w:tcBorders>
            <w:vAlign w:val="center"/>
          </w:tcPr>
          <w:p w14:paraId="164BBC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w:t>
            </w:r>
          </w:p>
        </w:tc>
      </w:tr>
      <w:tr w14:paraId="026174DE">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9487EEB">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4CD2028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AC570E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2554A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21BFDF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1F8711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r>
      <w:tr w14:paraId="6BAF9F1B">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2EA09F18">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零售业</w:t>
            </w:r>
          </w:p>
        </w:tc>
        <w:tc>
          <w:tcPr>
            <w:tcW w:w="831" w:type="pct"/>
            <w:tcBorders>
              <w:top w:val="nil"/>
              <w:left w:val="nil"/>
              <w:bottom w:val="single" w:color="auto" w:sz="4" w:space="0"/>
              <w:right w:val="single" w:color="auto" w:sz="4" w:space="0"/>
            </w:tcBorders>
            <w:vAlign w:val="center"/>
          </w:tcPr>
          <w:p w14:paraId="2032BF1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6D005A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274684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0D3DD1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c>
          <w:tcPr>
            <w:tcW w:w="579" w:type="pct"/>
            <w:tcBorders>
              <w:top w:val="nil"/>
              <w:left w:val="nil"/>
              <w:bottom w:val="single" w:color="auto" w:sz="4" w:space="0"/>
              <w:right w:val="single" w:color="auto" w:sz="4" w:space="0"/>
            </w:tcBorders>
            <w:vAlign w:val="center"/>
          </w:tcPr>
          <w:p w14:paraId="0BA3F8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25F59C7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0F4E7CA">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45FB681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11CBD1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5D5FE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1FE0E8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1EF018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2F007040">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25A61C1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交通运输业</w:t>
            </w:r>
          </w:p>
        </w:tc>
        <w:tc>
          <w:tcPr>
            <w:tcW w:w="831" w:type="pct"/>
            <w:tcBorders>
              <w:top w:val="nil"/>
              <w:left w:val="nil"/>
              <w:bottom w:val="single" w:color="auto" w:sz="4" w:space="0"/>
              <w:right w:val="single" w:color="auto" w:sz="4" w:space="0"/>
            </w:tcBorders>
            <w:vAlign w:val="center"/>
          </w:tcPr>
          <w:p w14:paraId="582A654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E0618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2C8028D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6538FF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66468A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4D83F43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6743FEF7">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4777D58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BFC8B4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311604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337F37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w:t>
            </w:r>
          </w:p>
        </w:tc>
        <w:tc>
          <w:tcPr>
            <w:tcW w:w="579" w:type="pct"/>
            <w:tcBorders>
              <w:top w:val="nil"/>
              <w:left w:val="nil"/>
              <w:bottom w:val="single" w:color="auto" w:sz="4" w:space="0"/>
              <w:right w:val="single" w:color="auto" w:sz="4" w:space="0"/>
            </w:tcBorders>
            <w:vAlign w:val="center"/>
          </w:tcPr>
          <w:p w14:paraId="0784DC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r>
      <w:tr w14:paraId="28B75087">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4485107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仓储业</w:t>
            </w:r>
          </w:p>
        </w:tc>
        <w:tc>
          <w:tcPr>
            <w:tcW w:w="831" w:type="pct"/>
            <w:tcBorders>
              <w:top w:val="nil"/>
              <w:left w:val="nil"/>
              <w:bottom w:val="single" w:color="auto" w:sz="4" w:space="0"/>
              <w:right w:val="single" w:color="auto" w:sz="4" w:space="0"/>
            </w:tcBorders>
            <w:vAlign w:val="center"/>
          </w:tcPr>
          <w:p w14:paraId="006A4F9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0E5FDE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634D5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69B82E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1EA338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26CBAFC2">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D932FA4">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BA0773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FFDDD6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8511C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3D3029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752C01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330DFD73">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85DC91A">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邮政业</w:t>
            </w:r>
          </w:p>
        </w:tc>
        <w:tc>
          <w:tcPr>
            <w:tcW w:w="831" w:type="pct"/>
            <w:tcBorders>
              <w:top w:val="nil"/>
              <w:left w:val="nil"/>
              <w:bottom w:val="single" w:color="auto" w:sz="4" w:space="0"/>
              <w:right w:val="single" w:color="auto" w:sz="4" w:space="0"/>
            </w:tcBorders>
            <w:vAlign w:val="center"/>
          </w:tcPr>
          <w:p w14:paraId="37BC489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仿宋_GB2312" w:hAnsi="仿宋" w:eastAsia="仿宋_GB2312" w:cs="宋体"/>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AFCA1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62745D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06CA7B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4B5DFA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1DCF6CBB">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810BFAB">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67C1CBA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EB32F0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D21D7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77B1DE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147D3C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5FDDEB7D">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ABC659A">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住宿业</w:t>
            </w:r>
          </w:p>
        </w:tc>
        <w:tc>
          <w:tcPr>
            <w:tcW w:w="831" w:type="pct"/>
            <w:tcBorders>
              <w:top w:val="nil"/>
              <w:left w:val="nil"/>
              <w:bottom w:val="single" w:color="auto" w:sz="4" w:space="0"/>
              <w:right w:val="single" w:color="auto" w:sz="4" w:space="0"/>
            </w:tcBorders>
            <w:vAlign w:val="center"/>
          </w:tcPr>
          <w:p w14:paraId="69285EE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03AE2F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231B29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7042CC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5D8C2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3A2C2532">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8A4511D">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3C6621F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295F215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C33C8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165188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4D8AF8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D9C47F2">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4B7AAECA">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餐饮业</w:t>
            </w:r>
          </w:p>
        </w:tc>
        <w:tc>
          <w:tcPr>
            <w:tcW w:w="831" w:type="pct"/>
            <w:tcBorders>
              <w:top w:val="nil"/>
              <w:left w:val="nil"/>
              <w:bottom w:val="single" w:color="auto" w:sz="4" w:space="0"/>
              <w:right w:val="single" w:color="auto" w:sz="4" w:space="0"/>
            </w:tcBorders>
            <w:vAlign w:val="center"/>
          </w:tcPr>
          <w:p w14:paraId="5772B15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603C3D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CAF3E2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52EBA3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3C9062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6C042B0F">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6EEFD1F">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4FEA49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2980711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4F401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35C910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6AA8DF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42C34529">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5FB5B4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w:t>
            </w:r>
            <w:r>
              <w:rPr>
                <w:rFonts w:hint="eastAsia" w:ascii="微软雅黑" w:hAnsi="微软雅黑" w:eastAsia="微软雅黑" w:cs="微软雅黑"/>
                <w:b/>
                <w:bCs/>
                <w:color w:val="auto"/>
                <w:kern w:val="0"/>
                <w:sz w:val="18"/>
                <w:szCs w:val="18"/>
                <w:highlight w:val="none"/>
              </w:rPr>
              <w:t>息传输业</w:t>
            </w:r>
          </w:p>
        </w:tc>
        <w:tc>
          <w:tcPr>
            <w:tcW w:w="831" w:type="pct"/>
            <w:tcBorders>
              <w:top w:val="nil"/>
              <w:left w:val="nil"/>
              <w:bottom w:val="single" w:color="auto" w:sz="4" w:space="0"/>
              <w:right w:val="single" w:color="auto" w:sz="4" w:space="0"/>
            </w:tcBorders>
            <w:vAlign w:val="center"/>
          </w:tcPr>
          <w:p w14:paraId="1853855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690194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1FDE6E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902" w:type="pct"/>
            <w:tcBorders>
              <w:top w:val="nil"/>
              <w:left w:val="nil"/>
              <w:bottom w:val="single" w:color="auto" w:sz="4" w:space="0"/>
              <w:right w:val="single" w:color="auto" w:sz="4" w:space="0"/>
            </w:tcBorders>
            <w:vAlign w:val="center"/>
          </w:tcPr>
          <w:p w14:paraId="499186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2E9ED0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1084128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3BAC853">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6CAE36E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20E7CBE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B0BD1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100000</w:t>
            </w:r>
          </w:p>
        </w:tc>
        <w:tc>
          <w:tcPr>
            <w:tcW w:w="902" w:type="pct"/>
            <w:tcBorders>
              <w:top w:val="nil"/>
              <w:left w:val="nil"/>
              <w:bottom w:val="single" w:color="auto" w:sz="4" w:space="0"/>
              <w:right w:val="single" w:color="auto" w:sz="4" w:space="0"/>
            </w:tcBorders>
            <w:vAlign w:val="center"/>
          </w:tcPr>
          <w:p w14:paraId="60A743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3BA7B6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C4AB625">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92B0E74">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软件和</w:t>
            </w:r>
            <w:r>
              <w:rPr>
                <w:rFonts w:hint="eastAsia" w:ascii="___WRD_EMBED_SUB_45" w:hAnsi="___WRD_EMBED_SUB_45" w:eastAsia="___WRD_EMBED_SUB_45" w:cs="___WRD_EMBED_SUB_45"/>
                <w:b/>
                <w:bCs/>
                <w:color w:val="auto"/>
                <w:kern w:val="0"/>
                <w:sz w:val="18"/>
                <w:szCs w:val="18"/>
                <w:highlight w:val="none"/>
              </w:rPr>
              <w:t>信</w:t>
            </w:r>
            <w:r>
              <w:rPr>
                <w:rFonts w:hint="eastAsia" w:ascii="微软雅黑" w:hAnsi="微软雅黑" w:eastAsia="微软雅黑" w:cs="微软雅黑"/>
                <w:b/>
                <w:bCs/>
                <w:color w:val="auto"/>
                <w:kern w:val="0"/>
                <w:sz w:val="18"/>
                <w:szCs w:val="18"/>
                <w:highlight w:val="none"/>
              </w:rPr>
              <w:t>息技术服务业</w:t>
            </w:r>
          </w:p>
        </w:tc>
        <w:tc>
          <w:tcPr>
            <w:tcW w:w="831" w:type="pct"/>
            <w:tcBorders>
              <w:top w:val="nil"/>
              <w:left w:val="nil"/>
              <w:bottom w:val="single" w:color="auto" w:sz="4" w:space="0"/>
              <w:right w:val="single" w:color="auto" w:sz="4" w:space="0"/>
            </w:tcBorders>
            <w:vAlign w:val="center"/>
          </w:tcPr>
          <w:p w14:paraId="29A99312">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51C40C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3B82B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48F1E3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3773D5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147ABC3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93B9AA0">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E3AC12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2D33C5C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6FCD5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716398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70030E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01EFEBDC">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8344938">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房地产开发经营</w:t>
            </w:r>
          </w:p>
        </w:tc>
        <w:tc>
          <w:tcPr>
            <w:tcW w:w="831" w:type="pct"/>
            <w:tcBorders>
              <w:top w:val="nil"/>
              <w:left w:val="nil"/>
              <w:bottom w:val="single" w:color="auto" w:sz="4" w:space="0"/>
              <w:right w:val="single" w:color="auto" w:sz="4" w:space="0"/>
            </w:tcBorders>
            <w:vAlign w:val="center"/>
          </w:tcPr>
          <w:p w14:paraId="157A106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66A1122">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916E6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200000</w:t>
            </w:r>
          </w:p>
        </w:tc>
        <w:tc>
          <w:tcPr>
            <w:tcW w:w="902" w:type="pct"/>
            <w:tcBorders>
              <w:top w:val="nil"/>
              <w:left w:val="nil"/>
              <w:bottom w:val="single" w:color="auto" w:sz="4" w:space="0"/>
              <w:right w:val="single" w:color="auto" w:sz="4" w:space="0"/>
            </w:tcBorders>
            <w:vAlign w:val="center"/>
          </w:tcPr>
          <w:p w14:paraId="3CAF31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3237E1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29E79FA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4AA6A0F">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AD01C0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7067850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0B006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140210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0D62FA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r>
      <w:tr w14:paraId="68F7A47C">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7F806B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物业管</w:t>
            </w:r>
            <w:r>
              <w:rPr>
                <w:rFonts w:hint="eastAsia" w:ascii="___WRD_EMBED_SUB_45" w:hAnsi="___WRD_EMBED_SUB_45" w:eastAsia="___WRD_EMBED_SUB_45" w:cs="___WRD_EMBED_SUB_45"/>
                <w:b/>
                <w:bCs/>
                <w:color w:val="auto"/>
                <w:kern w:val="0"/>
                <w:sz w:val="18"/>
                <w:szCs w:val="18"/>
                <w:highlight w:val="none"/>
              </w:rPr>
              <w:t>理</w:t>
            </w:r>
          </w:p>
        </w:tc>
        <w:tc>
          <w:tcPr>
            <w:tcW w:w="831" w:type="pct"/>
            <w:tcBorders>
              <w:top w:val="nil"/>
              <w:left w:val="nil"/>
              <w:bottom w:val="single" w:color="auto" w:sz="4" w:space="0"/>
              <w:right w:val="single" w:color="auto" w:sz="4" w:space="0"/>
            </w:tcBorders>
            <w:vAlign w:val="center"/>
          </w:tcPr>
          <w:p w14:paraId="477795A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29928A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31DF8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3B07F2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77DF18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2789A4D8">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3B1A0EF">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11B761E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16FFA872">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76A50C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902" w:type="pct"/>
            <w:tcBorders>
              <w:top w:val="nil"/>
              <w:left w:val="nil"/>
              <w:bottom w:val="single" w:color="auto" w:sz="4" w:space="0"/>
              <w:right w:val="single" w:color="auto" w:sz="4" w:space="0"/>
            </w:tcBorders>
            <w:vAlign w:val="center"/>
          </w:tcPr>
          <w:p w14:paraId="4BC33E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349E3F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r>
      <w:tr w14:paraId="2B720DD1">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438994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租赁和商务服务业</w:t>
            </w:r>
          </w:p>
        </w:tc>
        <w:tc>
          <w:tcPr>
            <w:tcW w:w="831" w:type="pct"/>
            <w:tcBorders>
              <w:top w:val="nil"/>
              <w:left w:val="nil"/>
              <w:bottom w:val="single" w:color="auto" w:sz="4" w:space="0"/>
              <w:right w:val="single" w:color="auto" w:sz="4" w:space="0"/>
            </w:tcBorders>
            <w:vAlign w:val="center"/>
          </w:tcPr>
          <w:p w14:paraId="0A0A934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21B68A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7AED82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348BD4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5D77B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68F35661">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08367F4">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25C334D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7560135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DA08B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120000</w:t>
            </w:r>
          </w:p>
        </w:tc>
        <w:tc>
          <w:tcPr>
            <w:tcW w:w="902" w:type="pct"/>
            <w:tcBorders>
              <w:top w:val="nil"/>
              <w:left w:val="nil"/>
              <w:bottom w:val="single" w:color="auto" w:sz="4" w:space="0"/>
              <w:right w:val="single" w:color="auto" w:sz="4" w:space="0"/>
            </w:tcBorders>
            <w:vAlign w:val="center"/>
          </w:tcPr>
          <w:p w14:paraId="00690B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w:t>
            </w:r>
          </w:p>
        </w:tc>
        <w:tc>
          <w:tcPr>
            <w:tcW w:w="579" w:type="pct"/>
            <w:tcBorders>
              <w:top w:val="nil"/>
              <w:left w:val="nil"/>
              <w:bottom w:val="single" w:color="auto" w:sz="4" w:space="0"/>
              <w:right w:val="single" w:color="auto" w:sz="4" w:space="0"/>
            </w:tcBorders>
            <w:vAlign w:val="center"/>
          </w:tcPr>
          <w:p w14:paraId="071FA1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3ACF6278">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220F853A">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其他未列明行业</w:t>
            </w:r>
          </w:p>
        </w:tc>
        <w:tc>
          <w:tcPr>
            <w:tcW w:w="831" w:type="pct"/>
            <w:tcBorders>
              <w:top w:val="nil"/>
              <w:left w:val="nil"/>
              <w:bottom w:val="single" w:color="auto" w:sz="4" w:space="0"/>
              <w:right w:val="single" w:color="auto" w:sz="4" w:space="0"/>
            </w:tcBorders>
            <w:vAlign w:val="center"/>
          </w:tcPr>
          <w:p w14:paraId="71842C1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13F56F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16F36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7CF133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0C33FC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bl>
    <w:p w14:paraId="55926164">
      <w:pPr>
        <w:spacing w:line="528"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10602E5">
      <w:pPr>
        <w:widowControl/>
        <w:jc w:val="left"/>
        <w:rPr>
          <w:b/>
          <w:bCs/>
          <w:color w:val="auto"/>
          <w:kern w:val="44"/>
          <w:sz w:val="44"/>
          <w:szCs w:val="44"/>
          <w:highlight w:val="none"/>
        </w:rPr>
      </w:pPr>
      <w:r>
        <w:rPr>
          <w:color w:val="auto"/>
          <w:highlight w:val="none"/>
        </w:rPr>
        <w:br w:type="page"/>
      </w:r>
    </w:p>
    <w:p w14:paraId="6C54E8FD">
      <w:pPr>
        <w:pStyle w:val="5"/>
        <w:jc w:val="center"/>
        <w:rPr>
          <w:color w:val="auto"/>
          <w:highlight w:val="none"/>
        </w:rPr>
      </w:pPr>
      <w:bookmarkStart w:id="65" w:name="_Toc151675539"/>
      <w:r>
        <w:rPr>
          <w:rFonts w:hint="eastAsia"/>
          <w:color w:val="auto"/>
          <w:highlight w:val="none"/>
        </w:rPr>
        <w:t xml:space="preserve">第四章 </w:t>
      </w:r>
      <w:r>
        <w:rPr>
          <w:color w:val="auto"/>
          <w:highlight w:val="none"/>
        </w:rPr>
        <w:t xml:space="preserve"> </w:t>
      </w:r>
      <w:r>
        <w:rPr>
          <w:rFonts w:hint="eastAsia"/>
          <w:color w:val="auto"/>
          <w:highlight w:val="none"/>
        </w:rPr>
        <w:t>评审程序、评审方法和评审标准</w:t>
      </w:r>
      <w:bookmarkEnd w:id="65"/>
    </w:p>
    <w:p w14:paraId="65F8B340">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4239FF3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37C86C49">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3AD533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65433F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62D774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9DA5F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（3）查询方式：在查询网站中直接查询。</w:t>
      </w:r>
    </w:p>
    <w:p w14:paraId="3E259C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2EFCD7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4A79537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04ADD4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450884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5A44FF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0AC487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305702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0C78D67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4BEB76E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72586EA4">
      <w:pPr>
        <w:spacing w:line="360" w:lineRule="auto"/>
        <w:ind w:firstLine="420" w:firstLineChars="200"/>
        <w:rPr>
          <w:rFonts w:ascii="宋体" w:hAnsi="宋体" w:cs="宋体"/>
          <w:color w:val="auto"/>
          <w:szCs w:val="21"/>
          <w:highlight w:val="none"/>
        </w:rPr>
      </w:pPr>
      <w:bookmarkStart w:id="66"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66"/>
    <w:p w14:paraId="05DE76D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A98112">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0FE4900A">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C2380B5">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p>
    <w:p w14:paraId="3424BA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10B8F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AAC11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436F5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EF7F5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74C37B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427012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4015C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60913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12DB5D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7B7B8C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3）委托代理人未能出具有效身份证或者出具的身份证与授权委托书中的信息不符的；</w:t>
      </w:r>
    </w:p>
    <w:p w14:paraId="3BE33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2384C7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8B0B35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）商务要求允许负偏离的条款数超过“供应商须知前附表”规定项数的；</w:t>
      </w:r>
    </w:p>
    <w:p w14:paraId="17D3075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）未对竞标有效期作出响应或者响应文件承诺的竞标有效期不满足磋商文件要求；</w:t>
      </w:r>
    </w:p>
    <w:p w14:paraId="4D474EF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）响应文件的实质性内容未使用中文表述、使用计量单位不符合磋商文件要求；</w:t>
      </w:r>
    </w:p>
    <w:p w14:paraId="129F4C5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744386F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2863B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2BC8C07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2）技术要求允许负偏离的条款数超过“供应商须知前附表”规定项数；</w:t>
      </w:r>
    </w:p>
    <w:p w14:paraId="6045D80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4CA8BA2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bookmarkStart w:id="67"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67"/>
    </w:p>
    <w:p w14:paraId="5BBF9A7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）响应文件标注的项目名称或者项目编号与磋商文件标注的项目名称或者项目编号不一致的；</w:t>
      </w:r>
    </w:p>
    <w:p w14:paraId="39AAB3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b/>
          <w:color w:val="auto"/>
          <w:szCs w:val="21"/>
          <w:highlight w:val="none"/>
        </w:rPr>
        <w:t>竞争性磋商文件明确不允许分包，响应文件拟分包的；</w:t>
      </w:r>
    </w:p>
    <w:p w14:paraId="463D1D4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）未响应磋商文件实质性要求；</w:t>
      </w:r>
    </w:p>
    <w:p w14:paraId="6DB853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8</w:t>
      </w:r>
      <w:r>
        <w:rPr>
          <w:rFonts w:hint="eastAsia" w:ascii="宋体" w:hAnsi="宋体" w:cs="宋体"/>
          <w:color w:val="auto"/>
          <w:szCs w:val="21"/>
          <w:highlight w:val="none"/>
        </w:rPr>
        <w:t>）法律、法规和磋商文件规定的其他无效情形。</w:t>
      </w:r>
    </w:p>
    <w:p w14:paraId="086EFD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7DD8E2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w:t>
      </w:r>
    </w:p>
    <w:p w14:paraId="2C4D4A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1B673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23F260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68" w:name="_Hlk42596405"/>
      <w:r>
        <w:rPr>
          <w:rFonts w:hint="eastAsia" w:ascii="宋体" w:hAnsi="宋体" w:cs="宋体"/>
          <w:color w:val="auto"/>
          <w:szCs w:val="21"/>
          <w:highlight w:val="none"/>
        </w:rPr>
        <w:t>竞标报价（包含首次报价、最后报价）</w:t>
      </w:r>
      <w:bookmarkEnd w:id="68"/>
      <w:bookmarkStart w:id="69" w:name="_Hlk42596276"/>
      <w:r>
        <w:rPr>
          <w:rFonts w:hint="eastAsia" w:ascii="宋体" w:hAnsi="宋体" w:cs="宋体"/>
          <w:color w:val="auto"/>
          <w:szCs w:val="21"/>
          <w:highlight w:val="none"/>
        </w:rPr>
        <w:t>超过磋商文件分项采购预算金额或者最高限价的</w:t>
      </w:r>
      <w:bookmarkEnd w:id="69"/>
      <w:r>
        <w:rPr>
          <w:rFonts w:hint="eastAsia" w:ascii="宋体" w:hAnsi="宋体" w:cs="宋体"/>
          <w:color w:val="auto"/>
          <w:szCs w:val="21"/>
          <w:highlight w:val="none"/>
        </w:rPr>
        <w:t>（如本项目公布了最高限价）；</w:t>
      </w:r>
    </w:p>
    <w:p w14:paraId="3E8435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D6C8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40C81D9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68E40B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482693C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33C1A87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D2F0D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C0011D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C991B7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720355D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7B68815B">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11F87522">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D599E1E">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1AC62858">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最后报价</w:t>
      </w:r>
    </w:p>
    <w:p w14:paraId="1AB975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47CB3A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6298546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277E901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EDB47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052AE66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63C6015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p>
    <w:p w14:paraId="0C8DBDE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7F3F73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2D453A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56244E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1B7E27F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B8863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FE922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6DC582D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24624B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67498D3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57490EF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5EFA2F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AD2BA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DD38FA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1ECC2870">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093A2FC0">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678D4F0">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7811789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71F9C523">
      <w:pPr>
        <w:pStyle w:val="22"/>
        <w:spacing w:line="360" w:lineRule="atLeast"/>
        <w:ind w:firstLine="413" w:firstLineChars="196"/>
        <w:rPr>
          <w:color w:val="auto"/>
          <w:highlight w:val="none"/>
        </w:rPr>
      </w:pPr>
      <w:r>
        <w:rPr>
          <w:rFonts w:hint="eastAsia" w:hAnsi="宋体"/>
          <w:b/>
          <w:color w:val="auto"/>
          <w:kern w:val="2"/>
          <w:sz w:val="21"/>
          <w:highlight w:val="none"/>
        </w:rPr>
        <w:t>适用于分标</w:t>
      </w:r>
      <w:r>
        <w:rPr>
          <w:rFonts w:hint="eastAsia" w:hAnsi="宋体"/>
          <w:b/>
          <w:color w:val="auto"/>
          <w:kern w:val="2"/>
          <w:sz w:val="21"/>
          <w:highlight w:val="none"/>
          <w:lang w:val="en-US" w:eastAsia="zh-CN"/>
        </w:rPr>
        <w:t>1</w:t>
      </w:r>
      <w:r>
        <w:rPr>
          <w:rFonts w:hint="eastAsia" w:hAnsi="宋体"/>
          <w:b/>
          <w:color w:val="auto"/>
          <w:kern w:val="2"/>
          <w:sz w:val="21"/>
          <w:highlight w:val="none"/>
        </w:rPr>
        <w:t>：</w:t>
      </w:r>
    </w:p>
    <w:tbl>
      <w:tblPr>
        <w:tblStyle w:val="3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419"/>
        <w:gridCol w:w="934"/>
      </w:tblGrid>
      <w:tr w14:paraId="128C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66733AA">
            <w:pPr>
              <w:spacing w:line="360" w:lineRule="auto"/>
              <w:jc w:val="center"/>
              <w:rPr>
                <w:rFonts w:hint="eastAsia" w:ascii="宋体" w:hAnsi="宋体" w:eastAsia="宋体" w:cs="宋体"/>
                <w:bCs/>
                <w:color w:val="auto"/>
                <w:szCs w:val="21"/>
                <w:highlight w:val="none"/>
              </w:rPr>
            </w:pPr>
            <w:bookmarkStart w:id="70" w:name="_Hlk152003192"/>
            <w:r>
              <w:rPr>
                <w:rFonts w:hint="eastAsia" w:ascii="宋体" w:hAnsi="宋体" w:eastAsia="宋体" w:cs="宋体"/>
                <w:bCs/>
                <w:color w:val="auto"/>
                <w:szCs w:val="21"/>
                <w:highlight w:val="none"/>
              </w:rPr>
              <w:t>序号</w:t>
            </w:r>
          </w:p>
        </w:tc>
        <w:tc>
          <w:tcPr>
            <w:tcW w:w="959" w:type="dxa"/>
            <w:vAlign w:val="center"/>
          </w:tcPr>
          <w:p w14:paraId="411E5A4D">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评分类型</w:t>
            </w:r>
          </w:p>
        </w:tc>
        <w:tc>
          <w:tcPr>
            <w:tcW w:w="7419" w:type="dxa"/>
            <w:vAlign w:val="center"/>
          </w:tcPr>
          <w:p w14:paraId="7C03C7BD">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934" w:type="dxa"/>
            <w:vAlign w:val="center"/>
          </w:tcPr>
          <w:p w14:paraId="32F2823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r>
      <w:tr w14:paraId="3509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5931A72">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p>
        </w:tc>
        <w:tc>
          <w:tcPr>
            <w:tcW w:w="959" w:type="dxa"/>
            <w:vAlign w:val="center"/>
          </w:tcPr>
          <w:p w14:paraId="318C6BD7">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7419" w:type="dxa"/>
            <w:vAlign w:val="center"/>
          </w:tcPr>
          <w:p w14:paraId="7D86F044">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报价为</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报价进行政策性扣除后的价格，</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报价只是作为</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时使用。最终</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的</w:t>
            </w:r>
            <w:r>
              <w:rPr>
                <w:rFonts w:hint="eastAsia" w:ascii="宋体" w:hAnsi="宋体" w:cs="宋体"/>
                <w:bCs/>
                <w:color w:val="auto"/>
                <w:szCs w:val="21"/>
                <w:highlight w:val="none"/>
                <w:lang w:val="en-US" w:eastAsia="zh-CN"/>
              </w:rPr>
              <w:t>成交</w:t>
            </w:r>
            <w:r>
              <w:rPr>
                <w:rFonts w:hint="eastAsia" w:ascii="宋体" w:hAnsi="宋体" w:eastAsia="宋体" w:cs="宋体"/>
                <w:bCs/>
                <w:color w:val="auto"/>
                <w:szCs w:val="21"/>
                <w:highlight w:val="none"/>
              </w:rPr>
              <w:t>金额等于</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w:t>
            </w:r>
          </w:p>
          <w:p w14:paraId="2A985E94">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（2）按照《政府采购促进中小企业发展管理办法》（财库〔2020〕46号）及</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广西壮族自治区财政厅关于持续优化政府采购营商环境推动高质量发展的通知</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桂财采〔2024〕55号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规定，</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在其</w:t>
            </w:r>
            <w:r>
              <w:rPr>
                <w:rFonts w:hint="eastAsia" w:ascii="宋体" w:hAnsi="宋体" w:eastAsia="宋体" w:cs="宋体"/>
                <w:bCs/>
                <w:color w:val="auto"/>
                <w:szCs w:val="21"/>
                <w:highlight w:val="none"/>
                <w:lang w:val="en-US" w:eastAsia="zh-CN"/>
              </w:rPr>
              <w:t>响应</w:t>
            </w:r>
            <w:r>
              <w:rPr>
                <w:rFonts w:hint="eastAsia" w:ascii="宋体" w:hAnsi="宋体" w:eastAsia="宋体" w:cs="宋体"/>
                <w:bCs/>
                <w:color w:val="auto"/>
                <w:szCs w:val="21"/>
                <w:highlight w:val="none"/>
              </w:rPr>
              <w:t>文件中提供《中小企业声明函》，且其服务全部由符合政策要求的小型、微型企业承接的，对其</w:t>
            </w:r>
            <w:r>
              <w:rPr>
                <w:rFonts w:hint="eastAsia" w:ascii="宋体" w:hAnsi="宋体" w:eastAsia="宋体" w:cs="宋体"/>
                <w:bCs/>
                <w:color w:val="auto"/>
                <w:szCs w:val="21"/>
                <w:highlight w:val="none"/>
                <w:lang w:val="en-US" w:eastAsia="zh-CN"/>
              </w:rPr>
              <w:t>竞标</w:t>
            </w:r>
            <w:r>
              <w:rPr>
                <w:rFonts w:hint="eastAsia" w:ascii="宋体" w:hAnsi="宋体" w:eastAsia="宋体" w:cs="宋体"/>
                <w:bCs/>
                <w:color w:val="auto"/>
                <w:szCs w:val="21"/>
                <w:highlight w:val="none"/>
              </w:rPr>
              <w:t>价格给予</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0%的扣除。</w:t>
            </w:r>
          </w:p>
          <w:p w14:paraId="54AF5BA8">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C605112">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6C44A38">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（5）政策性扣除计算方法。</w:t>
            </w:r>
          </w:p>
          <w:p w14:paraId="55941D11">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被评定为监狱企业或者残疾人福利性单位或者其服务全部由符合政策要求的小型、微型企业承接的，该</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 xml:space="preserve">报价给予 </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0% 的扣除，扣除后的价格为</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报价，即</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报价×（1-</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%的扣除，用扣除后的价格参加评审，扣除后的价格为评</w:t>
            </w:r>
            <w:r>
              <w:rPr>
                <w:rFonts w:hint="eastAsia" w:ascii="宋体" w:hAnsi="宋体" w:eastAsia="宋体" w:cs="宋体"/>
                <w:bCs/>
                <w:color w:val="auto"/>
                <w:szCs w:val="21"/>
                <w:highlight w:val="none"/>
                <w:lang w:eastAsia="zh-CN"/>
              </w:rPr>
              <w:t>审</w:t>
            </w:r>
            <w:r>
              <w:rPr>
                <w:rFonts w:hint="eastAsia" w:ascii="宋体" w:hAnsi="宋体" w:eastAsia="宋体" w:cs="宋体"/>
                <w:bCs/>
                <w:color w:val="auto"/>
                <w:szCs w:val="21"/>
                <w:highlight w:val="none"/>
              </w:rPr>
              <w:t>报价，即评</w:t>
            </w:r>
            <w:r>
              <w:rPr>
                <w:rFonts w:hint="eastAsia" w:ascii="宋体" w:hAnsi="宋体" w:cs="宋体"/>
                <w:bCs/>
                <w:color w:val="auto"/>
                <w:szCs w:val="21"/>
                <w:highlight w:val="none"/>
                <w:lang w:eastAsia="zh-CN"/>
              </w:rPr>
              <w:t>审</w:t>
            </w:r>
            <w:r>
              <w:rPr>
                <w:rFonts w:hint="eastAsia" w:ascii="宋体" w:hAnsi="宋体" w:eastAsia="宋体" w:cs="宋体"/>
                <w:bCs/>
                <w:color w:val="auto"/>
                <w:szCs w:val="21"/>
                <w:highlight w:val="none"/>
              </w:rPr>
              <w:t>报价=</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报价×（1－</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%）；除上述情况外，评</w:t>
            </w:r>
            <w:r>
              <w:rPr>
                <w:rFonts w:hint="eastAsia" w:ascii="宋体" w:hAnsi="宋体" w:eastAsia="宋体" w:cs="宋体"/>
                <w:bCs/>
                <w:color w:val="auto"/>
                <w:szCs w:val="21"/>
                <w:highlight w:val="none"/>
                <w:lang w:eastAsia="zh-CN"/>
              </w:rPr>
              <w:t>审</w:t>
            </w:r>
            <w:r>
              <w:rPr>
                <w:rFonts w:hint="eastAsia" w:ascii="宋体" w:hAnsi="宋体" w:eastAsia="宋体" w:cs="宋体"/>
                <w:bCs/>
                <w:color w:val="auto"/>
                <w:szCs w:val="21"/>
                <w:highlight w:val="none"/>
              </w:rPr>
              <w:t>报价=</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w:t>
            </w:r>
          </w:p>
          <w:p w14:paraId="4CAFEDE4">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（6）满足</w:t>
            </w:r>
            <w:r>
              <w:rPr>
                <w:rFonts w:hint="eastAsia" w:ascii="宋体" w:hAnsi="宋体" w:eastAsia="宋体" w:cs="宋体"/>
                <w:bCs/>
                <w:color w:val="auto"/>
                <w:szCs w:val="21"/>
                <w:highlight w:val="none"/>
                <w:lang w:val="en-US" w:eastAsia="zh-CN"/>
              </w:rPr>
              <w:t>采购</w:t>
            </w:r>
            <w:r>
              <w:rPr>
                <w:rFonts w:hint="eastAsia" w:ascii="宋体" w:hAnsi="宋体" w:eastAsia="宋体" w:cs="宋体"/>
                <w:bCs/>
                <w:color w:val="auto"/>
                <w:szCs w:val="21"/>
                <w:highlight w:val="none"/>
              </w:rPr>
              <w:t>文件要求且</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报价最低的</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报价为</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基准价，基准价得分为20分。</w:t>
            </w:r>
          </w:p>
          <w:p w14:paraId="65EE37E8">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（7）价格分计算公式：        </w:t>
            </w:r>
          </w:p>
          <w:p w14:paraId="50417A92">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价格分=(</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基准价／</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报价)×20分</w:t>
            </w:r>
          </w:p>
        </w:tc>
        <w:tc>
          <w:tcPr>
            <w:tcW w:w="934" w:type="dxa"/>
            <w:vAlign w:val="center"/>
          </w:tcPr>
          <w:p w14:paraId="56B7F3FE">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20</w:t>
            </w:r>
          </w:p>
        </w:tc>
      </w:tr>
      <w:tr w14:paraId="2568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1447EBB4">
            <w:pPr>
              <w:spacing w:line="360" w:lineRule="auto"/>
              <w:jc w:val="center"/>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lang w:val="en-US" w:eastAsia="zh-CN"/>
              </w:rPr>
              <w:t>2</w:t>
            </w:r>
          </w:p>
        </w:tc>
        <w:tc>
          <w:tcPr>
            <w:tcW w:w="959" w:type="dxa"/>
            <w:vAlign w:val="center"/>
          </w:tcPr>
          <w:p w14:paraId="69050729">
            <w:pPr>
              <w:adjustRightIn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419" w:type="dxa"/>
            <w:vAlign w:val="center"/>
          </w:tcPr>
          <w:p w14:paraId="6B64D4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(1)项目技术设计方案（满分30分）</w:t>
            </w:r>
          </w:p>
          <w:p w14:paraId="481843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分）：技术方案合理，工作内容和实施办法能够满足项目需要。</w:t>
            </w:r>
          </w:p>
          <w:p w14:paraId="34E19D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分）：技术方案合理，条理清晰，具有</w:t>
            </w:r>
            <w:r>
              <w:rPr>
                <w:rFonts w:hint="eastAsia" w:ascii="宋体" w:hAnsi="宋体" w:cs="宋体"/>
                <w:color w:val="auto"/>
                <w:szCs w:val="21"/>
                <w:highlight w:val="none"/>
                <w:lang w:val="en-US" w:eastAsia="zh-CN"/>
              </w:rPr>
              <w:t>可操作性</w:t>
            </w:r>
            <w:r>
              <w:rPr>
                <w:rFonts w:hint="eastAsia" w:ascii="宋体" w:hAnsi="宋体" w:eastAsia="宋体" w:cs="宋体"/>
                <w:color w:val="auto"/>
                <w:szCs w:val="21"/>
                <w:highlight w:val="none"/>
              </w:rPr>
              <w:t>，工作内容和实施办法能够切合实际考虑，</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可操作性。</w:t>
            </w:r>
          </w:p>
          <w:p w14:paraId="600844B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三档（30分）：技术方案合理，条理清晰</w:t>
            </w:r>
            <w:r>
              <w:rPr>
                <w:rFonts w:hint="eastAsia" w:ascii="宋体" w:hAnsi="宋体" w:cs="宋体"/>
                <w:color w:val="auto"/>
                <w:szCs w:val="21"/>
                <w:highlight w:val="none"/>
                <w:lang w:eastAsia="zh-CN"/>
              </w:rPr>
              <w:t>，具有可操作性</w:t>
            </w:r>
            <w:r>
              <w:rPr>
                <w:rFonts w:hint="eastAsia" w:ascii="宋体" w:hAnsi="宋体" w:eastAsia="宋体" w:cs="宋体"/>
                <w:color w:val="auto"/>
                <w:szCs w:val="21"/>
                <w:highlight w:val="none"/>
              </w:rPr>
              <w:t>，工作内容和实施办法满足工作实际要求，有</w:t>
            </w:r>
            <w:r>
              <w:rPr>
                <w:rFonts w:hint="eastAsia" w:ascii="宋体" w:hAnsi="宋体" w:cs="宋体"/>
                <w:color w:val="auto"/>
                <w:szCs w:val="21"/>
                <w:highlight w:val="none"/>
                <w:lang w:val="en-US" w:eastAsia="zh-CN"/>
              </w:rPr>
              <w:t>可</w:t>
            </w:r>
            <w:r>
              <w:rPr>
                <w:rFonts w:hint="eastAsia" w:ascii="宋体" w:hAnsi="宋体" w:eastAsia="宋体" w:cs="宋体"/>
                <w:color w:val="auto"/>
                <w:szCs w:val="21"/>
                <w:highlight w:val="none"/>
              </w:rPr>
              <w:t>操作性，</w:t>
            </w:r>
            <w:r>
              <w:rPr>
                <w:rFonts w:hint="eastAsia" w:ascii="宋体" w:hAnsi="宋体" w:cs="宋体"/>
                <w:color w:val="auto"/>
                <w:szCs w:val="21"/>
                <w:highlight w:val="none"/>
                <w:lang w:val="en-US" w:eastAsia="zh-CN"/>
              </w:rPr>
              <w:t>工作内容详实，有明确的工作时间安排及工作计划</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项目服务预期成果明确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项目工作方案</w:t>
            </w:r>
            <w:r>
              <w:rPr>
                <w:rFonts w:hint="eastAsia" w:ascii="宋体" w:hAnsi="宋体" w:eastAsia="宋体" w:cs="宋体"/>
                <w:color w:val="auto"/>
                <w:szCs w:val="21"/>
                <w:highlight w:val="none"/>
              </w:rPr>
              <w:t>能充分</w:t>
            </w:r>
            <w:r>
              <w:rPr>
                <w:rFonts w:hint="eastAsia" w:ascii="宋体" w:hAnsi="宋体" w:cs="宋体"/>
                <w:color w:val="auto"/>
                <w:szCs w:val="21"/>
                <w:highlight w:val="none"/>
                <w:lang w:val="en-US" w:eastAsia="zh-CN"/>
              </w:rPr>
              <w:t>满足自治区本级国有土地清查、资产配置方案工作的需求</w:t>
            </w:r>
            <w:r>
              <w:rPr>
                <w:rFonts w:hint="eastAsia" w:ascii="宋体" w:hAnsi="宋体" w:eastAsia="宋体" w:cs="宋体"/>
                <w:color w:val="auto"/>
                <w:szCs w:val="21"/>
                <w:highlight w:val="none"/>
              </w:rPr>
              <w:t>。</w:t>
            </w:r>
          </w:p>
          <w:p w14:paraId="21175E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注：不符合最低入档条件的按不入档计0分处理。</w:t>
            </w:r>
          </w:p>
        </w:tc>
        <w:tc>
          <w:tcPr>
            <w:tcW w:w="934" w:type="dxa"/>
            <w:vAlign w:val="center"/>
          </w:tcPr>
          <w:p w14:paraId="5A65DB6D">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30</w:t>
            </w:r>
          </w:p>
        </w:tc>
      </w:tr>
      <w:tr w14:paraId="36D6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19CFE6BA">
            <w:pPr>
              <w:spacing w:line="360" w:lineRule="auto"/>
              <w:jc w:val="center"/>
              <w:rPr>
                <w:rFonts w:hint="eastAsia" w:ascii="宋体" w:hAnsi="宋体" w:eastAsia="宋体" w:cs="宋体"/>
                <w:bCs/>
                <w:color w:val="auto"/>
                <w:szCs w:val="20"/>
                <w:highlight w:val="none"/>
                <w:lang w:eastAsia="zh-CN"/>
              </w:rPr>
            </w:pPr>
          </w:p>
        </w:tc>
        <w:tc>
          <w:tcPr>
            <w:tcW w:w="959" w:type="dxa"/>
            <w:vAlign w:val="center"/>
          </w:tcPr>
          <w:p w14:paraId="36DA38F6">
            <w:pPr>
              <w:adjustRightIn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419" w:type="dxa"/>
            <w:vAlign w:val="center"/>
          </w:tcPr>
          <w:p w14:paraId="1E2134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(2)项目质量保障措施（满分15分）</w:t>
            </w:r>
          </w:p>
          <w:p w14:paraId="1C8E7B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一档（5分）：有进度安排，但仅有项目进度安排和编制人员配备，无责任分工，无具体项目负责人，质量保证措施合理。</w:t>
            </w:r>
          </w:p>
          <w:p w14:paraId="757331A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二档（10分）：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提供的进度安排符合项目的实际需求，有可操作性，项目编制人员配备及责任分工合理明确；质量保证措施合理、可靠，</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方案思路</w:t>
            </w:r>
            <w:r>
              <w:rPr>
                <w:rFonts w:hint="eastAsia" w:ascii="宋体" w:hAnsi="宋体" w:cs="宋体"/>
                <w:color w:val="auto"/>
                <w:szCs w:val="21"/>
                <w:highlight w:val="none"/>
                <w:lang w:val="en-US" w:eastAsia="zh-CN"/>
              </w:rPr>
              <w:t>描述</w:t>
            </w:r>
            <w:r>
              <w:rPr>
                <w:rFonts w:hint="eastAsia" w:ascii="宋体" w:hAnsi="宋体" w:eastAsia="宋体" w:cs="宋体"/>
                <w:color w:val="auto"/>
                <w:szCs w:val="21"/>
                <w:highlight w:val="none"/>
              </w:rPr>
              <w:t>。</w:t>
            </w:r>
          </w:p>
          <w:p w14:paraId="70D251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三档（15分）：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提供的进度安排符合项目的实际需求且优于服务需求，有可操作性，项目</w:t>
            </w:r>
            <w:r>
              <w:rPr>
                <w:rFonts w:hint="eastAsia" w:ascii="宋体" w:hAnsi="宋体" w:cs="宋体"/>
                <w:color w:val="auto"/>
                <w:szCs w:val="21"/>
                <w:highlight w:val="none"/>
                <w:lang w:val="en-US" w:eastAsia="zh-CN"/>
              </w:rPr>
              <w:t>编制</w:t>
            </w:r>
            <w:r>
              <w:rPr>
                <w:rFonts w:hint="eastAsia" w:ascii="宋体" w:hAnsi="宋体" w:eastAsia="宋体" w:cs="宋体"/>
                <w:color w:val="auto"/>
                <w:szCs w:val="21"/>
                <w:highlight w:val="none"/>
              </w:rPr>
              <w:t>人员配备及责任分工合理明确；质量保证措施具体且明确，能够有效保障质量，方案思路</w:t>
            </w:r>
            <w:r>
              <w:rPr>
                <w:rFonts w:hint="eastAsia" w:ascii="宋体" w:hAnsi="宋体" w:cs="宋体"/>
                <w:color w:val="auto"/>
                <w:szCs w:val="21"/>
                <w:highlight w:val="none"/>
                <w:lang w:val="en-US" w:eastAsia="zh-CN"/>
              </w:rPr>
              <w:t>描述详细</w:t>
            </w:r>
            <w:r>
              <w:rPr>
                <w:rFonts w:hint="eastAsia" w:ascii="宋体" w:hAnsi="宋体" w:eastAsia="宋体" w:cs="宋体"/>
                <w:color w:val="auto"/>
                <w:szCs w:val="21"/>
                <w:highlight w:val="none"/>
              </w:rPr>
              <w:t>。</w:t>
            </w:r>
          </w:p>
          <w:p w14:paraId="265B09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注：不符合最低入档条件的按不入档计0分处理。</w:t>
            </w:r>
          </w:p>
        </w:tc>
        <w:tc>
          <w:tcPr>
            <w:tcW w:w="934" w:type="dxa"/>
            <w:vAlign w:val="center"/>
          </w:tcPr>
          <w:p w14:paraId="68F709A0">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14:paraId="0E31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3CB61E74">
            <w:pPr>
              <w:spacing w:line="360" w:lineRule="auto"/>
              <w:jc w:val="center"/>
              <w:rPr>
                <w:rFonts w:hint="eastAsia" w:ascii="宋体" w:hAnsi="宋体" w:eastAsia="宋体" w:cs="宋体"/>
                <w:bCs/>
                <w:color w:val="auto"/>
                <w:szCs w:val="20"/>
                <w:highlight w:val="none"/>
                <w:lang w:eastAsia="zh-CN"/>
              </w:rPr>
            </w:pPr>
          </w:p>
        </w:tc>
        <w:tc>
          <w:tcPr>
            <w:tcW w:w="959" w:type="dxa"/>
            <w:vAlign w:val="center"/>
          </w:tcPr>
          <w:p w14:paraId="50494AC6">
            <w:pPr>
              <w:adjustRightIn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419" w:type="dxa"/>
            <w:vAlign w:val="center"/>
          </w:tcPr>
          <w:p w14:paraId="63849566">
            <w:pPr>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 (3)拟投入本项目人员（满分</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分）</w:t>
            </w:r>
          </w:p>
          <w:p w14:paraId="2D44B3EB">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本项目投入人员不得少于10人，</w:t>
            </w:r>
            <w:r>
              <w:rPr>
                <w:rFonts w:hint="eastAsia" w:ascii="宋体" w:hAnsi="宋体" w:cs="宋体"/>
                <w:color w:val="auto"/>
                <w:szCs w:val="21"/>
                <w:highlight w:val="none"/>
                <w:lang w:val="en-US" w:eastAsia="zh-CN"/>
              </w:rPr>
              <w:t>否则该项不得分，</w:t>
            </w:r>
            <w:r>
              <w:rPr>
                <w:rFonts w:hint="eastAsia" w:ascii="宋体" w:hAnsi="宋体" w:cs="宋体"/>
                <w:color w:val="auto"/>
                <w:szCs w:val="21"/>
                <w:highlight w:val="none"/>
                <w:lang w:eastAsia="zh-CN"/>
              </w:rPr>
              <w:t>具体</w:t>
            </w:r>
            <w:r>
              <w:rPr>
                <w:rFonts w:hint="eastAsia" w:ascii="宋体" w:hAnsi="宋体" w:cs="宋体"/>
                <w:color w:val="auto"/>
                <w:szCs w:val="21"/>
                <w:highlight w:val="none"/>
              </w:rPr>
              <w:t>计分情况</w:t>
            </w:r>
            <w:r>
              <w:rPr>
                <w:rFonts w:hint="eastAsia" w:ascii="宋体" w:hAnsi="宋体" w:cs="宋体"/>
                <w:color w:val="auto"/>
                <w:szCs w:val="21"/>
                <w:highlight w:val="none"/>
                <w:lang w:val="en-US" w:eastAsia="zh-CN"/>
              </w:rPr>
              <w:t>如下</w:t>
            </w:r>
            <w:r>
              <w:rPr>
                <w:rFonts w:hint="eastAsia" w:ascii="宋体" w:hAnsi="宋体" w:cs="宋体"/>
                <w:color w:val="auto"/>
                <w:szCs w:val="21"/>
                <w:highlight w:val="none"/>
              </w:rPr>
              <w:t>:</w:t>
            </w:r>
          </w:p>
          <w:p w14:paraId="3201621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（1）项目负责人具备生态环境或土地管理</w:t>
            </w:r>
            <w:r>
              <w:rPr>
                <w:rFonts w:hint="eastAsia" w:ascii="宋体" w:hAnsi="宋体" w:cs="宋体"/>
                <w:color w:val="auto"/>
                <w:szCs w:val="21"/>
                <w:highlight w:val="none"/>
                <w:lang w:val="en-US" w:eastAsia="zh-CN"/>
              </w:rPr>
              <w:t>/土地工程与技术</w:t>
            </w:r>
            <w:r>
              <w:rPr>
                <w:rFonts w:hint="eastAsia" w:ascii="宋体" w:hAnsi="宋体" w:eastAsia="宋体" w:cs="宋体"/>
                <w:color w:val="auto"/>
                <w:szCs w:val="21"/>
                <w:highlight w:val="none"/>
              </w:rPr>
              <w:t>或测绘</w:t>
            </w:r>
            <w:r>
              <w:rPr>
                <w:rFonts w:hint="eastAsia" w:ascii="宋体" w:hAnsi="宋体" w:cs="宋体"/>
                <w:color w:val="auto"/>
                <w:szCs w:val="21"/>
                <w:highlight w:val="none"/>
                <w:lang w:val="en-US" w:eastAsia="zh-CN"/>
              </w:rPr>
              <w:t>或国土空间规划等相关</w:t>
            </w:r>
            <w:r>
              <w:rPr>
                <w:rFonts w:hint="eastAsia" w:ascii="宋体" w:hAnsi="宋体" w:eastAsia="宋体" w:cs="宋体"/>
                <w:color w:val="auto"/>
                <w:szCs w:val="21"/>
                <w:highlight w:val="none"/>
              </w:rPr>
              <w:t>专业的：正高级职称得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分，副高级职称得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分，中级职称得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49055B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（2）其他拟投入人员中（不含项目负责人）具备生态环境或土地管理</w:t>
            </w:r>
            <w:r>
              <w:rPr>
                <w:rFonts w:hint="eastAsia" w:ascii="宋体" w:hAnsi="宋体" w:cs="宋体"/>
                <w:color w:val="auto"/>
                <w:szCs w:val="21"/>
                <w:highlight w:val="none"/>
                <w:lang w:val="en-US" w:eastAsia="zh-CN"/>
              </w:rPr>
              <w:t>/土地工程与技术</w:t>
            </w:r>
            <w:r>
              <w:rPr>
                <w:rFonts w:hint="eastAsia" w:ascii="宋体" w:hAnsi="宋体" w:eastAsia="宋体" w:cs="宋体"/>
                <w:color w:val="auto"/>
                <w:szCs w:val="21"/>
                <w:highlight w:val="none"/>
              </w:rPr>
              <w:t>或测绘</w:t>
            </w:r>
            <w:r>
              <w:rPr>
                <w:rFonts w:hint="eastAsia" w:ascii="宋体" w:hAnsi="宋体" w:cs="宋体"/>
                <w:color w:val="auto"/>
                <w:szCs w:val="21"/>
                <w:highlight w:val="none"/>
                <w:lang w:val="en-US" w:eastAsia="zh-CN"/>
              </w:rPr>
              <w:t>或国土空间规划等相关</w:t>
            </w:r>
            <w:r>
              <w:rPr>
                <w:rFonts w:hint="eastAsia" w:ascii="宋体" w:hAnsi="宋体" w:eastAsia="宋体" w:cs="宋体"/>
                <w:color w:val="auto"/>
                <w:szCs w:val="21"/>
                <w:highlight w:val="none"/>
              </w:rPr>
              <w:t>专业的，副高级（或以上）职称的每人得2分，中级职称的每人得1分，助理级职称的每人得0.5分，满分15分。（同一个人取得多证的只计一次分，按其取得最高级别证书计分）。</w:t>
            </w:r>
          </w:p>
          <w:p w14:paraId="36482100">
            <w:pPr>
              <w:spacing w:line="360" w:lineRule="auto"/>
              <w:rPr>
                <w:rFonts w:hint="eastAsia" w:ascii="宋体" w:hAnsi="宋体" w:eastAsia="宋体" w:cs="宋体"/>
                <w:color w:val="auto"/>
                <w:szCs w:val="21"/>
                <w:highlight w:val="none"/>
                <w:lang w:eastAsia="zh-CN"/>
              </w:rPr>
            </w:pPr>
            <w:r>
              <w:rPr>
                <w:rFonts w:hint="eastAsia" w:ascii="Arial" w:hAnsi="Arial" w:cs="Arial"/>
                <w:b/>
                <w:bCs w:val="0"/>
                <w:color w:val="auto"/>
                <w:kern w:val="0"/>
                <w:szCs w:val="21"/>
                <w:highlight w:val="none"/>
                <w:lang w:eastAsia="zh-CN"/>
              </w:rPr>
              <w:t>（</w:t>
            </w:r>
            <w:r>
              <w:rPr>
                <w:rFonts w:hint="eastAsia" w:ascii="Arial" w:hAnsi="Arial" w:cs="Arial"/>
                <w:b/>
                <w:bCs w:val="0"/>
                <w:color w:val="auto"/>
                <w:kern w:val="0"/>
                <w:szCs w:val="21"/>
                <w:highlight w:val="none"/>
              </w:rPr>
              <w:t>注：</w:t>
            </w:r>
            <w:r>
              <w:rPr>
                <w:rFonts w:hint="eastAsia" w:ascii="Arial" w:hAnsi="Arial" w:cs="Arial"/>
                <w:b/>
                <w:bCs w:val="0"/>
                <w:color w:val="auto"/>
                <w:kern w:val="0"/>
                <w:szCs w:val="21"/>
                <w:highlight w:val="none"/>
                <w:lang w:val="en-US" w:eastAsia="zh-CN"/>
              </w:rPr>
              <w:t>响应</w:t>
            </w:r>
            <w:r>
              <w:rPr>
                <w:rFonts w:hint="eastAsia" w:ascii="Arial" w:hAnsi="Arial" w:cs="Arial"/>
                <w:b/>
                <w:bCs w:val="0"/>
                <w:color w:val="auto"/>
                <w:kern w:val="0"/>
                <w:szCs w:val="21"/>
                <w:highlight w:val="none"/>
              </w:rPr>
              <w:t>文件中需提供项目</w:t>
            </w:r>
            <w:r>
              <w:rPr>
                <w:rFonts w:hint="eastAsia" w:ascii="Arial" w:hAnsi="Arial" w:cs="Arial"/>
                <w:b/>
                <w:bCs w:val="0"/>
                <w:color w:val="auto"/>
                <w:kern w:val="0"/>
                <w:szCs w:val="21"/>
                <w:highlight w:val="none"/>
                <w:lang w:val="en-US" w:eastAsia="zh-CN"/>
              </w:rPr>
              <w:t>拟投入</w:t>
            </w:r>
            <w:r>
              <w:rPr>
                <w:rFonts w:hint="eastAsia" w:ascii="Arial" w:hAnsi="Arial" w:cs="Arial"/>
                <w:b/>
                <w:bCs w:val="0"/>
                <w:color w:val="auto"/>
                <w:kern w:val="0"/>
                <w:szCs w:val="21"/>
                <w:highlight w:val="none"/>
              </w:rPr>
              <w:t>人员的职称证书复印件加盖</w:t>
            </w:r>
            <w:r>
              <w:rPr>
                <w:rFonts w:hint="eastAsia" w:ascii="Arial" w:hAnsi="Arial" w:cs="Arial"/>
                <w:b/>
                <w:bCs w:val="0"/>
                <w:color w:val="auto"/>
                <w:kern w:val="0"/>
                <w:szCs w:val="21"/>
                <w:highlight w:val="none"/>
                <w:lang w:val="en-US" w:eastAsia="zh-CN"/>
              </w:rPr>
              <w:t>供应商</w:t>
            </w:r>
            <w:r>
              <w:rPr>
                <w:rFonts w:hint="eastAsia" w:ascii="Arial" w:hAnsi="Arial" w:cs="Arial"/>
                <w:b/>
                <w:bCs w:val="0"/>
                <w:color w:val="auto"/>
                <w:kern w:val="0"/>
                <w:szCs w:val="21"/>
                <w:highlight w:val="none"/>
              </w:rPr>
              <w:t>公章，以及上述人</w:t>
            </w:r>
            <w:r>
              <w:rPr>
                <w:rFonts w:hint="eastAsia" w:ascii="Arial" w:hAnsi="Arial" w:cs="Arial"/>
                <w:b/>
                <w:bCs w:val="0"/>
                <w:color w:val="auto"/>
                <w:kern w:val="0"/>
                <w:szCs w:val="21"/>
                <w:highlight w:val="none"/>
                <w:lang w:val="en-US" w:eastAsia="zh-CN"/>
              </w:rPr>
              <w:t>相关</w:t>
            </w:r>
            <w:r>
              <w:rPr>
                <w:rFonts w:hint="eastAsia" w:ascii="Arial" w:hAnsi="Arial" w:cs="Arial"/>
                <w:b/>
                <w:bCs w:val="0"/>
                <w:color w:val="auto"/>
                <w:kern w:val="0"/>
                <w:szCs w:val="21"/>
                <w:highlight w:val="none"/>
              </w:rPr>
              <w:t>员发放工资的银行流水证明或</w:t>
            </w:r>
            <w:r>
              <w:rPr>
                <w:rFonts w:hint="eastAsia" w:ascii="Arial" w:hAnsi="Arial" w:cs="Arial"/>
                <w:b/>
                <w:bCs w:val="0"/>
                <w:color w:val="auto"/>
                <w:kern w:val="0"/>
                <w:szCs w:val="21"/>
                <w:highlight w:val="none"/>
                <w:lang w:val="en-US" w:eastAsia="zh-CN"/>
              </w:rPr>
              <w:t>供应商</w:t>
            </w:r>
            <w:r>
              <w:rPr>
                <w:rFonts w:hint="eastAsia" w:ascii="Arial" w:hAnsi="Arial" w:cs="Arial"/>
                <w:b/>
                <w:bCs w:val="0"/>
                <w:color w:val="auto"/>
                <w:kern w:val="0"/>
                <w:szCs w:val="21"/>
                <w:highlight w:val="none"/>
              </w:rPr>
              <w:t>代缴个人所得税证明</w:t>
            </w:r>
            <w:r>
              <w:rPr>
                <w:rFonts w:hint="eastAsia" w:ascii="Arial" w:hAnsi="Arial" w:cs="Arial"/>
                <w:b/>
                <w:bCs w:val="0"/>
                <w:color w:val="auto"/>
                <w:kern w:val="0"/>
                <w:szCs w:val="21"/>
                <w:highlight w:val="none"/>
                <w:lang w:val="en-US" w:eastAsia="zh-CN"/>
              </w:rPr>
              <w:t>或其它证明为供应商正式员工的材料</w:t>
            </w:r>
            <w:r>
              <w:rPr>
                <w:rFonts w:hint="eastAsia" w:ascii="Arial" w:hAnsi="Arial" w:cs="Arial"/>
                <w:b/>
                <w:bCs w:val="0"/>
                <w:color w:val="auto"/>
                <w:kern w:val="0"/>
                <w:szCs w:val="21"/>
                <w:highlight w:val="none"/>
              </w:rPr>
              <w:t>复印件加盖</w:t>
            </w:r>
            <w:r>
              <w:rPr>
                <w:rFonts w:hint="eastAsia" w:ascii="Arial" w:hAnsi="Arial" w:cs="Arial"/>
                <w:b/>
                <w:bCs w:val="0"/>
                <w:color w:val="auto"/>
                <w:kern w:val="0"/>
                <w:szCs w:val="21"/>
                <w:highlight w:val="none"/>
                <w:lang w:val="en-US" w:eastAsia="zh-CN"/>
              </w:rPr>
              <w:t>供应商</w:t>
            </w:r>
            <w:r>
              <w:rPr>
                <w:rFonts w:hint="eastAsia" w:ascii="Arial" w:hAnsi="Arial" w:cs="Arial"/>
                <w:b/>
                <w:bCs w:val="0"/>
                <w:color w:val="auto"/>
                <w:kern w:val="0"/>
                <w:szCs w:val="21"/>
                <w:highlight w:val="none"/>
              </w:rPr>
              <w:t>公章，否则不得分</w:t>
            </w:r>
            <w:r>
              <w:rPr>
                <w:rFonts w:hint="eastAsia" w:ascii="Arial" w:hAnsi="Arial" w:cs="Arial"/>
                <w:b/>
                <w:bCs w:val="0"/>
                <w:color w:val="auto"/>
                <w:kern w:val="0"/>
                <w:szCs w:val="21"/>
                <w:highlight w:val="none"/>
                <w:lang w:eastAsia="zh-CN"/>
              </w:rPr>
              <w:t>）</w:t>
            </w:r>
          </w:p>
        </w:tc>
        <w:tc>
          <w:tcPr>
            <w:tcW w:w="934" w:type="dxa"/>
            <w:vAlign w:val="center"/>
          </w:tcPr>
          <w:p w14:paraId="3783EE61">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r>
      <w:tr w14:paraId="16DE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54433576">
            <w:pPr>
              <w:spacing w:line="360" w:lineRule="auto"/>
              <w:jc w:val="center"/>
              <w:rPr>
                <w:rFonts w:hint="eastAsia" w:ascii="宋体" w:hAnsi="宋体" w:eastAsia="宋体" w:cs="宋体"/>
                <w:bCs/>
                <w:color w:val="auto"/>
                <w:szCs w:val="20"/>
                <w:highlight w:val="none"/>
                <w:lang w:eastAsia="zh-CN"/>
              </w:rPr>
            </w:pPr>
            <w:r>
              <w:rPr>
                <w:rFonts w:hint="eastAsia" w:ascii="宋体" w:hAnsi="宋体" w:eastAsia="宋体" w:cs="宋体"/>
                <w:bCs/>
                <w:color w:val="auto"/>
                <w:szCs w:val="21"/>
                <w:highlight w:val="none"/>
                <w:lang w:val="en-US" w:eastAsia="zh-CN"/>
              </w:rPr>
              <w:t>3</w:t>
            </w:r>
          </w:p>
        </w:tc>
        <w:tc>
          <w:tcPr>
            <w:tcW w:w="959" w:type="dxa"/>
            <w:vAlign w:val="center"/>
          </w:tcPr>
          <w:p w14:paraId="1BD57FEA">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highlight w:val="none"/>
              </w:rPr>
              <w:t>商务</w:t>
            </w:r>
          </w:p>
        </w:tc>
        <w:tc>
          <w:tcPr>
            <w:tcW w:w="7419" w:type="dxa"/>
            <w:vAlign w:val="center"/>
          </w:tcPr>
          <w:p w14:paraId="5A85C84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或其单位人员在202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年1月1日以来承担的项目获得过国家级（由国务院颁发）同类项目科学技术奖的，每个得 2 分；获得过省部级（由省级人民政府或国家部委颁发）同类项目科学技术奖的，每个得 1 分；获得过市厅级（由设区市级人民政府或省级人民政府的正厅级组成部门&lt;厅、委、局、办等&gt;）同类项目科学技术奖的，每个得 0.5分，满分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分。由各级行业协会颁发的奖项不予计分。</w:t>
            </w:r>
            <w:r>
              <w:rPr>
                <w:rFonts w:hint="eastAsia" w:ascii="宋体" w:hAnsi="宋体" w:eastAsia="宋体" w:cs="Times New Roman"/>
                <w:b/>
                <w:color w:val="auto"/>
                <w:szCs w:val="21"/>
                <w:highlight w:val="none"/>
              </w:rPr>
              <w:t>【注：</w:t>
            </w:r>
            <w:r>
              <w:rPr>
                <w:rFonts w:hint="eastAsia" w:ascii="宋体" w:hAnsi="宋体" w:cs="Times New Roman"/>
                <w:b/>
                <w:color w:val="auto"/>
                <w:szCs w:val="21"/>
                <w:highlight w:val="none"/>
                <w:lang w:val="en-US" w:eastAsia="zh-CN"/>
              </w:rPr>
              <w:t>响应</w:t>
            </w:r>
            <w:r>
              <w:rPr>
                <w:rFonts w:hint="eastAsia" w:ascii="宋体" w:hAnsi="宋体" w:eastAsia="宋体" w:cs="Times New Roman"/>
                <w:b/>
                <w:color w:val="auto"/>
                <w:szCs w:val="21"/>
                <w:highlight w:val="none"/>
              </w:rPr>
              <w:t>文件中需提供获奖证明材料复印件加盖</w:t>
            </w:r>
            <w:r>
              <w:rPr>
                <w:rFonts w:hint="eastAsia" w:ascii="宋体" w:hAnsi="宋体" w:eastAsia="宋体" w:cs="Times New Roman"/>
                <w:b/>
                <w:color w:val="auto"/>
                <w:szCs w:val="21"/>
                <w:highlight w:val="none"/>
                <w:lang w:val="en-US" w:eastAsia="zh-CN"/>
              </w:rPr>
              <w:t>供应商</w:t>
            </w:r>
            <w:r>
              <w:rPr>
                <w:rFonts w:hint="eastAsia" w:ascii="宋体" w:hAnsi="宋体" w:eastAsia="宋体" w:cs="Times New Roman"/>
                <w:b/>
                <w:color w:val="auto"/>
                <w:szCs w:val="21"/>
                <w:highlight w:val="none"/>
              </w:rPr>
              <w:t>公章；单位人员获奖还需提供上述相关人员发放工资的银行流水证明或</w:t>
            </w:r>
            <w:r>
              <w:rPr>
                <w:rFonts w:hint="eastAsia" w:ascii="宋体" w:hAnsi="宋体" w:eastAsia="宋体" w:cs="Times New Roman"/>
                <w:b/>
                <w:color w:val="auto"/>
                <w:szCs w:val="21"/>
                <w:highlight w:val="none"/>
                <w:lang w:val="en-US" w:eastAsia="zh-CN"/>
              </w:rPr>
              <w:t>供应商</w:t>
            </w:r>
            <w:r>
              <w:rPr>
                <w:rFonts w:hint="eastAsia" w:ascii="宋体" w:hAnsi="宋体" w:eastAsia="宋体" w:cs="Times New Roman"/>
                <w:b/>
                <w:color w:val="auto"/>
                <w:szCs w:val="21"/>
                <w:highlight w:val="none"/>
              </w:rPr>
              <w:t>代缴个人所得税证明</w:t>
            </w:r>
            <w:r>
              <w:rPr>
                <w:rFonts w:hint="eastAsia" w:ascii="Arial" w:hAnsi="Arial" w:cs="Arial"/>
                <w:b/>
                <w:bCs w:val="0"/>
                <w:color w:val="auto"/>
                <w:kern w:val="0"/>
                <w:szCs w:val="21"/>
                <w:highlight w:val="none"/>
                <w:lang w:val="en-US" w:eastAsia="zh-CN"/>
              </w:rPr>
              <w:t>或其它证明为供应商正式员工的材料</w:t>
            </w:r>
            <w:r>
              <w:rPr>
                <w:rFonts w:hint="eastAsia" w:ascii="宋体" w:hAnsi="宋体" w:eastAsia="宋体" w:cs="Times New Roman"/>
                <w:b/>
                <w:color w:val="auto"/>
                <w:szCs w:val="21"/>
                <w:highlight w:val="none"/>
              </w:rPr>
              <w:t>印件加盖</w:t>
            </w:r>
            <w:r>
              <w:rPr>
                <w:rFonts w:hint="eastAsia" w:ascii="宋体" w:hAnsi="宋体" w:cs="Times New Roman"/>
                <w:b/>
                <w:color w:val="auto"/>
                <w:szCs w:val="21"/>
                <w:highlight w:val="none"/>
                <w:lang w:val="en-US" w:eastAsia="zh-CN"/>
              </w:rPr>
              <w:t>供应商</w:t>
            </w:r>
            <w:r>
              <w:rPr>
                <w:rFonts w:hint="eastAsia" w:ascii="宋体" w:hAnsi="宋体" w:eastAsia="宋体" w:cs="Times New Roman"/>
                <w:b/>
                <w:color w:val="auto"/>
                <w:szCs w:val="21"/>
                <w:highlight w:val="none"/>
              </w:rPr>
              <w:t>公章，否则不得分】</w:t>
            </w:r>
          </w:p>
        </w:tc>
        <w:tc>
          <w:tcPr>
            <w:tcW w:w="934" w:type="dxa"/>
            <w:vAlign w:val="center"/>
          </w:tcPr>
          <w:p w14:paraId="008DA472">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r>
      <w:tr w14:paraId="44FA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4716A8E1">
            <w:pPr>
              <w:spacing w:line="360" w:lineRule="auto"/>
              <w:jc w:val="center"/>
              <w:rPr>
                <w:rFonts w:hint="eastAsia" w:ascii="宋体" w:hAnsi="宋体" w:eastAsia="宋体" w:cs="宋体"/>
                <w:bCs/>
                <w:color w:val="auto"/>
                <w:szCs w:val="21"/>
                <w:highlight w:val="none"/>
                <w:lang w:eastAsia="zh-CN"/>
              </w:rPr>
            </w:pPr>
          </w:p>
        </w:tc>
        <w:tc>
          <w:tcPr>
            <w:tcW w:w="959" w:type="dxa"/>
            <w:vAlign w:val="center"/>
          </w:tcPr>
          <w:p w14:paraId="53BE9F5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w:t>
            </w:r>
          </w:p>
        </w:tc>
        <w:tc>
          <w:tcPr>
            <w:tcW w:w="7419" w:type="dxa"/>
          </w:tcPr>
          <w:p w14:paraId="1C19E75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hAnsi="宋体" w:cs="宋体"/>
                <w:color w:val="auto"/>
                <w:sz w:val="21"/>
                <w:highlight w:val="none"/>
                <w:lang w:val="en-US" w:eastAsia="zh-CN"/>
              </w:rPr>
              <w:t>供应商</w:t>
            </w:r>
            <w:r>
              <w:rPr>
                <w:rFonts w:hint="eastAsia" w:hAnsi="宋体" w:cs="宋体"/>
                <w:color w:val="auto"/>
                <w:sz w:val="21"/>
                <w:highlight w:val="none"/>
                <w:lang w:eastAsia="zh-CN"/>
              </w:rPr>
              <w:t>具有</w:t>
            </w:r>
            <w:r>
              <w:rPr>
                <w:rFonts w:hint="eastAsia" w:hAnsi="宋体" w:cs="宋体"/>
                <w:color w:val="auto"/>
                <w:sz w:val="21"/>
                <w:highlight w:val="none"/>
              </w:rPr>
              <w:t>质量管理体系认证、环境管理体系认证和职业健康安全管理体系认证</w:t>
            </w:r>
            <w:r>
              <w:rPr>
                <w:rFonts w:hint="eastAsia" w:hAnsi="宋体" w:cs="宋体"/>
                <w:color w:val="auto"/>
                <w:sz w:val="21"/>
                <w:highlight w:val="none"/>
                <w:lang w:eastAsia="zh-CN"/>
              </w:rPr>
              <w:t>证书的，</w:t>
            </w:r>
            <w:r>
              <w:rPr>
                <w:rFonts w:hint="eastAsia" w:hAnsi="宋体" w:cs="宋体"/>
                <w:color w:val="auto"/>
                <w:sz w:val="21"/>
                <w:highlight w:val="none"/>
              </w:rPr>
              <w:t>每提供一个得</w:t>
            </w:r>
            <w:r>
              <w:rPr>
                <w:rFonts w:hint="eastAsia" w:hAnsi="宋体" w:cs="宋体"/>
                <w:color w:val="auto"/>
                <w:sz w:val="21"/>
                <w:highlight w:val="none"/>
                <w:lang w:val="en-US" w:eastAsia="zh-CN"/>
              </w:rPr>
              <w:t>1</w:t>
            </w:r>
            <w:r>
              <w:rPr>
                <w:rFonts w:hint="eastAsia" w:hAnsi="宋体" w:cs="宋体"/>
                <w:color w:val="auto"/>
                <w:sz w:val="21"/>
                <w:highlight w:val="none"/>
              </w:rPr>
              <w:t>分，满分</w:t>
            </w:r>
            <w:r>
              <w:rPr>
                <w:rFonts w:hint="eastAsia" w:hAnsi="宋体" w:cs="宋体"/>
                <w:color w:val="auto"/>
                <w:sz w:val="21"/>
                <w:highlight w:val="none"/>
                <w:lang w:val="en-US" w:eastAsia="zh-CN"/>
              </w:rPr>
              <w:t>3</w:t>
            </w:r>
            <w:r>
              <w:rPr>
                <w:rFonts w:hint="eastAsia" w:hAnsi="宋体" w:cs="宋体"/>
                <w:color w:val="auto"/>
                <w:sz w:val="21"/>
                <w:highlight w:val="none"/>
              </w:rPr>
              <w:t>分。</w:t>
            </w:r>
            <w:r>
              <w:rPr>
                <w:rFonts w:hint="eastAsia" w:hAnsi="宋体" w:cs="宋体"/>
                <w:b/>
                <w:bCs/>
                <w:color w:val="auto"/>
                <w:sz w:val="21"/>
                <w:highlight w:val="none"/>
              </w:rPr>
              <w:t>（注：</w:t>
            </w:r>
            <w:r>
              <w:rPr>
                <w:rFonts w:hint="eastAsia" w:hAnsi="宋体" w:cs="宋体"/>
                <w:b/>
                <w:bCs/>
                <w:color w:val="auto"/>
                <w:sz w:val="21"/>
                <w:highlight w:val="none"/>
                <w:lang w:val="en-US" w:eastAsia="zh-CN"/>
              </w:rPr>
              <w:t>响应</w:t>
            </w:r>
            <w:r>
              <w:rPr>
                <w:rFonts w:hint="eastAsia" w:hAnsi="宋体" w:cs="宋体"/>
                <w:b/>
                <w:bCs/>
                <w:color w:val="auto"/>
                <w:sz w:val="21"/>
                <w:highlight w:val="none"/>
              </w:rPr>
              <w:t>文件中需提供有效证书复印件加盖</w:t>
            </w:r>
            <w:r>
              <w:rPr>
                <w:rFonts w:hint="eastAsia" w:hAnsi="宋体" w:cs="宋体"/>
                <w:b/>
                <w:bCs/>
                <w:color w:val="auto"/>
                <w:sz w:val="21"/>
                <w:highlight w:val="none"/>
                <w:lang w:val="en-US" w:eastAsia="zh-CN"/>
              </w:rPr>
              <w:t>供应商</w:t>
            </w:r>
            <w:r>
              <w:rPr>
                <w:rFonts w:hint="eastAsia" w:hAnsi="宋体" w:cs="宋体"/>
                <w:b/>
                <w:bCs/>
                <w:color w:val="auto"/>
                <w:sz w:val="21"/>
                <w:highlight w:val="none"/>
              </w:rPr>
              <w:t>公章，否则不得分）</w:t>
            </w:r>
          </w:p>
        </w:tc>
        <w:tc>
          <w:tcPr>
            <w:tcW w:w="934" w:type="dxa"/>
            <w:vAlign w:val="center"/>
          </w:tcPr>
          <w:p w14:paraId="5D2112E8">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r>
      <w:tr w14:paraId="7809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20B173F9">
            <w:pPr>
              <w:spacing w:line="360" w:lineRule="auto"/>
              <w:jc w:val="center"/>
              <w:rPr>
                <w:rFonts w:hint="eastAsia" w:ascii="宋体" w:hAnsi="宋体" w:eastAsia="宋体" w:cs="宋体"/>
                <w:bCs/>
                <w:color w:val="auto"/>
                <w:szCs w:val="20"/>
                <w:highlight w:val="none"/>
                <w:lang w:eastAsia="zh-CN"/>
              </w:rPr>
            </w:pPr>
          </w:p>
        </w:tc>
        <w:tc>
          <w:tcPr>
            <w:tcW w:w="959" w:type="dxa"/>
            <w:vAlign w:val="center"/>
          </w:tcPr>
          <w:p w14:paraId="6FC9A7EA">
            <w:pPr>
              <w:adjustRightInd w:val="0"/>
              <w:spacing w:line="360" w:lineRule="auto"/>
              <w:jc w:val="center"/>
              <w:textAlignment w:val="baseline"/>
              <w:rPr>
                <w:rFonts w:hint="eastAsia" w:ascii="宋体" w:hAnsi="宋体" w:eastAsia="宋体" w:cs="宋体"/>
                <w:bCs/>
                <w:color w:val="auto"/>
                <w:highlight w:val="none"/>
              </w:rPr>
            </w:pPr>
            <w:r>
              <w:rPr>
                <w:rFonts w:hint="eastAsia" w:ascii="宋体" w:hAnsi="宋体" w:eastAsia="宋体" w:cs="宋体"/>
                <w:color w:val="auto"/>
                <w:highlight w:val="none"/>
              </w:rPr>
              <w:t>商务</w:t>
            </w:r>
          </w:p>
        </w:tc>
        <w:tc>
          <w:tcPr>
            <w:tcW w:w="7419" w:type="dxa"/>
          </w:tcPr>
          <w:p w14:paraId="2C2F6D6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（3）202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年1月1日以来，</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承担过</w:t>
            </w:r>
            <w:r>
              <w:rPr>
                <w:rFonts w:hint="eastAsia" w:ascii="宋体" w:hAnsi="宋体" w:cs="宋体"/>
                <w:color w:val="auto"/>
                <w:highlight w:val="none"/>
                <w:lang w:val="en-US" w:eastAsia="zh-CN"/>
              </w:rPr>
              <w:t>省级（或以上）土地</w:t>
            </w:r>
            <w:r>
              <w:rPr>
                <w:rFonts w:hint="eastAsia" w:ascii="宋体" w:hAnsi="宋体" w:eastAsia="宋体" w:cs="宋体"/>
                <w:color w:val="auto"/>
                <w:highlight w:val="none"/>
              </w:rPr>
              <w:t>资产</w:t>
            </w:r>
            <w:r>
              <w:rPr>
                <w:rFonts w:hint="eastAsia" w:ascii="宋体" w:hAnsi="宋体" w:cs="宋体"/>
                <w:color w:val="auto"/>
                <w:highlight w:val="none"/>
                <w:lang w:val="en-US" w:eastAsia="zh-CN"/>
              </w:rPr>
              <w:t>管理、全民所有自然资源资产保护和使用规划、全民所有自然资源资产所有权委托代理、全民所有自然资源资产清查等</w:t>
            </w:r>
            <w:r>
              <w:rPr>
                <w:rFonts w:hint="eastAsia" w:ascii="宋体" w:hAnsi="宋体" w:eastAsia="宋体" w:cs="宋体"/>
                <w:color w:val="auto"/>
                <w:highlight w:val="none"/>
              </w:rPr>
              <w:t>类</w:t>
            </w:r>
            <w:r>
              <w:rPr>
                <w:rFonts w:hint="eastAsia" w:ascii="宋体" w:hAnsi="宋体" w:cs="宋体"/>
                <w:color w:val="auto"/>
                <w:highlight w:val="none"/>
                <w:lang w:eastAsia="zh-CN"/>
              </w:rPr>
              <w:t>似</w:t>
            </w:r>
            <w:r>
              <w:rPr>
                <w:rFonts w:hint="eastAsia" w:ascii="宋体" w:hAnsi="宋体" w:eastAsia="宋体" w:cs="宋体"/>
                <w:color w:val="auto"/>
                <w:highlight w:val="none"/>
              </w:rPr>
              <w:t>技术服务项目的，每个得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分，满分</w:t>
            </w:r>
            <w:r>
              <w:rPr>
                <w:rFonts w:hint="eastAsia" w:ascii="宋体" w:hAnsi="宋体" w:cs="宋体"/>
                <w:color w:val="auto"/>
                <w:highlight w:val="none"/>
                <w:lang w:val="en-US" w:eastAsia="zh-CN"/>
              </w:rPr>
              <w:t>4</w:t>
            </w:r>
            <w:r>
              <w:rPr>
                <w:rFonts w:hint="eastAsia" w:ascii="宋体" w:hAnsi="宋体" w:eastAsia="宋体" w:cs="宋体"/>
                <w:color w:val="auto"/>
                <w:highlight w:val="none"/>
              </w:rPr>
              <w:t>分。（注：</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文件中需附中标/成交通知书或合同复印件加盖</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公章，否则不得分）</w:t>
            </w:r>
          </w:p>
        </w:tc>
        <w:tc>
          <w:tcPr>
            <w:tcW w:w="934" w:type="dxa"/>
            <w:vAlign w:val="center"/>
          </w:tcPr>
          <w:p w14:paraId="1CC088FD">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r>
      <w:tr w14:paraId="6B54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vAlign w:val="center"/>
          </w:tcPr>
          <w:p w14:paraId="15BF05FC">
            <w:pPr>
              <w:spacing w:line="360" w:lineRule="auto"/>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总得分=1+2+3</w:t>
            </w:r>
          </w:p>
        </w:tc>
      </w:tr>
      <w:bookmarkEnd w:id="70"/>
    </w:tbl>
    <w:p w14:paraId="6139E073">
      <w:pPr>
        <w:pStyle w:val="22"/>
        <w:spacing w:line="360" w:lineRule="atLeast"/>
        <w:ind w:firstLine="413" w:firstLineChars="196"/>
        <w:rPr>
          <w:rFonts w:hint="eastAsia" w:hAnsi="宋体"/>
          <w:b/>
          <w:color w:val="auto"/>
          <w:kern w:val="2"/>
          <w:sz w:val="21"/>
          <w:highlight w:val="none"/>
        </w:rPr>
      </w:pPr>
    </w:p>
    <w:p w14:paraId="630B1BE8">
      <w:pPr>
        <w:pStyle w:val="22"/>
        <w:spacing w:line="360" w:lineRule="atLeast"/>
        <w:ind w:firstLine="413" w:firstLineChars="196"/>
        <w:rPr>
          <w:rFonts w:hint="eastAsia" w:hAnsi="宋体"/>
          <w:b/>
          <w:color w:val="auto"/>
          <w:kern w:val="2"/>
          <w:sz w:val="21"/>
          <w:highlight w:val="none"/>
        </w:rPr>
      </w:pPr>
    </w:p>
    <w:p w14:paraId="2E8C72FD">
      <w:pPr>
        <w:pStyle w:val="22"/>
        <w:spacing w:line="360" w:lineRule="atLeast"/>
        <w:ind w:firstLine="413" w:firstLineChars="196"/>
        <w:rPr>
          <w:color w:val="auto"/>
          <w:highlight w:val="none"/>
        </w:rPr>
      </w:pPr>
      <w:r>
        <w:rPr>
          <w:rFonts w:hint="eastAsia" w:hAnsi="宋体"/>
          <w:b/>
          <w:color w:val="auto"/>
          <w:kern w:val="2"/>
          <w:sz w:val="21"/>
          <w:highlight w:val="none"/>
        </w:rPr>
        <w:t>适用于分标</w:t>
      </w:r>
      <w:r>
        <w:rPr>
          <w:rFonts w:hint="eastAsia" w:hAnsi="宋体"/>
          <w:b/>
          <w:color w:val="auto"/>
          <w:kern w:val="2"/>
          <w:sz w:val="21"/>
          <w:highlight w:val="none"/>
          <w:lang w:val="en-US" w:eastAsia="zh-CN"/>
        </w:rPr>
        <w:t>2</w:t>
      </w:r>
      <w:r>
        <w:rPr>
          <w:rFonts w:hint="eastAsia" w:hAnsi="宋体"/>
          <w:b/>
          <w:color w:val="auto"/>
          <w:kern w:val="2"/>
          <w:sz w:val="21"/>
          <w:highlight w:val="none"/>
        </w:rPr>
        <w:t>：</w:t>
      </w:r>
    </w:p>
    <w:tbl>
      <w:tblPr>
        <w:tblStyle w:val="3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419"/>
        <w:gridCol w:w="934"/>
      </w:tblGrid>
      <w:tr w14:paraId="65D0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75502B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959" w:type="dxa"/>
            <w:vAlign w:val="center"/>
          </w:tcPr>
          <w:p w14:paraId="548D8B4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评分类型</w:t>
            </w:r>
          </w:p>
        </w:tc>
        <w:tc>
          <w:tcPr>
            <w:tcW w:w="7419" w:type="dxa"/>
            <w:vAlign w:val="center"/>
          </w:tcPr>
          <w:p w14:paraId="272CE86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934" w:type="dxa"/>
            <w:vAlign w:val="center"/>
          </w:tcPr>
          <w:p w14:paraId="4DE907D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r>
      <w:tr w14:paraId="19FE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0024CB7">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p>
        </w:tc>
        <w:tc>
          <w:tcPr>
            <w:tcW w:w="959" w:type="dxa"/>
            <w:vAlign w:val="center"/>
          </w:tcPr>
          <w:p w14:paraId="426C73A2">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7419" w:type="dxa"/>
            <w:vAlign w:val="center"/>
          </w:tcPr>
          <w:p w14:paraId="23BD1474">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报价为</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报价进行政策性扣除后的价格，</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报价只是作为</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时使用。最终</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的</w:t>
            </w:r>
            <w:r>
              <w:rPr>
                <w:rFonts w:hint="eastAsia" w:ascii="宋体" w:hAnsi="宋体" w:cs="宋体"/>
                <w:bCs/>
                <w:color w:val="auto"/>
                <w:szCs w:val="21"/>
                <w:highlight w:val="none"/>
                <w:lang w:val="en-US" w:eastAsia="zh-CN"/>
              </w:rPr>
              <w:t>成交</w:t>
            </w:r>
            <w:r>
              <w:rPr>
                <w:rFonts w:hint="eastAsia" w:ascii="宋体" w:hAnsi="宋体" w:eastAsia="宋体" w:cs="宋体"/>
                <w:bCs/>
                <w:color w:val="auto"/>
                <w:szCs w:val="21"/>
                <w:highlight w:val="none"/>
              </w:rPr>
              <w:t>金额等于</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w:t>
            </w:r>
          </w:p>
          <w:p w14:paraId="7C28377B">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（2）按照《政府采购促进中小企业发展管理办法》（财库〔2020〕46号）及</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广西壮族自治区财政厅关于持续优化政府采购营商环境推动高质量发展的通知</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桂财采〔2024〕55号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规定，</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在其</w:t>
            </w:r>
            <w:r>
              <w:rPr>
                <w:rFonts w:hint="eastAsia" w:ascii="宋体" w:hAnsi="宋体" w:eastAsia="宋体" w:cs="宋体"/>
                <w:bCs/>
                <w:color w:val="auto"/>
                <w:szCs w:val="21"/>
                <w:highlight w:val="none"/>
                <w:lang w:val="en-US" w:eastAsia="zh-CN"/>
              </w:rPr>
              <w:t>响应</w:t>
            </w:r>
            <w:r>
              <w:rPr>
                <w:rFonts w:hint="eastAsia" w:ascii="宋体" w:hAnsi="宋体" w:eastAsia="宋体" w:cs="宋体"/>
                <w:bCs/>
                <w:color w:val="auto"/>
                <w:szCs w:val="21"/>
                <w:highlight w:val="none"/>
              </w:rPr>
              <w:t>文件中提供《中小企业声明函》，且其服务全部由符合政策要求的小型、微型企业承接的，对其</w:t>
            </w:r>
            <w:r>
              <w:rPr>
                <w:rFonts w:hint="eastAsia" w:ascii="宋体" w:hAnsi="宋体" w:eastAsia="宋体" w:cs="宋体"/>
                <w:bCs/>
                <w:color w:val="auto"/>
                <w:szCs w:val="21"/>
                <w:highlight w:val="none"/>
                <w:lang w:val="en-US" w:eastAsia="zh-CN"/>
              </w:rPr>
              <w:t>竞标</w:t>
            </w:r>
            <w:r>
              <w:rPr>
                <w:rFonts w:hint="eastAsia" w:ascii="宋体" w:hAnsi="宋体" w:eastAsia="宋体" w:cs="宋体"/>
                <w:bCs/>
                <w:color w:val="auto"/>
                <w:szCs w:val="21"/>
                <w:highlight w:val="none"/>
              </w:rPr>
              <w:t>价格给予</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0%的扣除。</w:t>
            </w:r>
          </w:p>
          <w:p w14:paraId="0BDD1D0F">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344A2E9">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CE557AA">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（5）政策性扣除计算方法。</w:t>
            </w:r>
          </w:p>
          <w:p w14:paraId="0CFE319F">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被评定为监狱企业或者残疾人福利性单位或者其服务全部由符合政策要求的小型、微型企业承接的，该</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 xml:space="preserve">报价给予 </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0% 的扣除，扣除后的价格为</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报价，即</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报价×（1-</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%的扣除，用扣除后的价格参加评审，扣除后的价格为评</w:t>
            </w:r>
            <w:r>
              <w:rPr>
                <w:rFonts w:hint="eastAsia" w:ascii="宋体" w:hAnsi="宋体" w:eastAsia="宋体" w:cs="宋体"/>
                <w:bCs/>
                <w:color w:val="auto"/>
                <w:szCs w:val="21"/>
                <w:highlight w:val="none"/>
                <w:lang w:eastAsia="zh-CN"/>
              </w:rPr>
              <w:t>审</w:t>
            </w:r>
            <w:r>
              <w:rPr>
                <w:rFonts w:hint="eastAsia" w:ascii="宋体" w:hAnsi="宋体" w:eastAsia="宋体" w:cs="宋体"/>
                <w:bCs/>
                <w:color w:val="auto"/>
                <w:szCs w:val="21"/>
                <w:highlight w:val="none"/>
              </w:rPr>
              <w:t>报价，即评</w:t>
            </w:r>
            <w:r>
              <w:rPr>
                <w:rFonts w:hint="eastAsia" w:ascii="宋体" w:hAnsi="宋体" w:cs="宋体"/>
                <w:bCs/>
                <w:color w:val="auto"/>
                <w:szCs w:val="21"/>
                <w:highlight w:val="none"/>
                <w:lang w:eastAsia="zh-CN"/>
              </w:rPr>
              <w:t>审</w:t>
            </w:r>
            <w:r>
              <w:rPr>
                <w:rFonts w:hint="eastAsia" w:ascii="宋体" w:hAnsi="宋体" w:eastAsia="宋体" w:cs="宋体"/>
                <w:bCs/>
                <w:color w:val="auto"/>
                <w:szCs w:val="21"/>
                <w:highlight w:val="none"/>
              </w:rPr>
              <w:t>报价=</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报价×（1－</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%）；除上述情况外，评</w:t>
            </w:r>
            <w:r>
              <w:rPr>
                <w:rFonts w:hint="eastAsia" w:ascii="宋体" w:hAnsi="宋体" w:eastAsia="宋体" w:cs="宋体"/>
                <w:bCs/>
                <w:color w:val="auto"/>
                <w:szCs w:val="21"/>
                <w:highlight w:val="none"/>
                <w:lang w:eastAsia="zh-CN"/>
              </w:rPr>
              <w:t>审</w:t>
            </w:r>
            <w:r>
              <w:rPr>
                <w:rFonts w:hint="eastAsia" w:ascii="宋体" w:hAnsi="宋体" w:eastAsia="宋体" w:cs="宋体"/>
                <w:bCs/>
                <w:color w:val="auto"/>
                <w:szCs w:val="21"/>
                <w:highlight w:val="none"/>
              </w:rPr>
              <w:t>报价=</w:t>
            </w:r>
            <w:r>
              <w:rPr>
                <w:rFonts w:hint="eastAsia" w:ascii="宋体" w:hAnsi="宋体" w:eastAsia="宋体" w:cs="宋体"/>
                <w:bCs/>
                <w:color w:val="auto"/>
                <w:szCs w:val="21"/>
                <w:highlight w:val="none"/>
                <w:lang w:val="en-US" w:eastAsia="zh-CN"/>
              </w:rPr>
              <w:t>最后</w:t>
            </w:r>
            <w:r>
              <w:rPr>
                <w:rFonts w:hint="eastAsia" w:ascii="宋体" w:hAnsi="宋体" w:eastAsia="宋体" w:cs="宋体"/>
                <w:bCs/>
                <w:color w:val="auto"/>
                <w:szCs w:val="21"/>
                <w:highlight w:val="none"/>
              </w:rPr>
              <w:t>报价。</w:t>
            </w:r>
          </w:p>
          <w:p w14:paraId="530484EA">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（6）满足</w:t>
            </w:r>
            <w:r>
              <w:rPr>
                <w:rFonts w:hint="eastAsia" w:ascii="宋体" w:hAnsi="宋体" w:eastAsia="宋体" w:cs="宋体"/>
                <w:bCs/>
                <w:color w:val="auto"/>
                <w:szCs w:val="21"/>
                <w:highlight w:val="none"/>
                <w:lang w:val="en-US" w:eastAsia="zh-CN"/>
              </w:rPr>
              <w:t>采购</w:t>
            </w:r>
            <w:r>
              <w:rPr>
                <w:rFonts w:hint="eastAsia" w:ascii="宋体" w:hAnsi="宋体" w:eastAsia="宋体" w:cs="宋体"/>
                <w:bCs/>
                <w:color w:val="auto"/>
                <w:szCs w:val="21"/>
                <w:highlight w:val="none"/>
              </w:rPr>
              <w:t>文件要求且</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报价最低的</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报价为</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基准价，基准价得分为</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rPr>
              <w:t>分。</w:t>
            </w:r>
          </w:p>
          <w:p w14:paraId="3A0C56FB">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（7）价格分计算公式：        </w:t>
            </w:r>
          </w:p>
          <w:p w14:paraId="0C492720">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价格分=(</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基准价／</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报价)×</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分</w:t>
            </w:r>
          </w:p>
        </w:tc>
        <w:tc>
          <w:tcPr>
            <w:tcW w:w="934" w:type="dxa"/>
            <w:vAlign w:val="center"/>
          </w:tcPr>
          <w:p w14:paraId="713B944B">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15</w:t>
            </w:r>
          </w:p>
        </w:tc>
      </w:tr>
      <w:tr w14:paraId="3760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700B8552">
            <w:pPr>
              <w:spacing w:line="360" w:lineRule="auto"/>
              <w:jc w:val="center"/>
              <w:rPr>
                <w:rFonts w:hint="eastAsia" w:ascii="宋体" w:hAnsi="宋体" w:eastAsia="宋体" w:cs="宋体"/>
                <w:bCs/>
                <w:color w:val="auto"/>
                <w:szCs w:val="20"/>
                <w:highlight w:val="none"/>
                <w:lang w:eastAsia="zh-CN"/>
              </w:rPr>
            </w:pPr>
            <w:r>
              <w:rPr>
                <w:rFonts w:hint="eastAsia" w:ascii="宋体" w:hAnsi="宋体" w:eastAsia="宋体" w:cs="宋体"/>
                <w:bCs/>
                <w:color w:val="auto"/>
                <w:szCs w:val="20"/>
                <w:highlight w:val="none"/>
                <w:lang w:val="en-US" w:eastAsia="zh-CN"/>
              </w:rPr>
              <w:t>2</w:t>
            </w:r>
          </w:p>
        </w:tc>
        <w:tc>
          <w:tcPr>
            <w:tcW w:w="959" w:type="dxa"/>
            <w:vAlign w:val="center"/>
          </w:tcPr>
          <w:p w14:paraId="5849FD53">
            <w:pPr>
              <w:adjustRightIn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419" w:type="dxa"/>
            <w:vAlign w:val="center"/>
          </w:tcPr>
          <w:p w14:paraId="1ED7928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项目理解分（满分18分）</w:t>
            </w:r>
          </w:p>
          <w:p w14:paraId="251E05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一档（6分）：对本项目背景、目标的表述和对项目实际情况契合度有所欠缺。</w:t>
            </w:r>
          </w:p>
          <w:p w14:paraId="18D4683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二档（12分）：对本项目背景、目标的表述正确，了解项目的实际需求，充分理解了自然资源资产管理工作的情况。</w:t>
            </w:r>
          </w:p>
          <w:p w14:paraId="5482D4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三档（18分）：对本项目背景、目标有深入理解；熟悉项目的实际需求，熟悉自治区本级国有土地管理工作情况；对自治区本级国有土地管理工作理解深入透彻。</w:t>
            </w:r>
          </w:p>
          <w:p w14:paraId="708D28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注：不符合最低入档条件的按不入档计0分处理。</w:t>
            </w:r>
          </w:p>
        </w:tc>
        <w:tc>
          <w:tcPr>
            <w:tcW w:w="934" w:type="dxa"/>
            <w:vAlign w:val="center"/>
          </w:tcPr>
          <w:p w14:paraId="37FD8D4C">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18</w:t>
            </w:r>
          </w:p>
        </w:tc>
      </w:tr>
      <w:tr w14:paraId="0221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64D278CE">
            <w:pPr>
              <w:spacing w:line="360" w:lineRule="auto"/>
              <w:jc w:val="center"/>
              <w:rPr>
                <w:rFonts w:hint="eastAsia" w:ascii="宋体" w:hAnsi="宋体" w:eastAsia="宋体" w:cs="宋体"/>
                <w:bCs/>
                <w:color w:val="auto"/>
                <w:szCs w:val="20"/>
                <w:highlight w:val="none"/>
                <w:lang w:eastAsia="zh-CN"/>
              </w:rPr>
            </w:pPr>
          </w:p>
        </w:tc>
        <w:tc>
          <w:tcPr>
            <w:tcW w:w="959" w:type="dxa"/>
            <w:vAlign w:val="center"/>
          </w:tcPr>
          <w:p w14:paraId="3D15B22D">
            <w:pPr>
              <w:adjustRightIn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419" w:type="dxa"/>
            <w:vAlign w:val="center"/>
          </w:tcPr>
          <w:p w14:paraId="00E91B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项目技术方案（满分18分）</w:t>
            </w:r>
          </w:p>
          <w:p w14:paraId="1DC1F59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一档（6分）：技术方案基本合理，工作内容和实施办法基本能够满足项目需要。</w:t>
            </w:r>
          </w:p>
          <w:p w14:paraId="300BB8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二档（12分）：技术方案合理，条理较清晰，具有可行性，工作内容和实施办法能够切合实际考虑，可操作性强。</w:t>
            </w:r>
          </w:p>
          <w:p w14:paraId="251D695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三档（18分）：技术方案优秀，完整科学、可行性强，计划条理清晰，工作内容和实施办法满足工作实际要求，可操作性强，技术路线科学合理，能充分体现并指导自治区本级国有土地管理工作要求。</w:t>
            </w:r>
          </w:p>
          <w:p w14:paraId="42A5B3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注：不符合最低入档条件的按不入档计0分处理。</w:t>
            </w:r>
          </w:p>
        </w:tc>
        <w:tc>
          <w:tcPr>
            <w:tcW w:w="934" w:type="dxa"/>
            <w:vAlign w:val="center"/>
          </w:tcPr>
          <w:p w14:paraId="2E02B204">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r>
      <w:tr w14:paraId="2E6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7B2A4FFD">
            <w:pPr>
              <w:spacing w:line="360" w:lineRule="auto"/>
              <w:jc w:val="center"/>
              <w:rPr>
                <w:rFonts w:hint="eastAsia" w:ascii="宋体" w:hAnsi="宋体" w:eastAsia="宋体" w:cs="宋体"/>
                <w:bCs/>
                <w:color w:val="auto"/>
                <w:szCs w:val="20"/>
                <w:highlight w:val="none"/>
                <w:lang w:eastAsia="zh-CN"/>
              </w:rPr>
            </w:pPr>
          </w:p>
        </w:tc>
        <w:tc>
          <w:tcPr>
            <w:tcW w:w="959" w:type="dxa"/>
            <w:vAlign w:val="center"/>
          </w:tcPr>
          <w:p w14:paraId="05E85ACF">
            <w:pPr>
              <w:adjustRightIn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419" w:type="dxa"/>
            <w:vAlign w:val="center"/>
          </w:tcPr>
          <w:p w14:paraId="7A08370F">
            <w:pPr>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 (3)</w:t>
            </w:r>
            <w:r>
              <w:rPr>
                <w:rFonts w:hint="eastAsia" w:ascii="宋体" w:hAnsi="宋体" w:eastAsia="宋体" w:cs="宋体"/>
                <w:bCs/>
                <w:snapToGrid w:val="0"/>
                <w:color w:val="auto"/>
                <w:kern w:val="2"/>
                <w:sz w:val="21"/>
                <w:szCs w:val="21"/>
                <w:highlight w:val="none"/>
                <w:lang w:val="en-US" w:eastAsia="zh-CN" w:bidi="ar"/>
              </w:rPr>
              <w:t>进度安排及质量保证措施分</w:t>
            </w:r>
            <w:r>
              <w:rPr>
                <w:rFonts w:hint="eastAsia" w:ascii="宋体" w:hAnsi="宋体" w:eastAsia="宋体" w:cs="宋体"/>
                <w:snapToGrid w:val="0"/>
                <w:color w:val="auto"/>
                <w:kern w:val="2"/>
                <w:sz w:val="21"/>
                <w:szCs w:val="21"/>
                <w:highlight w:val="none"/>
                <w:lang w:val="en-US" w:eastAsia="zh-CN" w:bidi="ar"/>
              </w:rPr>
              <w:t>（满分18分）</w:t>
            </w:r>
          </w:p>
          <w:p w14:paraId="5532E933">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一档（6分）：有进度安排，但仅有项目进度安排和编制人员配备，无责任分工，无具体项目负责人，质量保证措施基本合理。</w:t>
            </w:r>
          </w:p>
          <w:p w14:paraId="1728D72B">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二档（12分）：供应商提供的进度安排符合项目的实际需求，有一定的可行性、操作性，项目编制人员配备及责任分工合理明确；质量保证措施比较合理、可靠，方案思路完整。</w:t>
            </w:r>
          </w:p>
          <w:p w14:paraId="7E13984E">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三档（18分）：供应商提供的进度安排符合项目的实际需求且优于服务需求，有较强的可行性、操作性，项目管理和运营人员配备及责任分工合理明确；质量保证措施具体且明确，能够有效保障质量，方案思路具有先进性。</w:t>
            </w:r>
          </w:p>
          <w:p w14:paraId="1E0A73F7">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注：不符合最低入档条件的按不入档计0分处理。</w:t>
            </w:r>
          </w:p>
        </w:tc>
        <w:tc>
          <w:tcPr>
            <w:tcW w:w="934" w:type="dxa"/>
            <w:vAlign w:val="center"/>
          </w:tcPr>
          <w:p w14:paraId="73D5BE43">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r>
      <w:tr w14:paraId="6EA0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2110EE7D">
            <w:pPr>
              <w:spacing w:line="360" w:lineRule="auto"/>
              <w:jc w:val="center"/>
              <w:rPr>
                <w:rFonts w:hint="eastAsia" w:ascii="宋体" w:hAnsi="宋体" w:eastAsia="宋体" w:cs="宋体"/>
                <w:bCs/>
                <w:color w:val="auto"/>
                <w:szCs w:val="20"/>
                <w:highlight w:val="none"/>
                <w:lang w:eastAsia="zh-CN"/>
              </w:rPr>
            </w:pPr>
          </w:p>
        </w:tc>
        <w:tc>
          <w:tcPr>
            <w:tcW w:w="959" w:type="dxa"/>
            <w:vAlign w:val="center"/>
          </w:tcPr>
          <w:p w14:paraId="2C0D8E18">
            <w:pPr>
              <w:adjustRightInd w:val="0"/>
              <w:spacing w:line="360" w:lineRule="auto"/>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w:t>
            </w:r>
          </w:p>
        </w:tc>
        <w:tc>
          <w:tcPr>
            <w:tcW w:w="7419" w:type="dxa"/>
            <w:vAlign w:val="center"/>
          </w:tcPr>
          <w:p w14:paraId="5A8604BC">
            <w:pPr>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拟投入本项目人员（满分16分）</w:t>
            </w:r>
          </w:p>
          <w:p w14:paraId="74C739A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一档（5分）：</w:t>
            </w:r>
            <w:r>
              <w:rPr>
                <w:rFonts w:hint="eastAsia" w:ascii="宋体" w:hAnsi="宋体" w:eastAsia="宋体" w:cs="宋体"/>
                <w:color w:val="auto"/>
                <w:sz w:val="21"/>
                <w:szCs w:val="21"/>
                <w:highlight w:val="none"/>
                <w:lang w:val="en-US" w:eastAsia="zh-CN"/>
              </w:rPr>
              <w:t>服务实施人员配置简单，项目负责人具备土地工程与技术中级及以上职称，其他主要技术人员具有其他专业中级及以上职称人数少于3人，且人员总数量少于6人；</w:t>
            </w:r>
          </w:p>
          <w:p w14:paraId="5078237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二档（10分）：服务实施人员配置基本充足、可行，项目负责人具备土地工程与技术高级及以上职称，其他主要技术人员具有其他专业中级及以上职称人数3人以上（含3人），且人员总数量不少于8人；</w:t>
            </w:r>
          </w:p>
          <w:p w14:paraId="3589422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三档（16分）：服务实施人员配置充足、可行，项目负责人具备土地工程与技术正高级职称，其他人员具备其他专业高级工程师职称及以上职称人数为5人以上（含5人），拟投入人</w:t>
            </w:r>
            <w:r>
              <w:rPr>
                <w:rFonts w:hint="eastAsia" w:ascii="宋体" w:hAnsi="宋体" w:eastAsia="宋体" w:cs="宋体"/>
                <w:color w:val="auto"/>
                <w:szCs w:val="21"/>
                <w:highlight w:val="none"/>
                <w:lang w:val="en-US" w:eastAsia="zh-CN"/>
              </w:rPr>
              <w:t>员总数量不少于10人。</w:t>
            </w:r>
          </w:p>
          <w:p w14:paraId="03BE8E8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注：不符合最低入档条件的按不入档计0分处理。</w:t>
            </w:r>
          </w:p>
        </w:tc>
        <w:tc>
          <w:tcPr>
            <w:tcW w:w="934" w:type="dxa"/>
            <w:vAlign w:val="center"/>
          </w:tcPr>
          <w:p w14:paraId="72B1CF91">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16</w:t>
            </w:r>
          </w:p>
        </w:tc>
      </w:tr>
      <w:tr w14:paraId="2E65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7A6CAD4B">
            <w:pPr>
              <w:spacing w:line="360" w:lineRule="auto"/>
              <w:jc w:val="center"/>
              <w:rPr>
                <w:rFonts w:hint="eastAsia" w:ascii="宋体" w:hAnsi="宋体" w:eastAsia="宋体" w:cs="宋体"/>
                <w:bCs/>
                <w:color w:val="auto"/>
                <w:szCs w:val="20"/>
                <w:highlight w:val="none"/>
                <w:lang w:eastAsia="zh-CN"/>
              </w:rPr>
            </w:pPr>
            <w:r>
              <w:rPr>
                <w:rFonts w:hint="eastAsia" w:ascii="宋体" w:hAnsi="宋体" w:eastAsia="宋体" w:cs="宋体"/>
                <w:bCs/>
                <w:color w:val="auto"/>
                <w:szCs w:val="21"/>
                <w:highlight w:val="none"/>
                <w:lang w:val="en-US" w:eastAsia="zh-CN"/>
              </w:rPr>
              <w:t>3</w:t>
            </w:r>
          </w:p>
        </w:tc>
        <w:tc>
          <w:tcPr>
            <w:tcW w:w="959" w:type="dxa"/>
            <w:vAlign w:val="center"/>
          </w:tcPr>
          <w:p w14:paraId="4E635D30">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highlight w:val="none"/>
              </w:rPr>
              <w:t>商务</w:t>
            </w:r>
          </w:p>
        </w:tc>
        <w:tc>
          <w:tcPr>
            <w:tcW w:w="7419" w:type="dxa"/>
            <w:vAlign w:val="center"/>
          </w:tcPr>
          <w:p w14:paraId="17B47F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（1）售后服务分（满分6分）</w:t>
            </w:r>
          </w:p>
          <w:p w14:paraId="4302BB1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一档（2分）：提供有简单的服务承诺，服务承诺方案可行；</w:t>
            </w:r>
          </w:p>
          <w:p w14:paraId="1147B6A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二档（4分）：能针对项目提供服务承诺，服务承诺方案较好，针对本项目实际情况，同时设定专门的技术人员，承诺到达现场解决问题；</w:t>
            </w:r>
          </w:p>
          <w:p w14:paraId="4E8CDC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档（6分）：能针对项目提供服务承诺；同时设定专门的技术人员，承诺应采购人需求1小时内响应，在8小时内到达指定现场，24小时内提出问题解决方案，并予以解决处理，并提供售后服务联系人姓名、电话、详细地址等信息。注：不符合最低入档条件的按不入档计0分处理。</w:t>
            </w:r>
          </w:p>
        </w:tc>
        <w:tc>
          <w:tcPr>
            <w:tcW w:w="934" w:type="dxa"/>
            <w:vAlign w:val="center"/>
          </w:tcPr>
          <w:p w14:paraId="30937780">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r>
      <w:tr w14:paraId="4125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452BACD3">
            <w:pPr>
              <w:spacing w:line="360" w:lineRule="auto"/>
              <w:jc w:val="center"/>
              <w:rPr>
                <w:rFonts w:hint="eastAsia" w:ascii="宋体" w:hAnsi="宋体" w:eastAsia="宋体" w:cs="宋体"/>
                <w:bCs/>
                <w:color w:val="auto"/>
                <w:szCs w:val="21"/>
                <w:highlight w:val="none"/>
                <w:lang w:eastAsia="zh-CN"/>
              </w:rPr>
            </w:pPr>
          </w:p>
        </w:tc>
        <w:tc>
          <w:tcPr>
            <w:tcW w:w="959" w:type="dxa"/>
            <w:vAlign w:val="center"/>
          </w:tcPr>
          <w:p w14:paraId="2AFFEB9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w:t>
            </w:r>
          </w:p>
        </w:tc>
        <w:tc>
          <w:tcPr>
            <w:tcW w:w="7419" w:type="dxa"/>
          </w:tcPr>
          <w:p w14:paraId="0B2A4284">
            <w:pPr>
              <w:numPr>
                <w:ilvl w:val="0"/>
                <w:numId w:val="7"/>
              </w:numPr>
              <w:spacing w:line="360" w:lineRule="auto"/>
              <w:rPr>
                <w:rFonts w:hint="eastAsia" w:ascii="宋体" w:hAnsi="宋体" w:eastAsia="宋体" w:cs="宋体"/>
                <w:bCs/>
                <w:snapToGrid w:val="0"/>
                <w:color w:val="auto"/>
                <w:kern w:val="0"/>
                <w:sz w:val="21"/>
                <w:szCs w:val="21"/>
                <w:highlight w:val="none"/>
                <w:lang w:val="en-US" w:eastAsia="zh-CN" w:bidi="ar"/>
              </w:rPr>
            </w:pPr>
            <w:r>
              <w:rPr>
                <w:rFonts w:hint="eastAsia" w:ascii="宋体" w:hAnsi="宋体" w:eastAsia="宋体" w:cs="宋体"/>
                <w:bCs/>
                <w:snapToGrid w:val="0"/>
                <w:color w:val="auto"/>
                <w:kern w:val="0"/>
                <w:sz w:val="21"/>
                <w:szCs w:val="21"/>
                <w:highlight w:val="none"/>
                <w:lang w:val="en-US" w:eastAsia="zh-CN" w:bidi="ar"/>
              </w:rPr>
              <w:t>业绩信誉分（满分9分）</w:t>
            </w:r>
          </w:p>
          <w:p w14:paraId="531AE30D">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①供应商具有ISO9001质量管理体系认证证书得3分。（供应商文件中提供证书扫描件并加盖单位电子公章）</w:t>
            </w:r>
          </w:p>
          <w:p w14:paraId="2A0CBCB6">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②2022年1月1日以来，供应商承担过土地集约利</w:t>
            </w:r>
            <w:bookmarkStart w:id="128" w:name="_GoBack"/>
            <w:r>
              <w:rPr>
                <w:rFonts w:hint="eastAsia" w:ascii="宋体" w:hAnsi="宋体" w:eastAsia="宋体" w:cs="宋体"/>
                <w:color w:val="auto"/>
                <w:highlight w:val="none"/>
                <w:lang w:val="en-US" w:eastAsia="zh-CN"/>
              </w:rPr>
              <w:t>用、土地资产处置等方面类似项目业绩的每提供一个得2分，满分6分。注：需附中标/成</w:t>
            </w:r>
            <w:bookmarkEnd w:id="128"/>
            <w:r>
              <w:rPr>
                <w:rFonts w:hint="eastAsia" w:ascii="宋体" w:hAnsi="宋体" w:eastAsia="宋体" w:cs="宋体"/>
                <w:color w:val="auto"/>
                <w:highlight w:val="none"/>
                <w:lang w:val="en-US" w:eastAsia="zh-CN"/>
              </w:rPr>
              <w:t>交通知书或合同复印件加盖公章，否则不得分。</w:t>
            </w:r>
          </w:p>
        </w:tc>
        <w:tc>
          <w:tcPr>
            <w:tcW w:w="934" w:type="dxa"/>
            <w:vAlign w:val="center"/>
          </w:tcPr>
          <w:p w14:paraId="2078BF95">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9</w:t>
            </w:r>
          </w:p>
        </w:tc>
      </w:tr>
      <w:tr w14:paraId="0ED0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vAlign w:val="center"/>
          </w:tcPr>
          <w:p w14:paraId="47E86CD3">
            <w:pPr>
              <w:spacing w:line="360" w:lineRule="auto"/>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总得分=1+2+3</w:t>
            </w:r>
          </w:p>
        </w:tc>
      </w:tr>
    </w:tbl>
    <w:p w14:paraId="6A470AC0">
      <w:pPr>
        <w:pStyle w:val="22"/>
        <w:spacing w:line="360" w:lineRule="atLeast"/>
        <w:ind w:firstLine="413" w:firstLineChars="196"/>
        <w:rPr>
          <w:rFonts w:hAnsi="宋体"/>
          <w:b/>
          <w:bCs/>
          <w:color w:val="auto"/>
          <w:sz w:val="21"/>
          <w:highlight w:val="none"/>
        </w:rPr>
      </w:pPr>
      <w:r>
        <w:rPr>
          <w:rFonts w:hint="eastAsia" w:hAnsi="宋体"/>
          <w:b/>
          <w:color w:val="auto"/>
          <w:kern w:val="2"/>
          <w:sz w:val="21"/>
          <w:highlight w:val="none"/>
        </w:rPr>
        <w:t>注：</w:t>
      </w:r>
      <w:r>
        <w:rPr>
          <w:rFonts w:hint="eastAsia" w:hAnsi="宋体"/>
          <w:b/>
          <w:color w:val="auto"/>
          <w:sz w:val="21"/>
          <w:highlight w:val="none"/>
        </w:rPr>
        <w:t>本项目为政府服务类采购，无节能产品、环境标志产品要求。</w:t>
      </w:r>
    </w:p>
    <w:p w14:paraId="32357BC5">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color w:val="auto"/>
          <w:highlight w:val="none"/>
        </w:rPr>
        <w:br w:type="page"/>
      </w:r>
    </w:p>
    <w:p w14:paraId="2B1182D0">
      <w:pPr>
        <w:rPr>
          <w:color w:val="auto"/>
          <w:highlight w:val="none"/>
        </w:rPr>
      </w:pPr>
    </w:p>
    <w:p w14:paraId="3AADB941">
      <w:pPr>
        <w:rPr>
          <w:color w:val="auto"/>
          <w:highlight w:val="none"/>
        </w:rPr>
      </w:pPr>
    </w:p>
    <w:p w14:paraId="482F188C">
      <w:pPr>
        <w:rPr>
          <w:color w:val="auto"/>
          <w:highlight w:val="none"/>
        </w:rPr>
      </w:pPr>
    </w:p>
    <w:p w14:paraId="0D00AE74">
      <w:pPr>
        <w:rPr>
          <w:color w:val="auto"/>
          <w:highlight w:val="none"/>
        </w:rPr>
      </w:pPr>
    </w:p>
    <w:p w14:paraId="0CB1AB77">
      <w:pPr>
        <w:rPr>
          <w:color w:val="auto"/>
          <w:highlight w:val="none"/>
        </w:rPr>
      </w:pPr>
    </w:p>
    <w:p w14:paraId="6C1A3C58">
      <w:pPr>
        <w:rPr>
          <w:color w:val="auto"/>
          <w:highlight w:val="none"/>
        </w:rPr>
      </w:pPr>
    </w:p>
    <w:p w14:paraId="1B4B3AA5">
      <w:pPr>
        <w:rPr>
          <w:color w:val="auto"/>
          <w:highlight w:val="none"/>
        </w:rPr>
      </w:pPr>
    </w:p>
    <w:p w14:paraId="1EF7272F">
      <w:pPr>
        <w:rPr>
          <w:color w:val="auto"/>
          <w:highlight w:val="none"/>
        </w:rPr>
      </w:pPr>
    </w:p>
    <w:p w14:paraId="2674A2E8">
      <w:pPr>
        <w:rPr>
          <w:color w:val="auto"/>
          <w:highlight w:val="none"/>
        </w:rPr>
      </w:pPr>
    </w:p>
    <w:p w14:paraId="26669AFC">
      <w:pPr>
        <w:rPr>
          <w:color w:val="auto"/>
          <w:highlight w:val="none"/>
        </w:rPr>
      </w:pPr>
    </w:p>
    <w:p w14:paraId="31F46876">
      <w:pPr>
        <w:rPr>
          <w:color w:val="auto"/>
          <w:highlight w:val="none"/>
        </w:rPr>
      </w:pPr>
    </w:p>
    <w:p w14:paraId="203143E3">
      <w:pPr>
        <w:rPr>
          <w:color w:val="auto"/>
          <w:highlight w:val="none"/>
        </w:rPr>
      </w:pPr>
    </w:p>
    <w:p w14:paraId="3B71BCD6">
      <w:pPr>
        <w:rPr>
          <w:color w:val="auto"/>
          <w:highlight w:val="none"/>
        </w:rPr>
      </w:pPr>
    </w:p>
    <w:p w14:paraId="6CE8E777">
      <w:pPr>
        <w:pStyle w:val="5"/>
        <w:jc w:val="center"/>
        <w:rPr>
          <w:color w:val="auto"/>
          <w:highlight w:val="none"/>
        </w:rPr>
      </w:pPr>
      <w:bookmarkStart w:id="71" w:name="_Toc151675540"/>
      <w:r>
        <w:rPr>
          <w:rFonts w:hint="eastAsia"/>
          <w:color w:val="auto"/>
          <w:highlight w:val="none"/>
        </w:rPr>
        <w:t xml:space="preserve">第五章 </w:t>
      </w:r>
      <w:r>
        <w:rPr>
          <w:color w:val="auto"/>
          <w:highlight w:val="none"/>
        </w:rPr>
        <w:t xml:space="preserve"> </w:t>
      </w:r>
      <w:r>
        <w:rPr>
          <w:rFonts w:hint="eastAsia"/>
          <w:color w:val="auto"/>
          <w:highlight w:val="none"/>
        </w:rPr>
        <w:t>响应文件格式</w:t>
      </w:r>
      <w:bookmarkEnd w:id="71"/>
    </w:p>
    <w:p w14:paraId="5F7DDA45">
      <w:pPr>
        <w:spacing w:line="240" w:lineRule="atLeast"/>
        <w:rPr>
          <w:rFonts w:ascii="宋体" w:hAnsi="宋体"/>
          <w:b/>
          <w:color w:val="auto"/>
          <w:sz w:val="32"/>
          <w:szCs w:val="32"/>
          <w:highlight w:val="none"/>
        </w:rPr>
      </w:pPr>
    </w:p>
    <w:p w14:paraId="36DF1CB0">
      <w:pPr>
        <w:spacing w:line="240" w:lineRule="atLeast"/>
        <w:rPr>
          <w:rFonts w:ascii="宋体" w:hAnsi="宋体"/>
          <w:b/>
          <w:color w:val="auto"/>
          <w:sz w:val="32"/>
          <w:szCs w:val="32"/>
          <w:highlight w:val="none"/>
        </w:rPr>
      </w:pPr>
    </w:p>
    <w:p w14:paraId="5C1272DC">
      <w:pPr>
        <w:spacing w:line="240" w:lineRule="atLeast"/>
        <w:rPr>
          <w:rFonts w:ascii="宋体" w:hAnsi="宋体"/>
          <w:b/>
          <w:color w:val="auto"/>
          <w:sz w:val="32"/>
          <w:szCs w:val="32"/>
          <w:highlight w:val="none"/>
        </w:rPr>
      </w:pPr>
    </w:p>
    <w:p w14:paraId="05C0E4B7">
      <w:pPr>
        <w:spacing w:line="240" w:lineRule="atLeast"/>
        <w:rPr>
          <w:rFonts w:ascii="宋体" w:hAnsi="宋体"/>
          <w:b/>
          <w:color w:val="auto"/>
          <w:sz w:val="32"/>
          <w:szCs w:val="32"/>
          <w:highlight w:val="none"/>
        </w:rPr>
      </w:pPr>
    </w:p>
    <w:p w14:paraId="741A5C9A">
      <w:pPr>
        <w:spacing w:line="240" w:lineRule="atLeast"/>
        <w:rPr>
          <w:rFonts w:ascii="宋体" w:hAnsi="宋体"/>
          <w:b/>
          <w:color w:val="auto"/>
          <w:sz w:val="32"/>
          <w:szCs w:val="32"/>
          <w:highlight w:val="none"/>
        </w:rPr>
      </w:pPr>
    </w:p>
    <w:p w14:paraId="60D15584">
      <w:pPr>
        <w:spacing w:line="240" w:lineRule="atLeast"/>
        <w:rPr>
          <w:rFonts w:ascii="宋体" w:hAnsi="宋体"/>
          <w:b/>
          <w:color w:val="auto"/>
          <w:sz w:val="32"/>
          <w:szCs w:val="32"/>
          <w:highlight w:val="none"/>
        </w:rPr>
      </w:pPr>
    </w:p>
    <w:p w14:paraId="13859DFD">
      <w:pPr>
        <w:spacing w:line="240" w:lineRule="atLeast"/>
        <w:rPr>
          <w:rFonts w:ascii="宋体" w:hAnsi="宋体"/>
          <w:b/>
          <w:color w:val="auto"/>
          <w:sz w:val="32"/>
          <w:szCs w:val="32"/>
          <w:highlight w:val="none"/>
        </w:rPr>
      </w:pPr>
    </w:p>
    <w:p w14:paraId="0A24873C">
      <w:pPr>
        <w:spacing w:line="240" w:lineRule="atLeast"/>
        <w:rPr>
          <w:rFonts w:ascii="宋体" w:hAnsi="宋体"/>
          <w:b/>
          <w:color w:val="auto"/>
          <w:sz w:val="32"/>
          <w:szCs w:val="32"/>
          <w:highlight w:val="none"/>
        </w:rPr>
      </w:pPr>
    </w:p>
    <w:p w14:paraId="624D1EA0">
      <w:pPr>
        <w:spacing w:line="240" w:lineRule="atLeast"/>
        <w:rPr>
          <w:rFonts w:ascii="宋体" w:hAnsi="宋体"/>
          <w:b/>
          <w:color w:val="auto"/>
          <w:sz w:val="32"/>
          <w:szCs w:val="32"/>
          <w:highlight w:val="none"/>
        </w:rPr>
      </w:pPr>
    </w:p>
    <w:p w14:paraId="0A059520">
      <w:pPr>
        <w:spacing w:line="240" w:lineRule="atLeast"/>
        <w:rPr>
          <w:rFonts w:ascii="宋体" w:hAnsi="宋体"/>
          <w:b/>
          <w:color w:val="auto"/>
          <w:sz w:val="32"/>
          <w:szCs w:val="32"/>
          <w:highlight w:val="none"/>
        </w:rPr>
      </w:pPr>
    </w:p>
    <w:p w14:paraId="270BC1E8">
      <w:pPr>
        <w:spacing w:line="240" w:lineRule="atLeast"/>
        <w:rPr>
          <w:rFonts w:ascii="宋体" w:hAnsi="宋体"/>
          <w:b/>
          <w:color w:val="auto"/>
          <w:sz w:val="32"/>
          <w:szCs w:val="32"/>
          <w:highlight w:val="none"/>
        </w:rPr>
      </w:pPr>
    </w:p>
    <w:p w14:paraId="6A43C161">
      <w:pPr>
        <w:snapToGrid w:val="0"/>
        <w:spacing w:before="50" w:after="50"/>
        <w:outlineLvl w:val="1"/>
        <w:rPr>
          <w:rFonts w:ascii="宋体" w:hAnsi="宋体"/>
          <w:b/>
          <w:bCs/>
          <w:color w:val="auto"/>
          <w:sz w:val="24"/>
          <w:highlight w:val="none"/>
        </w:rPr>
      </w:pPr>
    </w:p>
    <w:p w14:paraId="130A94D8">
      <w:pPr>
        <w:snapToGrid w:val="0"/>
        <w:spacing w:before="50" w:after="50"/>
        <w:outlineLvl w:val="1"/>
        <w:rPr>
          <w:rFonts w:ascii="宋体" w:hAnsi="宋体"/>
          <w:b/>
          <w:bCs/>
          <w:color w:val="auto"/>
          <w:sz w:val="24"/>
          <w:highlight w:val="none"/>
        </w:rPr>
      </w:pPr>
    </w:p>
    <w:p w14:paraId="65BC52FD">
      <w:pPr>
        <w:snapToGrid w:val="0"/>
        <w:spacing w:before="156" w:beforeLines="50" w:after="50"/>
        <w:jc w:val="center"/>
        <w:rPr>
          <w:rFonts w:ascii="仿宋_GB2312" w:hAnsi="仿宋_GB2312" w:eastAsia="仿宋_GB2312" w:cs="仿宋_GB2312"/>
          <w:bCs/>
          <w:color w:val="auto"/>
          <w:sz w:val="32"/>
          <w:szCs w:val="32"/>
          <w:highlight w:val="none"/>
        </w:rPr>
      </w:pPr>
    </w:p>
    <w:p w14:paraId="439DF716">
      <w:pPr>
        <w:rPr>
          <w:b/>
          <w:color w:val="auto"/>
          <w:sz w:val="32"/>
          <w:szCs w:val="32"/>
          <w:highlight w:val="none"/>
        </w:rPr>
      </w:pPr>
      <w:bookmarkStart w:id="72" w:name="_Toc31728084"/>
      <w:bookmarkStart w:id="73" w:name="_Toc71366186"/>
      <w:bookmarkStart w:id="74" w:name="_Toc35611438"/>
      <w:bookmarkStart w:id="75" w:name="_Toc44229899"/>
      <w:bookmarkStart w:id="76" w:name="_Toc35611516"/>
      <w:bookmarkStart w:id="77" w:name="_Toc31723070"/>
      <w:r>
        <w:rPr>
          <w:rFonts w:hint="eastAsia"/>
          <w:b/>
          <w:color w:val="auto"/>
          <w:sz w:val="32"/>
          <w:szCs w:val="32"/>
          <w:highlight w:val="none"/>
        </w:rPr>
        <w:t>一、资格证明文件格式</w:t>
      </w:r>
      <w:bookmarkEnd w:id="72"/>
      <w:bookmarkEnd w:id="73"/>
      <w:bookmarkEnd w:id="74"/>
      <w:bookmarkEnd w:id="75"/>
      <w:bookmarkEnd w:id="76"/>
      <w:bookmarkEnd w:id="77"/>
    </w:p>
    <w:p w14:paraId="55624248">
      <w:pPr>
        <w:snapToGrid w:val="0"/>
        <w:spacing w:before="156"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4E25FFE8">
      <w:pPr>
        <w:snapToGrid w:val="0"/>
        <w:spacing w:before="156" w:beforeLines="50" w:after="50"/>
        <w:jc w:val="center"/>
        <w:rPr>
          <w:rFonts w:ascii="宋体" w:hAnsi="宋体"/>
          <w:color w:val="auto"/>
          <w:sz w:val="44"/>
          <w:szCs w:val="44"/>
          <w:highlight w:val="none"/>
        </w:rPr>
      </w:pPr>
    </w:p>
    <w:p w14:paraId="57371D62">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电子响应文件</w:t>
      </w:r>
    </w:p>
    <w:p w14:paraId="747C4540">
      <w:pPr>
        <w:snapToGrid w:val="0"/>
        <w:spacing w:before="156" w:beforeLines="50" w:after="50"/>
        <w:rPr>
          <w:rFonts w:ascii="宋体" w:hAnsi="宋体"/>
          <w:color w:val="auto"/>
          <w:sz w:val="24"/>
          <w:szCs w:val="20"/>
          <w:highlight w:val="none"/>
        </w:rPr>
      </w:pPr>
    </w:p>
    <w:p w14:paraId="353AEF41">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728E9AC2">
      <w:pPr>
        <w:snapToGrid w:val="0"/>
        <w:spacing w:before="156" w:beforeLines="50" w:after="50"/>
        <w:rPr>
          <w:rFonts w:ascii="宋体" w:hAnsi="宋体"/>
          <w:bCs/>
          <w:color w:val="auto"/>
          <w:sz w:val="24"/>
          <w:szCs w:val="20"/>
          <w:highlight w:val="none"/>
        </w:rPr>
      </w:pPr>
    </w:p>
    <w:p w14:paraId="3A7900FA">
      <w:pPr>
        <w:snapToGrid w:val="0"/>
        <w:spacing w:before="156" w:beforeLines="50" w:after="50"/>
        <w:rPr>
          <w:rFonts w:ascii="宋体" w:hAnsi="宋体"/>
          <w:bCs/>
          <w:color w:val="auto"/>
          <w:sz w:val="24"/>
          <w:szCs w:val="20"/>
          <w:highlight w:val="none"/>
        </w:rPr>
      </w:pPr>
    </w:p>
    <w:p w14:paraId="77E6A40D">
      <w:pPr>
        <w:snapToGrid w:val="0"/>
        <w:spacing w:before="156" w:beforeLines="50" w:after="50"/>
        <w:rPr>
          <w:rFonts w:ascii="宋体" w:hAnsi="宋体"/>
          <w:bCs/>
          <w:color w:val="auto"/>
          <w:sz w:val="24"/>
          <w:szCs w:val="20"/>
          <w:highlight w:val="none"/>
        </w:rPr>
      </w:pPr>
    </w:p>
    <w:p w14:paraId="46860979">
      <w:pPr>
        <w:snapToGrid w:val="0"/>
        <w:spacing w:before="156" w:beforeLines="50" w:after="50"/>
        <w:rPr>
          <w:rFonts w:ascii="宋体" w:hAnsi="宋体"/>
          <w:bCs/>
          <w:color w:val="auto"/>
          <w:sz w:val="24"/>
          <w:szCs w:val="20"/>
          <w:highlight w:val="none"/>
        </w:rPr>
      </w:pPr>
    </w:p>
    <w:p w14:paraId="5FE9A880">
      <w:pPr>
        <w:snapToGrid w:val="0"/>
        <w:spacing w:before="156" w:beforeLines="50" w:after="50"/>
        <w:rPr>
          <w:rFonts w:ascii="宋体" w:hAnsi="宋体"/>
          <w:bCs/>
          <w:color w:val="auto"/>
          <w:sz w:val="24"/>
          <w:szCs w:val="20"/>
          <w:highlight w:val="none"/>
        </w:rPr>
      </w:pPr>
    </w:p>
    <w:p w14:paraId="37B61082">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E1E4B73">
      <w:pPr>
        <w:snapToGrid w:val="0"/>
        <w:spacing w:before="156" w:beforeLines="50" w:after="50"/>
        <w:ind w:firstLine="720" w:firstLineChars="225"/>
        <w:rPr>
          <w:rFonts w:ascii="宋体" w:hAnsi="宋体" w:cs="仿宋_GB2312"/>
          <w:bCs/>
          <w:color w:val="auto"/>
          <w:sz w:val="32"/>
          <w:szCs w:val="32"/>
          <w:highlight w:val="none"/>
        </w:rPr>
      </w:pPr>
    </w:p>
    <w:p w14:paraId="13BCAF99">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B49DD58">
      <w:pPr>
        <w:snapToGrid w:val="0"/>
        <w:spacing w:before="156" w:beforeLines="50" w:after="50"/>
        <w:ind w:firstLine="720" w:firstLineChars="225"/>
        <w:rPr>
          <w:rFonts w:ascii="宋体" w:hAnsi="宋体" w:cs="仿宋_GB2312"/>
          <w:bCs/>
          <w:color w:val="auto"/>
          <w:sz w:val="32"/>
          <w:szCs w:val="32"/>
          <w:highlight w:val="none"/>
        </w:rPr>
      </w:pPr>
    </w:p>
    <w:p w14:paraId="523F82F4">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6DEA37A">
      <w:pPr>
        <w:snapToGrid w:val="0"/>
        <w:spacing w:before="156" w:beforeLines="50" w:after="50"/>
        <w:ind w:firstLine="720" w:firstLineChars="225"/>
        <w:rPr>
          <w:rFonts w:ascii="宋体" w:hAnsi="宋体" w:cs="仿宋_GB2312"/>
          <w:bCs/>
          <w:color w:val="auto"/>
          <w:sz w:val="32"/>
          <w:szCs w:val="32"/>
          <w:highlight w:val="none"/>
        </w:rPr>
      </w:pPr>
    </w:p>
    <w:p w14:paraId="05FBA572">
      <w:pPr>
        <w:pStyle w:val="10"/>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CE31A38">
      <w:pPr>
        <w:snapToGrid w:val="0"/>
        <w:spacing w:before="156" w:beforeLines="50" w:after="50"/>
        <w:ind w:firstLine="640" w:firstLineChars="200"/>
        <w:rPr>
          <w:rFonts w:ascii="宋体" w:hAnsi="宋体" w:cs="仿宋_GB2312"/>
          <w:bCs/>
          <w:color w:val="auto"/>
          <w:sz w:val="32"/>
          <w:szCs w:val="32"/>
          <w:highlight w:val="none"/>
        </w:rPr>
      </w:pPr>
    </w:p>
    <w:p w14:paraId="34D39421">
      <w:pPr>
        <w:pStyle w:val="10"/>
        <w:snapToGrid w:val="0"/>
        <w:spacing w:before="50" w:after="50"/>
        <w:ind w:firstLine="720" w:firstLineChars="225"/>
        <w:rPr>
          <w:rFonts w:ascii="宋体" w:hAnsi="宋体" w:cs="仿宋_GB2312"/>
          <w:bCs/>
          <w:color w:val="auto"/>
          <w:sz w:val="32"/>
          <w:szCs w:val="32"/>
          <w:highlight w:val="none"/>
        </w:rPr>
      </w:pPr>
    </w:p>
    <w:p w14:paraId="3284EEE4">
      <w:pPr>
        <w:pStyle w:val="10"/>
        <w:snapToGrid w:val="0"/>
        <w:spacing w:before="50" w:after="50"/>
        <w:ind w:firstLine="720" w:firstLineChars="225"/>
        <w:rPr>
          <w:rFonts w:ascii="宋体" w:hAnsi="宋体" w:cs="仿宋_GB2312"/>
          <w:bCs/>
          <w:color w:val="auto"/>
          <w:sz w:val="32"/>
          <w:szCs w:val="32"/>
          <w:highlight w:val="none"/>
        </w:rPr>
      </w:pPr>
    </w:p>
    <w:p w14:paraId="09F81D26">
      <w:pPr>
        <w:pStyle w:val="10"/>
        <w:snapToGrid w:val="0"/>
        <w:spacing w:before="50" w:after="50"/>
        <w:ind w:firstLine="1280" w:firstLineChars="400"/>
        <w:rPr>
          <w:rFonts w:ascii="宋体" w:hAnsi="宋体" w:cs="仿宋_GB2312"/>
          <w:bCs/>
          <w:color w:val="auto"/>
          <w:sz w:val="32"/>
          <w:szCs w:val="32"/>
          <w:highlight w:val="none"/>
        </w:rPr>
      </w:pPr>
    </w:p>
    <w:p w14:paraId="6004B299">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564B6456">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32C94CAD">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CCC7C82">
      <w:pPr>
        <w:snapToGrid w:val="0"/>
        <w:spacing w:before="156" w:beforeLines="50" w:after="50"/>
        <w:rPr>
          <w:rFonts w:ascii="宋体" w:hAnsi="宋体"/>
          <w:color w:val="auto"/>
          <w:sz w:val="24"/>
          <w:szCs w:val="20"/>
          <w:highlight w:val="none"/>
        </w:rPr>
      </w:pPr>
    </w:p>
    <w:p w14:paraId="4DB36632">
      <w:pPr>
        <w:spacing w:line="300" w:lineRule="auto"/>
        <w:rPr>
          <w:rFonts w:ascii="宋体" w:hAnsi="宋体"/>
          <w:color w:val="auto"/>
          <w:szCs w:val="21"/>
          <w:highlight w:val="none"/>
        </w:rPr>
      </w:pPr>
    </w:p>
    <w:p w14:paraId="2EE0A6E0">
      <w:pPr>
        <w:spacing w:line="300" w:lineRule="auto"/>
        <w:rPr>
          <w:rFonts w:ascii="宋体" w:hAnsi="宋体"/>
          <w:color w:val="auto"/>
          <w:szCs w:val="21"/>
          <w:highlight w:val="none"/>
        </w:rPr>
      </w:pPr>
    </w:p>
    <w:p w14:paraId="4F37988B">
      <w:pPr>
        <w:spacing w:line="300" w:lineRule="auto"/>
        <w:rPr>
          <w:rFonts w:ascii="宋体" w:hAnsi="宋体"/>
          <w:color w:val="auto"/>
          <w:szCs w:val="21"/>
          <w:highlight w:val="none"/>
        </w:rPr>
      </w:pPr>
    </w:p>
    <w:p w14:paraId="17EA8189">
      <w:pPr>
        <w:spacing w:line="300" w:lineRule="auto"/>
        <w:rPr>
          <w:rFonts w:ascii="宋体" w:hAnsi="宋体"/>
          <w:color w:val="auto"/>
          <w:szCs w:val="21"/>
          <w:highlight w:val="none"/>
        </w:rPr>
      </w:pPr>
    </w:p>
    <w:p w14:paraId="28F07E1E">
      <w:pPr>
        <w:spacing w:line="300" w:lineRule="auto"/>
        <w:rPr>
          <w:rFonts w:ascii="宋体" w:hAnsi="宋体"/>
          <w:color w:val="auto"/>
          <w:szCs w:val="21"/>
          <w:highlight w:val="none"/>
        </w:rPr>
      </w:pPr>
    </w:p>
    <w:p w14:paraId="300BBAF0">
      <w:pPr>
        <w:spacing w:line="300" w:lineRule="auto"/>
        <w:rPr>
          <w:rFonts w:ascii="宋体" w:hAnsi="宋体"/>
          <w:color w:val="auto"/>
          <w:szCs w:val="21"/>
          <w:highlight w:val="none"/>
        </w:rPr>
      </w:pPr>
    </w:p>
    <w:p w14:paraId="226462C4">
      <w:pPr>
        <w:spacing w:line="300" w:lineRule="auto"/>
        <w:rPr>
          <w:rFonts w:ascii="宋体" w:hAnsi="宋体"/>
          <w:color w:val="auto"/>
          <w:szCs w:val="21"/>
          <w:highlight w:val="none"/>
        </w:rPr>
      </w:pPr>
    </w:p>
    <w:p w14:paraId="6EC05DF5">
      <w:pPr>
        <w:spacing w:line="300" w:lineRule="auto"/>
        <w:rPr>
          <w:rFonts w:ascii="宋体" w:hAnsi="宋体"/>
          <w:color w:val="auto"/>
          <w:szCs w:val="21"/>
          <w:highlight w:val="none"/>
        </w:rPr>
      </w:pPr>
    </w:p>
    <w:p w14:paraId="6E3FAFCD">
      <w:pPr>
        <w:spacing w:line="300" w:lineRule="auto"/>
        <w:rPr>
          <w:rFonts w:ascii="宋体" w:hAnsi="宋体"/>
          <w:color w:val="auto"/>
          <w:szCs w:val="21"/>
          <w:highlight w:val="none"/>
        </w:rPr>
      </w:pPr>
    </w:p>
    <w:p w14:paraId="7674C88B">
      <w:pPr>
        <w:spacing w:line="300" w:lineRule="auto"/>
        <w:rPr>
          <w:rFonts w:ascii="宋体" w:hAnsi="宋体"/>
          <w:color w:val="auto"/>
          <w:szCs w:val="21"/>
          <w:highlight w:val="none"/>
        </w:rPr>
      </w:pPr>
    </w:p>
    <w:p w14:paraId="003B97B7">
      <w:pPr>
        <w:spacing w:line="300" w:lineRule="auto"/>
        <w:rPr>
          <w:rFonts w:ascii="宋体" w:hAnsi="宋体"/>
          <w:color w:val="auto"/>
          <w:szCs w:val="21"/>
          <w:highlight w:val="none"/>
        </w:rPr>
      </w:pPr>
    </w:p>
    <w:p w14:paraId="715302DF">
      <w:pPr>
        <w:spacing w:line="300" w:lineRule="auto"/>
        <w:rPr>
          <w:rFonts w:ascii="宋体" w:hAnsi="宋体"/>
          <w:color w:val="auto"/>
          <w:szCs w:val="21"/>
          <w:highlight w:val="none"/>
        </w:rPr>
      </w:pPr>
    </w:p>
    <w:p w14:paraId="2F4B589A">
      <w:pPr>
        <w:spacing w:line="300" w:lineRule="auto"/>
        <w:rPr>
          <w:rFonts w:ascii="宋体" w:hAnsi="宋体"/>
          <w:color w:val="auto"/>
          <w:szCs w:val="21"/>
          <w:highlight w:val="none"/>
        </w:rPr>
      </w:pPr>
    </w:p>
    <w:p w14:paraId="47543D1B">
      <w:pPr>
        <w:spacing w:line="300" w:lineRule="auto"/>
        <w:rPr>
          <w:rFonts w:ascii="宋体" w:hAnsi="宋体"/>
          <w:color w:val="auto"/>
          <w:szCs w:val="21"/>
          <w:highlight w:val="none"/>
        </w:rPr>
      </w:pPr>
    </w:p>
    <w:p w14:paraId="5F892FE1">
      <w:pPr>
        <w:spacing w:line="300" w:lineRule="auto"/>
        <w:rPr>
          <w:rFonts w:ascii="宋体" w:hAnsi="宋体"/>
          <w:color w:val="auto"/>
          <w:szCs w:val="21"/>
          <w:highlight w:val="none"/>
        </w:rPr>
      </w:pPr>
    </w:p>
    <w:p w14:paraId="24538798">
      <w:pPr>
        <w:spacing w:line="320" w:lineRule="exact"/>
        <w:jc w:val="left"/>
        <w:rPr>
          <w:rFonts w:ascii="宋体" w:hAnsi="宋体"/>
          <w:color w:val="auto"/>
          <w:szCs w:val="21"/>
          <w:highlight w:val="none"/>
        </w:rPr>
      </w:pPr>
      <w:r>
        <w:rPr>
          <w:rFonts w:ascii="宋体" w:hAnsi="宋体"/>
          <w:color w:val="auto"/>
          <w:szCs w:val="21"/>
          <w:highlight w:val="none"/>
        </w:rPr>
        <w:br w:type="page"/>
      </w:r>
    </w:p>
    <w:p w14:paraId="541F6E7C">
      <w:pPr>
        <w:wordWrap w:val="0"/>
        <w:spacing w:before="156" w:beforeLines="50" w:after="50" w:line="320" w:lineRule="exact"/>
        <w:ind w:right="482" w:firstLine="210" w:firstLineChars="100"/>
        <w:contextualSpacing/>
        <w:jc w:val="center"/>
        <w:rPr>
          <w:rFonts w:ascii="宋体" w:hAnsi="宋体"/>
          <w:color w:val="auto"/>
          <w:szCs w:val="21"/>
          <w:highlight w:val="none"/>
        </w:rPr>
      </w:pPr>
    </w:p>
    <w:p w14:paraId="16559D2A">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3888AC21">
      <w:pPr>
        <w:snapToGrid w:val="0"/>
        <w:spacing w:before="156" w:beforeLines="50" w:after="50" w:line="360" w:lineRule="auto"/>
        <w:jc w:val="center"/>
        <w:rPr>
          <w:rFonts w:ascii="宋体" w:hAnsi="宋体"/>
          <w:b/>
          <w:color w:val="auto"/>
          <w:sz w:val="24"/>
          <w:highlight w:val="none"/>
        </w:rPr>
      </w:pPr>
    </w:p>
    <w:p w14:paraId="4C0CF9C3">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1245273C">
      <w:pPr>
        <w:spacing w:line="360" w:lineRule="auto"/>
        <w:contextualSpacing/>
        <w:jc w:val="center"/>
        <w:rPr>
          <w:rFonts w:ascii="宋体" w:hAnsi="宋体"/>
          <w:b/>
          <w:color w:val="auto"/>
          <w:sz w:val="24"/>
          <w:highlight w:val="none"/>
        </w:rPr>
      </w:pPr>
    </w:p>
    <w:tbl>
      <w:tblPr>
        <w:tblStyle w:val="3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B5BA99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915D7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0B69D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39DF0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D7321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DA1C3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4AAD84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C582B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5739B6">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39D28A">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ABDA33">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82F725">
            <w:pPr>
              <w:widowControl/>
              <w:spacing w:line="360" w:lineRule="auto"/>
              <w:contextualSpacing/>
              <w:jc w:val="center"/>
              <w:rPr>
                <w:rFonts w:ascii="宋体" w:hAnsi="宋体" w:cs="宋体"/>
                <w:color w:val="auto"/>
                <w:kern w:val="0"/>
                <w:sz w:val="24"/>
                <w:highlight w:val="none"/>
              </w:rPr>
            </w:pPr>
          </w:p>
        </w:tc>
      </w:tr>
      <w:tr w14:paraId="66A571C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42863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47F0F6">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997B0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0589EB">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A62662">
            <w:pPr>
              <w:widowControl/>
              <w:spacing w:line="360" w:lineRule="auto"/>
              <w:contextualSpacing/>
              <w:jc w:val="center"/>
              <w:rPr>
                <w:rFonts w:ascii="宋体" w:hAnsi="宋体" w:cs="宋体"/>
                <w:color w:val="auto"/>
                <w:kern w:val="0"/>
                <w:sz w:val="24"/>
                <w:highlight w:val="none"/>
              </w:rPr>
            </w:pPr>
          </w:p>
        </w:tc>
      </w:tr>
      <w:tr w14:paraId="5D2DB6E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3CBDC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6475FA">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3AA9C1">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9694EF">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7D4B6B">
            <w:pPr>
              <w:widowControl/>
              <w:spacing w:line="360" w:lineRule="auto"/>
              <w:contextualSpacing/>
              <w:jc w:val="center"/>
              <w:rPr>
                <w:rFonts w:ascii="宋体" w:hAnsi="宋体" w:cs="宋体"/>
                <w:color w:val="auto"/>
                <w:kern w:val="0"/>
                <w:sz w:val="24"/>
                <w:highlight w:val="none"/>
              </w:rPr>
            </w:pPr>
          </w:p>
        </w:tc>
      </w:tr>
      <w:tr w14:paraId="466EF95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3F0AF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BD19C9">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6F9C97">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F708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8AD09D">
            <w:pPr>
              <w:widowControl/>
              <w:spacing w:line="360" w:lineRule="auto"/>
              <w:contextualSpacing/>
              <w:jc w:val="center"/>
              <w:rPr>
                <w:rFonts w:ascii="宋体" w:hAnsi="宋体" w:cs="宋体"/>
                <w:color w:val="auto"/>
                <w:kern w:val="0"/>
                <w:sz w:val="24"/>
                <w:highlight w:val="none"/>
              </w:rPr>
            </w:pPr>
          </w:p>
        </w:tc>
      </w:tr>
    </w:tbl>
    <w:p w14:paraId="24575B52">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2C06C86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8E339A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B680BC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045D2790">
      <w:pPr>
        <w:spacing w:line="360" w:lineRule="auto"/>
        <w:ind w:firstLine="420" w:firstLineChars="200"/>
        <w:contextualSpacing/>
        <w:jc w:val="left"/>
        <w:rPr>
          <w:rFonts w:ascii="宋体" w:hAnsi="宋体" w:cs="宋体"/>
          <w:color w:val="auto"/>
          <w:szCs w:val="21"/>
          <w:highlight w:val="none"/>
        </w:rPr>
      </w:pPr>
    </w:p>
    <w:p w14:paraId="0A2CB8FC">
      <w:pPr>
        <w:spacing w:line="360" w:lineRule="auto"/>
        <w:ind w:firstLine="560" w:firstLineChars="200"/>
        <w:contextualSpacing/>
        <w:jc w:val="left"/>
        <w:rPr>
          <w:rFonts w:ascii="宋体" w:hAnsi="宋体" w:cs="宋体"/>
          <w:color w:val="auto"/>
          <w:sz w:val="28"/>
          <w:szCs w:val="28"/>
          <w:highlight w:val="none"/>
        </w:rPr>
      </w:pPr>
    </w:p>
    <w:p w14:paraId="2EACC1CC">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1FC5E546">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w:t>
      </w:r>
    </w:p>
    <w:p w14:paraId="76590946">
      <w:pP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年月日</w:t>
      </w:r>
    </w:p>
    <w:p w14:paraId="229B7291">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391FC59C">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42A3C1F1">
      <w:pPr>
        <w:snapToGrid w:val="0"/>
        <w:spacing w:line="360" w:lineRule="auto"/>
        <w:jc w:val="center"/>
        <w:rPr>
          <w:rFonts w:ascii="宋体" w:hAnsi="宋体"/>
          <w:b/>
          <w:color w:val="auto"/>
          <w:sz w:val="24"/>
          <w:highlight w:val="none"/>
        </w:rPr>
      </w:pPr>
    </w:p>
    <w:tbl>
      <w:tblPr>
        <w:tblStyle w:val="3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E8BF20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CD770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FC6FB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91E98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9E02A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508819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0441E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88DE52">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A4AA85">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52B617">
            <w:pPr>
              <w:widowControl/>
              <w:spacing w:line="360" w:lineRule="auto"/>
              <w:contextualSpacing/>
              <w:jc w:val="center"/>
              <w:rPr>
                <w:rFonts w:ascii="宋体" w:hAnsi="宋体" w:cs="宋体"/>
                <w:color w:val="auto"/>
                <w:kern w:val="0"/>
                <w:sz w:val="24"/>
                <w:highlight w:val="none"/>
              </w:rPr>
            </w:pPr>
          </w:p>
        </w:tc>
      </w:tr>
      <w:tr w14:paraId="0A08025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2F4BE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B3B407">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0507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9A8285">
            <w:pPr>
              <w:widowControl/>
              <w:spacing w:line="360" w:lineRule="auto"/>
              <w:contextualSpacing/>
              <w:jc w:val="center"/>
              <w:rPr>
                <w:rFonts w:ascii="宋体" w:hAnsi="宋体" w:cs="宋体"/>
                <w:color w:val="auto"/>
                <w:kern w:val="0"/>
                <w:sz w:val="24"/>
                <w:highlight w:val="none"/>
              </w:rPr>
            </w:pPr>
          </w:p>
        </w:tc>
      </w:tr>
      <w:tr w14:paraId="6C777F0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5486A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5F620D">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67B56C">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186CCB">
            <w:pPr>
              <w:widowControl/>
              <w:spacing w:line="360" w:lineRule="auto"/>
              <w:contextualSpacing/>
              <w:jc w:val="center"/>
              <w:rPr>
                <w:rFonts w:ascii="宋体" w:hAnsi="宋体" w:cs="宋体"/>
                <w:color w:val="auto"/>
                <w:kern w:val="0"/>
                <w:sz w:val="24"/>
                <w:highlight w:val="none"/>
              </w:rPr>
            </w:pPr>
          </w:p>
        </w:tc>
      </w:tr>
      <w:tr w14:paraId="62077AD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4DE11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A85884">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2F9190">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8F35E5">
            <w:pPr>
              <w:widowControl/>
              <w:spacing w:line="360" w:lineRule="auto"/>
              <w:contextualSpacing/>
              <w:jc w:val="center"/>
              <w:rPr>
                <w:rFonts w:ascii="宋体" w:hAnsi="宋体" w:cs="宋体"/>
                <w:color w:val="auto"/>
                <w:kern w:val="0"/>
                <w:sz w:val="24"/>
                <w:highlight w:val="none"/>
              </w:rPr>
            </w:pPr>
          </w:p>
        </w:tc>
      </w:tr>
    </w:tbl>
    <w:p w14:paraId="091D3766">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398BEE9A">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792DA1B">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7B76C7A">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7803E0F4">
      <w:pPr>
        <w:spacing w:line="360" w:lineRule="auto"/>
        <w:contextualSpacing/>
        <w:jc w:val="left"/>
        <w:rPr>
          <w:rFonts w:ascii="宋体" w:hAnsi="宋体"/>
          <w:color w:val="auto"/>
          <w:sz w:val="28"/>
          <w:szCs w:val="28"/>
          <w:highlight w:val="none"/>
        </w:rPr>
      </w:pPr>
    </w:p>
    <w:p w14:paraId="4488176A">
      <w:pPr>
        <w:spacing w:line="360" w:lineRule="auto"/>
        <w:contextualSpacing/>
        <w:jc w:val="left"/>
        <w:rPr>
          <w:rFonts w:ascii="宋体" w:hAnsi="宋体"/>
          <w:color w:val="auto"/>
          <w:sz w:val="28"/>
          <w:szCs w:val="28"/>
          <w:highlight w:val="none"/>
        </w:rPr>
      </w:pPr>
    </w:p>
    <w:p w14:paraId="22CEE483">
      <w:pPr>
        <w:spacing w:line="360" w:lineRule="auto"/>
        <w:contextualSpacing/>
        <w:jc w:val="left"/>
        <w:rPr>
          <w:color w:val="auto"/>
          <w:sz w:val="28"/>
          <w:szCs w:val="28"/>
          <w:highlight w:val="none"/>
        </w:rPr>
      </w:pPr>
    </w:p>
    <w:p w14:paraId="0823F70E">
      <w:pPr>
        <w:spacing w:line="360" w:lineRule="auto"/>
        <w:contextualSpacing/>
        <w:jc w:val="left"/>
        <w:rPr>
          <w:color w:val="auto"/>
          <w:sz w:val="28"/>
          <w:szCs w:val="28"/>
          <w:highlight w:val="none"/>
        </w:rPr>
      </w:pPr>
    </w:p>
    <w:p w14:paraId="6CDADA0A">
      <w:pPr>
        <w:spacing w:line="360" w:lineRule="auto"/>
        <w:contextualSpacing/>
        <w:jc w:val="left"/>
        <w:rPr>
          <w:color w:val="auto"/>
          <w:sz w:val="28"/>
          <w:szCs w:val="28"/>
          <w:highlight w:val="none"/>
        </w:rPr>
      </w:pPr>
    </w:p>
    <w:p w14:paraId="4DC372EF">
      <w:pPr>
        <w:spacing w:line="360" w:lineRule="auto"/>
        <w:contextualSpacing/>
        <w:jc w:val="left"/>
        <w:rPr>
          <w:rFonts w:ascii="宋体" w:hAnsi="宋体"/>
          <w:color w:val="auto"/>
          <w:sz w:val="28"/>
          <w:szCs w:val="28"/>
          <w:highlight w:val="none"/>
        </w:rPr>
      </w:pPr>
    </w:p>
    <w:p w14:paraId="35B2F08D">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00D636BA">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3A4A57C7">
      <w:pPr>
        <w:spacing w:line="360" w:lineRule="auto"/>
        <w:ind w:firstLine="4320" w:firstLineChars="1800"/>
        <w:contextualSpacing/>
        <w:jc w:val="left"/>
        <w:rPr>
          <w:rFonts w:ascii="宋体" w:hAnsi="宋体"/>
          <w:color w:val="auto"/>
          <w:sz w:val="28"/>
          <w:szCs w:val="28"/>
          <w:highlight w:val="none"/>
        </w:rPr>
      </w:pPr>
      <w:r>
        <w:rPr>
          <w:rFonts w:hint="eastAsia" w:ascii="宋体" w:hAnsi="宋体"/>
          <w:color w:val="auto"/>
          <w:sz w:val="24"/>
          <w:highlight w:val="none"/>
        </w:rPr>
        <w:t>年月日</w:t>
      </w:r>
    </w:p>
    <w:p w14:paraId="56D279D8">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6ED436D4">
      <w:pPr>
        <w:spacing w:line="320" w:lineRule="exact"/>
        <w:jc w:val="center"/>
        <w:rPr>
          <w:rFonts w:ascii="宋体" w:hAnsi="宋体"/>
          <w:color w:val="auto"/>
          <w:sz w:val="24"/>
          <w:szCs w:val="20"/>
          <w:highlight w:val="none"/>
        </w:rPr>
      </w:pPr>
    </w:p>
    <w:p w14:paraId="02075DA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53134F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3B20F6B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分标</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的竞标，为便于贵方公正、择优地确定成交供应商及其竞标产品和服务，我方就本次竞标有关事项郑重声明如下：</w:t>
      </w:r>
    </w:p>
    <w:p w14:paraId="4728607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62AFED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7B91471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55667C5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21C810C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0E4960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1F81304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14364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60FF12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95DD1A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92B2B4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99662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F90F36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DBC305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43ADAFC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433750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F494F3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669998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3C9F1A">
      <w:pPr>
        <w:pStyle w:val="22"/>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25CCD99C">
      <w:pPr>
        <w:pStyle w:val="22"/>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电话/传真：电子邮箱：</w:t>
      </w:r>
    </w:p>
    <w:p w14:paraId="53149A43">
      <w:pPr>
        <w:pStyle w:val="20"/>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开户银行：帐号：</w:t>
      </w:r>
    </w:p>
    <w:p w14:paraId="2009682A">
      <w:pPr>
        <w:pStyle w:val="20"/>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48400D5">
      <w:pPr>
        <w:pStyle w:val="20"/>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7731A143">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4088A605">
      <w:pPr>
        <w:spacing w:line="360" w:lineRule="auto"/>
        <w:contextualSpacing/>
        <w:jc w:val="left"/>
        <w:rPr>
          <w:rFonts w:ascii="宋体" w:hAnsi="宋体" w:cs="宋体"/>
          <w:color w:val="auto"/>
          <w:szCs w:val="21"/>
          <w:highlight w:val="none"/>
        </w:rPr>
      </w:pPr>
    </w:p>
    <w:p w14:paraId="1B55636A">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p>
    <w:p w14:paraId="6434D6BE">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供应商（电子签章）：</w:t>
      </w:r>
    </w:p>
    <w:p w14:paraId="31247E26">
      <w:pPr>
        <w:pStyle w:val="20"/>
        <w:tabs>
          <w:tab w:val="left" w:pos="939"/>
        </w:tabs>
        <w:spacing w:line="360" w:lineRule="auto"/>
        <w:ind w:left="0" w:leftChars="0" w:firstLine="3780" w:firstLineChars="1800"/>
        <w:rPr>
          <w:color w:val="auto"/>
          <w:sz w:val="24"/>
          <w:highlight w:val="none"/>
        </w:rPr>
      </w:pPr>
      <w:r>
        <w:rPr>
          <w:rFonts w:hint="eastAsia"/>
          <w:color w:val="auto"/>
          <w:highlight w:val="none"/>
        </w:rPr>
        <w:t>年月日</w:t>
      </w:r>
    </w:p>
    <w:p w14:paraId="5F071B65">
      <w:pPr>
        <w:jc w:val="center"/>
        <w:rPr>
          <w:rFonts w:ascii="方正小标宋简体" w:hAnsi="方正小标宋简体" w:eastAsia="方正小标宋简体" w:cs="方正小标宋简体"/>
          <w:color w:val="auto"/>
          <w:sz w:val="44"/>
          <w:szCs w:val="44"/>
          <w:highlight w:val="none"/>
        </w:rPr>
      </w:pPr>
      <w:r>
        <w:rPr>
          <w:rFonts w:hint="eastAsia"/>
          <w:color w:val="auto"/>
          <w:sz w:val="24"/>
          <w:highlight w:val="none"/>
        </w:rPr>
        <w:br w:type="page"/>
      </w:r>
      <w:r>
        <w:rPr>
          <w:rFonts w:hint="eastAsia" w:ascii="宋体" w:hAnsi="宋体" w:eastAsia="宋体" w:cs="宋体"/>
          <w:color w:val="auto"/>
          <w:sz w:val="44"/>
          <w:szCs w:val="44"/>
          <w:highlight w:val="none"/>
        </w:rPr>
        <w:t>中小企业声明函（服务）</w:t>
      </w:r>
    </w:p>
    <w:p w14:paraId="30859DB5">
      <w:pPr>
        <w:spacing w:before="2" w:line="500" w:lineRule="exact"/>
        <w:ind w:firstLine="708" w:firstLineChars="294"/>
        <w:rPr>
          <w:rFonts w:ascii="宋体" w:hAnsi="宋体" w:cs="宋体"/>
          <w:b/>
          <w:bCs/>
          <w:color w:val="auto"/>
          <w:sz w:val="24"/>
          <w:highlight w:val="none"/>
        </w:rPr>
      </w:pPr>
    </w:p>
    <w:p w14:paraId="44498483">
      <w:pPr>
        <w:pStyle w:val="2"/>
        <w:spacing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145C951B">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23E06BD5">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09E9A715">
      <w:pPr>
        <w:pStyle w:val="2"/>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w:t>
      </w:r>
    </w:p>
    <w:p w14:paraId="4DC4669A">
      <w:pPr>
        <w:pStyle w:val="2"/>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30519FB">
      <w:pPr>
        <w:pStyle w:val="2"/>
        <w:spacing w:before="25"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C970E58">
      <w:pPr>
        <w:pStyle w:val="2"/>
        <w:spacing w:before="56" w:line="500" w:lineRule="exact"/>
        <w:ind w:right="1808" w:firstLine="705" w:firstLineChars="294"/>
        <w:rPr>
          <w:rFonts w:ascii="宋体" w:hAnsi="宋体"/>
          <w:color w:val="auto"/>
          <w:sz w:val="24"/>
          <w:highlight w:val="none"/>
        </w:rPr>
      </w:pPr>
    </w:p>
    <w:p w14:paraId="36FCFDDB">
      <w:pPr>
        <w:pStyle w:val="2"/>
        <w:spacing w:before="56" w:line="500" w:lineRule="exact"/>
        <w:ind w:right="650" w:firstLine="5625" w:firstLineChars="2344"/>
        <w:rPr>
          <w:rFonts w:ascii="宋体" w:hAnsi="宋体"/>
          <w:color w:val="auto"/>
          <w:sz w:val="24"/>
          <w:highlight w:val="none"/>
        </w:rPr>
      </w:pPr>
      <w:r>
        <w:rPr>
          <w:rFonts w:hint="eastAsia" w:ascii="宋体" w:hAnsi="宋体"/>
          <w:color w:val="auto"/>
          <w:sz w:val="24"/>
          <w:highlight w:val="none"/>
        </w:rPr>
        <w:t>企业名称（章）：</w:t>
      </w:r>
    </w:p>
    <w:p w14:paraId="3A2412D7">
      <w:pPr>
        <w:pStyle w:val="2"/>
        <w:spacing w:before="56" w:line="500" w:lineRule="exact"/>
        <w:ind w:right="1808" w:firstLine="5625" w:firstLineChars="2344"/>
        <w:rPr>
          <w:rFonts w:ascii="宋体" w:hAnsi="宋体"/>
          <w:color w:val="auto"/>
          <w:sz w:val="24"/>
          <w:highlight w:val="none"/>
        </w:rPr>
      </w:pPr>
      <w:r>
        <w:rPr>
          <w:rFonts w:hint="eastAsia" w:ascii="宋体" w:hAnsi="宋体"/>
          <w:color w:val="auto"/>
          <w:sz w:val="24"/>
          <w:highlight w:val="none"/>
        </w:rPr>
        <w:t>日期：</w:t>
      </w:r>
    </w:p>
    <w:p w14:paraId="0DD02420">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38CFAC4">
      <w:pPr>
        <w:spacing w:line="520" w:lineRule="exact"/>
        <w:jc w:val="center"/>
        <w:rPr>
          <w:rFonts w:hint="eastAsia" w:ascii="宋体" w:hAnsi="宋体" w:eastAsia="宋体" w:cs="宋体"/>
          <w:color w:val="auto"/>
          <w:sz w:val="32"/>
          <w:szCs w:val="32"/>
          <w:highlight w:val="none"/>
        </w:rPr>
      </w:pPr>
      <w:r>
        <w:rPr>
          <w:rFonts w:hint="eastAsia" w:ascii="宋体" w:hAnsi="宋体"/>
          <w:color w:val="auto"/>
          <w:sz w:val="24"/>
          <w:highlight w:val="none"/>
        </w:rPr>
        <w:br w:type="page"/>
      </w:r>
      <w:r>
        <w:rPr>
          <w:rFonts w:hint="eastAsia" w:ascii="宋体" w:hAnsi="宋体" w:eastAsia="宋体" w:cs="宋体"/>
          <w:color w:val="auto"/>
          <w:sz w:val="44"/>
          <w:szCs w:val="44"/>
          <w:highlight w:val="none"/>
        </w:rPr>
        <w:t>残疾人福利性单位声明函</w:t>
      </w:r>
    </w:p>
    <w:p w14:paraId="725C795F">
      <w:pPr>
        <w:spacing w:line="360" w:lineRule="auto"/>
        <w:rPr>
          <w:rFonts w:ascii="仿宋_GB2312" w:hAnsi="仿宋_GB2312" w:eastAsia="仿宋_GB2312" w:cs="仿宋_GB2312"/>
          <w:color w:val="auto"/>
          <w:sz w:val="32"/>
          <w:szCs w:val="32"/>
          <w:highlight w:val="none"/>
        </w:rPr>
      </w:pPr>
    </w:p>
    <w:p w14:paraId="1869921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62BB53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31EF558F">
      <w:pPr>
        <w:spacing w:line="360" w:lineRule="auto"/>
        <w:rPr>
          <w:rFonts w:ascii="宋体" w:hAnsi="宋体" w:cs="仿宋_GB2312"/>
          <w:color w:val="auto"/>
          <w:sz w:val="24"/>
          <w:highlight w:val="none"/>
        </w:rPr>
      </w:pPr>
    </w:p>
    <w:p w14:paraId="76347829">
      <w:pPr>
        <w:spacing w:line="360" w:lineRule="auto"/>
        <w:rPr>
          <w:rFonts w:ascii="宋体" w:hAnsi="宋体" w:cs="仿宋_GB2312"/>
          <w:color w:val="auto"/>
          <w:sz w:val="24"/>
          <w:highlight w:val="none"/>
        </w:rPr>
      </w:pPr>
    </w:p>
    <w:p w14:paraId="4C1E396B">
      <w:pPr>
        <w:spacing w:line="360" w:lineRule="auto"/>
        <w:rPr>
          <w:rFonts w:ascii="宋体" w:hAnsi="宋体" w:cs="仿宋_GB2312"/>
          <w:color w:val="auto"/>
          <w:sz w:val="24"/>
          <w:highlight w:val="none"/>
        </w:rPr>
      </w:pPr>
    </w:p>
    <w:p w14:paraId="0A94EA70">
      <w:pPr>
        <w:spacing w:line="360" w:lineRule="auto"/>
        <w:ind w:firstLine="2400" w:firstLineChars="1000"/>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2E42BC6B">
      <w:pPr>
        <w:spacing w:line="360" w:lineRule="auto"/>
        <w:ind w:firstLine="3600" w:firstLineChars="1500"/>
        <w:rPr>
          <w:rFonts w:ascii="宋体" w:hAnsi="宋体" w:cs="仿宋_GB2312"/>
          <w:color w:val="auto"/>
          <w:sz w:val="24"/>
          <w:highlight w:val="none"/>
        </w:rPr>
      </w:pPr>
      <w:r>
        <w:rPr>
          <w:rFonts w:hint="eastAsia" w:ascii="宋体" w:hAnsi="宋体" w:cs="仿宋_GB2312"/>
          <w:color w:val="auto"/>
          <w:sz w:val="24"/>
          <w:highlight w:val="none"/>
        </w:rPr>
        <w:t>日期：</w:t>
      </w:r>
    </w:p>
    <w:p w14:paraId="1A7B1BFE">
      <w:pPr>
        <w:spacing w:line="360" w:lineRule="auto"/>
        <w:rPr>
          <w:rFonts w:ascii="宋体" w:hAnsi="宋体" w:cs="仿宋_GB2312"/>
          <w:color w:val="auto"/>
          <w:sz w:val="24"/>
          <w:highlight w:val="none"/>
        </w:rPr>
      </w:pPr>
    </w:p>
    <w:p w14:paraId="332EC0DE">
      <w:pPr>
        <w:spacing w:line="360" w:lineRule="auto"/>
        <w:rPr>
          <w:rFonts w:ascii="宋体" w:hAnsi="宋体" w:cs="仿宋_GB2312"/>
          <w:color w:val="auto"/>
          <w:sz w:val="24"/>
          <w:highlight w:val="none"/>
        </w:rPr>
      </w:pPr>
    </w:p>
    <w:p w14:paraId="16CEE489">
      <w:pPr>
        <w:spacing w:line="360" w:lineRule="auto"/>
        <w:rPr>
          <w:rFonts w:ascii="宋体" w:hAnsi="宋体" w:cs="仿宋_GB2312"/>
          <w:color w:val="auto"/>
          <w:sz w:val="24"/>
          <w:highlight w:val="none"/>
        </w:rPr>
      </w:pPr>
    </w:p>
    <w:p w14:paraId="7E9F5A9F">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9C102B5">
      <w:pPr>
        <w:spacing w:line="360" w:lineRule="auto"/>
        <w:ind w:right="420"/>
        <w:contextualSpacing/>
        <w:jc w:val="left"/>
        <w:rPr>
          <w:rFonts w:ascii="宋体" w:hAnsi="宋体"/>
          <w:b/>
          <w:bCs/>
          <w:color w:val="auto"/>
          <w:sz w:val="32"/>
          <w:szCs w:val="32"/>
          <w:highlight w:val="none"/>
        </w:rPr>
      </w:pPr>
    </w:p>
    <w:p w14:paraId="527A7C08">
      <w:pPr>
        <w:spacing w:line="360" w:lineRule="auto"/>
        <w:ind w:right="420"/>
        <w:contextualSpacing/>
        <w:jc w:val="left"/>
        <w:rPr>
          <w:rFonts w:ascii="宋体" w:hAnsi="宋体"/>
          <w:b/>
          <w:bCs/>
          <w:color w:val="auto"/>
          <w:sz w:val="32"/>
          <w:szCs w:val="32"/>
          <w:highlight w:val="none"/>
        </w:rPr>
      </w:pPr>
    </w:p>
    <w:p w14:paraId="3D34048B">
      <w:pPr>
        <w:pStyle w:val="44"/>
        <w:ind w:firstLine="480"/>
        <w:rPr>
          <w:color w:val="auto"/>
          <w:highlight w:val="none"/>
        </w:rPr>
      </w:pPr>
    </w:p>
    <w:p w14:paraId="3A551478">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5BB144E">
      <w:pPr>
        <w:pStyle w:val="10"/>
        <w:overflowPunct w:val="0"/>
        <w:spacing w:line="520" w:lineRule="exact"/>
        <w:ind w:firstLine="0"/>
        <w:jc w:val="center"/>
        <w:rPr>
          <w:rFonts w:ascii="方正小标宋简体" w:hAnsi="方正小标宋简体" w:eastAsia="方正小标宋简体" w:cs="方正小标宋简体"/>
          <w:color w:val="auto"/>
          <w:sz w:val="44"/>
          <w:szCs w:val="44"/>
          <w:highlight w:val="none"/>
        </w:rPr>
      </w:pPr>
      <w:r>
        <w:rPr>
          <w:rFonts w:hint="eastAsia" w:ascii="宋体" w:hAnsi="宋体" w:cs="宋体"/>
          <w:color w:val="auto"/>
          <w:sz w:val="44"/>
          <w:szCs w:val="44"/>
          <w:highlight w:val="none"/>
          <w:lang w:val="en-US" w:eastAsia="zh-CN"/>
        </w:rPr>
        <w:t>分包意向</w:t>
      </w:r>
      <w:r>
        <w:rPr>
          <w:rFonts w:hint="eastAsia" w:ascii="宋体" w:hAnsi="宋体" w:eastAsia="宋体" w:cs="宋体"/>
          <w:color w:val="auto"/>
          <w:sz w:val="44"/>
          <w:szCs w:val="44"/>
          <w:highlight w:val="none"/>
        </w:rPr>
        <w:t>协议</w:t>
      </w:r>
    </w:p>
    <w:p w14:paraId="49D727B3">
      <w:pPr>
        <w:pStyle w:val="10"/>
        <w:overflowPunct w:val="0"/>
        <w:spacing w:line="360" w:lineRule="auto"/>
        <w:ind w:firstLine="0"/>
        <w:rPr>
          <w:rFonts w:ascii="宋体" w:hAnsi="宋体"/>
          <w:color w:val="auto"/>
          <w:sz w:val="24"/>
          <w:szCs w:val="24"/>
          <w:highlight w:val="none"/>
        </w:rPr>
      </w:pPr>
    </w:p>
    <w:p w14:paraId="6CDED9BE">
      <w:pPr>
        <w:pStyle w:val="10"/>
        <w:overflowPunct w:val="0"/>
        <w:spacing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lang w:val="en-US" w:eastAsia="zh-CN"/>
        </w:rPr>
        <w:t>致：</w:t>
      </w:r>
      <w:r>
        <w:rPr>
          <w:rFonts w:hint="eastAsia" w:ascii="宋体" w:hAnsi="宋体" w:cs="仿宋_GB2312"/>
          <w:color w:val="auto"/>
          <w:sz w:val="24"/>
          <w:szCs w:val="24"/>
          <w:highlight w:val="none"/>
          <w:u w:val="single"/>
          <w:lang w:val="en-US" w:eastAsia="zh-CN"/>
        </w:rPr>
        <w:t>（采购人名称）</w:t>
      </w:r>
      <w:r>
        <w:rPr>
          <w:rFonts w:hint="eastAsia" w:ascii="宋体" w:hAnsi="宋体" w:cs="仿宋_GB2312"/>
          <w:color w:val="auto"/>
          <w:sz w:val="24"/>
          <w:szCs w:val="24"/>
          <w:highlight w:val="none"/>
          <w:lang w:eastAsia="zh-CN"/>
        </w:rPr>
        <w:t>：</w:t>
      </w:r>
    </w:p>
    <w:p w14:paraId="2F55AFF4">
      <w:pPr>
        <w:pStyle w:val="10"/>
        <w:overflowPunct w:val="0"/>
        <w:spacing w:line="360" w:lineRule="auto"/>
        <w:ind w:firstLine="480" w:firstLineChars="200"/>
        <w:contextualSpacing/>
        <w:rPr>
          <w:rFonts w:hint="default" w:ascii="宋体" w:hAnsi="宋体" w:eastAsia="宋体" w:cs="仿宋_GB2312"/>
          <w:color w:val="auto"/>
          <w:sz w:val="24"/>
          <w:szCs w:val="24"/>
          <w:highlight w:val="none"/>
          <w:u w:val="none"/>
          <w:lang w:val="en-US" w:eastAsia="zh-CN"/>
        </w:rPr>
      </w:pPr>
      <w:r>
        <w:rPr>
          <w:rFonts w:hint="eastAsia" w:ascii="宋体" w:hAnsi="宋体" w:cs="仿宋_GB2312"/>
          <w:color w:val="auto"/>
          <w:sz w:val="24"/>
          <w:szCs w:val="24"/>
          <w:highlight w:val="none"/>
          <w:lang w:eastAsia="zh-CN"/>
        </w:rPr>
        <w:t>我</w:t>
      </w:r>
      <w:r>
        <w:rPr>
          <w:rFonts w:hint="eastAsia" w:ascii="宋体" w:hAnsi="宋体" w:cs="仿宋_GB2312"/>
          <w:color w:val="auto"/>
          <w:sz w:val="24"/>
          <w:szCs w:val="24"/>
          <w:highlight w:val="none"/>
          <w:lang w:val="en-US" w:eastAsia="zh-CN"/>
        </w:rPr>
        <w:t>单位参加贵单位</w:t>
      </w:r>
      <w:r>
        <w:rPr>
          <w:rFonts w:hint="eastAsia" w:ascii="宋体" w:hAnsi="宋体" w:cs="仿宋_GB2312"/>
          <w:color w:val="auto"/>
          <w:sz w:val="24"/>
          <w:szCs w:val="24"/>
          <w:highlight w:val="none"/>
          <w:u w:val="single"/>
          <w:lang w:val="en-US" w:eastAsia="zh-CN"/>
        </w:rPr>
        <w:t>（项目名称）</w:t>
      </w:r>
      <w:r>
        <w:rPr>
          <w:rFonts w:hint="eastAsia" w:ascii="宋体" w:hAnsi="宋体" w:cs="仿宋_GB2312"/>
          <w:color w:val="auto"/>
          <w:sz w:val="24"/>
          <w:szCs w:val="24"/>
          <w:highlight w:val="none"/>
          <w:lang w:val="en-US" w:eastAsia="zh-CN"/>
        </w:rPr>
        <w:t>采购项目</w:t>
      </w:r>
      <w:r>
        <w:rPr>
          <w:rFonts w:hint="eastAsia" w:ascii="宋体" w:hAnsi="宋体" w:cs="仿宋_GB2312"/>
          <w:color w:val="auto"/>
          <w:sz w:val="24"/>
          <w:szCs w:val="24"/>
          <w:highlight w:val="none"/>
          <w:u w:val="single"/>
          <w:lang w:val="en-US" w:eastAsia="zh-CN"/>
        </w:rPr>
        <w:t xml:space="preserve">分标    </w:t>
      </w:r>
      <w:r>
        <w:rPr>
          <w:rFonts w:hint="eastAsia" w:ascii="宋体" w:hAnsi="宋体" w:cs="仿宋_GB2312"/>
          <w:color w:val="auto"/>
          <w:sz w:val="24"/>
          <w:szCs w:val="24"/>
          <w:highlight w:val="none"/>
          <w:u w:val="none"/>
          <w:lang w:val="en-US" w:eastAsia="zh-CN"/>
        </w:rPr>
        <w:t>的</w:t>
      </w:r>
      <w:r>
        <w:rPr>
          <w:rFonts w:hint="eastAsia" w:ascii="宋体" w:hAnsi="宋体" w:cs="仿宋_GB2312"/>
          <w:color w:val="auto"/>
          <w:sz w:val="24"/>
          <w:szCs w:val="24"/>
          <w:highlight w:val="none"/>
          <w:lang w:val="en-US" w:eastAsia="zh-CN"/>
        </w:rPr>
        <w:t>竞标，拟签订分包的情况如下表所示，我单位承诺一旦在该项目中获得采购合同将按下表所列情况进行分包给</w:t>
      </w:r>
      <w:r>
        <w:rPr>
          <w:rFonts w:hint="eastAsia" w:ascii="宋体" w:hAnsi="宋体" w:cs="仿宋_GB2312"/>
          <w:color w:val="auto"/>
          <w:sz w:val="24"/>
          <w:szCs w:val="24"/>
          <w:highlight w:val="none"/>
          <w:u w:val="single"/>
          <w:lang w:val="en-US" w:eastAsia="zh-CN"/>
        </w:rPr>
        <w:t xml:space="preserve">  </w:t>
      </w:r>
      <w:r>
        <w:rPr>
          <w:rFonts w:hint="eastAsia" w:ascii="宋体" w:hAnsi="宋体" w:cs="仿宋_GB2312"/>
          <w:color w:val="auto"/>
          <w:sz w:val="24"/>
          <w:szCs w:val="24"/>
          <w:highlight w:val="none"/>
          <w:u w:val="none"/>
          <w:lang w:val="en-US" w:eastAsia="zh-CN"/>
        </w:rPr>
        <w:t>家中小企业，同时承诺分包承担主体不再次分包。</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712"/>
        <w:gridCol w:w="2234"/>
        <w:gridCol w:w="1963"/>
        <w:gridCol w:w="1821"/>
      </w:tblGrid>
      <w:tr w14:paraId="60F9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6FBCDB2A">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jc w:val="center"/>
              <w:textAlignment w:val="auto"/>
              <w:rPr>
                <w:rFonts w:hint="default" w:ascii="宋体" w:hAnsi="宋体" w:eastAsia="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项目名称</w:t>
            </w:r>
          </w:p>
        </w:tc>
        <w:tc>
          <w:tcPr>
            <w:tcW w:w="940" w:type="pct"/>
            <w:vAlign w:val="center"/>
          </w:tcPr>
          <w:p w14:paraId="5741F13A">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jc w:val="center"/>
              <w:textAlignment w:val="auto"/>
              <w:rPr>
                <w:rFonts w:hint="default" w:ascii="宋体" w:hAnsi="宋体" w:eastAsia="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标的的名称</w:t>
            </w:r>
          </w:p>
        </w:tc>
        <w:tc>
          <w:tcPr>
            <w:tcW w:w="1228" w:type="pct"/>
            <w:vAlign w:val="center"/>
          </w:tcPr>
          <w:p w14:paraId="0A1F9A41">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jc w:val="center"/>
              <w:textAlignment w:val="auto"/>
              <w:rPr>
                <w:rFonts w:hint="default" w:ascii="宋体" w:hAnsi="宋体" w:eastAsia="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拟分包的合同金额</w:t>
            </w:r>
          </w:p>
        </w:tc>
        <w:tc>
          <w:tcPr>
            <w:tcW w:w="1079" w:type="pct"/>
            <w:vAlign w:val="center"/>
          </w:tcPr>
          <w:p w14:paraId="52D20B5E">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jc w:val="center"/>
              <w:textAlignment w:val="auto"/>
              <w:rPr>
                <w:rFonts w:hint="default" w:ascii="宋体" w:hAnsi="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分包供应商名称</w:t>
            </w:r>
          </w:p>
        </w:tc>
        <w:tc>
          <w:tcPr>
            <w:tcW w:w="1001" w:type="pct"/>
            <w:vAlign w:val="center"/>
          </w:tcPr>
          <w:p w14:paraId="1A6A5795">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jc w:val="center"/>
              <w:textAlignment w:val="auto"/>
              <w:rPr>
                <w:rFonts w:hint="default" w:ascii="宋体" w:hAnsi="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分包供应商服务承接单位</w:t>
            </w:r>
          </w:p>
        </w:tc>
      </w:tr>
      <w:tr w14:paraId="1915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Pr>
          <w:p w14:paraId="44E5C84C">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940" w:type="pct"/>
          </w:tcPr>
          <w:p w14:paraId="0928E680">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1228" w:type="pct"/>
          </w:tcPr>
          <w:p w14:paraId="55B1A4D9">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1079" w:type="pct"/>
          </w:tcPr>
          <w:p w14:paraId="3039250B">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1001" w:type="pct"/>
          </w:tcPr>
          <w:p w14:paraId="683848C5">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□中型企业</w:t>
            </w:r>
          </w:p>
          <w:p w14:paraId="7C767EBA">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□小型企业</w:t>
            </w:r>
          </w:p>
          <w:p w14:paraId="26CD8F86">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default" w:ascii="宋体" w:hAnsi="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□微型企业</w:t>
            </w:r>
          </w:p>
        </w:tc>
      </w:tr>
      <w:tr w14:paraId="5858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Pr>
          <w:p w14:paraId="040D2767">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940" w:type="pct"/>
          </w:tcPr>
          <w:p w14:paraId="197D3E0A">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1228" w:type="pct"/>
          </w:tcPr>
          <w:p w14:paraId="7CB943BA">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1079" w:type="pct"/>
          </w:tcPr>
          <w:p w14:paraId="3668F27F">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1001" w:type="pct"/>
          </w:tcPr>
          <w:p w14:paraId="57D3E60F">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□中型企业</w:t>
            </w:r>
          </w:p>
          <w:p w14:paraId="242DFDA2">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□小型企业</w:t>
            </w:r>
          </w:p>
          <w:p w14:paraId="5F720B3A">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r>
              <w:rPr>
                <w:rFonts w:hint="eastAsia" w:ascii="宋体" w:hAnsi="宋体" w:cs="仿宋_GB2312"/>
                <w:color w:val="auto"/>
                <w:sz w:val="24"/>
                <w:szCs w:val="24"/>
                <w:highlight w:val="none"/>
                <w:vertAlign w:val="baseline"/>
                <w:lang w:val="en-US" w:eastAsia="zh-CN"/>
              </w:rPr>
              <w:t>□微型企业</w:t>
            </w:r>
          </w:p>
        </w:tc>
      </w:tr>
      <w:tr w14:paraId="697C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Pr>
          <w:p w14:paraId="7B73EF82">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olor w:val="auto"/>
                <w:sz w:val="24"/>
                <w:highlight w:val="none"/>
              </w:rPr>
            </w:pPr>
            <w:r>
              <w:rPr>
                <w:rFonts w:hint="eastAsia" w:ascii="宋体" w:hAnsi="宋体"/>
                <w:color w:val="auto"/>
                <w:sz w:val="24"/>
                <w:highlight w:val="none"/>
              </w:rPr>
              <w:t>……</w:t>
            </w:r>
          </w:p>
        </w:tc>
        <w:tc>
          <w:tcPr>
            <w:tcW w:w="940" w:type="pct"/>
          </w:tcPr>
          <w:p w14:paraId="1DF1DD54">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1228" w:type="pct"/>
          </w:tcPr>
          <w:p w14:paraId="10D5D49C">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1079" w:type="pct"/>
          </w:tcPr>
          <w:p w14:paraId="2BAA1087">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c>
          <w:tcPr>
            <w:tcW w:w="1001" w:type="pct"/>
          </w:tcPr>
          <w:p w14:paraId="4B89B70D">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lang w:val="en-US" w:eastAsia="zh-CN"/>
              </w:rPr>
            </w:pPr>
          </w:p>
        </w:tc>
      </w:tr>
      <w:tr w14:paraId="1874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gridSpan w:val="2"/>
          </w:tcPr>
          <w:p w14:paraId="3FC5C654">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jc w:val="right"/>
              <w:textAlignment w:val="auto"/>
              <w:rPr>
                <w:rFonts w:hint="default" w:ascii="宋体" w:hAnsi="宋体" w:eastAsia="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合计金额（元）：</w:t>
            </w:r>
          </w:p>
        </w:tc>
        <w:tc>
          <w:tcPr>
            <w:tcW w:w="3308" w:type="pct"/>
            <w:gridSpan w:val="3"/>
          </w:tcPr>
          <w:p w14:paraId="27AC8577">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r>
      <w:tr w14:paraId="2FEC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pct"/>
            <w:gridSpan w:val="2"/>
          </w:tcPr>
          <w:p w14:paraId="3136D091">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jc w:val="right"/>
              <w:textAlignment w:val="auto"/>
              <w:rPr>
                <w:rFonts w:hint="default" w:ascii="宋体" w:hAnsi="宋体" w:cs="仿宋_GB2312"/>
                <w:color w:val="auto"/>
                <w:sz w:val="24"/>
                <w:szCs w:val="24"/>
                <w:highlight w:val="none"/>
                <w:vertAlign w:val="baseline"/>
                <w:lang w:val="en-US" w:eastAsia="zh-CN"/>
              </w:rPr>
            </w:pPr>
            <w:r>
              <w:rPr>
                <w:rFonts w:hint="eastAsia" w:ascii="宋体" w:hAnsi="宋体" w:cs="仿宋_GB2312"/>
                <w:color w:val="auto"/>
                <w:sz w:val="24"/>
                <w:szCs w:val="24"/>
                <w:highlight w:val="none"/>
                <w:vertAlign w:val="baseline"/>
                <w:lang w:val="en-US" w:eastAsia="zh-CN"/>
              </w:rPr>
              <w:t>合计比例：</w:t>
            </w:r>
          </w:p>
        </w:tc>
        <w:tc>
          <w:tcPr>
            <w:tcW w:w="3308" w:type="pct"/>
            <w:gridSpan w:val="3"/>
          </w:tcPr>
          <w:p w14:paraId="0ABBF126">
            <w:pPr>
              <w:pStyle w:val="10"/>
              <w:keepNext w:val="0"/>
              <w:keepLines w:val="0"/>
              <w:pageBreakBefore w:val="0"/>
              <w:widowControl w:val="0"/>
              <w:kinsoku/>
              <w:wordWrap/>
              <w:overflowPunct w:val="0"/>
              <w:topLinePunct w:val="0"/>
              <w:autoSpaceDE/>
              <w:autoSpaceDN/>
              <w:bidi w:val="0"/>
              <w:adjustRightInd/>
              <w:snapToGrid/>
              <w:spacing w:line="360" w:lineRule="auto"/>
              <w:ind w:firstLine="0"/>
              <w:contextualSpacing/>
              <w:textAlignment w:val="auto"/>
              <w:rPr>
                <w:rFonts w:hint="eastAsia" w:ascii="宋体" w:hAnsi="宋体" w:cs="仿宋_GB2312"/>
                <w:color w:val="auto"/>
                <w:sz w:val="24"/>
                <w:szCs w:val="24"/>
                <w:highlight w:val="none"/>
                <w:vertAlign w:val="baseline"/>
              </w:rPr>
            </w:pPr>
          </w:p>
        </w:tc>
      </w:tr>
    </w:tbl>
    <w:p w14:paraId="42C492D5">
      <w:pPr>
        <w:pStyle w:val="10"/>
        <w:overflowPunct w:val="0"/>
        <w:spacing w:line="360" w:lineRule="auto"/>
        <w:ind w:firstLine="480" w:firstLineChars="200"/>
        <w:contextualSpacing/>
        <w:rPr>
          <w:rFonts w:hint="eastAsia" w:ascii="宋体" w:hAnsi="宋体" w:cs="仿宋_GB2312"/>
          <w:color w:val="auto"/>
          <w:sz w:val="24"/>
          <w:szCs w:val="24"/>
          <w:highlight w:val="none"/>
        </w:rPr>
      </w:pPr>
    </w:p>
    <w:p w14:paraId="40001D59">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供应商</w:t>
      </w:r>
      <w:r>
        <w:rPr>
          <w:rFonts w:hint="eastAsia" w:ascii="宋体" w:hAnsi="宋体" w:cs="仿宋_GB2312"/>
          <w:color w:val="auto"/>
          <w:sz w:val="24"/>
          <w:szCs w:val="24"/>
          <w:highlight w:val="none"/>
        </w:rPr>
        <w:t>名称（电子签章）：</w:t>
      </w:r>
    </w:p>
    <w:p w14:paraId="41B60247">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1AD1ED09">
      <w:pPr>
        <w:pStyle w:val="10"/>
        <w:overflowPunct w:val="0"/>
        <w:spacing w:line="360" w:lineRule="auto"/>
        <w:ind w:firstLine="0"/>
        <w:contextualSpacing/>
        <w:rPr>
          <w:rFonts w:ascii="宋体" w:hAnsi="宋体" w:cs="仿宋_GB2312"/>
          <w:color w:val="auto"/>
          <w:sz w:val="24"/>
          <w:szCs w:val="24"/>
          <w:highlight w:val="none"/>
        </w:rPr>
      </w:pPr>
    </w:p>
    <w:p w14:paraId="7F8A5310">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分包供应商</w:t>
      </w:r>
      <w:r>
        <w:rPr>
          <w:rFonts w:hint="eastAsia" w:ascii="宋体" w:hAnsi="宋体" w:cs="仿宋_GB2312"/>
          <w:color w:val="auto"/>
          <w:sz w:val="24"/>
          <w:szCs w:val="24"/>
          <w:highlight w:val="none"/>
        </w:rPr>
        <w:t>名称（盖公章或者电子签章）：</w:t>
      </w:r>
    </w:p>
    <w:p w14:paraId="13598A56">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07895483">
      <w:pPr>
        <w:pStyle w:val="10"/>
        <w:overflowPunct w:val="0"/>
        <w:spacing w:line="360" w:lineRule="auto"/>
        <w:ind w:firstLine="0"/>
        <w:contextualSpacing/>
        <w:rPr>
          <w:rFonts w:ascii="宋体" w:hAnsi="宋体" w:cs="仿宋_GB2312"/>
          <w:color w:val="auto"/>
          <w:sz w:val="24"/>
          <w:szCs w:val="24"/>
          <w:highlight w:val="none"/>
        </w:rPr>
      </w:pPr>
    </w:p>
    <w:p w14:paraId="37BBFFF1">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分包供应商</w:t>
      </w:r>
      <w:r>
        <w:rPr>
          <w:rFonts w:hint="eastAsia" w:ascii="宋体" w:hAnsi="宋体" w:cs="仿宋_GB2312"/>
          <w:color w:val="auto"/>
          <w:sz w:val="24"/>
          <w:szCs w:val="24"/>
          <w:highlight w:val="none"/>
        </w:rPr>
        <w:t>名称（盖公章或者电子签章）：</w:t>
      </w:r>
    </w:p>
    <w:p w14:paraId="476BC30A">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2ACD0C5">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4B87E00A">
      <w:pPr>
        <w:spacing w:line="360" w:lineRule="auto"/>
        <w:ind w:right="480" w:firstLine="240" w:firstLineChars="100"/>
        <w:contextualSpacing/>
        <w:jc w:val="center"/>
        <w:rPr>
          <w:rFonts w:ascii="宋体" w:hAnsi="宋体" w:cs="仿宋_GB2312"/>
          <w:color w:val="auto"/>
          <w:sz w:val="24"/>
          <w:highlight w:val="none"/>
        </w:rPr>
      </w:pPr>
    </w:p>
    <w:p w14:paraId="1EC37BBA">
      <w:pPr>
        <w:spacing w:line="360" w:lineRule="auto"/>
        <w:ind w:right="480" w:firstLine="240" w:firstLineChars="100"/>
        <w:contextualSpacing/>
        <w:jc w:val="both"/>
        <w:rPr>
          <w:rFonts w:ascii="宋体" w:hAnsi="宋体"/>
          <w:b/>
          <w:bCs/>
          <w:color w:val="auto"/>
          <w:sz w:val="32"/>
          <w:szCs w:val="32"/>
          <w:highlight w:val="none"/>
        </w:rPr>
      </w:pPr>
      <w:r>
        <w:rPr>
          <w:rFonts w:hint="eastAsia" w:ascii="宋体" w:hAnsi="宋体" w:cs="仿宋_GB2312"/>
          <w:color w:val="auto"/>
          <w:sz w:val="24"/>
          <w:highlight w:val="none"/>
        </w:rPr>
        <w:t>年</w:t>
      </w:r>
      <w:r>
        <w:rPr>
          <w:rFonts w:hint="eastAsia" w:ascii="宋体" w:hAnsi="宋体" w:cs="仿宋_GB2312"/>
          <w:color w:val="auto"/>
          <w:sz w:val="24"/>
          <w:highlight w:val="none"/>
        </w:rPr>
        <w:tab/>
      </w:r>
      <w:r>
        <w:rPr>
          <w:rFonts w:hint="eastAsia" w:ascii="宋体" w:hAnsi="宋体" w:cs="仿宋_GB2312"/>
          <w:color w:val="auto"/>
          <w:sz w:val="24"/>
          <w:highlight w:val="none"/>
        </w:rPr>
        <w:t>月</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259AF8D4">
      <w:pPr>
        <w:pStyle w:val="10"/>
        <w:overflowPunct w:val="0"/>
        <w:spacing w:line="520" w:lineRule="exact"/>
        <w:ind w:firstLine="0"/>
        <w:jc w:val="center"/>
        <w:rPr>
          <w:rFonts w:ascii="方正小标宋简体" w:hAnsi="方正小标宋简体" w:eastAsia="方正小标宋简体" w:cs="方正小标宋简体"/>
          <w:color w:val="auto"/>
          <w:sz w:val="44"/>
          <w:szCs w:val="44"/>
          <w:highlight w:val="none"/>
        </w:rPr>
      </w:pPr>
      <w:r>
        <w:rPr>
          <w:rFonts w:hint="eastAsia" w:ascii="宋体" w:hAnsi="宋体" w:eastAsia="宋体" w:cs="宋体"/>
          <w:color w:val="auto"/>
          <w:sz w:val="44"/>
          <w:szCs w:val="44"/>
          <w:highlight w:val="none"/>
        </w:rPr>
        <w:t>联合体竞标协议书</w:t>
      </w:r>
    </w:p>
    <w:p w14:paraId="52B2DF4D">
      <w:pPr>
        <w:pStyle w:val="10"/>
        <w:overflowPunct w:val="0"/>
        <w:spacing w:line="360" w:lineRule="auto"/>
        <w:ind w:firstLine="0"/>
        <w:rPr>
          <w:rFonts w:ascii="宋体" w:hAnsi="宋体"/>
          <w:color w:val="auto"/>
          <w:sz w:val="24"/>
          <w:szCs w:val="24"/>
          <w:highlight w:val="none"/>
        </w:rPr>
      </w:pPr>
    </w:p>
    <w:p w14:paraId="5ADD5815">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w:t>
      </w:r>
      <w:r>
        <w:rPr>
          <w:rFonts w:hint="eastAsia" w:ascii="宋体" w:hAnsi="宋体" w:cs="仿宋_GB2312"/>
          <w:color w:val="auto"/>
          <w:sz w:val="24"/>
          <w:szCs w:val="24"/>
          <w:highlight w:val="none"/>
          <w:u w:val="single"/>
        </w:rPr>
        <w:t>（项目名称）</w:t>
      </w:r>
      <w:r>
        <w:rPr>
          <w:rFonts w:hint="eastAsia" w:ascii="宋体" w:hAnsi="宋体" w:cs="仿宋_GB2312"/>
          <w:color w:val="auto"/>
          <w:sz w:val="24"/>
          <w:szCs w:val="24"/>
          <w:highlight w:val="none"/>
        </w:rPr>
        <w:t>采购项目</w:t>
      </w:r>
      <w:r>
        <w:rPr>
          <w:rFonts w:hint="eastAsia" w:ascii="宋体" w:hAnsi="宋体" w:cs="宋体"/>
          <w:color w:val="auto"/>
          <w:sz w:val="24"/>
          <w:highlight w:val="none"/>
          <w:lang w:val="en-US" w:eastAsia="zh-CN"/>
        </w:rPr>
        <w:t>分标</w:t>
      </w:r>
      <w:r>
        <w:rPr>
          <w:rFonts w:hint="eastAsia" w:ascii="宋体" w:hAnsi="宋体" w:cs="宋体"/>
          <w:color w:val="auto"/>
          <w:sz w:val="24"/>
          <w:highlight w:val="none"/>
          <w:u w:val="single"/>
          <w:lang w:val="en-US" w:eastAsia="zh-CN"/>
        </w:rPr>
        <w:t xml:space="preserve">    </w:t>
      </w:r>
      <w:r>
        <w:rPr>
          <w:rFonts w:hint="eastAsia" w:ascii="宋体" w:hAnsi="宋体" w:cs="仿宋_GB2312"/>
          <w:color w:val="auto"/>
          <w:sz w:val="24"/>
          <w:szCs w:val="24"/>
          <w:highlight w:val="none"/>
        </w:rPr>
        <w:t>竞标。现就联合体竞标事宜订立如下协议。</w:t>
      </w:r>
    </w:p>
    <w:p w14:paraId="770B9C8D">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06733165">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63BCFE23">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5EEC9F55">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lang w:val="en-US" w:eastAsia="zh-CN"/>
        </w:rPr>
        <w:t xml:space="preserve">             </w:t>
      </w:r>
      <w:r>
        <w:rPr>
          <w:rFonts w:hint="eastAsia" w:ascii="宋体" w:hAnsi="宋体" w:cs="仿宋_GB2312"/>
          <w:color w:val="auto"/>
          <w:sz w:val="24"/>
          <w:szCs w:val="24"/>
          <w:highlight w:val="none"/>
        </w:rPr>
        <w:t>。</w:t>
      </w:r>
      <w:r>
        <w:rPr>
          <w:rStyle w:val="36"/>
          <w:rFonts w:hint="eastAsia" w:ascii="Times New Roman" w:hAnsi="Times New Roman" w:eastAsia="宋体" w:cs="宋体"/>
          <w:color w:val="auto"/>
          <w:szCs w:val="21"/>
          <w:highlight w:val="none"/>
        </w:rPr>
        <w:t>按照本条上述分工，联</w:t>
      </w:r>
      <w:r>
        <w:rPr>
          <w:rFonts w:hint="eastAsia" w:ascii="宋体" w:hAnsi="宋体" w:cs="仿宋_GB2312"/>
          <w:color w:val="auto"/>
          <w:sz w:val="24"/>
          <w:szCs w:val="24"/>
          <w:highlight w:val="none"/>
        </w:rPr>
        <w:t>合体成员单位各自所承担的合同工作量比例如下：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14:paraId="36A158A5">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0709AA24">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w:t>
      </w:r>
      <w:r>
        <w:rPr>
          <w:rFonts w:hint="eastAsia" w:ascii="宋体" w:hAnsi="宋体" w:cs="仿宋_GB2312"/>
          <w:color w:val="auto"/>
          <w:sz w:val="24"/>
          <w:szCs w:val="24"/>
          <w:highlight w:val="none"/>
          <w:lang w:val="en-US" w:eastAsia="zh-CN"/>
        </w:rPr>
        <w:t>各</w:t>
      </w:r>
      <w:r>
        <w:rPr>
          <w:rFonts w:hint="eastAsia" w:ascii="宋体" w:hAnsi="宋体" w:cs="仿宋_GB2312"/>
          <w:color w:val="auto"/>
          <w:sz w:val="24"/>
          <w:szCs w:val="24"/>
          <w:highlight w:val="none"/>
        </w:rPr>
        <w:t>成员和采购人各执一份。</w:t>
      </w:r>
    </w:p>
    <w:p w14:paraId="388EFA63">
      <w:pPr>
        <w:pStyle w:val="10"/>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14:paraId="1372D76B">
      <w:pPr>
        <w:pStyle w:val="10"/>
        <w:overflowPunct w:val="0"/>
        <w:spacing w:line="360" w:lineRule="auto"/>
        <w:ind w:firstLineChars="175"/>
        <w:contextualSpacing/>
        <w:rPr>
          <w:rFonts w:ascii="宋体" w:hAnsi="宋体" w:cs="仿宋_GB2312"/>
          <w:color w:val="auto"/>
          <w:sz w:val="24"/>
          <w:szCs w:val="24"/>
          <w:highlight w:val="none"/>
        </w:rPr>
      </w:pPr>
    </w:p>
    <w:p w14:paraId="3E56C004">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259A00BA">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FCEF134">
      <w:pPr>
        <w:pStyle w:val="10"/>
        <w:overflowPunct w:val="0"/>
        <w:spacing w:line="360" w:lineRule="auto"/>
        <w:ind w:firstLine="0"/>
        <w:contextualSpacing/>
        <w:rPr>
          <w:rFonts w:ascii="宋体" w:hAnsi="宋体" w:cs="仿宋_GB2312"/>
          <w:color w:val="auto"/>
          <w:sz w:val="24"/>
          <w:szCs w:val="24"/>
          <w:highlight w:val="none"/>
        </w:rPr>
      </w:pPr>
    </w:p>
    <w:p w14:paraId="7518D1EC">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50D6556E">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CBD2A80">
      <w:pPr>
        <w:pStyle w:val="10"/>
        <w:overflowPunct w:val="0"/>
        <w:spacing w:line="360" w:lineRule="auto"/>
        <w:ind w:firstLine="0"/>
        <w:contextualSpacing/>
        <w:rPr>
          <w:rFonts w:ascii="宋体" w:hAnsi="宋体" w:cs="仿宋_GB2312"/>
          <w:color w:val="auto"/>
          <w:sz w:val="24"/>
          <w:szCs w:val="24"/>
          <w:highlight w:val="none"/>
        </w:rPr>
      </w:pPr>
    </w:p>
    <w:p w14:paraId="4CE3DBE8">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73732AA8">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72882AC">
      <w:pPr>
        <w:pStyle w:val="10"/>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6B983A0B">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年</w:t>
      </w:r>
      <w:r>
        <w:rPr>
          <w:rFonts w:hint="eastAsia" w:ascii="宋体" w:hAnsi="宋体" w:cs="仿宋_GB2312"/>
          <w:color w:val="auto"/>
          <w:sz w:val="24"/>
          <w:highlight w:val="none"/>
        </w:rPr>
        <w:tab/>
      </w:r>
      <w:r>
        <w:rPr>
          <w:rFonts w:hint="eastAsia" w:ascii="宋体" w:hAnsi="宋体" w:cs="仿宋_GB2312"/>
          <w:color w:val="auto"/>
          <w:sz w:val="24"/>
          <w:highlight w:val="none"/>
        </w:rPr>
        <w:t>月</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217F5D47">
      <w:pPr>
        <w:spacing w:line="360" w:lineRule="auto"/>
        <w:ind w:right="480" w:firstLine="321" w:firstLineChars="100"/>
        <w:contextualSpacing/>
        <w:jc w:val="both"/>
        <w:rPr>
          <w:rFonts w:ascii="宋体" w:hAnsi="宋体"/>
          <w:b/>
          <w:bCs/>
          <w:color w:val="auto"/>
          <w:sz w:val="32"/>
          <w:szCs w:val="32"/>
          <w:highlight w:val="none"/>
        </w:rPr>
      </w:pPr>
      <w:r>
        <w:rPr>
          <w:rFonts w:ascii="宋体" w:hAnsi="宋体"/>
          <w:b/>
          <w:bCs/>
          <w:color w:val="auto"/>
          <w:sz w:val="32"/>
          <w:szCs w:val="32"/>
          <w:highlight w:val="none"/>
        </w:rPr>
        <w:br w:type="page"/>
      </w:r>
    </w:p>
    <w:p w14:paraId="1D4D318B">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1878259C">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5DC5F28B">
      <w:pPr>
        <w:snapToGrid w:val="0"/>
        <w:spacing w:before="156" w:beforeLines="50" w:after="50"/>
        <w:rPr>
          <w:rFonts w:ascii="宋体" w:hAnsi="宋体"/>
          <w:bCs/>
          <w:color w:val="auto"/>
          <w:sz w:val="32"/>
          <w:szCs w:val="20"/>
          <w:highlight w:val="none"/>
        </w:rPr>
      </w:pPr>
    </w:p>
    <w:p w14:paraId="6A92B906">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7085B6F9">
      <w:pPr>
        <w:snapToGrid w:val="0"/>
        <w:spacing w:before="156" w:beforeLines="50" w:after="50"/>
        <w:rPr>
          <w:rFonts w:ascii="宋体" w:hAnsi="宋体"/>
          <w:color w:val="auto"/>
          <w:sz w:val="24"/>
          <w:szCs w:val="20"/>
          <w:highlight w:val="none"/>
        </w:rPr>
      </w:pPr>
    </w:p>
    <w:p w14:paraId="71583555">
      <w:pPr>
        <w:snapToGrid w:val="0"/>
        <w:spacing w:before="156" w:beforeLines="50" w:after="50"/>
        <w:rPr>
          <w:rFonts w:ascii="宋体" w:hAnsi="宋体"/>
          <w:color w:val="auto"/>
          <w:sz w:val="24"/>
          <w:szCs w:val="20"/>
          <w:highlight w:val="none"/>
        </w:rPr>
      </w:pPr>
    </w:p>
    <w:p w14:paraId="21C3EA0F">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14:paraId="47B30B43">
      <w:pPr>
        <w:snapToGrid w:val="0"/>
        <w:spacing w:before="156" w:beforeLines="50" w:after="50"/>
        <w:rPr>
          <w:rFonts w:ascii="宋体" w:hAnsi="宋体"/>
          <w:bCs/>
          <w:color w:val="auto"/>
          <w:sz w:val="24"/>
          <w:szCs w:val="20"/>
          <w:highlight w:val="none"/>
        </w:rPr>
      </w:pPr>
    </w:p>
    <w:p w14:paraId="161F8E20">
      <w:pPr>
        <w:snapToGrid w:val="0"/>
        <w:spacing w:before="156" w:beforeLines="50" w:after="50"/>
        <w:rPr>
          <w:rFonts w:ascii="宋体" w:hAnsi="宋体"/>
          <w:bCs/>
          <w:color w:val="auto"/>
          <w:sz w:val="24"/>
          <w:szCs w:val="20"/>
          <w:highlight w:val="none"/>
        </w:rPr>
      </w:pPr>
    </w:p>
    <w:p w14:paraId="3FF915DE">
      <w:pPr>
        <w:snapToGrid w:val="0"/>
        <w:spacing w:before="156" w:beforeLines="50" w:after="50"/>
        <w:rPr>
          <w:rFonts w:ascii="宋体" w:hAnsi="宋体"/>
          <w:bCs/>
          <w:color w:val="auto"/>
          <w:sz w:val="24"/>
          <w:szCs w:val="20"/>
          <w:highlight w:val="none"/>
        </w:rPr>
      </w:pPr>
    </w:p>
    <w:p w14:paraId="1D7A5645">
      <w:pPr>
        <w:snapToGrid w:val="0"/>
        <w:spacing w:before="156" w:beforeLines="50" w:after="50"/>
        <w:rPr>
          <w:rFonts w:ascii="宋体" w:hAnsi="宋体"/>
          <w:bCs/>
          <w:color w:val="auto"/>
          <w:sz w:val="24"/>
          <w:szCs w:val="20"/>
          <w:highlight w:val="none"/>
        </w:rPr>
      </w:pPr>
    </w:p>
    <w:p w14:paraId="0E35504D">
      <w:pPr>
        <w:snapToGrid w:val="0"/>
        <w:spacing w:before="156" w:beforeLines="50" w:after="50"/>
        <w:rPr>
          <w:rFonts w:ascii="宋体" w:hAnsi="宋体"/>
          <w:bCs/>
          <w:color w:val="auto"/>
          <w:sz w:val="24"/>
          <w:szCs w:val="20"/>
          <w:highlight w:val="none"/>
        </w:rPr>
      </w:pPr>
    </w:p>
    <w:p w14:paraId="7C9B5300">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DD06348">
      <w:pPr>
        <w:snapToGrid w:val="0"/>
        <w:spacing w:before="156" w:beforeLines="50" w:after="50"/>
        <w:ind w:firstLine="720" w:firstLineChars="225"/>
        <w:rPr>
          <w:rFonts w:ascii="宋体" w:hAnsi="宋体" w:cs="仿宋_GB2312"/>
          <w:bCs/>
          <w:color w:val="auto"/>
          <w:sz w:val="32"/>
          <w:szCs w:val="32"/>
          <w:highlight w:val="none"/>
        </w:rPr>
      </w:pPr>
    </w:p>
    <w:p w14:paraId="2FFF9C2E">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5BF0E0C">
      <w:pPr>
        <w:snapToGrid w:val="0"/>
        <w:spacing w:before="156" w:beforeLines="50" w:after="50"/>
        <w:ind w:firstLine="720" w:firstLineChars="225"/>
        <w:rPr>
          <w:rFonts w:ascii="宋体" w:hAnsi="宋体" w:cs="仿宋_GB2312"/>
          <w:bCs/>
          <w:color w:val="auto"/>
          <w:sz w:val="32"/>
          <w:szCs w:val="32"/>
          <w:highlight w:val="none"/>
        </w:rPr>
      </w:pPr>
    </w:p>
    <w:p w14:paraId="4E63041F">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6406D7B">
      <w:pPr>
        <w:snapToGrid w:val="0"/>
        <w:spacing w:before="156" w:beforeLines="50" w:after="50"/>
        <w:ind w:firstLine="720" w:firstLineChars="225"/>
        <w:rPr>
          <w:rFonts w:ascii="宋体" w:hAnsi="宋体" w:cs="仿宋_GB2312"/>
          <w:bCs/>
          <w:color w:val="auto"/>
          <w:sz w:val="32"/>
          <w:szCs w:val="32"/>
          <w:highlight w:val="none"/>
        </w:rPr>
      </w:pPr>
    </w:p>
    <w:p w14:paraId="72D187B0">
      <w:pPr>
        <w:pStyle w:val="10"/>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0673B6D">
      <w:pPr>
        <w:pStyle w:val="10"/>
        <w:snapToGrid w:val="0"/>
        <w:spacing w:before="50" w:after="50"/>
        <w:ind w:firstLine="640" w:firstLineChars="200"/>
        <w:rPr>
          <w:rFonts w:ascii="宋体" w:hAnsi="宋体" w:cs="仿宋_GB2312"/>
          <w:bCs/>
          <w:color w:val="auto"/>
          <w:sz w:val="32"/>
          <w:szCs w:val="32"/>
          <w:highlight w:val="none"/>
        </w:rPr>
      </w:pPr>
    </w:p>
    <w:p w14:paraId="0EE4C740">
      <w:pPr>
        <w:pStyle w:val="10"/>
        <w:snapToGrid w:val="0"/>
        <w:spacing w:before="50" w:after="50"/>
        <w:ind w:firstLine="720" w:firstLineChars="225"/>
        <w:rPr>
          <w:rFonts w:ascii="宋体" w:hAnsi="宋体" w:cs="仿宋_GB2312"/>
          <w:bCs/>
          <w:color w:val="auto"/>
          <w:sz w:val="32"/>
          <w:szCs w:val="32"/>
          <w:highlight w:val="none"/>
        </w:rPr>
      </w:pPr>
    </w:p>
    <w:p w14:paraId="55684E08">
      <w:pPr>
        <w:pStyle w:val="10"/>
        <w:snapToGrid w:val="0"/>
        <w:spacing w:before="50" w:after="50"/>
        <w:ind w:firstLine="0"/>
        <w:rPr>
          <w:rFonts w:ascii="宋体" w:hAnsi="宋体" w:cs="仿宋_GB2312"/>
          <w:bCs/>
          <w:color w:val="auto"/>
          <w:sz w:val="32"/>
          <w:szCs w:val="32"/>
          <w:highlight w:val="none"/>
        </w:rPr>
      </w:pPr>
    </w:p>
    <w:p w14:paraId="331DFFAE">
      <w:pPr>
        <w:pStyle w:val="10"/>
        <w:snapToGrid w:val="0"/>
        <w:spacing w:before="50" w:after="50"/>
        <w:ind w:firstLine="1280" w:firstLineChars="400"/>
        <w:rPr>
          <w:rFonts w:ascii="宋体" w:hAnsi="宋体" w:cs="仿宋_GB2312"/>
          <w:bCs/>
          <w:color w:val="auto"/>
          <w:sz w:val="32"/>
          <w:szCs w:val="32"/>
          <w:highlight w:val="none"/>
        </w:rPr>
      </w:pPr>
    </w:p>
    <w:p w14:paraId="710EED96">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1777602F">
      <w:pPr>
        <w:snapToGrid w:val="0"/>
        <w:spacing w:before="156"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7C63BC54">
      <w:pPr>
        <w:pStyle w:val="22"/>
        <w:spacing w:line="500" w:lineRule="exact"/>
        <w:jc w:val="center"/>
        <w:rPr>
          <w:rFonts w:ascii="方正小标宋简体" w:hAnsi="方正小标宋简体" w:eastAsia="方正小标宋简体" w:cs="方正小标宋简体"/>
          <w:bCs/>
          <w:color w:val="auto"/>
          <w:kern w:val="2"/>
          <w:sz w:val="44"/>
          <w:szCs w:val="44"/>
          <w:highlight w:val="none"/>
        </w:rPr>
      </w:pPr>
      <w:r>
        <w:rPr>
          <w:rFonts w:hint="eastAsia" w:hAnsi="宋体"/>
          <w:color w:val="auto"/>
          <w:sz w:val="32"/>
          <w:szCs w:val="32"/>
          <w:highlight w:val="none"/>
        </w:rPr>
        <w:t>根据磋商文件规定及供应商提供的材料自行编写目录（部分格式后附）。</w:t>
      </w:r>
      <w:r>
        <w:rPr>
          <w:rFonts w:hAnsi="宋体"/>
          <w:b/>
          <w:bCs/>
          <w:color w:val="auto"/>
          <w:sz w:val="32"/>
          <w:szCs w:val="32"/>
          <w:highlight w:val="none"/>
        </w:rPr>
        <w:br w:type="page"/>
      </w:r>
      <w:r>
        <w:rPr>
          <w:rFonts w:hint="eastAsia" w:ascii="方正小标宋简体" w:hAnsi="方正小标宋简体" w:eastAsia="方正小标宋简体" w:cs="方正小标宋简体"/>
          <w:bCs/>
          <w:color w:val="auto"/>
          <w:kern w:val="2"/>
          <w:sz w:val="44"/>
          <w:szCs w:val="44"/>
          <w:highlight w:val="none"/>
        </w:rPr>
        <w:t>响应函</w:t>
      </w:r>
    </w:p>
    <w:p w14:paraId="2A450272">
      <w:pPr>
        <w:pStyle w:val="22"/>
        <w:spacing w:line="500" w:lineRule="exact"/>
        <w:rPr>
          <w:rFonts w:hAnsi="宋体" w:cs="宋体"/>
          <w:color w:val="auto"/>
          <w:sz w:val="32"/>
          <w:highlight w:val="none"/>
        </w:rPr>
      </w:pPr>
    </w:p>
    <w:p w14:paraId="466D93E4">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[采购组织机构]：</w:t>
      </w:r>
    </w:p>
    <w:p w14:paraId="7BD6E1E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我方已仔细阅读了贵方组织的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w:t>
      </w:r>
      <w:r>
        <w:rPr>
          <w:rFonts w:hint="eastAsia" w:ascii="宋体" w:hAnsi="宋体" w:cs="宋体"/>
          <w:color w:val="auto"/>
          <w:sz w:val="24"/>
          <w:highlight w:val="none"/>
          <w:u w:val="single"/>
        </w:rPr>
        <w:t>（项目编号）</w:t>
      </w:r>
      <w:r>
        <w:rPr>
          <w:rFonts w:hint="eastAsia" w:ascii="宋体" w:hAnsi="宋体" w:cs="宋体"/>
          <w:color w:val="auto"/>
          <w:sz w:val="24"/>
          <w:highlight w:val="none"/>
          <w:lang w:val="en-US" w:eastAsia="zh-CN"/>
        </w:rPr>
        <w:t>分标</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的竞争性磋商采购文件的全部内容，现正式递交下述文件参加贵方组织的本次政府采购活动：</w:t>
      </w:r>
    </w:p>
    <w:p w14:paraId="6A887BB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一、报价文件电子版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w:t>
      </w:r>
    </w:p>
    <w:p w14:paraId="754EE9E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二、技术文件电子版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供应商须知”提交的全部文件）；（商务技术文件已合并装订成册）</w:t>
      </w:r>
    </w:p>
    <w:p w14:paraId="1D3021D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三、资格证明文件电子版（包含按“第二章供应商须知”提交的全部文件）；</w:t>
      </w:r>
    </w:p>
    <w:p w14:paraId="4E6AD71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据此函，签字人兹宣布：</w:t>
      </w:r>
    </w:p>
    <w:p w14:paraId="6E1680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1、我方愿意以</w:t>
      </w:r>
      <w:r>
        <w:rPr>
          <w:rFonts w:hint="eastAsia" w:ascii="宋体" w:hAnsi="宋体" w:cs="宋体"/>
          <w:color w:val="auto"/>
          <w:sz w:val="24"/>
          <w:highlight w:val="none"/>
          <w:u w:val="single"/>
        </w:rPr>
        <w:t>（大写）人民币              （￥          元)</w:t>
      </w:r>
      <w:r>
        <w:rPr>
          <w:rFonts w:hint="eastAsia" w:ascii="宋体" w:hAnsi="宋体" w:cs="宋体"/>
          <w:color w:val="auto"/>
          <w:sz w:val="24"/>
          <w:highlight w:val="none"/>
        </w:rPr>
        <w:t>的竞标总报价，提供本项目竞争性磋商采购文件第三章“采购需求”中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分标相应的采购内容：</w:t>
      </w:r>
    </w:p>
    <w:p w14:paraId="73639C4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2、我方同意自本项目竞争性磋商采购文件采购公告规定的递交响应文件截止时间起遵循本响应函，并承诺在“第二章 供应商须知”规定的响应有效期内不修改、撤销响应文件。</w:t>
      </w:r>
    </w:p>
    <w:p w14:paraId="101858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3、我方在此声明，所递交的响应文件及有关资料内容完整、真实和准确。</w:t>
      </w:r>
    </w:p>
    <w:p w14:paraId="3451565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4、如本项目采购内容涉及须符合国家强制规定的，我方承诺我方本次竞标均符合国家有关强制规定。</w:t>
      </w:r>
    </w:p>
    <w:p w14:paraId="19004D0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5D1D5A7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6、我方已详细审核竞争性磋商采购文件，我方知道必须放弃提出含糊不清或误解问题的权利。</w:t>
      </w:r>
    </w:p>
    <w:p w14:paraId="57A182A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7、我方承诺满足竞争性磋商采购文件第六章“合同文本”的条款，承担完成合同的责任和义务。</w:t>
      </w:r>
    </w:p>
    <w:p w14:paraId="76D1C94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8、我方同意应贵方要求提供与本竞标有关的任何数据或资料。若贵方需要，我方愿意提供我方作出的一切承诺的证明材料。</w:t>
      </w:r>
    </w:p>
    <w:p w14:paraId="2C54F89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9、我方完全理解贵方不一定接受响应报价最低的竞标人为成交供应商的行为。</w:t>
      </w:r>
    </w:p>
    <w:p w14:paraId="301AB07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92C6A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 提供虚假材料谋取中标、成交的；</w:t>
      </w:r>
    </w:p>
    <w:p w14:paraId="773042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采取不正当手段诋毁、排挤其他供应商的；</w:t>
      </w:r>
    </w:p>
    <w:p w14:paraId="428B8F6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与采购人、其他供应商或者采购代理机构恶意串通的；</w:t>
      </w:r>
    </w:p>
    <w:p w14:paraId="27391BA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向采购人、采购代理机构行贿或者提供其他不正当利益的；</w:t>
      </w:r>
    </w:p>
    <w:p w14:paraId="158C8F6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在采购过程中与采购人进行协商磋商的；</w:t>
      </w:r>
    </w:p>
    <w:p w14:paraId="0872134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拒绝有关部门监督检查或提供虚假情况的。</w:t>
      </w:r>
    </w:p>
    <w:p w14:paraId="3C2E8EB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11.与本磋商有关的一切正式往来信函请寄：</w:t>
      </w:r>
    </w:p>
    <w:p w14:paraId="1F3DC24C">
      <w:pPr>
        <w:pStyle w:val="22"/>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0E9E027">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52BE989E">
      <w:pPr>
        <w:pStyle w:val="22"/>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79381C34">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2B25ACC7">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7DA8ED72">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1B9541E1">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3871416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467247C7">
      <w:pPr>
        <w:spacing w:line="360" w:lineRule="auto"/>
        <w:ind w:firstLine="480" w:firstLineChars="200"/>
        <w:contextualSpacing/>
        <w:rPr>
          <w:rFonts w:ascii="宋体" w:hAnsi="宋体" w:cs="宋体"/>
          <w:color w:val="auto"/>
          <w:sz w:val="24"/>
          <w:highlight w:val="none"/>
        </w:rPr>
      </w:pPr>
    </w:p>
    <w:p w14:paraId="6378C75D">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1176984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64A2EBCA">
      <w:pPr>
        <w:spacing w:line="520" w:lineRule="exact"/>
        <w:jc w:val="center"/>
        <w:rPr>
          <w:rFonts w:ascii="方正小标宋简体" w:hAnsi="方正小标宋简体" w:eastAsia="方正小标宋简体" w:cs="方正小标宋简体"/>
          <w:bCs/>
          <w:color w:val="auto"/>
          <w:sz w:val="44"/>
          <w:szCs w:val="44"/>
          <w:highlight w:val="none"/>
        </w:rPr>
      </w:pPr>
    </w:p>
    <w:p w14:paraId="46667191">
      <w:pP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p>
    <w:p w14:paraId="17C30B25">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磋商报价表</w:t>
      </w:r>
    </w:p>
    <w:p w14:paraId="3841AAEC">
      <w:pPr>
        <w:spacing w:line="440" w:lineRule="exact"/>
        <w:jc w:val="center"/>
        <w:rPr>
          <w:rFonts w:ascii="方正小标宋简体" w:hAnsi="方正小标宋简体" w:eastAsia="方正小标宋简体" w:cs="方正小标宋简体"/>
          <w:bCs/>
          <w:color w:val="auto"/>
          <w:sz w:val="32"/>
          <w:szCs w:val="32"/>
          <w:highlight w:val="none"/>
        </w:rPr>
      </w:pPr>
    </w:p>
    <w:p w14:paraId="6CAE627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p>
    <w:p w14:paraId="6DA5EA4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14:paraId="58FEBC65">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w:t>
      </w:r>
    </w:p>
    <w:p w14:paraId="59D54D5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622AA367">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单位：元</w:t>
      </w:r>
    </w:p>
    <w:tbl>
      <w:tblPr>
        <w:tblStyle w:val="34"/>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14:paraId="74D2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45FD3341">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6B50B3F">
            <w:pPr>
              <w:spacing w:line="360" w:lineRule="auto"/>
              <w:jc w:val="center"/>
              <w:rPr>
                <w:rFonts w:ascii="宋体" w:hAnsi="宋体" w:cs="仿宋_GB2312"/>
                <w:color w:val="auto"/>
                <w:sz w:val="24"/>
                <w:highlight w:val="none"/>
              </w:rPr>
            </w:pPr>
            <w:r>
              <w:rPr>
                <w:rFonts w:hint="eastAsia" w:ascii="宋体" w:hAnsi="宋体"/>
                <w:b/>
                <w:color w:val="auto"/>
                <w:sz w:val="24"/>
                <w:highlight w:val="none"/>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469F288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18" w:type="dxa"/>
            <w:tcBorders>
              <w:top w:val="single" w:color="auto" w:sz="4" w:space="0"/>
              <w:left w:val="single" w:color="auto" w:sz="4" w:space="0"/>
              <w:bottom w:val="single" w:color="auto" w:sz="4" w:space="0"/>
              <w:right w:val="single" w:color="auto" w:sz="4" w:space="0"/>
            </w:tcBorders>
            <w:vAlign w:val="center"/>
          </w:tcPr>
          <w:p w14:paraId="6D21E3E2">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0132B4C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50C2F09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备注</w:t>
            </w:r>
          </w:p>
        </w:tc>
      </w:tr>
      <w:tr w14:paraId="3313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06DE1F6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2BDD6F49">
            <w:pPr>
              <w:spacing w:line="360" w:lineRule="auto"/>
              <w:jc w:val="center"/>
              <w:rPr>
                <w:rFonts w:ascii="宋体" w:hAnsi="宋体" w:cs="仿宋_GB2312"/>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1B71688D">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项</w:t>
            </w:r>
          </w:p>
        </w:tc>
        <w:tc>
          <w:tcPr>
            <w:tcW w:w="1418" w:type="dxa"/>
            <w:tcBorders>
              <w:top w:val="single" w:color="auto" w:sz="4" w:space="0"/>
              <w:left w:val="single" w:color="auto" w:sz="4" w:space="0"/>
              <w:bottom w:val="single" w:color="auto" w:sz="4" w:space="0"/>
              <w:right w:val="single" w:color="auto" w:sz="4" w:space="0"/>
            </w:tcBorders>
          </w:tcPr>
          <w:p w14:paraId="12BD4D79">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Pr>
          <w:p w14:paraId="5F66D059">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663F63B7">
            <w:pPr>
              <w:spacing w:line="360" w:lineRule="auto"/>
              <w:rPr>
                <w:rFonts w:ascii="宋体" w:hAnsi="宋体" w:cs="仿宋_GB2312"/>
                <w:color w:val="auto"/>
                <w:sz w:val="24"/>
                <w:highlight w:val="none"/>
              </w:rPr>
            </w:pPr>
          </w:p>
        </w:tc>
      </w:tr>
      <w:tr w14:paraId="1432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20" w:type="dxa"/>
            <w:gridSpan w:val="6"/>
            <w:tcBorders>
              <w:top w:val="single" w:color="auto" w:sz="4" w:space="0"/>
              <w:left w:val="single" w:color="auto" w:sz="4" w:space="0"/>
              <w:bottom w:val="single" w:color="auto" w:sz="4" w:space="0"/>
              <w:right w:val="single" w:color="auto" w:sz="4" w:space="0"/>
            </w:tcBorders>
            <w:vAlign w:val="center"/>
          </w:tcPr>
          <w:p w14:paraId="61BB7107">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总价金额：（大写）人民币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（小写：¥</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r w14:paraId="4874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20" w:type="dxa"/>
            <w:gridSpan w:val="6"/>
            <w:tcBorders>
              <w:top w:val="single" w:color="auto" w:sz="4" w:space="0"/>
              <w:left w:val="single" w:color="auto" w:sz="4" w:space="0"/>
              <w:bottom w:val="single" w:color="auto" w:sz="4" w:space="0"/>
              <w:right w:val="single" w:color="auto" w:sz="4" w:space="0"/>
            </w:tcBorders>
            <w:vAlign w:val="center"/>
          </w:tcPr>
          <w:p w14:paraId="5BC03BF8">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合同履行期限：</w:t>
            </w:r>
            <w:r>
              <w:rPr>
                <w:rFonts w:hint="eastAsia" w:ascii="宋体" w:hAnsi="宋体" w:cs="仿宋_GB2312"/>
                <w:color w:val="auto"/>
                <w:sz w:val="24"/>
                <w:highlight w:val="none"/>
                <w:u w:val="single"/>
              </w:rPr>
              <w:t xml:space="preserve">              </w:t>
            </w:r>
          </w:p>
        </w:tc>
      </w:tr>
    </w:tbl>
    <w:p w14:paraId="1DA97146">
      <w:pPr>
        <w:spacing w:line="360" w:lineRule="auto"/>
        <w:contextualSpacing/>
        <w:jc w:val="left"/>
        <w:rPr>
          <w:rFonts w:ascii="宋体" w:hAnsi="宋体" w:cs="仿宋_GB2312"/>
          <w:color w:val="auto"/>
          <w:sz w:val="24"/>
          <w:highlight w:val="none"/>
        </w:rPr>
      </w:pPr>
    </w:p>
    <w:p w14:paraId="07C5DB50">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17DA4941">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13FC1FE">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2CD0BFA4">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w:t>
      </w:r>
    </w:p>
    <w:p w14:paraId="6327F2C8">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7A6152AC">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0C7F5AF4">
      <w:pPr>
        <w:spacing w:line="360" w:lineRule="auto"/>
        <w:ind w:right="-817" w:rightChars="-389"/>
        <w:contextualSpacing/>
        <w:rPr>
          <w:rFonts w:ascii="宋体" w:hAnsi="宋体" w:cs="仿宋_GB2312"/>
          <w:color w:val="auto"/>
          <w:sz w:val="24"/>
          <w:highlight w:val="none"/>
        </w:rPr>
      </w:pPr>
    </w:p>
    <w:p w14:paraId="0A38BD9D">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19C2B18">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3376D9DC">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日期：年月日</w:t>
      </w:r>
    </w:p>
    <w:p w14:paraId="3C7D816D">
      <w:pPr>
        <w:jc w:val="center"/>
        <w:rPr>
          <w:rFonts w:hint="eastAsia" w:ascii="方正小标宋简体" w:hAnsi="方正小标宋简体" w:eastAsia="方正小标宋简体" w:cs="方正小标宋简体"/>
          <w:color w:val="auto"/>
          <w:sz w:val="44"/>
          <w:szCs w:val="44"/>
          <w:highlight w:val="none"/>
        </w:rPr>
      </w:pPr>
      <w:bookmarkStart w:id="78" w:name="_Toc71365926"/>
    </w:p>
    <w:bookmarkEnd w:id="78"/>
    <w:p w14:paraId="0C70500F">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48769AF8">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37276263">
      <w:pPr>
        <w:snapToGrid w:val="0"/>
        <w:spacing w:before="156" w:beforeLines="50" w:after="50"/>
        <w:rPr>
          <w:rFonts w:ascii="宋体" w:hAnsi="宋体"/>
          <w:bCs/>
          <w:color w:val="auto"/>
          <w:sz w:val="32"/>
          <w:szCs w:val="20"/>
          <w:highlight w:val="none"/>
        </w:rPr>
      </w:pPr>
    </w:p>
    <w:p w14:paraId="3034D362">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12C98BF0">
      <w:pPr>
        <w:snapToGrid w:val="0"/>
        <w:spacing w:before="156" w:beforeLines="50" w:after="50"/>
        <w:rPr>
          <w:rFonts w:ascii="宋体" w:hAnsi="宋体"/>
          <w:color w:val="auto"/>
          <w:sz w:val="24"/>
          <w:szCs w:val="20"/>
          <w:highlight w:val="none"/>
        </w:rPr>
      </w:pPr>
    </w:p>
    <w:p w14:paraId="02F400F7">
      <w:pPr>
        <w:snapToGrid w:val="0"/>
        <w:spacing w:before="156" w:beforeLines="50" w:after="50"/>
        <w:rPr>
          <w:rFonts w:ascii="宋体" w:hAnsi="宋体"/>
          <w:color w:val="auto"/>
          <w:sz w:val="24"/>
          <w:szCs w:val="20"/>
          <w:highlight w:val="none"/>
        </w:rPr>
      </w:pPr>
    </w:p>
    <w:p w14:paraId="3C7DDADB">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14:paraId="0FA814EB">
      <w:pPr>
        <w:snapToGrid w:val="0"/>
        <w:spacing w:before="156" w:beforeLines="50" w:after="50"/>
        <w:rPr>
          <w:rFonts w:ascii="宋体" w:hAnsi="宋体"/>
          <w:bCs/>
          <w:color w:val="auto"/>
          <w:sz w:val="24"/>
          <w:szCs w:val="20"/>
          <w:highlight w:val="none"/>
        </w:rPr>
      </w:pPr>
    </w:p>
    <w:p w14:paraId="1B9D90C6">
      <w:pPr>
        <w:snapToGrid w:val="0"/>
        <w:spacing w:before="156" w:beforeLines="50" w:after="50"/>
        <w:rPr>
          <w:rFonts w:ascii="宋体" w:hAnsi="宋体"/>
          <w:bCs/>
          <w:color w:val="auto"/>
          <w:sz w:val="24"/>
          <w:szCs w:val="20"/>
          <w:highlight w:val="none"/>
        </w:rPr>
      </w:pPr>
    </w:p>
    <w:p w14:paraId="5FF2C390">
      <w:pPr>
        <w:snapToGrid w:val="0"/>
        <w:spacing w:before="156" w:beforeLines="50" w:after="50"/>
        <w:rPr>
          <w:rFonts w:ascii="宋体" w:hAnsi="宋体"/>
          <w:bCs/>
          <w:color w:val="auto"/>
          <w:sz w:val="24"/>
          <w:szCs w:val="20"/>
          <w:highlight w:val="none"/>
        </w:rPr>
      </w:pPr>
    </w:p>
    <w:p w14:paraId="0E57F916">
      <w:pPr>
        <w:snapToGrid w:val="0"/>
        <w:spacing w:before="156" w:beforeLines="50" w:after="50"/>
        <w:rPr>
          <w:rFonts w:ascii="宋体" w:hAnsi="宋体"/>
          <w:bCs/>
          <w:color w:val="auto"/>
          <w:sz w:val="24"/>
          <w:szCs w:val="20"/>
          <w:highlight w:val="none"/>
        </w:rPr>
      </w:pPr>
    </w:p>
    <w:p w14:paraId="5293C22C">
      <w:pPr>
        <w:snapToGrid w:val="0"/>
        <w:spacing w:before="156" w:beforeLines="50" w:after="50"/>
        <w:rPr>
          <w:rFonts w:ascii="宋体" w:hAnsi="宋体"/>
          <w:bCs/>
          <w:color w:val="auto"/>
          <w:sz w:val="24"/>
          <w:szCs w:val="20"/>
          <w:highlight w:val="none"/>
        </w:rPr>
      </w:pPr>
    </w:p>
    <w:p w14:paraId="2BB2C75F">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E4C1F51">
      <w:pPr>
        <w:snapToGrid w:val="0"/>
        <w:spacing w:before="156" w:beforeLines="50" w:after="50"/>
        <w:ind w:firstLine="720" w:firstLineChars="225"/>
        <w:rPr>
          <w:rFonts w:ascii="宋体" w:hAnsi="宋体" w:cs="仿宋_GB2312"/>
          <w:bCs/>
          <w:color w:val="auto"/>
          <w:sz w:val="32"/>
          <w:szCs w:val="32"/>
          <w:highlight w:val="none"/>
        </w:rPr>
      </w:pPr>
    </w:p>
    <w:p w14:paraId="4EC206B2">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5745824">
      <w:pPr>
        <w:snapToGrid w:val="0"/>
        <w:spacing w:before="156" w:beforeLines="50" w:after="50"/>
        <w:ind w:firstLine="720" w:firstLineChars="225"/>
        <w:rPr>
          <w:rFonts w:ascii="宋体" w:hAnsi="宋体" w:cs="仿宋_GB2312"/>
          <w:bCs/>
          <w:color w:val="auto"/>
          <w:sz w:val="32"/>
          <w:szCs w:val="32"/>
          <w:highlight w:val="none"/>
        </w:rPr>
      </w:pPr>
    </w:p>
    <w:p w14:paraId="67F04507">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CF60997">
      <w:pPr>
        <w:snapToGrid w:val="0"/>
        <w:spacing w:before="156" w:beforeLines="50" w:after="50"/>
        <w:ind w:firstLine="720" w:firstLineChars="225"/>
        <w:rPr>
          <w:rFonts w:ascii="宋体" w:hAnsi="宋体" w:cs="仿宋_GB2312"/>
          <w:bCs/>
          <w:color w:val="auto"/>
          <w:sz w:val="32"/>
          <w:szCs w:val="32"/>
          <w:highlight w:val="none"/>
        </w:rPr>
      </w:pPr>
    </w:p>
    <w:p w14:paraId="670B126D">
      <w:pPr>
        <w:pStyle w:val="10"/>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C75BBF5">
      <w:pPr>
        <w:pStyle w:val="10"/>
        <w:snapToGrid w:val="0"/>
        <w:spacing w:before="50" w:after="50"/>
        <w:ind w:firstLine="640" w:firstLineChars="200"/>
        <w:rPr>
          <w:rFonts w:ascii="宋体" w:hAnsi="宋体" w:cs="仿宋_GB2312"/>
          <w:bCs/>
          <w:color w:val="auto"/>
          <w:sz w:val="32"/>
          <w:szCs w:val="32"/>
          <w:highlight w:val="none"/>
        </w:rPr>
      </w:pPr>
    </w:p>
    <w:p w14:paraId="11604EC6">
      <w:pPr>
        <w:pStyle w:val="10"/>
        <w:snapToGrid w:val="0"/>
        <w:spacing w:before="50" w:after="50"/>
        <w:ind w:firstLine="720" w:firstLineChars="225"/>
        <w:rPr>
          <w:rFonts w:ascii="宋体" w:hAnsi="宋体" w:cs="仿宋_GB2312"/>
          <w:bCs/>
          <w:color w:val="auto"/>
          <w:sz w:val="32"/>
          <w:szCs w:val="32"/>
          <w:highlight w:val="none"/>
        </w:rPr>
      </w:pPr>
    </w:p>
    <w:p w14:paraId="6AAEA919">
      <w:pPr>
        <w:pStyle w:val="10"/>
        <w:snapToGrid w:val="0"/>
        <w:spacing w:before="50" w:after="50"/>
        <w:ind w:firstLine="0"/>
        <w:rPr>
          <w:rFonts w:ascii="宋体" w:hAnsi="宋体" w:cs="仿宋_GB2312"/>
          <w:bCs/>
          <w:color w:val="auto"/>
          <w:sz w:val="32"/>
          <w:szCs w:val="32"/>
          <w:highlight w:val="none"/>
        </w:rPr>
      </w:pPr>
    </w:p>
    <w:p w14:paraId="711CE346">
      <w:pPr>
        <w:pStyle w:val="10"/>
        <w:snapToGrid w:val="0"/>
        <w:spacing w:before="50" w:after="50"/>
        <w:ind w:firstLine="1280" w:firstLineChars="400"/>
        <w:rPr>
          <w:rFonts w:ascii="宋体" w:hAnsi="宋体" w:cs="仿宋_GB2312"/>
          <w:bCs/>
          <w:color w:val="auto"/>
          <w:sz w:val="32"/>
          <w:szCs w:val="32"/>
          <w:highlight w:val="none"/>
        </w:rPr>
      </w:pPr>
    </w:p>
    <w:p w14:paraId="07BE0A2D">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3C0D97F7">
      <w:pPr>
        <w:snapToGrid w:val="0"/>
        <w:spacing w:before="156"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449F3697">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6C33D5E5">
      <w:pPr>
        <w:spacing w:line="400" w:lineRule="exact"/>
        <w:rPr>
          <w:rFonts w:ascii="仿宋_GB2312" w:hAnsi="仿宋_GB2312" w:eastAsia="仿宋_GB2312" w:cs="仿宋_GB2312"/>
          <w:color w:val="auto"/>
          <w:sz w:val="32"/>
          <w:szCs w:val="32"/>
          <w:highlight w:val="none"/>
        </w:rPr>
      </w:pPr>
    </w:p>
    <w:p w14:paraId="732CCA52">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640CE346">
      <w:pPr>
        <w:spacing w:line="360" w:lineRule="auto"/>
        <w:ind w:firstLine="640" w:firstLineChars="200"/>
        <w:contextualSpacing/>
        <w:rPr>
          <w:rFonts w:ascii="仿宋_GB2312" w:hAnsi="仿宋_GB2312" w:eastAsia="仿宋_GB2312" w:cs="仿宋_GB2312"/>
          <w:color w:val="auto"/>
          <w:sz w:val="32"/>
          <w:szCs w:val="32"/>
          <w:highlight w:val="none"/>
        </w:rPr>
      </w:pPr>
    </w:p>
    <w:p w14:paraId="159D8DB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1C468C8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4F2C881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1E631DA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1091065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5A12358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26D3A0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3F344B9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6E6C71A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FE31F2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C53EC0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51D125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36AF393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24B7CBF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3AEA13B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1983D251">
      <w:pPr>
        <w:spacing w:line="360" w:lineRule="auto"/>
        <w:ind w:firstLine="480" w:firstLineChars="200"/>
        <w:contextualSpacing/>
        <w:rPr>
          <w:rFonts w:ascii="宋体" w:hAnsi="宋体" w:cs="仿宋_GB2312"/>
          <w:color w:val="auto"/>
          <w:sz w:val="24"/>
          <w:highlight w:val="none"/>
        </w:rPr>
      </w:pPr>
    </w:p>
    <w:p w14:paraId="779B15FD">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8F080AC">
      <w:pPr>
        <w:spacing w:line="360" w:lineRule="auto"/>
        <w:contextualSpacing/>
        <w:rPr>
          <w:rFonts w:ascii="宋体" w:hAnsi="宋体" w:cs="仿宋_GB2312"/>
          <w:color w:val="auto"/>
          <w:sz w:val="24"/>
          <w:highlight w:val="none"/>
        </w:rPr>
      </w:pPr>
    </w:p>
    <w:p w14:paraId="54D38DCD">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1C782CA8">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年月日</w:t>
      </w:r>
    </w:p>
    <w:p w14:paraId="58C6B2A6">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35680D3E">
      <w:pPr>
        <w:spacing w:line="360" w:lineRule="auto"/>
        <w:ind w:left="540"/>
        <w:contextualSpacing/>
        <w:rPr>
          <w:rFonts w:ascii="仿宋_GB2312" w:hAnsi="仿宋_GB2312" w:eastAsia="仿宋_GB2312" w:cs="仿宋_GB2312"/>
          <w:color w:val="auto"/>
          <w:sz w:val="32"/>
          <w:szCs w:val="32"/>
          <w:highlight w:val="none"/>
        </w:rPr>
      </w:pPr>
    </w:p>
    <w:p w14:paraId="1C80BDB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072166C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地址：</w:t>
      </w:r>
    </w:p>
    <w:p w14:paraId="4A0FB299">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姓名：性别：</w:t>
      </w:r>
    </w:p>
    <w:p w14:paraId="0BFCBD0E">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年龄：职务：</w:t>
      </w:r>
    </w:p>
    <w:p w14:paraId="14ED3B2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7C9BB89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4DF9F22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1574262E">
      <w:pPr>
        <w:spacing w:line="360" w:lineRule="auto"/>
        <w:ind w:left="540"/>
        <w:contextualSpacing/>
        <w:rPr>
          <w:rFonts w:ascii="宋体" w:hAnsi="宋体" w:cs="仿宋_GB2312"/>
          <w:color w:val="auto"/>
          <w:sz w:val="24"/>
          <w:highlight w:val="none"/>
        </w:rPr>
      </w:pPr>
    </w:p>
    <w:p w14:paraId="5C126188">
      <w:pPr>
        <w:spacing w:line="360" w:lineRule="auto"/>
        <w:ind w:left="540"/>
        <w:contextualSpacing/>
        <w:rPr>
          <w:rFonts w:ascii="宋体" w:hAnsi="宋体" w:cs="仿宋_GB2312"/>
          <w:color w:val="auto"/>
          <w:sz w:val="24"/>
          <w:highlight w:val="none"/>
        </w:rPr>
      </w:pPr>
    </w:p>
    <w:p w14:paraId="364DF9DC">
      <w:pPr>
        <w:spacing w:line="360" w:lineRule="auto"/>
        <w:ind w:left="540"/>
        <w:contextualSpacing/>
        <w:rPr>
          <w:rFonts w:ascii="宋体" w:hAnsi="宋体" w:cs="仿宋_GB2312"/>
          <w:color w:val="auto"/>
          <w:sz w:val="24"/>
          <w:highlight w:val="none"/>
        </w:rPr>
      </w:pPr>
    </w:p>
    <w:p w14:paraId="13D1D75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DA916AD">
      <w:pPr>
        <w:spacing w:line="360" w:lineRule="auto"/>
        <w:ind w:left="540"/>
        <w:contextualSpacing/>
        <w:rPr>
          <w:rFonts w:ascii="宋体" w:hAnsi="宋体" w:cs="仿宋_GB2312"/>
          <w:color w:val="auto"/>
          <w:sz w:val="24"/>
          <w:highlight w:val="none"/>
        </w:rPr>
      </w:pPr>
    </w:p>
    <w:p w14:paraId="63DCCF1F">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4B27F3DB">
      <w:pPr>
        <w:spacing w:line="360" w:lineRule="auto"/>
        <w:ind w:firstLine="4080" w:firstLineChars="1700"/>
        <w:contextualSpacing/>
        <w:jc w:val="right"/>
        <w:rPr>
          <w:rFonts w:ascii="宋体" w:hAnsi="宋体" w:cs="仿宋_GB2312"/>
          <w:color w:val="auto"/>
          <w:sz w:val="24"/>
          <w:highlight w:val="none"/>
        </w:rPr>
      </w:pPr>
      <w:r>
        <w:rPr>
          <w:rFonts w:hint="eastAsia" w:ascii="宋体" w:hAnsi="宋体" w:cs="仿宋_GB2312"/>
          <w:color w:val="auto"/>
          <w:sz w:val="24"/>
          <w:highlight w:val="none"/>
        </w:rPr>
        <w:t>年月日</w:t>
      </w:r>
    </w:p>
    <w:p w14:paraId="1B8C28AC">
      <w:pPr>
        <w:spacing w:line="360" w:lineRule="auto"/>
        <w:contextualSpacing/>
        <w:jc w:val="center"/>
        <w:rPr>
          <w:rFonts w:ascii="宋体" w:hAnsi="宋体" w:cs="仿宋_GB2312"/>
          <w:b/>
          <w:color w:val="auto"/>
          <w:sz w:val="24"/>
          <w:highlight w:val="none"/>
        </w:rPr>
      </w:pPr>
    </w:p>
    <w:p w14:paraId="1364E95D">
      <w:pPr>
        <w:spacing w:line="360" w:lineRule="auto"/>
        <w:contextualSpacing/>
        <w:jc w:val="left"/>
        <w:rPr>
          <w:rFonts w:ascii="宋体" w:hAnsi="宋体" w:cs="仿宋_GB2312"/>
          <w:color w:val="auto"/>
          <w:sz w:val="24"/>
          <w:highlight w:val="none"/>
        </w:rPr>
      </w:pPr>
    </w:p>
    <w:p w14:paraId="0608990F">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6BBAC060">
      <w:pPr>
        <w:adjustRightInd w:val="0"/>
        <w:snapToGrid w:val="0"/>
        <w:spacing w:line="300" w:lineRule="auto"/>
        <w:jc w:val="left"/>
        <w:rPr>
          <w:rFonts w:ascii="宋体" w:hAnsi="宋体"/>
          <w:b/>
          <w:color w:val="auto"/>
          <w:szCs w:val="21"/>
          <w:highlight w:val="none"/>
        </w:rPr>
      </w:pPr>
    </w:p>
    <w:p w14:paraId="1236EACE">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61A74153">
      <w:pPr>
        <w:spacing w:line="520" w:lineRule="exact"/>
        <w:jc w:val="center"/>
        <w:rPr>
          <w:rFonts w:ascii="方正小标宋简体" w:hAnsi="方正小标宋简体" w:eastAsia="方正小标宋简体" w:cs="方正小标宋简体"/>
          <w:color w:val="auto"/>
          <w:sz w:val="44"/>
          <w:szCs w:val="44"/>
          <w:highlight w:val="none"/>
        </w:rPr>
      </w:pPr>
      <w:bookmarkStart w:id="79" w:name="_Hlk65853643"/>
      <w:r>
        <w:rPr>
          <w:rFonts w:hint="eastAsia" w:ascii="方正小标宋简体" w:hAnsi="方正小标宋简体" w:eastAsia="方正小标宋简体" w:cs="方正小标宋简体"/>
          <w:color w:val="auto"/>
          <w:sz w:val="44"/>
          <w:szCs w:val="44"/>
          <w:highlight w:val="none"/>
        </w:rPr>
        <w:t>授权委托书</w:t>
      </w:r>
    </w:p>
    <w:p w14:paraId="668F1697">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7A913AF5">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5951C0AC">
      <w:pPr>
        <w:spacing w:line="520" w:lineRule="exact"/>
        <w:rPr>
          <w:rFonts w:ascii="仿宋_GB2312" w:hAnsi="仿宋_GB2312" w:eastAsia="仿宋_GB2312" w:cs="仿宋_GB2312"/>
          <w:color w:val="auto"/>
          <w:sz w:val="32"/>
          <w:szCs w:val="32"/>
          <w:highlight w:val="none"/>
        </w:rPr>
      </w:pPr>
    </w:p>
    <w:p w14:paraId="631515A0">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03A1A797">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（项目名称）  </w:t>
      </w:r>
      <w:r>
        <w:rPr>
          <w:rFonts w:hint="eastAsia" w:ascii="宋体" w:hAnsi="宋体" w:cs="宋体"/>
          <w:color w:val="auto"/>
          <w:sz w:val="24"/>
          <w:highlight w:val="none"/>
          <w:lang w:val="en-US" w:eastAsia="zh-CN"/>
        </w:rPr>
        <w:t>分标</w:t>
      </w:r>
      <w:r>
        <w:rPr>
          <w:rFonts w:hint="eastAsia" w:ascii="宋体" w:hAnsi="宋体" w:cs="宋体"/>
          <w:color w:val="auto"/>
          <w:sz w:val="24"/>
          <w:highlight w:val="none"/>
          <w:u w:val="single"/>
          <w:lang w:val="en-US" w:eastAsia="zh-CN"/>
        </w:rPr>
        <w:t xml:space="preserve">    </w:t>
      </w:r>
      <w:r>
        <w:rPr>
          <w:rFonts w:hint="eastAsia" w:ascii="宋体" w:hAnsi="宋体" w:cs="仿宋_GB2312"/>
          <w:color w:val="auto"/>
          <w:sz w:val="24"/>
          <w:highlight w:val="none"/>
        </w:rPr>
        <w:t>的竞标活动，并代表我方全权办理针对上述项目的所有采购程序和环节的具体事务和签署相关文件。</w:t>
      </w:r>
    </w:p>
    <w:p w14:paraId="42041938">
      <w:pPr>
        <w:spacing w:line="360" w:lineRule="auto"/>
        <w:rPr>
          <w:rFonts w:ascii="宋体" w:hAnsi="宋体" w:cs="仿宋_GB2312"/>
          <w:color w:val="auto"/>
          <w:sz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61EDB7A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38CFB45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657EEA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7DFD738">
      <w:pPr>
        <w:spacing w:line="360" w:lineRule="auto"/>
        <w:rPr>
          <w:rFonts w:ascii="宋体" w:hAnsi="宋体" w:cs="仿宋_GB2312"/>
          <w:color w:val="auto"/>
          <w:sz w:val="24"/>
          <w:highlight w:val="none"/>
        </w:rPr>
      </w:pPr>
    </w:p>
    <w:p w14:paraId="6825C51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）：法定代表人（签字或者盖章或者电子签名）：</w:t>
      </w:r>
    </w:p>
    <w:p w14:paraId="2AC0F717">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委托代理人身份证号码：</w:t>
      </w:r>
    </w:p>
    <w:p w14:paraId="0A69A576">
      <w:pPr>
        <w:spacing w:line="360" w:lineRule="auto"/>
        <w:contextualSpacing/>
        <w:rPr>
          <w:rFonts w:ascii="宋体" w:hAnsi="宋体" w:cs="仿宋_GB2312"/>
          <w:color w:val="auto"/>
          <w:sz w:val="24"/>
          <w:highlight w:val="none"/>
        </w:rPr>
      </w:pPr>
    </w:p>
    <w:p w14:paraId="265077FF">
      <w:pPr>
        <w:spacing w:line="360" w:lineRule="auto"/>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1E7537CF">
      <w:pPr>
        <w:spacing w:line="360" w:lineRule="auto"/>
        <w:rPr>
          <w:rFonts w:ascii="宋体" w:hAnsi="宋体" w:cs="仿宋_GB2312"/>
          <w:color w:val="auto"/>
          <w:sz w:val="24"/>
          <w:highlight w:val="none"/>
        </w:rPr>
      </w:pPr>
      <w:r>
        <w:rPr>
          <w:rFonts w:hint="eastAsia" w:ascii="宋体" w:hAnsi="宋体" w:cs="仿宋_GB2312"/>
          <w:color w:val="auto"/>
          <w:sz w:val="24"/>
          <w:highlight w:val="none"/>
        </w:rPr>
        <w:t>年月日</w:t>
      </w:r>
    </w:p>
    <w:p w14:paraId="39106E72">
      <w:pPr>
        <w:spacing w:line="360" w:lineRule="auto"/>
        <w:rPr>
          <w:rFonts w:ascii="宋体" w:hAnsi="宋体" w:cs="仿宋_GB2312"/>
          <w:color w:val="auto"/>
          <w:sz w:val="24"/>
          <w:highlight w:val="none"/>
        </w:rPr>
      </w:pPr>
    </w:p>
    <w:p w14:paraId="3A881663">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20B068A">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0" w:name="_Hlk65853109"/>
      <w:bookmarkStart w:id="81" w:name="_Hlk65853542"/>
      <w:r>
        <w:rPr>
          <w:rFonts w:hint="eastAsia" w:ascii="宋体" w:hAnsi="宋体" w:cs="仿宋_GB2312"/>
          <w:color w:val="auto"/>
          <w:sz w:val="24"/>
          <w:highlight w:val="none"/>
        </w:rPr>
        <w:t>法人、其他组织竞标时“我方”是指“我单位”，自然人竞标时“我方”是指“本人”。</w:t>
      </w:r>
      <w:bookmarkEnd w:id="80"/>
    </w:p>
    <w:bookmarkEnd w:id="81"/>
    <w:p w14:paraId="65E35471">
      <w:pPr>
        <w:spacing w:line="360" w:lineRule="auto"/>
        <w:ind w:firstLine="420" w:firstLineChars="200"/>
        <w:jc w:val="left"/>
        <w:rPr>
          <w:rFonts w:ascii="仿宋_GB2312" w:hAnsi="仿宋_GB2312" w:eastAsia="仿宋_GB2312" w:cs="仿宋_GB2312"/>
          <w:color w:val="auto"/>
          <w:szCs w:val="21"/>
          <w:highlight w:val="none"/>
        </w:rPr>
      </w:pPr>
    </w:p>
    <w:p w14:paraId="37B5C515">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4DCC5EF4">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56893C36">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A208DA9">
      <w:pPr>
        <w:spacing w:line="500" w:lineRule="exact"/>
        <w:jc w:val="center"/>
        <w:rPr>
          <w:rFonts w:ascii="方正小标宋简体" w:hAnsi="方正小标宋简体" w:eastAsia="方正小标宋简体" w:cs="方正小标宋简体"/>
          <w:color w:val="auto"/>
          <w:sz w:val="44"/>
          <w:szCs w:val="44"/>
          <w:highlight w:val="none"/>
        </w:rPr>
      </w:pPr>
    </w:p>
    <w:p w14:paraId="6F5B4588">
      <w:pPr>
        <w:spacing w:line="500" w:lineRule="exact"/>
        <w:jc w:val="center"/>
        <w:rPr>
          <w:rFonts w:ascii="仿宋_GB2312" w:hAnsi="仿宋_GB2312" w:eastAsia="仿宋_GB2312" w:cs="仿宋_GB2312"/>
          <w:color w:val="auto"/>
          <w:sz w:val="32"/>
          <w:szCs w:val="32"/>
          <w:highlight w:val="none"/>
        </w:rPr>
      </w:pPr>
    </w:p>
    <w:p w14:paraId="2CAD64EB">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w:t>
      </w:r>
      <w:r>
        <w:rPr>
          <w:rFonts w:hint="eastAsia" w:ascii="宋体" w:hAnsi="宋体" w:cs="仿宋_GB2312"/>
          <w:color w:val="auto"/>
          <w:sz w:val="24"/>
          <w:highlight w:val="none"/>
          <w:u w:val="single"/>
        </w:rPr>
        <w:t xml:space="preserve">   （项目名称）  </w:t>
      </w:r>
      <w:r>
        <w:rPr>
          <w:rFonts w:hint="eastAsia" w:ascii="宋体" w:hAnsi="宋体" w:cs="宋体"/>
          <w:color w:val="auto"/>
          <w:sz w:val="24"/>
          <w:highlight w:val="none"/>
          <w:lang w:val="en-US" w:eastAsia="zh-CN"/>
        </w:rPr>
        <w:t>分标</w:t>
      </w:r>
      <w:r>
        <w:rPr>
          <w:rFonts w:hint="eastAsia" w:ascii="宋体" w:hAnsi="宋体" w:cs="宋体"/>
          <w:color w:val="auto"/>
          <w:sz w:val="24"/>
          <w:highlight w:val="none"/>
          <w:u w:val="single"/>
          <w:lang w:val="en-US" w:eastAsia="zh-CN"/>
        </w:rPr>
        <w:t xml:space="preserve">    </w:t>
      </w:r>
      <w:r>
        <w:rPr>
          <w:rFonts w:hint="eastAsia" w:ascii="宋体" w:hAnsi="宋体" w:cs="仿宋_GB2312"/>
          <w:color w:val="auto"/>
          <w:sz w:val="24"/>
          <w:highlight w:val="none"/>
        </w:rPr>
        <w:t>的所有采购程序和环节的具体事务和签署相关文件。</w:t>
      </w:r>
    </w:p>
    <w:p w14:paraId="5AC6991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7C2F40F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74133A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29479E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ED0655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6FC85754">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牵头人（电子签章）：</w:t>
      </w:r>
    </w:p>
    <w:p w14:paraId="1B4EDCF3">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7C3E1C33">
      <w:pPr>
        <w:spacing w:line="360" w:lineRule="auto"/>
        <w:contextualSpacing/>
        <w:rPr>
          <w:rFonts w:ascii="宋体" w:hAnsi="宋体" w:cs="仿宋_GB2312"/>
          <w:color w:val="auto"/>
          <w:sz w:val="24"/>
          <w:highlight w:val="none"/>
        </w:rPr>
      </w:pPr>
    </w:p>
    <w:p w14:paraId="7552B89C">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04DE4049">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1DA16B55">
      <w:pPr>
        <w:spacing w:line="360" w:lineRule="auto"/>
        <w:contextualSpacing/>
        <w:rPr>
          <w:rFonts w:ascii="宋体" w:hAnsi="宋体" w:cs="仿宋_GB2312"/>
          <w:color w:val="auto"/>
          <w:sz w:val="24"/>
          <w:highlight w:val="none"/>
        </w:rPr>
      </w:pPr>
    </w:p>
    <w:p w14:paraId="012EA1F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DAAE49B">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79"/>
    <w:p w14:paraId="5426ECC9">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w:t>
      </w:r>
    </w:p>
    <w:p w14:paraId="74887FB9">
      <w:pPr>
        <w:spacing w:line="360" w:lineRule="auto"/>
        <w:contextualSpacing/>
        <w:jc w:val="left"/>
        <w:rPr>
          <w:rFonts w:ascii="宋体" w:hAnsi="宋体"/>
          <w:color w:val="auto"/>
          <w:sz w:val="24"/>
          <w:highlight w:val="none"/>
        </w:rPr>
      </w:pPr>
    </w:p>
    <w:p w14:paraId="089816A1">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222184F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35F68C61">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p w14:paraId="4718FE42">
      <w:pPr>
        <w:spacing w:line="360" w:lineRule="auto"/>
        <w:contextualSpacing/>
        <w:jc w:val="left"/>
        <w:rPr>
          <w:rFonts w:ascii="宋体" w:hAnsi="宋体" w:cs="仿宋_GB2312"/>
          <w:color w:val="auto"/>
          <w:sz w:val="24"/>
          <w:highlight w:val="none"/>
          <w:u w:val="single"/>
        </w:rPr>
      </w:pPr>
    </w:p>
    <w:tbl>
      <w:tblPr>
        <w:tblStyle w:val="34"/>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1089"/>
        <w:gridCol w:w="2668"/>
        <w:gridCol w:w="2350"/>
        <w:gridCol w:w="2112"/>
      </w:tblGrid>
      <w:tr w14:paraId="3449F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89" w:type="dxa"/>
            <w:tcBorders>
              <w:top w:val="single" w:color="auto" w:sz="4" w:space="0"/>
              <w:left w:val="single" w:color="auto" w:sz="4" w:space="0"/>
              <w:bottom w:val="single" w:color="auto" w:sz="4" w:space="0"/>
              <w:right w:val="single" w:color="auto" w:sz="4" w:space="0"/>
            </w:tcBorders>
            <w:vAlign w:val="center"/>
          </w:tcPr>
          <w:p w14:paraId="77DF014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089" w:type="dxa"/>
            <w:tcBorders>
              <w:top w:val="single" w:color="auto" w:sz="4" w:space="0"/>
              <w:left w:val="single" w:color="auto" w:sz="4" w:space="0"/>
              <w:bottom w:val="single" w:color="auto" w:sz="4" w:space="0"/>
              <w:right w:val="single" w:color="auto" w:sz="4" w:space="0"/>
            </w:tcBorders>
            <w:vAlign w:val="center"/>
          </w:tcPr>
          <w:p w14:paraId="367ADA16">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F5E391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9D0717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C5E2C5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723C8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89" w:type="dxa"/>
            <w:tcBorders>
              <w:top w:val="single" w:color="auto" w:sz="4" w:space="0"/>
              <w:left w:val="single" w:color="auto" w:sz="4" w:space="0"/>
              <w:bottom w:val="single" w:color="auto" w:sz="4" w:space="0"/>
              <w:right w:val="single" w:color="auto" w:sz="4" w:space="0"/>
            </w:tcBorders>
            <w:vAlign w:val="center"/>
          </w:tcPr>
          <w:p w14:paraId="75B31CDA">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75F8EEC7">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0077339">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6745A95">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343E408">
            <w:pPr>
              <w:spacing w:line="360" w:lineRule="auto"/>
              <w:contextualSpacing/>
              <w:jc w:val="center"/>
              <w:rPr>
                <w:rFonts w:ascii="宋体" w:hAnsi="宋体" w:cs="仿宋_GB2312"/>
                <w:color w:val="auto"/>
                <w:sz w:val="24"/>
                <w:highlight w:val="none"/>
              </w:rPr>
            </w:pPr>
          </w:p>
        </w:tc>
      </w:tr>
      <w:tr w14:paraId="25950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89" w:type="dxa"/>
            <w:tcBorders>
              <w:top w:val="single" w:color="auto" w:sz="4" w:space="0"/>
              <w:left w:val="single" w:color="auto" w:sz="4" w:space="0"/>
              <w:bottom w:val="single" w:color="auto" w:sz="4" w:space="0"/>
              <w:right w:val="single" w:color="auto" w:sz="4" w:space="0"/>
            </w:tcBorders>
            <w:vAlign w:val="center"/>
          </w:tcPr>
          <w:p w14:paraId="5E6C48C6">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F6EC9EB">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A0652E6">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0251C16">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26B4B49">
            <w:pPr>
              <w:spacing w:line="360" w:lineRule="auto"/>
              <w:ind w:left="43"/>
              <w:contextualSpacing/>
              <w:jc w:val="center"/>
              <w:rPr>
                <w:rFonts w:ascii="宋体" w:hAnsi="宋体" w:cs="仿宋_GB2312"/>
                <w:color w:val="auto"/>
                <w:sz w:val="24"/>
                <w:highlight w:val="none"/>
              </w:rPr>
            </w:pPr>
          </w:p>
        </w:tc>
      </w:tr>
      <w:tr w14:paraId="3017D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vAlign w:val="center"/>
          </w:tcPr>
          <w:p w14:paraId="1728D24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89" w:type="dxa"/>
            <w:tcBorders>
              <w:top w:val="single" w:color="auto" w:sz="4" w:space="0"/>
              <w:left w:val="single" w:color="auto" w:sz="4" w:space="0"/>
              <w:bottom w:val="single" w:color="auto" w:sz="4" w:space="0"/>
              <w:right w:val="single" w:color="auto" w:sz="4" w:space="0"/>
            </w:tcBorders>
            <w:vAlign w:val="center"/>
          </w:tcPr>
          <w:p w14:paraId="1D64E86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149D387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350" w:type="dxa"/>
            <w:tcBorders>
              <w:top w:val="single" w:color="auto" w:sz="4" w:space="0"/>
              <w:left w:val="single" w:color="auto" w:sz="4" w:space="0"/>
              <w:bottom w:val="single" w:color="auto" w:sz="4" w:space="0"/>
              <w:right w:val="single" w:color="auto" w:sz="4" w:space="0"/>
            </w:tcBorders>
            <w:vAlign w:val="center"/>
          </w:tcPr>
          <w:p w14:paraId="3CF2E73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112" w:type="dxa"/>
            <w:tcBorders>
              <w:top w:val="single" w:color="auto" w:sz="4" w:space="0"/>
              <w:left w:val="single" w:color="auto" w:sz="4" w:space="0"/>
              <w:bottom w:val="single" w:color="auto" w:sz="4" w:space="0"/>
              <w:right w:val="single" w:color="auto" w:sz="4" w:space="0"/>
            </w:tcBorders>
            <w:vAlign w:val="center"/>
          </w:tcPr>
          <w:p w14:paraId="4ED06DB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r>
    </w:tbl>
    <w:p w14:paraId="4906C87E">
      <w:pPr>
        <w:pStyle w:val="1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6D74FB10">
      <w:pPr>
        <w:pStyle w:val="1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说明：应对照磋商文件“第三章采购需求”中的商务要求逐条作出明确响应，并作出偏离说明。</w:t>
      </w:r>
    </w:p>
    <w:p w14:paraId="1254CDBE">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3A796A64">
      <w:pPr>
        <w:spacing w:line="360" w:lineRule="auto"/>
        <w:ind w:right="-817" w:rightChars="-389"/>
        <w:contextualSpacing/>
        <w:rPr>
          <w:rFonts w:ascii="宋体" w:hAnsi="宋体" w:cs="仿宋_GB2312"/>
          <w:color w:val="auto"/>
          <w:sz w:val="24"/>
          <w:highlight w:val="none"/>
        </w:rPr>
      </w:pPr>
    </w:p>
    <w:p w14:paraId="431E3765">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C07A3F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3E4476D9">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日期：年月日</w:t>
      </w:r>
    </w:p>
    <w:p w14:paraId="13F007F4">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28AF64E">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2DFE60D">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AEA28B3">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35241DF2">
      <w:pPr>
        <w:adjustRightInd w:val="0"/>
        <w:snapToGrid w:val="0"/>
        <w:spacing w:line="520" w:lineRule="exact"/>
        <w:rPr>
          <w:rFonts w:ascii="宋体" w:hAnsi="宋体"/>
          <w:color w:val="auto"/>
          <w:szCs w:val="21"/>
          <w:highlight w:val="none"/>
          <w:u w:val="single"/>
        </w:rPr>
      </w:pPr>
    </w:p>
    <w:p w14:paraId="46B619EB">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4B832458">
      <w:pPr>
        <w:spacing w:line="520" w:lineRule="exact"/>
        <w:rPr>
          <w:rFonts w:ascii="仿宋_GB2312" w:hAnsi="仿宋_GB2312" w:eastAsia="仿宋_GB2312" w:cs="仿宋_GB2312"/>
          <w:color w:val="auto"/>
          <w:sz w:val="32"/>
          <w:szCs w:val="32"/>
          <w:highlight w:val="none"/>
        </w:rPr>
      </w:pPr>
    </w:p>
    <w:p w14:paraId="7BA131D5">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7C9CBB2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270CC9D4">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34"/>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403F0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D631CF8">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82" w:name="_Toc173211900"/>
            <w:bookmarkStart w:id="83" w:name="_Toc301781611"/>
            <w:bookmarkStart w:id="84" w:name="_Toc383699906"/>
            <w:bookmarkStart w:id="85" w:name="_Toc297193185"/>
            <w:bookmarkStart w:id="86" w:name="_Toc254970588"/>
            <w:bookmarkStart w:id="87" w:name="_Toc254970729"/>
            <w:bookmarkStart w:id="88" w:name="_Toc373333689"/>
            <w:bookmarkStart w:id="89" w:name="_Toc173066401"/>
            <w:bookmarkStart w:id="90" w:name="_Toc295404981"/>
            <w:r>
              <w:rPr>
                <w:rFonts w:hint="eastAsia" w:ascii="宋体" w:hAnsi="宋体" w:eastAsia="宋体" w:cs="仿宋_GB2312"/>
                <w:color w:val="auto"/>
                <w:kern w:val="2"/>
                <w:sz w:val="24"/>
                <w:szCs w:val="24"/>
                <w:highlight w:val="none"/>
              </w:rPr>
              <w:t>序号</w:t>
            </w:r>
            <w:bookmarkEnd w:id="82"/>
            <w:bookmarkEnd w:id="83"/>
            <w:bookmarkEnd w:id="84"/>
            <w:bookmarkEnd w:id="85"/>
            <w:bookmarkEnd w:id="86"/>
            <w:bookmarkEnd w:id="87"/>
            <w:bookmarkEnd w:id="88"/>
            <w:bookmarkEnd w:id="89"/>
            <w:bookmarkEnd w:id="90"/>
          </w:p>
        </w:tc>
        <w:tc>
          <w:tcPr>
            <w:tcW w:w="915" w:type="dxa"/>
            <w:tcBorders>
              <w:right w:val="single" w:color="auto" w:sz="4" w:space="0"/>
            </w:tcBorders>
            <w:vAlign w:val="center"/>
          </w:tcPr>
          <w:p w14:paraId="70D5E4FB">
            <w:pPr>
              <w:pStyle w:val="19"/>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vAlign w:val="center"/>
          </w:tcPr>
          <w:p w14:paraId="2B396C74">
            <w:pPr>
              <w:pStyle w:val="19"/>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524205AD">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91" w:name="_Toc301781613"/>
            <w:bookmarkStart w:id="92" w:name="_Toc173066403"/>
            <w:bookmarkStart w:id="93" w:name="_Toc383699908"/>
            <w:bookmarkStart w:id="94" w:name="_Toc173211902"/>
            <w:bookmarkStart w:id="95" w:name="_Toc373333691"/>
            <w:bookmarkStart w:id="96" w:name="_Toc254970731"/>
            <w:bookmarkStart w:id="97" w:name="_Toc297193187"/>
            <w:bookmarkStart w:id="98" w:name="_Toc295404983"/>
            <w:bookmarkStart w:id="99" w:name="_Toc254970590"/>
            <w:r>
              <w:rPr>
                <w:rFonts w:hint="eastAsia" w:ascii="宋体" w:hAnsi="宋体" w:eastAsia="宋体" w:cs="仿宋_GB2312"/>
                <w:color w:val="auto"/>
                <w:kern w:val="2"/>
                <w:sz w:val="24"/>
                <w:szCs w:val="24"/>
                <w:highlight w:val="none"/>
              </w:rPr>
              <w:t>竞标响应</w:t>
            </w:r>
            <w:bookmarkEnd w:id="91"/>
            <w:bookmarkEnd w:id="92"/>
            <w:bookmarkEnd w:id="93"/>
            <w:bookmarkEnd w:id="94"/>
            <w:bookmarkEnd w:id="95"/>
            <w:bookmarkEnd w:id="96"/>
            <w:bookmarkEnd w:id="97"/>
            <w:bookmarkEnd w:id="98"/>
            <w:bookmarkEnd w:id="99"/>
          </w:p>
        </w:tc>
        <w:tc>
          <w:tcPr>
            <w:tcW w:w="1492" w:type="dxa"/>
            <w:vAlign w:val="center"/>
          </w:tcPr>
          <w:p w14:paraId="63A1C593">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100" w:name="_Toc295404984"/>
            <w:bookmarkStart w:id="101" w:name="_Toc383699909"/>
            <w:bookmarkStart w:id="102" w:name="_Toc373333692"/>
            <w:bookmarkStart w:id="103" w:name="_Toc173066404"/>
            <w:bookmarkStart w:id="104" w:name="_Toc301781614"/>
            <w:bookmarkStart w:id="105" w:name="_Toc173211903"/>
            <w:bookmarkStart w:id="106" w:name="_Toc254970591"/>
            <w:bookmarkStart w:id="107" w:name="_Toc297193188"/>
            <w:bookmarkStart w:id="108" w:name="_Toc254970732"/>
            <w:r>
              <w:rPr>
                <w:rFonts w:hint="eastAsia" w:ascii="宋体" w:hAnsi="宋体" w:eastAsia="宋体" w:cs="仿宋_GB2312"/>
                <w:color w:val="auto"/>
                <w:kern w:val="2"/>
                <w:sz w:val="24"/>
                <w:szCs w:val="24"/>
                <w:highlight w:val="none"/>
              </w:rPr>
              <w:t>偏离</w:t>
            </w:r>
            <w:bookmarkEnd w:id="100"/>
            <w:bookmarkEnd w:id="101"/>
            <w:bookmarkEnd w:id="102"/>
            <w:bookmarkEnd w:id="103"/>
            <w:bookmarkEnd w:id="104"/>
            <w:bookmarkEnd w:id="105"/>
            <w:bookmarkEnd w:id="106"/>
            <w:bookmarkEnd w:id="107"/>
            <w:bookmarkEnd w:id="108"/>
            <w:bookmarkStart w:id="109" w:name="_Toc173066405"/>
            <w:bookmarkStart w:id="110" w:name="_Toc295404985"/>
            <w:bookmarkStart w:id="111" w:name="_Toc383699910"/>
            <w:bookmarkStart w:id="112" w:name="_Toc254970733"/>
            <w:bookmarkStart w:id="113" w:name="_Toc297193189"/>
            <w:bookmarkStart w:id="114" w:name="_Toc173211904"/>
            <w:bookmarkStart w:id="115" w:name="_Toc254970592"/>
            <w:bookmarkStart w:id="116" w:name="_Toc301781615"/>
            <w:bookmarkStart w:id="117" w:name="_Toc373333693"/>
            <w:r>
              <w:rPr>
                <w:rFonts w:hint="eastAsia" w:ascii="宋体" w:hAnsi="宋体" w:eastAsia="宋体" w:cs="仿宋_GB2312"/>
                <w:color w:val="auto"/>
                <w:kern w:val="2"/>
                <w:sz w:val="24"/>
                <w:szCs w:val="24"/>
                <w:highlight w:val="none"/>
              </w:rPr>
              <w:t>说明</w:t>
            </w:r>
            <w:bookmarkEnd w:id="109"/>
            <w:bookmarkEnd w:id="110"/>
            <w:bookmarkEnd w:id="111"/>
            <w:bookmarkEnd w:id="112"/>
            <w:bookmarkEnd w:id="113"/>
            <w:bookmarkEnd w:id="114"/>
            <w:bookmarkEnd w:id="115"/>
            <w:bookmarkEnd w:id="116"/>
            <w:bookmarkEnd w:id="117"/>
          </w:p>
        </w:tc>
      </w:tr>
      <w:tr w14:paraId="3CD6A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D7F2E5A">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34DA6A08">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59E794AE">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62D72047">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4AC289A6">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0854B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17A6959">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20D00903">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902D89A">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582444FC">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45F9C36">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E6471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800AFAB">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2B1FD7C0">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F9BD723">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97F9D81">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75B40E9A">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40E957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09FF178">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7DAD68CF">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000D540E">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6DB0B68B">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E9C2A24">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4C03A9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726369A">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296FEBA6">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859AD99">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4D2673B0">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7A6FFC3A">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4E9E5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4ED8D46">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118" w:name="_Toc173066415"/>
            <w:bookmarkStart w:id="119" w:name="_Toc297193195"/>
            <w:bookmarkStart w:id="120" w:name="_Toc173211914"/>
            <w:bookmarkStart w:id="121" w:name="_Toc295404991"/>
            <w:bookmarkStart w:id="122" w:name="_Toc254970602"/>
            <w:bookmarkStart w:id="123" w:name="_Toc301781621"/>
            <w:bookmarkStart w:id="124" w:name="_Toc373333699"/>
            <w:bookmarkStart w:id="125" w:name="_Toc254970743"/>
            <w:bookmarkStart w:id="126" w:name="_Toc383699916"/>
            <w:r>
              <w:rPr>
                <w:rFonts w:hint="eastAsia" w:ascii="宋体" w:hAnsi="宋体" w:eastAsia="宋体" w:cs="仿宋_GB2312"/>
                <w:color w:val="auto"/>
                <w:kern w:val="2"/>
                <w:sz w:val="24"/>
                <w:szCs w:val="24"/>
                <w:highlight w:val="none"/>
              </w:rPr>
              <w:t>…</w:t>
            </w:r>
            <w:bookmarkEnd w:id="118"/>
            <w:bookmarkEnd w:id="119"/>
            <w:bookmarkEnd w:id="120"/>
            <w:bookmarkEnd w:id="121"/>
            <w:bookmarkEnd w:id="122"/>
            <w:bookmarkEnd w:id="123"/>
            <w:bookmarkEnd w:id="124"/>
            <w:bookmarkEnd w:id="125"/>
            <w:bookmarkEnd w:id="126"/>
          </w:p>
        </w:tc>
        <w:tc>
          <w:tcPr>
            <w:tcW w:w="915" w:type="dxa"/>
            <w:tcBorders>
              <w:right w:val="single" w:color="auto" w:sz="4" w:space="0"/>
            </w:tcBorders>
            <w:vAlign w:val="center"/>
          </w:tcPr>
          <w:p w14:paraId="7E37AC1D">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6696E5B">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81F8708">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7D1306E6">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1C14D1DF">
      <w:pPr>
        <w:adjustRightInd w:val="0"/>
        <w:spacing w:line="360" w:lineRule="auto"/>
        <w:contextualSpacing/>
        <w:rPr>
          <w:rFonts w:ascii="宋体" w:hAnsi="宋体" w:cs="仿宋_GB2312"/>
          <w:color w:val="auto"/>
          <w:sz w:val="24"/>
          <w:highlight w:val="none"/>
        </w:rPr>
      </w:pPr>
    </w:p>
    <w:p w14:paraId="405511F2">
      <w:pPr>
        <w:pStyle w:val="19"/>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169965E">
      <w:pPr>
        <w:pStyle w:val="19"/>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说明：应对照磋商文件“第三章采购需求”中的技术要求逐条作出明确响应，并作出偏离说明。</w:t>
      </w:r>
    </w:p>
    <w:p w14:paraId="1F6AB279">
      <w:pPr>
        <w:pStyle w:val="19"/>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7C837C78">
      <w:pPr>
        <w:spacing w:line="360" w:lineRule="auto"/>
        <w:ind w:right="-817" w:rightChars="-389"/>
        <w:contextualSpacing/>
        <w:rPr>
          <w:rFonts w:ascii="宋体" w:hAnsi="宋体" w:cs="仿宋_GB2312"/>
          <w:color w:val="auto"/>
          <w:sz w:val="24"/>
          <w:highlight w:val="none"/>
        </w:rPr>
      </w:pPr>
    </w:p>
    <w:p w14:paraId="4AE34FA3">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241BBE98">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47AD361C">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68932E21">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6DBF88E9">
      <w:pPr>
        <w:snapToGrid w:val="0"/>
        <w:spacing w:before="156" w:beforeLines="50" w:after="50"/>
        <w:ind w:left="142"/>
        <w:jc w:val="left"/>
        <w:rPr>
          <w:rFonts w:ascii="宋体" w:hAnsi="宋体"/>
          <w:b/>
          <w:color w:val="auto"/>
          <w:sz w:val="24"/>
          <w:highlight w:val="none"/>
        </w:rPr>
      </w:pPr>
    </w:p>
    <w:p w14:paraId="3C8D62AA">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2777409E">
      <w:pPr>
        <w:pStyle w:val="22"/>
        <w:spacing w:line="360" w:lineRule="auto"/>
        <w:contextualSpacing/>
        <w:rPr>
          <w:color w:val="auto"/>
          <w:sz w:val="24"/>
          <w:szCs w:val="24"/>
          <w:highlight w:val="none"/>
        </w:rPr>
      </w:pPr>
      <w:r>
        <w:rPr>
          <w:rFonts w:hint="eastAsia"/>
          <w:color w:val="auto"/>
          <w:sz w:val="24"/>
          <w:szCs w:val="24"/>
          <w:highlight w:val="none"/>
        </w:rPr>
        <w:t xml:space="preserve">所竞分标： </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786"/>
        <w:gridCol w:w="1888"/>
        <w:gridCol w:w="1577"/>
        <w:gridCol w:w="1887"/>
        <w:gridCol w:w="2047"/>
      </w:tblGrid>
      <w:tr w14:paraId="192F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539CB7A3">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432" w:type="pct"/>
            <w:vAlign w:val="center"/>
          </w:tcPr>
          <w:p w14:paraId="12A5936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038" w:type="pct"/>
            <w:vAlign w:val="center"/>
          </w:tcPr>
          <w:p w14:paraId="5E6DCFF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867" w:type="pct"/>
            <w:vAlign w:val="center"/>
          </w:tcPr>
          <w:p w14:paraId="6E951008">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037" w:type="pct"/>
            <w:vAlign w:val="center"/>
          </w:tcPr>
          <w:p w14:paraId="0B81A241">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1B0E3523">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125" w:type="pct"/>
            <w:vAlign w:val="center"/>
          </w:tcPr>
          <w:p w14:paraId="631C5818">
            <w:pPr>
              <w:spacing w:line="360" w:lineRule="auto"/>
              <w:contextualSpacing/>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lang w:val="en-US" w:eastAsia="zh-CN"/>
              </w:rPr>
              <w:t>备注</w:t>
            </w:r>
          </w:p>
        </w:tc>
      </w:tr>
      <w:tr w14:paraId="45BC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242260BC">
            <w:pPr>
              <w:spacing w:line="360" w:lineRule="auto"/>
              <w:contextualSpacing/>
              <w:jc w:val="center"/>
              <w:rPr>
                <w:rFonts w:ascii="宋体" w:hAnsi="宋体"/>
                <w:color w:val="auto"/>
                <w:sz w:val="24"/>
                <w:szCs w:val="20"/>
                <w:highlight w:val="none"/>
              </w:rPr>
            </w:pPr>
          </w:p>
        </w:tc>
        <w:tc>
          <w:tcPr>
            <w:tcW w:w="432" w:type="pct"/>
            <w:vAlign w:val="center"/>
          </w:tcPr>
          <w:p w14:paraId="2D420A6F">
            <w:pPr>
              <w:spacing w:line="360" w:lineRule="auto"/>
              <w:contextualSpacing/>
              <w:jc w:val="center"/>
              <w:rPr>
                <w:rFonts w:ascii="宋体" w:hAnsi="宋体"/>
                <w:color w:val="auto"/>
                <w:sz w:val="24"/>
                <w:szCs w:val="20"/>
                <w:highlight w:val="none"/>
              </w:rPr>
            </w:pPr>
          </w:p>
        </w:tc>
        <w:tc>
          <w:tcPr>
            <w:tcW w:w="1038" w:type="pct"/>
            <w:vAlign w:val="center"/>
          </w:tcPr>
          <w:p w14:paraId="2562513A">
            <w:pPr>
              <w:spacing w:line="360" w:lineRule="auto"/>
              <w:contextualSpacing/>
              <w:jc w:val="center"/>
              <w:rPr>
                <w:rFonts w:ascii="宋体" w:hAnsi="宋体"/>
                <w:color w:val="auto"/>
                <w:sz w:val="24"/>
                <w:szCs w:val="20"/>
                <w:highlight w:val="none"/>
              </w:rPr>
            </w:pPr>
          </w:p>
        </w:tc>
        <w:tc>
          <w:tcPr>
            <w:tcW w:w="867" w:type="pct"/>
            <w:vAlign w:val="center"/>
          </w:tcPr>
          <w:p w14:paraId="45CFAE34">
            <w:pPr>
              <w:spacing w:line="360" w:lineRule="auto"/>
              <w:contextualSpacing/>
              <w:jc w:val="center"/>
              <w:rPr>
                <w:rFonts w:ascii="宋体" w:hAnsi="宋体"/>
                <w:color w:val="auto"/>
                <w:sz w:val="24"/>
                <w:szCs w:val="20"/>
                <w:highlight w:val="none"/>
              </w:rPr>
            </w:pPr>
          </w:p>
        </w:tc>
        <w:tc>
          <w:tcPr>
            <w:tcW w:w="1037" w:type="pct"/>
            <w:vAlign w:val="center"/>
          </w:tcPr>
          <w:p w14:paraId="0F4037BD">
            <w:pPr>
              <w:spacing w:line="360" w:lineRule="auto"/>
              <w:contextualSpacing/>
              <w:jc w:val="center"/>
              <w:rPr>
                <w:rFonts w:ascii="宋体" w:hAnsi="宋体"/>
                <w:color w:val="auto"/>
                <w:sz w:val="24"/>
                <w:szCs w:val="20"/>
                <w:highlight w:val="none"/>
              </w:rPr>
            </w:pPr>
          </w:p>
        </w:tc>
        <w:tc>
          <w:tcPr>
            <w:tcW w:w="1125" w:type="pct"/>
            <w:vAlign w:val="center"/>
          </w:tcPr>
          <w:p w14:paraId="78071506">
            <w:pPr>
              <w:spacing w:line="360" w:lineRule="auto"/>
              <w:contextualSpacing/>
              <w:jc w:val="center"/>
              <w:rPr>
                <w:rFonts w:ascii="宋体" w:hAnsi="宋体"/>
                <w:color w:val="auto"/>
                <w:sz w:val="24"/>
                <w:szCs w:val="20"/>
                <w:highlight w:val="none"/>
              </w:rPr>
            </w:pPr>
          </w:p>
        </w:tc>
      </w:tr>
      <w:tr w14:paraId="0D38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5E80C6E0">
            <w:pPr>
              <w:spacing w:line="360" w:lineRule="auto"/>
              <w:contextualSpacing/>
              <w:jc w:val="center"/>
              <w:rPr>
                <w:rFonts w:ascii="宋体" w:hAnsi="宋体"/>
                <w:color w:val="auto"/>
                <w:sz w:val="24"/>
                <w:szCs w:val="20"/>
                <w:highlight w:val="none"/>
              </w:rPr>
            </w:pPr>
          </w:p>
        </w:tc>
        <w:tc>
          <w:tcPr>
            <w:tcW w:w="432" w:type="pct"/>
            <w:vAlign w:val="center"/>
          </w:tcPr>
          <w:p w14:paraId="5289555E">
            <w:pPr>
              <w:spacing w:line="360" w:lineRule="auto"/>
              <w:contextualSpacing/>
              <w:jc w:val="center"/>
              <w:rPr>
                <w:rFonts w:ascii="宋体" w:hAnsi="宋体"/>
                <w:color w:val="auto"/>
                <w:sz w:val="24"/>
                <w:szCs w:val="20"/>
                <w:highlight w:val="none"/>
              </w:rPr>
            </w:pPr>
          </w:p>
        </w:tc>
        <w:tc>
          <w:tcPr>
            <w:tcW w:w="1038" w:type="pct"/>
            <w:vAlign w:val="center"/>
          </w:tcPr>
          <w:p w14:paraId="19586B11">
            <w:pPr>
              <w:spacing w:line="360" w:lineRule="auto"/>
              <w:contextualSpacing/>
              <w:jc w:val="center"/>
              <w:rPr>
                <w:rFonts w:ascii="宋体" w:hAnsi="宋体"/>
                <w:color w:val="auto"/>
                <w:sz w:val="24"/>
                <w:szCs w:val="20"/>
                <w:highlight w:val="none"/>
              </w:rPr>
            </w:pPr>
          </w:p>
        </w:tc>
        <w:tc>
          <w:tcPr>
            <w:tcW w:w="867" w:type="pct"/>
            <w:vAlign w:val="center"/>
          </w:tcPr>
          <w:p w14:paraId="11CCCA6D">
            <w:pPr>
              <w:spacing w:line="360" w:lineRule="auto"/>
              <w:contextualSpacing/>
              <w:jc w:val="center"/>
              <w:rPr>
                <w:rFonts w:ascii="宋体" w:hAnsi="宋体"/>
                <w:color w:val="auto"/>
                <w:sz w:val="24"/>
                <w:szCs w:val="20"/>
                <w:highlight w:val="none"/>
              </w:rPr>
            </w:pPr>
          </w:p>
        </w:tc>
        <w:tc>
          <w:tcPr>
            <w:tcW w:w="1037" w:type="pct"/>
            <w:vAlign w:val="center"/>
          </w:tcPr>
          <w:p w14:paraId="5AEF792D">
            <w:pPr>
              <w:spacing w:line="360" w:lineRule="auto"/>
              <w:contextualSpacing/>
              <w:jc w:val="center"/>
              <w:rPr>
                <w:rFonts w:ascii="宋体" w:hAnsi="宋体"/>
                <w:color w:val="auto"/>
                <w:sz w:val="24"/>
                <w:szCs w:val="20"/>
                <w:highlight w:val="none"/>
              </w:rPr>
            </w:pPr>
          </w:p>
        </w:tc>
        <w:tc>
          <w:tcPr>
            <w:tcW w:w="1125" w:type="pct"/>
            <w:vAlign w:val="center"/>
          </w:tcPr>
          <w:p w14:paraId="19536E6E">
            <w:pPr>
              <w:spacing w:line="360" w:lineRule="auto"/>
              <w:contextualSpacing/>
              <w:jc w:val="center"/>
              <w:rPr>
                <w:rFonts w:ascii="宋体" w:hAnsi="宋体"/>
                <w:color w:val="auto"/>
                <w:sz w:val="24"/>
                <w:szCs w:val="20"/>
                <w:highlight w:val="none"/>
              </w:rPr>
            </w:pPr>
          </w:p>
        </w:tc>
      </w:tr>
      <w:tr w14:paraId="13B9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3197C2B4">
            <w:pPr>
              <w:spacing w:line="360" w:lineRule="auto"/>
              <w:contextualSpacing/>
              <w:jc w:val="center"/>
              <w:rPr>
                <w:rFonts w:ascii="宋体" w:hAnsi="宋体"/>
                <w:color w:val="auto"/>
                <w:sz w:val="24"/>
                <w:szCs w:val="20"/>
                <w:highlight w:val="none"/>
              </w:rPr>
            </w:pPr>
          </w:p>
        </w:tc>
        <w:tc>
          <w:tcPr>
            <w:tcW w:w="432" w:type="pct"/>
            <w:vAlign w:val="center"/>
          </w:tcPr>
          <w:p w14:paraId="7A8D6574">
            <w:pPr>
              <w:spacing w:line="360" w:lineRule="auto"/>
              <w:contextualSpacing/>
              <w:jc w:val="center"/>
              <w:rPr>
                <w:rFonts w:ascii="宋体" w:hAnsi="宋体"/>
                <w:color w:val="auto"/>
                <w:sz w:val="24"/>
                <w:szCs w:val="20"/>
                <w:highlight w:val="none"/>
              </w:rPr>
            </w:pPr>
          </w:p>
        </w:tc>
        <w:tc>
          <w:tcPr>
            <w:tcW w:w="1038" w:type="pct"/>
            <w:vAlign w:val="center"/>
          </w:tcPr>
          <w:p w14:paraId="547645FB">
            <w:pPr>
              <w:spacing w:line="360" w:lineRule="auto"/>
              <w:contextualSpacing/>
              <w:jc w:val="center"/>
              <w:rPr>
                <w:rFonts w:ascii="宋体" w:hAnsi="宋体"/>
                <w:color w:val="auto"/>
                <w:sz w:val="24"/>
                <w:szCs w:val="20"/>
                <w:highlight w:val="none"/>
              </w:rPr>
            </w:pPr>
          </w:p>
        </w:tc>
        <w:tc>
          <w:tcPr>
            <w:tcW w:w="867" w:type="pct"/>
            <w:vAlign w:val="center"/>
          </w:tcPr>
          <w:p w14:paraId="253C17F6">
            <w:pPr>
              <w:spacing w:line="360" w:lineRule="auto"/>
              <w:contextualSpacing/>
              <w:jc w:val="center"/>
              <w:rPr>
                <w:rFonts w:ascii="宋体" w:hAnsi="宋体"/>
                <w:color w:val="auto"/>
                <w:sz w:val="24"/>
                <w:szCs w:val="20"/>
                <w:highlight w:val="none"/>
              </w:rPr>
            </w:pPr>
          </w:p>
        </w:tc>
        <w:tc>
          <w:tcPr>
            <w:tcW w:w="1037" w:type="pct"/>
            <w:vAlign w:val="center"/>
          </w:tcPr>
          <w:p w14:paraId="494A1F82">
            <w:pPr>
              <w:spacing w:line="360" w:lineRule="auto"/>
              <w:contextualSpacing/>
              <w:jc w:val="center"/>
              <w:rPr>
                <w:rFonts w:ascii="宋体" w:hAnsi="宋体"/>
                <w:color w:val="auto"/>
                <w:sz w:val="24"/>
                <w:szCs w:val="20"/>
                <w:highlight w:val="none"/>
              </w:rPr>
            </w:pPr>
          </w:p>
        </w:tc>
        <w:tc>
          <w:tcPr>
            <w:tcW w:w="1125" w:type="pct"/>
            <w:vAlign w:val="center"/>
          </w:tcPr>
          <w:p w14:paraId="56716729">
            <w:pPr>
              <w:spacing w:line="360" w:lineRule="auto"/>
              <w:contextualSpacing/>
              <w:jc w:val="center"/>
              <w:rPr>
                <w:rFonts w:ascii="宋体" w:hAnsi="宋体"/>
                <w:color w:val="auto"/>
                <w:sz w:val="24"/>
                <w:szCs w:val="20"/>
                <w:highlight w:val="none"/>
              </w:rPr>
            </w:pPr>
          </w:p>
        </w:tc>
      </w:tr>
    </w:tbl>
    <w:p w14:paraId="68B9B2DA">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4B21B2A9">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在填写时，如本表格不适合供应商的实际情况，可根据自行制表填写。</w:t>
      </w:r>
    </w:p>
    <w:p w14:paraId="487089FA">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1D106B13">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6B50F433">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lang w:val="en-US" w:eastAsia="zh-CN"/>
        </w:rPr>
        <w:t xml:space="preserve">                    </w:t>
      </w:r>
      <w:r>
        <w:rPr>
          <w:rFonts w:hint="eastAsia" w:ascii="宋体" w:hAnsi="宋体"/>
          <w:color w:val="auto"/>
          <w:spacing w:val="20"/>
          <w:sz w:val="24"/>
          <w:highlight w:val="none"/>
        </w:rPr>
        <w:t>日期：</w:t>
      </w:r>
    </w:p>
    <w:p w14:paraId="040C22E0">
      <w:pPr>
        <w:snapToGrid w:val="0"/>
        <w:spacing w:before="50" w:after="156" w:afterLines="50"/>
        <w:jc w:val="left"/>
        <w:rPr>
          <w:rFonts w:ascii="宋体" w:hAnsi="宋体"/>
          <w:color w:val="auto"/>
          <w:sz w:val="24"/>
          <w:szCs w:val="20"/>
          <w:highlight w:val="none"/>
        </w:rPr>
      </w:pPr>
    </w:p>
    <w:p w14:paraId="1A18A459">
      <w:pPr>
        <w:rPr>
          <w:rFonts w:ascii="宋体" w:hAnsi="宋体"/>
          <w:b/>
          <w:color w:val="auto"/>
          <w:sz w:val="24"/>
          <w:highlight w:val="none"/>
        </w:rPr>
      </w:pPr>
      <w:r>
        <w:rPr>
          <w:rFonts w:hint="eastAsia" w:ascii="宋体" w:hAnsi="宋体"/>
          <w:b/>
          <w:color w:val="auto"/>
          <w:sz w:val="24"/>
          <w:highlight w:val="none"/>
        </w:rPr>
        <w:br w:type="page"/>
      </w:r>
    </w:p>
    <w:p w14:paraId="65A150D1">
      <w:pPr>
        <w:pStyle w:val="29"/>
        <w:snapToGrid w:val="0"/>
        <w:ind w:left="482" w:hanging="482"/>
        <w:rPr>
          <w:rFonts w:ascii="宋体" w:hAnsi="宋体"/>
          <w:b/>
          <w:color w:val="auto"/>
          <w:sz w:val="24"/>
          <w:highlight w:val="none"/>
        </w:rPr>
      </w:pPr>
      <w:r>
        <w:rPr>
          <w:rFonts w:hint="eastAsia" w:ascii="宋体" w:hAnsi="宋体"/>
          <w:b/>
          <w:color w:val="auto"/>
          <w:sz w:val="24"/>
          <w:highlight w:val="none"/>
        </w:rPr>
        <w:t xml:space="preserve">供应商业绩情况一览表格式： </w:t>
      </w:r>
    </w:p>
    <w:p w14:paraId="13A23C44">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业绩一览表</w:t>
      </w:r>
    </w:p>
    <w:p w14:paraId="76B4E1A9">
      <w:pPr>
        <w:pStyle w:val="22"/>
        <w:spacing w:line="360" w:lineRule="auto"/>
        <w:contextualSpacing/>
        <w:rPr>
          <w:color w:val="auto"/>
          <w:sz w:val="24"/>
          <w:szCs w:val="24"/>
          <w:highlight w:val="none"/>
        </w:rPr>
      </w:pPr>
      <w:r>
        <w:rPr>
          <w:rFonts w:hint="eastAsia"/>
          <w:color w:val="auto"/>
          <w:sz w:val="24"/>
          <w:szCs w:val="24"/>
          <w:highlight w:val="none"/>
        </w:rPr>
        <w:t xml:space="preserve">所竞分标： </w:t>
      </w:r>
      <w:r>
        <w:rPr>
          <w:color w:val="auto"/>
          <w:sz w:val="24"/>
          <w:szCs w:val="24"/>
          <w:highlight w:val="none"/>
        </w:rPr>
        <w:t xml:space="preserve">  </w:t>
      </w: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4"/>
        <w:gridCol w:w="1888"/>
        <w:gridCol w:w="1888"/>
        <w:gridCol w:w="3045"/>
      </w:tblGrid>
      <w:tr w14:paraId="06399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44D65D60">
            <w:pPr>
              <w:snapToGrid w:val="0"/>
              <w:spacing w:line="240" w:lineRule="auto"/>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C6B6732">
            <w:pPr>
              <w:snapToGrid w:val="0"/>
              <w:spacing w:line="240" w:lineRule="auto"/>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57761E81">
            <w:pPr>
              <w:snapToGrid w:val="0"/>
              <w:spacing w:line="240" w:lineRule="auto"/>
              <w:jc w:val="center"/>
              <w:rPr>
                <w:rFonts w:ascii="宋体" w:hAnsi="宋体"/>
                <w:color w:val="auto"/>
                <w:sz w:val="24"/>
                <w:highlight w:val="none"/>
              </w:rPr>
            </w:pPr>
            <w:r>
              <w:rPr>
                <w:rFonts w:hint="eastAsia" w:ascii="宋体" w:hAnsi="宋体"/>
                <w:color w:val="auto"/>
                <w:sz w:val="24"/>
                <w:highlight w:val="none"/>
              </w:rPr>
              <w:t>合同金额</w:t>
            </w:r>
          </w:p>
          <w:p w14:paraId="762F59B7">
            <w:pPr>
              <w:snapToGrid w:val="0"/>
              <w:spacing w:line="240" w:lineRule="auto"/>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0369AA90">
            <w:pPr>
              <w:snapToGrid w:val="0"/>
              <w:spacing w:line="240" w:lineRule="auto"/>
              <w:jc w:val="center"/>
              <w:rPr>
                <w:rFonts w:ascii="宋体" w:hAnsi="宋体"/>
                <w:color w:val="auto"/>
                <w:sz w:val="24"/>
                <w:highlight w:val="none"/>
              </w:rPr>
            </w:pPr>
            <w:r>
              <w:rPr>
                <w:rFonts w:hint="eastAsia" w:ascii="宋体" w:hAnsi="宋体"/>
                <w:color w:val="auto"/>
                <w:sz w:val="24"/>
                <w:highlight w:val="none"/>
              </w:rPr>
              <w:t>采购人联系人及</w:t>
            </w:r>
          </w:p>
          <w:p w14:paraId="06551CE8">
            <w:pPr>
              <w:snapToGrid w:val="0"/>
              <w:spacing w:line="240" w:lineRule="auto"/>
              <w:jc w:val="center"/>
              <w:rPr>
                <w:rFonts w:ascii="宋体" w:hAnsi="宋体"/>
                <w:color w:val="auto"/>
                <w:sz w:val="24"/>
                <w:highlight w:val="none"/>
              </w:rPr>
            </w:pPr>
            <w:r>
              <w:rPr>
                <w:rFonts w:hint="eastAsia" w:ascii="宋体" w:hAnsi="宋体"/>
                <w:color w:val="auto"/>
                <w:sz w:val="24"/>
                <w:highlight w:val="none"/>
              </w:rPr>
              <w:t>联系电话</w:t>
            </w:r>
          </w:p>
        </w:tc>
      </w:tr>
      <w:tr w14:paraId="3B0F5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73E7AA7A">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2668683E">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0038F15">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6426D8EC">
            <w:pPr>
              <w:jc w:val="left"/>
              <w:rPr>
                <w:rFonts w:ascii="宋体" w:hAnsi="宋体"/>
                <w:color w:val="auto"/>
                <w:sz w:val="24"/>
                <w:highlight w:val="none"/>
              </w:rPr>
            </w:pPr>
          </w:p>
        </w:tc>
      </w:tr>
      <w:tr w14:paraId="1CE93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7B64A113">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24DF637">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71C18BA">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202F3B3">
            <w:pPr>
              <w:snapToGrid w:val="0"/>
              <w:spacing w:line="240" w:lineRule="exact"/>
              <w:jc w:val="left"/>
              <w:rPr>
                <w:rFonts w:ascii="宋体" w:hAnsi="宋体"/>
                <w:color w:val="auto"/>
                <w:sz w:val="24"/>
                <w:highlight w:val="none"/>
              </w:rPr>
            </w:pPr>
          </w:p>
        </w:tc>
      </w:tr>
      <w:tr w14:paraId="0F0D9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1B1C9F6">
            <w:pPr>
              <w:snapToGrid w:val="0"/>
              <w:spacing w:before="50" w:after="156"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648FB24">
            <w:pPr>
              <w:snapToGrid w:val="0"/>
              <w:spacing w:before="50" w:after="156"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8CD8689">
            <w:pPr>
              <w:snapToGrid w:val="0"/>
              <w:spacing w:before="50" w:after="156"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BFCB620">
            <w:pPr>
              <w:snapToGrid w:val="0"/>
              <w:spacing w:before="50" w:after="156" w:afterLines="50" w:line="400" w:lineRule="exact"/>
              <w:jc w:val="left"/>
              <w:rPr>
                <w:rFonts w:ascii="宋体" w:hAnsi="宋体"/>
                <w:color w:val="auto"/>
                <w:sz w:val="24"/>
                <w:highlight w:val="none"/>
              </w:rPr>
            </w:pPr>
          </w:p>
        </w:tc>
      </w:tr>
      <w:tr w14:paraId="285D1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B961BDC">
            <w:pPr>
              <w:snapToGrid w:val="0"/>
              <w:spacing w:before="50" w:after="156"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D49E835">
            <w:pPr>
              <w:snapToGrid w:val="0"/>
              <w:spacing w:before="50" w:after="156"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95D1B82">
            <w:pPr>
              <w:snapToGrid w:val="0"/>
              <w:spacing w:before="50" w:after="156"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A3A922D">
            <w:pPr>
              <w:snapToGrid w:val="0"/>
              <w:spacing w:before="50" w:after="156" w:afterLines="50" w:line="400" w:lineRule="exact"/>
              <w:jc w:val="left"/>
              <w:rPr>
                <w:rFonts w:ascii="宋体" w:hAnsi="宋体"/>
                <w:color w:val="auto"/>
                <w:sz w:val="24"/>
                <w:highlight w:val="none"/>
              </w:rPr>
            </w:pPr>
          </w:p>
        </w:tc>
      </w:tr>
      <w:tr w14:paraId="19442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F6F5EF1">
            <w:pPr>
              <w:snapToGrid w:val="0"/>
              <w:spacing w:before="50" w:after="156"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C8A4638">
            <w:pPr>
              <w:snapToGrid w:val="0"/>
              <w:spacing w:before="50" w:after="156"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A87C905">
            <w:pPr>
              <w:snapToGrid w:val="0"/>
              <w:spacing w:before="50" w:after="156"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497F9D96">
            <w:pPr>
              <w:snapToGrid w:val="0"/>
              <w:spacing w:before="50" w:after="156" w:afterLines="50" w:line="400" w:lineRule="exact"/>
              <w:jc w:val="left"/>
              <w:rPr>
                <w:rFonts w:ascii="宋体" w:hAnsi="宋体"/>
                <w:color w:val="auto"/>
                <w:sz w:val="24"/>
                <w:highlight w:val="none"/>
              </w:rPr>
            </w:pPr>
          </w:p>
        </w:tc>
      </w:tr>
      <w:tr w14:paraId="771D2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9601B48">
            <w:pPr>
              <w:snapToGrid w:val="0"/>
              <w:spacing w:before="50" w:after="156"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88F31D7">
            <w:pPr>
              <w:snapToGrid w:val="0"/>
              <w:spacing w:before="50" w:after="156"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D519D15">
            <w:pPr>
              <w:snapToGrid w:val="0"/>
              <w:spacing w:before="50" w:after="156"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43ED80B">
            <w:pPr>
              <w:snapToGrid w:val="0"/>
              <w:spacing w:before="50" w:after="156" w:afterLines="50" w:line="400" w:lineRule="exact"/>
              <w:jc w:val="left"/>
              <w:rPr>
                <w:rFonts w:ascii="宋体" w:hAnsi="宋体"/>
                <w:color w:val="auto"/>
                <w:sz w:val="24"/>
                <w:highlight w:val="none"/>
              </w:rPr>
            </w:pPr>
          </w:p>
        </w:tc>
      </w:tr>
    </w:tbl>
    <w:p w14:paraId="05D21F59">
      <w:pPr>
        <w:pStyle w:val="16"/>
        <w:contextualSpacing/>
        <w:rPr>
          <w:rFonts w:ascii="宋体" w:hAnsi="宋体" w:eastAsia="宋体"/>
          <w:color w:val="auto"/>
          <w:sz w:val="24"/>
          <w:szCs w:val="24"/>
          <w:highlight w:val="none"/>
        </w:rPr>
      </w:pPr>
    </w:p>
    <w:p w14:paraId="737F53D9">
      <w:pPr>
        <w:pStyle w:val="16"/>
        <w:contextualSpacing/>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lang w:val="en-US" w:eastAsia="zh-CN"/>
        </w:rPr>
        <w:t>供应商</w:t>
      </w:r>
      <w:r>
        <w:rPr>
          <w:rFonts w:hint="eastAsia" w:ascii="宋体" w:hAnsi="宋体"/>
          <w:color w:val="auto"/>
          <w:sz w:val="24"/>
          <w:highlight w:val="none"/>
        </w:rPr>
        <w:t>根据评标标准具体要求附业绩证明材料。</w:t>
      </w:r>
    </w:p>
    <w:p w14:paraId="6B92CDB9">
      <w:pPr>
        <w:pStyle w:val="16"/>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法定代表人（负责人）或者委托代理人（签字或者电子签名）：</w:t>
      </w:r>
      <w:r>
        <w:rPr>
          <w:rFonts w:hint="eastAsia" w:ascii="宋体" w:hAnsi="宋体" w:eastAsia="宋体"/>
          <w:color w:val="auto"/>
          <w:sz w:val="24"/>
          <w:szCs w:val="24"/>
          <w:highlight w:val="none"/>
          <w:u w:val="single"/>
        </w:rPr>
        <w:t>　　　　　</w:t>
      </w:r>
    </w:p>
    <w:p w14:paraId="079F6A82">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供应商名称（电子签章）：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63AF6198">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1D20D037">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4F02E319">
      <w:pPr>
        <w:spacing w:line="360" w:lineRule="auto"/>
        <w:jc w:val="center"/>
        <w:rPr>
          <w:rFonts w:ascii="宋体" w:hAnsi="宋体" w:cs="仿宋_GB2312"/>
          <w:color w:val="auto"/>
          <w:sz w:val="24"/>
          <w:highlight w:val="none"/>
        </w:rPr>
      </w:pPr>
    </w:p>
    <w:p w14:paraId="1162DA41">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D91B0A4">
      <w:pPr>
        <w:pStyle w:val="2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04160968">
      <w:pPr>
        <w:pStyle w:val="22"/>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3E3D5116">
      <w:pPr>
        <w:pStyle w:val="2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6DF784B">
      <w:pPr>
        <w:pStyle w:val="2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2B52D5E5">
      <w:pPr>
        <w:pStyle w:val="22"/>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1313ABA2">
      <w:pPr>
        <w:pStyle w:val="22"/>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7DA1FB06">
      <w:pPr>
        <w:pStyle w:val="2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372123FB">
      <w:pPr>
        <w:pStyle w:val="2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637365EF">
      <w:pPr>
        <w:pStyle w:val="2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74C995BF">
      <w:pPr>
        <w:pStyle w:val="2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655A52D7">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39DD334D">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2A3FFA27">
      <w:pPr>
        <w:pStyle w:val="2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□采购文件采购文件获取日期：</w:t>
      </w:r>
    </w:p>
    <w:p w14:paraId="10480FA7">
      <w:pPr>
        <w:pStyle w:val="2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□采购过程</w:t>
      </w:r>
    </w:p>
    <w:p w14:paraId="6187C5DD">
      <w:pPr>
        <w:pStyle w:val="22"/>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□成交结果</w:t>
      </w:r>
    </w:p>
    <w:p w14:paraId="7255CF00">
      <w:pPr>
        <w:pStyle w:val="22"/>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1409E518">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0635BFC8">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376E4569">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1F4321FC">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457589E8">
      <w:pPr>
        <w:pStyle w:val="22"/>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7CBAAD14">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D14CE3C">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52DAB513">
      <w:pPr>
        <w:pStyle w:val="22"/>
        <w:spacing w:line="360" w:lineRule="auto"/>
        <w:ind w:left="25" w:leftChars="12" w:firstLine="352" w:firstLineChars="147"/>
        <w:contextualSpacing/>
        <w:rPr>
          <w:rFonts w:hAnsi="宋体"/>
          <w:color w:val="auto"/>
          <w:sz w:val="24"/>
          <w:szCs w:val="24"/>
          <w:highlight w:val="none"/>
        </w:rPr>
      </w:pPr>
    </w:p>
    <w:p w14:paraId="5F24A7BC">
      <w:pPr>
        <w:pStyle w:val="2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签字（签章）：公章：</w:t>
      </w:r>
    </w:p>
    <w:p w14:paraId="285ED2FB">
      <w:pPr>
        <w:pStyle w:val="22"/>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231F0205">
      <w:pPr>
        <w:pStyle w:val="22"/>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5204B219">
      <w:pPr>
        <w:pStyle w:val="22"/>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DD59A78">
      <w:pPr>
        <w:pStyle w:val="2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C58ECEA">
      <w:pPr>
        <w:pStyle w:val="2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747E02A">
      <w:pPr>
        <w:pStyle w:val="2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746F65D3">
      <w:pPr>
        <w:pStyle w:val="22"/>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67646D9">
      <w:pPr>
        <w:pStyle w:val="22"/>
        <w:snapToGrid w:val="0"/>
        <w:rPr>
          <w:b/>
          <w:color w:val="auto"/>
          <w:sz w:val="24"/>
          <w:szCs w:val="24"/>
          <w:highlight w:val="none"/>
        </w:rPr>
      </w:pPr>
    </w:p>
    <w:p w14:paraId="6618FDBD">
      <w:pPr>
        <w:rPr>
          <w:color w:val="auto"/>
          <w:sz w:val="32"/>
          <w:szCs w:val="40"/>
          <w:highlight w:val="none"/>
        </w:rPr>
      </w:pPr>
    </w:p>
    <w:p w14:paraId="4561749E">
      <w:pPr>
        <w:rPr>
          <w:color w:val="auto"/>
          <w:sz w:val="32"/>
          <w:szCs w:val="40"/>
          <w:highlight w:val="none"/>
        </w:rPr>
      </w:pPr>
    </w:p>
    <w:p w14:paraId="4C3F8392">
      <w:pPr>
        <w:rPr>
          <w:color w:val="auto"/>
          <w:sz w:val="32"/>
          <w:szCs w:val="40"/>
          <w:highlight w:val="none"/>
        </w:rPr>
      </w:pPr>
    </w:p>
    <w:p w14:paraId="4981E0C7">
      <w:pPr>
        <w:rPr>
          <w:color w:val="auto"/>
          <w:sz w:val="32"/>
          <w:szCs w:val="40"/>
          <w:highlight w:val="none"/>
        </w:rPr>
      </w:pPr>
    </w:p>
    <w:p w14:paraId="41564D3F">
      <w:pPr>
        <w:rPr>
          <w:color w:val="auto"/>
          <w:sz w:val="32"/>
          <w:szCs w:val="40"/>
          <w:highlight w:val="none"/>
        </w:rPr>
      </w:pPr>
    </w:p>
    <w:p w14:paraId="735137BA">
      <w:pPr>
        <w:rPr>
          <w:color w:val="auto"/>
          <w:sz w:val="32"/>
          <w:szCs w:val="40"/>
          <w:highlight w:val="none"/>
        </w:rPr>
      </w:pPr>
    </w:p>
    <w:p w14:paraId="1EC3589E">
      <w:pPr>
        <w:rPr>
          <w:color w:val="auto"/>
          <w:sz w:val="32"/>
          <w:szCs w:val="40"/>
          <w:highlight w:val="none"/>
        </w:rPr>
      </w:pPr>
    </w:p>
    <w:p w14:paraId="71FF41B7">
      <w:pPr>
        <w:rPr>
          <w:color w:val="auto"/>
          <w:sz w:val="32"/>
          <w:szCs w:val="40"/>
          <w:highlight w:val="none"/>
        </w:rPr>
      </w:pPr>
    </w:p>
    <w:p w14:paraId="31ADD65E">
      <w:pPr>
        <w:rPr>
          <w:color w:val="auto"/>
          <w:sz w:val="32"/>
          <w:szCs w:val="40"/>
          <w:highlight w:val="none"/>
        </w:rPr>
      </w:pPr>
    </w:p>
    <w:p w14:paraId="4DB312A7">
      <w:pPr>
        <w:rPr>
          <w:color w:val="auto"/>
          <w:sz w:val="32"/>
          <w:szCs w:val="40"/>
          <w:highlight w:val="none"/>
        </w:rPr>
      </w:pPr>
    </w:p>
    <w:p w14:paraId="3775B554">
      <w:pPr>
        <w:rPr>
          <w:color w:val="auto"/>
          <w:sz w:val="32"/>
          <w:szCs w:val="40"/>
          <w:highlight w:val="none"/>
        </w:rPr>
      </w:pPr>
    </w:p>
    <w:p w14:paraId="0AD1E8F0">
      <w:pPr>
        <w:rPr>
          <w:color w:val="auto"/>
          <w:sz w:val="32"/>
          <w:szCs w:val="40"/>
          <w:highlight w:val="none"/>
        </w:rPr>
      </w:pPr>
    </w:p>
    <w:p w14:paraId="3B996DF8">
      <w:pPr>
        <w:rPr>
          <w:color w:val="auto"/>
          <w:sz w:val="32"/>
          <w:szCs w:val="40"/>
          <w:highlight w:val="none"/>
        </w:rPr>
      </w:pPr>
    </w:p>
    <w:p w14:paraId="04B06D6D">
      <w:pPr>
        <w:rPr>
          <w:color w:val="auto"/>
          <w:sz w:val="32"/>
          <w:szCs w:val="40"/>
          <w:highlight w:val="none"/>
        </w:rPr>
      </w:pPr>
    </w:p>
    <w:p w14:paraId="60751739">
      <w:pPr>
        <w:pStyle w:val="44"/>
        <w:ind w:firstLine="480"/>
        <w:rPr>
          <w:color w:val="auto"/>
          <w:highlight w:val="none"/>
        </w:rPr>
      </w:pPr>
    </w:p>
    <w:p w14:paraId="76824DF4">
      <w:pPr>
        <w:rPr>
          <w:color w:val="auto"/>
          <w:highlight w:val="none"/>
        </w:rPr>
      </w:pPr>
    </w:p>
    <w:p w14:paraId="2150D85D">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3AF22D96">
      <w:pPr>
        <w:pStyle w:val="2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5605784B">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63E12781">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636649CF">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0C54EFB3">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429F4080">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43CBB2AB">
      <w:pPr>
        <w:pStyle w:val="2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30DD3B8B">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2C09CAE0">
      <w:pPr>
        <w:pStyle w:val="2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73C4228B">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5F07C84E">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153EE73F">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14871DF8">
      <w:pPr>
        <w:pStyle w:val="2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67762750">
      <w:pPr>
        <w:pStyle w:val="2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0CC3118F">
      <w:pPr>
        <w:pStyle w:val="2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5D8BAB72">
      <w:pPr>
        <w:pStyle w:val="2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A5DCF84">
      <w:pPr>
        <w:pStyle w:val="2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019B31B2">
      <w:pPr>
        <w:pStyle w:val="2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639E9AB6">
      <w:pPr>
        <w:pStyle w:val="2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67785D09">
      <w:pPr>
        <w:pStyle w:val="2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1650C045">
      <w:pPr>
        <w:pStyle w:val="2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23B5FEAC">
      <w:pPr>
        <w:pStyle w:val="2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3C3770A5">
      <w:pPr>
        <w:pStyle w:val="22"/>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3CC811E9">
      <w:pPr>
        <w:pStyle w:val="22"/>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7B1E9954">
      <w:pPr>
        <w:pStyle w:val="2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79903170">
      <w:pPr>
        <w:pStyle w:val="22"/>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788FCCEF">
      <w:pPr>
        <w:pStyle w:val="22"/>
        <w:spacing w:line="360" w:lineRule="auto"/>
        <w:ind w:firstLine="241"/>
        <w:rPr>
          <w:rFonts w:hAnsi="宋体"/>
          <w:bCs/>
          <w:color w:val="auto"/>
          <w:sz w:val="24"/>
          <w:szCs w:val="24"/>
          <w:highlight w:val="none"/>
          <w:u w:val="single"/>
        </w:rPr>
      </w:pPr>
    </w:p>
    <w:p w14:paraId="281A863B">
      <w:pPr>
        <w:pStyle w:val="22"/>
        <w:spacing w:line="360" w:lineRule="auto"/>
        <w:ind w:firstLine="241"/>
        <w:rPr>
          <w:rFonts w:hAnsi="宋体"/>
          <w:bCs/>
          <w:color w:val="auto"/>
          <w:sz w:val="24"/>
          <w:szCs w:val="24"/>
          <w:highlight w:val="none"/>
          <w:u w:val="single"/>
        </w:rPr>
      </w:pPr>
    </w:p>
    <w:p w14:paraId="378059B3">
      <w:pPr>
        <w:pStyle w:val="22"/>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就质疑事项作出了答复/没有在法定期限内作出答复。</w:t>
      </w:r>
    </w:p>
    <w:p w14:paraId="45D06198">
      <w:pPr>
        <w:pStyle w:val="2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3669D70B">
      <w:pPr>
        <w:pStyle w:val="2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54CE9060">
      <w:pPr>
        <w:pStyle w:val="2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0CB87B9B">
      <w:pPr>
        <w:pStyle w:val="22"/>
        <w:spacing w:line="360" w:lineRule="auto"/>
        <w:ind w:left="25" w:leftChars="12" w:firstLine="472" w:firstLineChars="197"/>
        <w:rPr>
          <w:rFonts w:hAnsi="宋体"/>
          <w:color w:val="auto"/>
          <w:sz w:val="24"/>
          <w:szCs w:val="24"/>
          <w:highlight w:val="none"/>
        </w:rPr>
      </w:pPr>
    </w:p>
    <w:p w14:paraId="0C87B8C2">
      <w:pPr>
        <w:pStyle w:val="2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3C41F771">
      <w:pPr>
        <w:pStyle w:val="22"/>
        <w:spacing w:line="360" w:lineRule="auto"/>
        <w:ind w:left="25" w:leftChars="12" w:firstLine="352" w:firstLineChars="147"/>
        <w:rPr>
          <w:rFonts w:hAnsi="宋体"/>
          <w:bCs/>
          <w:color w:val="auto"/>
          <w:sz w:val="24"/>
          <w:szCs w:val="24"/>
          <w:highlight w:val="none"/>
          <w:u w:val="single"/>
        </w:rPr>
      </w:pPr>
    </w:p>
    <w:p w14:paraId="0E043D2B">
      <w:pPr>
        <w:pStyle w:val="22"/>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5D63B980">
      <w:pPr>
        <w:pStyle w:val="22"/>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3197505A">
      <w:pPr>
        <w:pStyle w:val="2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070F9816">
      <w:pPr>
        <w:pStyle w:val="2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4E85EFAD">
      <w:pPr>
        <w:pStyle w:val="22"/>
        <w:spacing w:line="360" w:lineRule="auto"/>
        <w:ind w:left="25" w:leftChars="12" w:firstLine="352" w:firstLineChars="147"/>
        <w:rPr>
          <w:rFonts w:hAnsi="宋体"/>
          <w:color w:val="auto"/>
          <w:sz w:val="24"/>
          <w:szCs w:val="24"/>
          <w:highlight w:val="none"/>
        </w:rPr>
      </w:pPr>
    </w:p>
    <w:p w14:paraId="69BD72CC">
      <w:pPr>
        <w:pStyle w:val="2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签字（签章）：公章：</w:t>
      </w:r>
    </w:p>
    <w:p w14:paraId="2F71BC79">
      <w:pPr>
        <w:pStyle w:val="22"/>
        <w:spacing w:line="360" w:lineRule="auto"/>
        <w:ind w:left="25" w:leftChars="12" w:firstLine="352" w:firstLineChars="147"/>
        <w:rPr>
          <w:rFonts w:hAnsi="宋体"/>
          <w:color w:val="auto"/>
          <w:sz w:val="24"/>
          <w:szCs w:val="24"/>
          <w:highlight w:val="none"/>
        </w:rPr>
      </w:pPr>
    </w:p>
    <w:p w14:paraId="7DF54EFA">
      <w:pPr>
        <w:pStyle w:val="2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4774C69A">
      <w:pPr>
        <w:pStyle w:val="22"/>
        <w:spacing w:line="360" w:lineRule="auto"/>
        <w:ind w:left="25" w:leftChars="12" w:firstLine="475" w:firstLineChars="197"/>
        <w:rPr>
          <w:rFonts w:hAnsi="宋体"/>
          <w:b/>
          <w:color w:val="auto"/>
          <w:sz w:val="24"/>
          <w:szCs w:val="24"/>
          <w:highlight w:val="none"/>
        </w:rPr>
      </w:pPr>
    </w:p>
    <w:p w14:paraId="4419C2C0">
      <w:pPr>
        <w:pStyle w:val="22"/>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78F894AE">
      <w:pPr>
        <w:pStyle w:val="22"/>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474C3514">
      <w:pPr>
        <w:pStyle w:val="2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009B806">
      <w:pPr>
        <w:pStyle w:val="2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5E6FB3C">
      <w:pPr>
        <w:pStyle w:val="2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76D5FC1E">
      <w:pPr>
        <w:pStyle w:val="2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7EA11037">
      <w:pPr>
        <w:pStyle w:val="22"/>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CF48DF6">
      <w:pPr>
        <w:pStyle w:val="5"/>
        <w:jc w:val="center"/>
        <w:rPr>
          <w:color w:val="auto"/>
          <w:highlight w:val="none"/>
        </w:rPr>
      </w:pPr>
      <w:bookmarkStart w:id="127" w:name="_Toc151675541"/>
      <w:r>
        <w:rPr>
          <w:rFonts w:hint="eastAsia"/>
          <w:color w:val="auto"/>
          <w:highlight w:val="none"/>
        </w:rPr>
        <w:t xml:space="preserve">第六章 </w:t>
      </w:r>
      <w:r>
        <w:rPr>
          <w:color w:val="auto"/>
          <w:highlight w:val="none"/>
        </w:rPr>
        <w:t xml:space="preserve"> </w:t>
      </w:r>
      <w:r>
        <w:rPr>
          <w:rFonts w:hint="eastAsia"/>
          <w:color w:val="auto"/>
          <w:highlight w:val="none"/>
        </w:rPr>
        <w:t>合同文本</w:t>
      </w:r>
      <w:bookmarkEnd w:id="127"/>
    </w:p>
    <w:p w14:paraId="0C9DD521">
      <w:pPr>
        <w:jc w:val="center"/>
        <w:rPr>
          <w:rFonts w:ascii="宋体" w:hAnsi="宋体"/>
          <w:b/>
          <w:bCs/>
          <w:color w:val="auto"/>
          <w:sz w:val="52"/>
          <w:szCs w:val="52"/>
          <w:highlight w:val="none"/>
        </w:rPr>
      </w:pPr>
    </w:p>
    <w:p w14:paraId="3E13C012">
      <w:pPr>
        <w:jc w:val="center"/>
        <w:rPr>
          <w:rFonts w:ascii="宋体" w:hAnsi="宋体"/>
          <w:b/>
          <w:bCs/>
          <w:color w:val="auto"/>
          <w:sz w:val="52"/>
          <w:szCs w:val="52"/>
          <w:highlight w:val="none"/>
        </w:rPr>
      </w:pPr>
      <w:r>
        <w:rPr>
          <w:rFonts w:hint="eastAsia" w:ascii="宋体" w:hAnsi="宋体"/>
          <w:b/>
          <w:bCs/>
          <w:color w:val="auto"/>
          <w:sz w:val="52"/>
          <w:szCs w:val="52"/>
          <w:highlight w:val="none"/>
        </w:rPr>
        <w:t xml:space="preserve"> </w:t>
      </w:r>
    </w:p>
    <w:p w14:paraId="1D19A7BA">
      <w:pPr>
        <w:jc w:val="center"/>
        <w:rPr>
          <w:rFonts w:ascii="宋体" w:hAnsi="宋体"/>
          <w:b/>
          <w:bCs/>
          <w:color w:val="auto"/>
          <w:sz w:val="52"/>
          <w:szCs w:val="52"/>
          <w:highlight w:val="none"/>
        </w:rPr>
      </w:pPr>
      <w:r>
        <w:rPr>
          <w:rFonts w:hint="eastAsia" w:ascii="宋体" w:hAnsi="宋体"/>
          <w:b/>
          <w:bCs/>
          <w:color w:val="auto"/>
          <w:sz w:val="52"/>
          <w:szCs w:val="52"/>
          <w:highlight w:val="none"/>
        </w:rPr>
        <w:t>广西壮族自治区政府采购合同</w:t>
      </w:r>
    </w:p>
    <w:p w14:paraId="424BFA09">
      <w:pPr>
        <w:rPr>
          <w:rFonts w:ascii="宋体" w:hAnsi="宋体"/>
          <w:color w:val="auto"/>
          <w:szCs w:val="21"/>
          <w:highlight w:val="none"/>
        </w:rPr>
      </w:pPr>
      <w:r>
        <w:rPr>
          <w:rFonts w:hint="eastAsia" w:ascii="宋体" w:hAnsi="宋体"/>
          <w:color w:val="auto"/>
          <w:highlight w:val="none"/>
        </w:rPr>
        <w:t xml:space="preserve"> </w:t>
      </w:r>
    </w:p>
    <w:p w14:paraId="124584F9">
      <w:pPr>
        <w:rPr>
          <w:rFonts w:ascii="宋体" w:hAnsi="宋体"/>
          <w:color w:val="auto"/>
          <w:highlight w:val="none"/>
        </w:rPr>
      </w:pPr>
      <w:r>
        <w:rPr>
          <w:rFonts w:hint="eastAsia" w:ascii="宋体" w:hAnsi="宋体"/>
          <w:color w:val="auto"/>
          <w:highlight w:val="none"/>
        </w:rPr>
        <w:t xml:space="preserve"> </w:t>
      </w:r>
    </w:p>
    <w:p w14:paraId="189ECC00">
      <w:pPr>
        <w:rPr>
          <w:rFonts w:ascii="宋体" w:hAnsi="宋体"/>
          <w:color w:val="auto"/>
          <w:highlight w:val="none"/>
        </w:rPr>
      </w:pPr>
      <w:r>
        <w:rPr>
          <w:rFonts w:hint="eastAsia" w:ascii="宋体" w:hAnsi="宋体"/>
          <w:color w:val="auto"/>
          <w:highlight w:val="none"/>
        </w:rPr>
        <w:t xml:space="preserve"> </w:t>
      </w:r>
    </w:p>
    <w:p w14:paraId="5FCFFDA0">
      <w:pPr>
        <w:rPr>
          <w:rFonts w:ascii="宋体" w:hAnsi="宋体"/>
          <w:color w:val="auto"/>
          <w:highlight w:val="none"/>
        </w:rPr>
      </w:pPr>
      <w:r>
        <w:rPr>
          <w:rFonts w:hint="eastAsia" w:ascii="宋体" w:hAnsi="宋体"/>
          <w:color w:val="auto"/>
          <w:highlight w:val="none"/>
        </w:rPr>
        <w:t xml:space="preserve"> </w:t>
      </w:r>
    </w:p>
    <w:p w14:paraId="67DBC673">
      <w:pPr>
        <w:rPr>
          <w:rFonts w:ascii="宋体" w:hAnsi="宋体"/>
          <w:color w:val="auto"/>
          <w:highlight w:val="none"/>
        </w:rPr>
      </w:pPr>
    </w:p>
    <w:p w14:paraId="357350A3">
      <w:pPr>
        <w:rPr>
          <w:rFonts w:ascii="宋体" w:hAnsi="宋体"/>
          <w:color w:val="auto"/>
          <w:highlight w:val="none"/>
        </w:rPr>
      </w:pPr>
      <w:r>
        <w:rPr>
          <w:rFonts w:hint="eastAsia" w:ascii="宋体" w:hAnsi="宋体"/>
          <w:color w:val="auto"/>
          <w:highlight w:val="none"/>
        </w:rPr>
        <w:t xml:space="preserve"> </w:t>
      </w:r>
    </w:p>
    <w:p w14:paraId="4568EBA6">
      <w:pPr>
        <w:rPr>
          <w:rFonts w:ascii="宋体" w:hAnsi="宋体"/>
          <w:color w:val="auto"/>
          <w:highlight w:val="none"/>
        </w:rPr>
      </w:pPr>
      <w:r>
        <w:rPr>
          <w:rFonts w:hint="eastAsia" w:ascii="宋体" w:hAnsi="宋体"/>
          <w:color w:val="auto"/>
          <w:highlight w:val="none"/>
        </w:rPr>
        <w:t xml:space="preserve"> </w:t>
      </w:r>
    </w:p>
    <w:p w14:paraId="43D2C277">
      <w:pPr>
        <w:spacing w:line="360" w:lineRule="auto"/>
        <w:ind w:left="1925" w:leftChars="152" w:hanging="1606" w:hangingChars="50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项目名称：</w:t>
      </w:r>
      <w:r>
        <w:rPr>
          <w:rFonts w:hint="eastAsia" w:ascii="宋体" w:hAnsi="宋体"/>
          <w:b/>
          <w:bCs/>
          <w:color w:val="auto"/>
          <w:sz w:val="32"/>
          <w:szCs w:val="32"/>
          <w:highlight w:val="none"/>
          <w:u w:val="single"/>
          <w:lang w:val="en-US" w:eastAsia="zh-CN"/>
        </w:rPr>
        <w:t xml:space="preserve">                                 </w:t>
      </w:r>
    </w:p>
    <w:p w14:paraId="2A800694">
      <w:pPr>
        <w:spacing w:line="360" w:lineRule="auto"/>
        <w:ind w:firstLine="321" w:firstLineChars="100"/>
        <w:rPr>
          <w:rFonts w:hint="default" w:ascii="宋体" w:hAnsi="宋体" w:eastAsia="宋体"/>
          <w:b/>
          <w:bCs/>
          <w:color w:val="auto"/>
          <w:sz w:val="32"/>
          <w:szCs w:val="32"/>
          <w:highlight w:val="none"/>
          <w:u w:val="single"/>
          <w:lang w:val="en-US" w:eastAsia="zh-CN"/>
        </w:rPr>
      </w:pPr>
      <w:r>
        <w:rPr>
          <w:rFonts w:hint="eastAsia" w:ascii="宋体" w:hAnsi="宋体"/>
          <w:b/>
          <w:bCs/>
          <w:color w:val="auto"/>
          <w:sz w:val="32"/>
          <w:szCs w:val="32"/>
          <w:highlight w:val="none"/>
        </w:rPr>
        <w:t>合同编号：</w:t>
      </w:r>
      <w:r>
        <w:rPr>
          <w:rFonts w:hint="eastAsia" w:ascii="宋体" w:hAnsi="宋体"/>
          <w:b/>
          <w:bCs/>
          <w:color w:val="auto"/>
          <w:sz w:val="32"/>
          <w:szCs w:val="32"/>
          <w:highlight w:val="none"/>
          <w:u w:val="single"/>
          <w:lang w:val="en-US" w:eastAsia="zh-CN"/>
        </w:rPr>
        <w:t xml:space="preserve">                                 </w:t>
      </w:r>
    </w:p>
    <w:p w14:paraId="706CF35B">
      <w:pPr>
        <w:ind w:firstLine="556" w:firstLineChars="265"/>
        <w:jc w:val="center"/>
        <w:rPr>
          <w:rFonts w:ascii="宋体" w:hAnsi="宋体"/>
          <w:color w:val="auto"/>
          <w:szCs w:val="21"/>
          <w:highlight w:val="none"/>
        </w:rPr>
      </w:pPr>
      <w:r>
        <w:rPr>
          <w:rFonts w:hint="eastAsia" w:ascii="宋体" w:hAnsi="宋体"/>
          <w:color w:val="auto"/>
          <w:highlight w:val="none"/>
        </w:rPr>
        <w:t xml:space="preserve"> </w:t>
      </w:r>
    </w:p>
    <w:p w14:paraId="7981B270">
      <w:pPr>
        <w:ind w:firstLine="556" w:firstLineChars="265"/>
        <w:jc w:val="center"/>
        <w:rPr>
          <w:rFonts w:ascii="宋体" w:hAnsi="宋体"/>
          <w:color w:val="auto"/>
          <w:highlight w:val="none"/>
        </w:rPr>
      </w:pPr>
      <w:r>
        <w:rPr>
          <w:rFonts w:hint="eastAsia" w:ascii="宋体" w:hAnsi="宋体"/>
          <w:color w:val="auto"/>
          <w:highlight w:val="none"/>
        </w:rPr>
        <w:t xml:space="preserve"> </w:t>
      </w:r>
    </w:p>
    <w:p w14:paraId="13F2A259">
      <w:pPr>
        <w:ind w:firstLine="556" w:firstLineChars="265"/>
        <w:jc w:val="center"/>
        <w:rPr>
          <w:rFonts w:ascii="宋体" w:hAnsi="宋体"/>
          <w:color w:val="auto"/>
          <w:highlight w:val="none"/>
        </w:rPr>
      </w:pPr>
      <w:r>
        <w:rPr>
          <w:rFonts w:hint="eastAsia" w:ascii="宋体" w:hAnsi="宋体"/>
          <w:color w:val="auto"/>
          <w:highlight w:val="none"/>
        </w:rPr>
        <w:t xml:space="preserve"> </w:t>
      </w:r>
    </w:p>
    <w:p w14:paraId="19EBACB3">
      <w:pPr>
        <w:spacing w:line="340" w:lineRule="exact"/>
        <w:ind w:firstLine="321" w:firstLineChars="100"/>
        <w:rPr>
          <w:rFonts w:ascii="宋体" w:hAnsi="宋体"/>
          <w:b/>
          <w:bCs/>
          <w:color w:val="auto"/>
          <w:sz w:val="32"/>
          <w:szCs w:val="32"/>
          <w:highlight w:val="none"/>
          <w:u w:val="single"/>
        </w:rPr>
      </w:pPr>
      <w:r>
        <w:rPr>
          <w:rFonts w:hint="eastAsia" w:ascii="宋体" w:hAnsi="宋体"/>
          <w:b/>
          <w:bCs/>
          <w:color w:val="auto"/>
          <w:sz w:val="32"/>
          <w:szCs w:val="32"/>
          <w:highlight w:val="none"/>
        </w:rPr>
        <w:t>采购单位（甲方）：</w:t>
      </w:r>
      <w:r>
        <w:rPr>
          <w:rFonts w:hint="eastAsia" w:ascii="宋体" w:hAnsi="宋体"/>
          <w:b/>
          <w:bCs/>
          <w:color w:val="auto"/>
          <w:sz w:val="32"/>
          <w:szCs w:val="32"/>
          <w:highlight w:val="none"/>
          <w:u w:val="single"/>
        </w:rPr>
        <w:t>广西壮族自治区自然资源厅</w:t>
      </w:r>
    </w:p>
    <w:p w14:paraId="49182E98">
      <w:pPr>
        <w:spacing w:line="340" w:lineRule="exact"/>
        <w:ind w:firstLine="851" w:firstLineChars="265"/>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14:paraId="0F08D785">
      <w:pPr>
        <w:spacing w:line="360" w:lineRule="auto"/>
        <w:ind w:firstLine="321" w:firstLineChars="100"/>
        <w:rPr>
          <w:rFonts w:hint="default" w:ascii="宋体" w:hAnsi="宋体" w:eastAsia="宋体"/>
          <w:b/>
          <w:bCs/>
          <w:color w:val="auto"/>
          <w:sz w:val="32"/>
          <w:szCs w:val="32"/>
          <w:highlight w:val="none"/>
          <w:u w:val="single"/>
          <w:lang w:val="en-US" w:eastAsia="zh-CN"/>
        </w:rPr>
      </w:pPr>
      <w:r>
        <w:rPr>
          <w:rFonts w:hint="eastAsia" w:ascii="宋体" w:hAnsi="宋体"/>
          <w:b/>
          <w:bCs/>
          <w:color w:val="auto"/>
          <w:sz w:val="32"/>
          <w:szCs w:val="32"/>
          <w:highlight w:val="none"/>
        </w:rPr>
        <w:t>供 应 商（乙方）：</w:t>
      </w:r>
      <w:r>
        <w:rPr>
          <w:rFonts w:hint="eastAsia" w:ascii="宋体" w:hAnsi="宋体"/>
          <w:b/>
          <w:bCs/>
          <w:color w:val="auto"/>
          <w:sz w:val="32"/>
          <w:szCs w:val="32"/>
          <w:highlight w:val="none"/>
          <w:u w:val="single"/>
          <w:lang w:val="en-US" w:eastAsia="zh-CN"/>
        </w:rPr>
        <w:t xml:space="preserve">                        </w:t>
      </w:r>
    </w:p>
    <w:p w14:paraId="355E8BF4">
      <w:pPr>
        <w:ind w:firstLine="556" w:firstLineChars="265"/>
        <w:jc w:val="center"/>
        <w:rPr>
          <w:rFonts w:ascii="宋体" w:hAnsi="宋体"/>
          <w:color w:val="auto"/>
          <w:szCs w:val="21"/>
          <w:highlight w:val="none"/>
        </w:rPr>
      </w:pPr>
      <w:r>
        <w:rPr>
          <w:rFonts w:hint="eastAsia" w:ascii="宋体" w:hAnsi="宋体"/>
          <w:color w:val="auto"/>
          <w:highlight w:val="none"/>
        </w:rPr>
        <w:t xml:space="preserve"> </w:t>
      </w:r>
    </w:p>
    <w:p w14:paraId="2F0536B9">
      <w:pPr>
        <w:ind w:firstLine="556" w:firstLineChars="265"/>
        <w:jc w:val="center"/>
        <w:rPr>
          <w:rFonts w:ascii="宋体" w:hAnsi="宋体"/>
          <w:color w:val="auto"/>
          <w:highlight w:val="none"/>
        </w:rPr>
      </w:pPr>
      <w:r>
        <w:rPr>
          <w:rFonts w:hint="eastAsia" w:ascii="宋体" w:hAnsi="宋体"/>
          <w:color w:val="auto"/>
          <w:highlight w:val="none"/>
        </w:rPr>
        <w:t xml:space="preserve"> </w:t>
      </w:r>
    </w:p>
    <w:p w14:paraId="04D685C2">
      <w:pPr>
        <w:ind w:firstLine="556" w:firstLineChars="265"/>
        <w:jc w:val="center"/>
        <w:rPr>
          <w:rFonts w:ascii="宋体" w:hAnsi="宋体"/>
          <w:color w:val="auto"/>
          <w:highlight w:val="none"/>
        </w:rPr>
      </w:pPr>
      <w:r>
        <w:rPr>
          <w:rFonts w:hint="eastAsia" w:ascii="宋体" w:hAnsi="宋体"/>
          <w:color w:val="auto"/>
          <w:highlight w:val="none"/>
        </w:rPr>
        <w:t xml:space="preserve"> </w:t>
      </w:r>
    </w:p>
    <w:p w14:paraId="6AF65B34">
      <w:pPr>
        <w:ind w:firstLine="742" w:firstLineChars="265"/>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4FA830FF">
      <w:pPr>
        <w:spacing w:line="340" w:lineRule="exact"/>
        <w:ind w:firstLine="321" w:firstLineChars="100"/>
        <w:rPr>
          <w:rFonts w:ascii="宋体" w:hAnsi="宋体"/>
          <w:b/>
          <w:bCs/>
          <w:color w:val="auto"/>
          <w:sz w:val="32"/>
          <w:szCs w:val="32"/>
          <w:highlight w:val="none"/>
          <w:u w:val="single"/>
        </w:rPr>
      </w:pPr>
      <w:r>
        <w:rPr>
          <w:rFonts w:hint="eastAsia" w:ascii="宋体" w:hAnsi="宋体"/>
          <w:b/>
          <w:bCs/>
          <w:color w:val="auto"/>
          <w:sz w:val="32"/>
          <w:szCs w:val="32"/>
          <w:highlight w:val="none"/>
        </w:rPr>
        <w:t>签订合同地点：</w:t>
      </w:r>
      <w:r>
        <w:rPr>
          <w:rFonts w:hint="eastAsia" w:ascii="宋体" w:hAnsi="宋体"/>
          <w:b/>
          <w:bCs/>
          <w:color w:val="auto"/>
          <w:sz w:val="32"/>
          <w:szCs w:val="32"/>
          <w:highlight w:val="none"/>
          <w:u w:val="single"/>
        </w:rPr>
        <w:t xml:space="preserve"> 广西南宁市青秀区中新路2号 </w:t>
      </w:r>
    </w:p>
    <w:p w14:paraId="5929EF8E">
      <w:pPr>
        <w:spacing w:line="340" w:lineRule="exact"/>
        <w:ind w:firstLine="851" w:firstLineChars="265"/>
        <w:rPr>
          <w:rFonts w:ascii="宋体" w:hAnsi="宋体"/>
          <w:b/>
          <w:bCs/>
          <w:color w:val="auto"/>
          <w:sz w:val="32"/>
          <w:szCs w:val="32"/>
          <w:highlight w:val="none"/>
        </w:rPr>
      </w:pPr>
    </w:p>
    <w:p w14:paraId="3514E04E">
      <w:pPr>
        <w:spacing w:line="340" w:lineRule="exact"/>
        <w:ind w:firstLine="321" w:firstLineChars="100"/>
        <w:rPr>
          <w:rFonts w:ascii="宋体" w:hAnsi="宋体"/>
          <w:b/>
          <w:bCs/>
          <w:color w:val="auto"/>
          <w:sz w:val="32"/>
          <w:szCs w:val="32"/>
          <w:highlight w:val="none"/>
          <w:u w:val="single"/>
        </w:rPr>
      </w:pPr>
      <w:r>
        <w:rPr>
          <w:rFonts w:hint="eastAsia" w:ascii="宋体" w:hAnsi="宋体"/>
          <w:b/>
          <w:bCs/>
          <w:color w:val="auto"/>
          <w:sz w:val="32"/>
          <w:szCs w:val="32"/>
          <w:highlight w:val="none"/>
        </w:rPr>
        <w:t>签订合同时间：</w:t>
      </w:r>
      <w:r>
        <w:rPr>
          <w:rFonts w:hint="eastAsia" w:ascii="宋体" w:hAnsi="宋体"/>
          <w:b/>
          <w:bCs/>
          <w:color w:val="auto"/>
          <w:sz w:val="32"/>
          <w:szCs w:val="32"/>
          <w:highlight w:val="none"/>
          <w:u w:val="single"/>
        </w:rPr>
        <w:t xml:space="preserve">                                </w:t>
      </w:r>
    </w:p>
    <w:p w14:paraId="011997B7">
      <w:pPr>
        <w:jc w:val="center"/>
        <w:rPr>
          <w:rFonts w:ascii="宋体" w:hAnsi="宋体"/>
          <w:color w:val="auto"/>
          <w:szCs w:val="21"/>
          <w:highlight w:val="none"/>
        </w:rPr>
      </w:pPr>
      <w:r>
        <w:rPr>
          <w:rFonts w:hint="eastAsia" w:ascii="宋体" w:hAnsi="宋体"/>
          <w:color w:val="auto"/>
          <w:highlight w:val="none"/>
        </w:rPr>
        <w:t xml:space="preserve"> </w:t>
      </w:r>
    </w:p>
    <w:p w14:paraId="0A1267E6">
      <w:pPr>
        <w:jc w:val="center"/>
        <w:rPr>
          <w:rFonts w:ascii="宋体" w:hAnsi="宋体"/>
          <w:color w:val="auto"/>
          <w:highlight w:val="none"/>
        </w:rPr>
      </w:pPr>
      <w:r>
        <w:rPr>
          <w:rFonts w:hint="eastAsia" w:ascii="宋体" w:hAnsi="宋体"/>
          <w:color w:val="auto"/>
          <w:highlight w:val="none"/>
        </w:rPr>
        <w:t xml:space="preserve"> </w:t>
      </w:r>
    </w:p>
    <w:p w14:paraId="0155F91D">
      <w:pPr>
        <w:jc w:val="center"/>
        <w:rPr>
          <w:rFonts w:ascii="宋体" w:hAnsi="宋体"/>
          <w:color w:val="auto"/>
          <w:highlight w:val="none"/>
        </w:rPr>
      </w:pPr>
      <w:r>
        <w:rPr>
          <w:rFonts w:hint="eastAsia" w:ascii="宋体" w:hAnsi="宋体"/>
          <w:color w:val="auto"/>
          <w:highlight w:val="none"/>
        </w:rPr>
        <w:t xml:space="preserve"> </w:t>
      </w:r>
    </w:p>
    <w:p w14:paraId="1D2B676F">
      <w:pPr>
        <w:jc w:val="center"/>
        <w:rPr>
          <w:rFonts w:ascii="宋体" w:hAnsi="宋体"/>
          <w:color w:val="auto"/>
          <w:highlight w:val="none"/>
        </w:rPr>
      </w:pPr>
      <w:r>
        <w:rPr>
          <w:rFonts w:hint="eastAsia" w:ascii="宋体" w:hAnsi="宋体"/>
          <w:color w:val="auto"/>
          <w:highlight w:val="none"/>
        </w:rPr>
        <w:t xml:space="preserve"> </w:t>
      </w:r>
    </w:p>
    <w:p w14:paraId="57B161B0">
      <w:pPr>
        <w:jc w:val="center"/>
        <w:rPr>
          <w:rFonts w:ascii="宋体" w:hAnsi="Courier New"/>
          <w:color w:val="auto"/>
          <w:highlight w:val="none"/>
        </w:rPr>
      </w:pPr>
      <w:r>
        <w:rPr>
          <w:rFonts w:hint="eastAsia" w:ascii="宋体" w:hAnsi="Courier New"/>
          <w:color w:val="auto"/>
          <w:highlight w:val="none"/>
        </w:rPr>
        <w:t xml:space="preserve"> </w:t>
      </w:r>
    </w:p>
    <w:p w14:paraId="7958A09C">
      <w:pPr>
        <w:jc w:val="center"/>
        <w:rPr>
          <w:rFonts w:ascii="宋体" w:hAnsi="宋体"/>
          <w:color w:val="auto"/>
          <w:highlight w:val="none"/>
        </w:rPr>
      </w:pPr>
      <w:r>
        <w:rPr>
          <w:rFonts w:hint="eastAsia" w:ascii="宋体" w:hAnsi="Courier New"/>
          <w:color w:val="auto"/>
          <w:highlight w:val="none"/>
        </w:rPr>
        <w:br w:type="page"/>
      </w:r>
    </w:p>
    <w:p w14:paraId="6F14854A">
      <w:pPr>
        <w:spacing w:line="300" w:lineRule="auto"/>
        <w:jc w:val="center"/>
        <w:rPr>
          <w:rFonts w:ascii="宋体" w:hAnsi="Courier New"/>
          <w:color w:val="auto"/>
          <w:highlight w:val="none"/>
        </w:rPr>
      </w:pPr>
      <w:r>
        <w:rPr>
          <w:rFonts w:hint="eastAsia" w:ascii="宋体" w:hAnsi="Courier New"/>
          <w:color w:val="auto"/>
          <w:highlight w:val="none"/>
        </w:rPr>
        <w:t xml:space="preserve"> </w:t>
      </w:r>
    </w:p>
    <w:p w14:paraId="28575A1D">
      <w:pPr>
        <w:snapToGrid w:val="0"/>
        <w:spacing w:line="3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0B64EB5A">
      <w:pPr>
        <w:snapToGrid w:val="0"/>
        <w:spacing w:line="360" w:lineRule="exact"/>
        <w:jc w:val="center"/>
        <w:rPr>
          <w:rFonts w:ascii="宋体" w:hAnsi="宋体"/>
          <w:color w:val="auto"/>
          <w:szCs w:val="21"/>
          <w:highlight w:val="none"/>
        </w:rPr>
      </w:pPr>
      <w:r>
        <w:rPr>
          <w:rFonts w:hint="eastAsia" w:ascii="宋体" w:hAnsi="宋体"/>
          <w:color w:val="auto"/>
          <w:highlight w:val="none"/>
        </w:rPr>
        <w:t xml:space="preserve"> </w:t>
      </w:r>
    </w:p>
    <w:p w14:paraId="6C2545C1">
      <w:pPr>
        <w:keepNext w:val="0"/>
        <w:keepLines w:val="0"/>
        <w:pageBreakBefore w:val="0"/>
        <w:widowControl w:val="0"/>
        <w:kinsoku/>
        <w:wordWrap w:val="0"/>
        <w:overflowPunct/>
        <w:topLinePunct w:val="0"/>
        <w:autoSpaceDE/>
        <w:autoSpaceDN/>
        <w:bidi w:val="0"/>
        <w:adjustRightInd/>
        <w:snapToGrid w:val="0"/>
        <w:spacing w:line="360" w:lineRule="exact"/>
        <w:ind w:right="60"/>
        <w:jc w:val="center"/>
        <w:textAlignment w:val="auto"/>
        <w:rPr>
          <w:rFonts w:ascii="宋体" w:hAnsi="宋体"/>
          <w:color w:val="auto"/>
          <w:sz w:val="21"/>
          <w:szCs w:val="21"/>
          <w:highlight w:val="none"/>
          <w:u w:val="singl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合同编号：</w:t>
      </w:r>
    </w:p>
    <w:p w14:paraId="38A1264B">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14:paraId="29874A35">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采购单位（甲方）：</w:t>
      </w:r>
      <w:r>
        <w:rPr>
          <w:rFonts w:hint="eastAsia" w:ascii="宋体" w:hAnsi="宋体" w:cs="宋体"/>
          <w:color w:val="auto"/>
          <w:sz w:val="21"/>
          <w:szCs w:val="21"/>
          <w:highlight w:val="none"/>
          <w:u w:val="single"/>
        </w:rPr>
        <w:t>广西壮族自治区自然资源厅</w:t>
      </w:r>
      <w:r>
        <w:rPr>
          <w:rFonts w:hint="eastAsia" w:ascii="宋体" w:hAnsi="宋体" w:cs="宋体"/>
          <w:color w:val="auto"/>
          <w:sz w:val="21"/>
          <w:szCs w:val="21"/>
          <w:highlight w:val="none"/>
        </w:rPr>
        <w:t xml:space="preserve">            </w:t>
      </w:r>
    </w:p>
    <w:p w14:paraId="1B30FB3B">
      <w:pPr>
        <w:keepNext w:val="0"/>
        <w:keepLines w:val="0"/>
        <w:pageBreakBefore w:val="0"/>
        <w:widowControl w:val="0"/>
        <w:kinsoku/>
        <w:overflowPunct/>
        <w:topLinePunct w:val="0"/>
        <w:autoSpaceDE/>
        <w:autoSpaceDN/>
        <w:bidi w:val="0"/>
        <w:adjustRightInd/>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采购计划号：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464EBAE">
      <w:pPr>
        <w:keepNext w:val="0"/>
        <w:keepLines w:val="0"/>
        <w:pageBreakBefore w:val="0"/>
        <w:widowControl w:val="0"/>
        <w:kinsoku/>
        <w:overflowPunct/>
        <w:topLinePunct w:val="0"/>
        <w:autoSpaceDE/>
        <w:autoSpaceDN/>
        <w:bidi w:val="0"/>
        <w:adjustRightInd/>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供应商（乙方）：</w:t>
      </w:r>
      <w:r>
        <w:rPr>
          <w:rFonts w:hint="eastAsia" w:ascii="宋体" w:hAnsi="宋体" w:cs="宋体"/>
          <w:color w:val="auto"/>
          <w:sz w:val="21"/>
          <w:szCs w:val="21"/>
          <w:highlight w:val="none"/>
          <w:u w:val="single"/>
          <w:lang w:val="en-US" w:eastAsia="zh-CN"/>
        </w:rPr>
        <w:t xml:space="preserve">                       </w:t>
      </w:r>
    </w:p>
    <w:p w14:paraId="2D5345E8">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标项号及标项名称：</w:t>
      </w:r>
      <w:r>
        <w:rPr>
          <w:rFonts w:hint="eastAsia" w:ascii="宋体" w:hAnsi="宋体" w:cs="宋体"/>
          <w:color w:val="auto"/>
          <w:sz w:val="21"/>
          <w:szCs w:val="21"/>
          <w:highlight w:val="none"/>
          <w:u w:val="single"/>
          <w:lang w:val="en-US" w:eastAsia="zh-CN"/>
        </w:rPr>
        <w:t>分标1：</w:t>
      </w:r>
      <w:r>
        <w:rPr>
          <w:rFonts w:hint="eastAsia" w:ascii="宋体" w:hAnsi="宋体" w:cs="宋体"/>
          <w:color w:val="auto"/>
          <w:sz w:val="21"/>
          <w:szCs w:val="21"/>
          <w:highlight w:val="none"/>
          <w:u w:val="single"/>
          <w:lang w:eastAsia="zh-CN"/>
        </w:rPr>
        <w:t>自治区本级国有土地清查及资产配置综合技术服务</w:t>
      </w:r>
    </w:p>
    <w:p w14:paraId="26077C69">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签订地点 </w:t>
      </w:r>
      <w:r>
        <w:rPr>
          <w:rFonts w:hint="eastAsia" w:ascii="宋体" w:hAnsi="宋体" w:cs="宋体"/>
          <w:color w:val="auto"/>
          <w:sz w:val="21"/>
          <w:szCs w:val="21"/>
          <w:highlight w:val="none"/>
          <w:u w:val="single"/>
        </w:rPr>
        <w:t xml:space="preserve">广西南宁市青秀区中新路2号  </w:t>
      </w:r>
    </w:p>
    <w:p w14:paraId="6B677720">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签订时间 </w:t>
      </w:r>
      <w:r>
        <w:rPr>
          <w:rFonts w:hint="eastAsia" w:ascii="宋体" w:hAnsi="宋体" w:cs="宋体"/>
          <w:color w:val="auto"/>
          <w:sz w:val="21"/>
          <w:szCs w:val="21"/>
          <w:highlight w:val="none"/>
          <w:u w:val="single"/>
        </w:rPr>
        <w:t xml:space="preserve">                  </w:t>
      </w:r>
    </w:p>
    <w:p w14:paraId="7FF959A1">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32B7E85">
      <w:pPr>
        <w:keepNext w:val="0"/>
        <w:keepLines w:val="0"/>
        <w:pageBreakBefore w:val="0"/>
        <w:widowControl w:val="0"/>
        <w:kinsoku/>
        <w:overflowPunct/>
        <w:topLinePunct w:val="0"/>
        <w:autoSpaceDE/>
        <w:autoSpaceDN/>
        <w:bidi w:val="0"/>
        <w:adjustRightIn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根据《中华人民共和国政府采购法》《中华人民共和国民法典》等法律、法规规定，甲乙双方签订本合同。</w:t>
      </w:r>
    </w:p>
    <w:p w14:paraId="194079E3">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第一条 合同标的</w:t>
      </w:r>
    </w:p>
    <w:p w14:paraId="2A740BC2">
      <w:pPr>
        <w:keepNext w:val="0"/>
        <w:keepLines w:val="0"/>
        <w:pageBreakBefore w:val="0"/>
        <w:widowControl w:val="0"/>
        <w:kinsoku/>
        <w:overflowPunct/>
        <w:topLinePunct w:val="0"/>
        <w:autoSpaceDE/>
        <w:autoSpaceDN/>
        <w:bidi w:val="0"/>
        <w:adjustRightInd/>
        <w:snapToGrid w:val="0"/>
        <w:spacing w:line="360" w:lineRule="exact"/>
        <w:ind w:firstLine="420" w:firstLineChars="20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甲方委托乙方提供的技术服务一览表</w:t>
      </w:r>
    </w:p>
    <w:tbl>
      <w:tblPr>
        <w:tblStyle w:val="35"/>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0"/>
        <w:gridCol w:w="4296"/>
        <w:gridCol w:w="456"/>
        <w:gridCol w:w="684"/>
        <w:gridCol w:w="996"/>
        <w:gridCol w:w="876"/>
      </w:tblGrid>
      <w:tr w14:paraId="6029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C5B22BD">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序号</w:t>
            </w:r>
          </w:p>
        </w:tc>
        <w:tc>
          <w:tcPr>
            <w:tcW w:w="900" w:type="dxa"/>
            <w:vAlign w:val="center"/>
          </w:tcPr>
          <w:p w14:paraId="43D5A1FA">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服务名称</w:t>
            </w:r>
          </w:p>
        </w:tc>
        <w:tc>
          <w:tcPr>
            <w:tcW w:w="4296" w:type="dxa"/>
            <w:vAlign w:val="center"/>
          </w:tcPr>
          <w:p w14:paraId="5B79E0B8">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ascii="宋体" w:hAnsi="宋体" w:cs="宋体"/>
                <w:color w:val="auto"/>
                <w:sz w:val="21"/>
                <w:szCs w:val="21"/>
                <w:highlight w:val="none"/>
              </w:rPr>
              <w:t>服务项目要求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或技术参数需求</w:t>
            </w:r>
            <w:r>
              <w:rPr>
                <w:rFonts w:hint="eastAsia" w:ascii="宋体" w:hAnsi="宋体" w:cs="宋体"/>
                <w:color w:val="auto"/>
                <w:sz w:val="21"/>
                <w:szCs w:val="21"/>
                <w:highlight w:val="none"/>
                <w:lang w:eastAsia="zh-CN"/>
              </w:rPr>
              <w:t>）</w:t>
            </w:r>
          </w:p>
        </w:tc>
        <w:tc>
          <w:tcPr>
            <w:tcW w:w="456" w:type="dxa"/>
            <w:vAlign w:val="center"/>
          </w:tcPr>
          <w:p w14:paraId="640AF138">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数量</w:t>
            </w:r>
          </w:p>
        </w:tc>
        <w:tc>
          <w:tcPr>
            <w:tcW w:w="684" w:type="dxa"/>
            <w:vAlign w:val="center"/>
          </w:tcPr>
          <w:p w14:paraId="6B10D2A0">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单位</w:t>
            </w:r>
          </w:p>
        </w:tc>
        <w:tc>
          <w:tcPr>
            <w:tcW w:w="996" w:type="dxa"/>
            <w:vAlign w:val="center"/>
          </w:tcPr>
          <w:p w14:paraId="7573D52E">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单价（元）</w:t>
            </w:r>
          </w:p>
        </w:tc>
        <w:tc>
          <w:tcPr>
            <w:tcW w:w="876" w:type="dxa"/>
            <w:vAlign w:val="center"/>
          </w:tcPr>
          <w:p w14:paraId="1C73822A">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金额（元）</w:t>
            </w:r>
          </w:p>
        </w:tc>
      </w:tr>
      <w:tr w14:paraId="6D4E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E4D7529">
            <w:pPr>
              <w:keepNext w:val="0"/>
              <w:keepLines w:val="0"/>
              <w:pageBreakBefore w:val="0"/>
              <w:widowControl w:val="0"/>
              <w:kinsoku/>
              <w:overflowPunct/>
              <w:topLinePunct w:val="0"/>
              <w:autoSpaceDE/>
              <w:autoSpaceDN/>
              <w:bidi w:val="0"/>
              <w:adjustRightInd/>
              <w:snapToGrid w:val="0"/>
              <w:spacing w:line="360" w:lineRule="exact"/>
              <w:jc w:val="center"/>
              <w:textAlignment w:val="auto"/>
              <w:rPr>
                <w:color w:val="auto"/>
                <w:sz w:val="21"/>
                <w:szCs w:val="21"/>
                <w:highlight w:val="none"/>
              </w:rPr>
            </w:pPr>
            <w:r>
              <w:rPr>
                <w:rFonts w:hint="eastAsia" w:ascii="宋体" w:hAnsi="宋体" w:cs="宋体"/>
                <w:color w:val="auto"/>
                <w:sz w:val="21"/>
                <w:szCs w:val="21"/>
                <w:highlight w:val="none"/>
              </w:rPr>
              <w:t>1</w:t>
            </w:r>
          </w:p>
        </w:tc>
        <w:tc>
          <w:tcPr>
            <w:tcW w:w="900" w:type="dxa"/>
            <w:vAlign w:val="center"/>
          </w:tcPr>
          <w:p w14:paraId="6EFA4DA8">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eastAsia="宋体"/>
                <w:color w:val="auto"/>
                <w:sz w:val="21"/>
                <w:szCs w:val="21"/>
                <w:highlight w:val="none"/>
                <w:lang w:eastAsia="zh-CN"/>
              </w:rPr>
            </w:pPr>
            <w:r>
              <w:rPr>
                <w:rFonts w:hint="eastAsia" w:eastAsia="宋体"/>
                <w:color w:val="auto"/>
                <w:sz w:val="21"/>
                <w:szCs w:val="21"/>
                <w:highlight w:val="none"/>
                <w:lang w:eastAsia="zh-CN"/>
              </w:rPr>
              <w:t>自治区本级国有土地清查及资产配置综合技术服务</w:t>
            </w:r>
          </w:p>
        </w:tc>
        <w:tc>
          <w:tcPr>
            <w:tcW w:w="4296" w:type="dxa"/>
            <w:vAlign w:val="center"/>
          </w:tcPr>
          <w:p w14:paraId="7375293D">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（一）广西本级企事业单位名录及土地资产台账更新</w:t>
            </w:r>
          </w:p>
          <w:p w14:paraId="4EC970B5">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1.结合各单位开发利用自治区本级国有土地的申请、市县使用自治区本级国有土地的情况综合分析，</w:t>
            </w:r>
            <w:r>
              <w:rPr>
                <w:rFonts w:hint="eastAsia" w:ascii="宋体" w:hAnsi="宋体" w:cs="宋体"/>
                <w:color w:val="auto"/>
                <w:szCs w:val="21"/>
                <w:highlight w:val="none"/>
                <w:lang w:val="en-US" w:eastAsia="zh-CN"/>
              </w:rPr>
              <w:t>更新</w:t>
            </w:r>
            <w:r>
              <w:rPr>
                <w:rFonts w:hint="eastAsia" w:ascii="宋体" w:hAnsi="宋体" w:eastAsia="宋体" w:cs="宋体"/>
                <w:color w:val="auto"/>
                <w:szCs w:val="21"/>
                <w:highlight w:val="none"/>
                <w:lang w:eastAsia="zh-CN"/>
              </w:rPr>
              <w:t>自治区本级国有企事业单位名录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自治区本级国有土地资产管理台账，并收集整理</w:t>
            </w:r>
            <w:r>
              <w:rPr>
                <w:rFonts w:hint="eastAsia" w:ascii="宋体" w:hAnsi="宋体" w:cs="宋体"/>
                <w:color w:val="auto"/>
                <w:szCs w:val="21"/>
                <w:highlight w:val="none"/>
                <w:lang w:val="en-US" w:eastAsia="zh-CN"/>
              </w:rPr>
              <w:t>相关</w:t>
            </w:r>
            <w:r>
              <w:rPr>
                <w:rFonts w:hint="eastAsia" w:ascii="宋体" w:hAnsi="宋体" w:eastAsia="宋体" w:cs="宋体"/>
                <w:color w:val="auto"/>
                <w:szCs w:val="21"/>
                <w:highlight w:val="none"/>
                <w:lang w:eastAsia="zh-CN"/>
              </w:rPr>
              <w:t>佐证材料。</w:t>
            </w:r>
          </w:p>
          <w:p w14:paraId="083C2BCA">
            <w:pPr>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.协助指导各市县人民政府和土地管理单位做好权属纠纷调处和被侵占整治工作。</w:t>
            </w:r>
          </w:p>
          <w:p w14:paraId="27BC4723">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（二）自治区本级土地矢量化综合技术服务</w:t>
            </w:r>
          </w:p>
          <w:p w14:paraId="1306426F">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1.持续完善自治区本级国有土地矢量数据库，</w:t>
            </w:r>
            <w:r>
              <w:rPr>
                <w:rFonts w:hint="eastAsia" w:ascii="宋体" w:hAnsi="宋体" w:cs="宋体"/>
                <w:color w:val="auto"/>
                <w:szCs w:val="21"/>
                <w:highlight w:val="none"/>
                <w:lang w:val="en-US" w:eastAsia="zh-CN"/>
              </w:rPr>
              <w:t>核实已入库自治区本级国有土地准确性</w:t>
            </w:r>
            <w:r>
              <w:rPr>
                <w:rFonts w:hint="eastAsia" w:ascii="宋体" w:hAnsi="宋体" w:eastAsia="宋体" w:cs="宋体"/>
                <w:color w:val="auto"/>
                <w:szCs w:val="21"/>
                <w:highlight w:val="none"/>
                <w:lang w:eastAsia="zh-CN"/>
              </w:rPr>
              <w:t>。</w:t>
            </w:r>
          </w:p>
          <w:p w14:paraId="48949FB4">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2.根据</w:t>
            </w:r>
            <w:r>
              <w:rPr>
                <w:rFonts w:hint="eastAsia" w:ascii="宋体" w:hAnsi="宋体" w:cs="宋体"/>
                <w:color w:val="auto"/>
                <w:szCs w:val="21"/>
                <w:highlight w:val="none"/>
                <w:lang w:val="en-US" w:eastAsia="zh-CN"/>
              </w:rPr>
              <w:t>自治区本级国有土地资产</w:t>
            </w:r>
            <w:r>
              <w:rPr>
                <w:rFonts w:hint="eastAsia" w:ascii="宋体" w:hAnsi="宋体" w:eastAsia="宋体" w:cs="宋体"/>
                <w:color w:val="auto"/>
                <w:szCs w:val="21"/>
                <w:highlight w:val="none"/>
                <w:lang w:eastAsia="zh-CN"/>
              </w:rPr>
              <w:t>变化情况，动态更新自治区本级国有土地矢量数据库。</w:t>
            </w:r>
          </w:p>
          <w:p w14:paraId="524D8F65">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3.结合</w:t>
            </w:r>
            <w:r>
              <w:rPr>
                <w:rFonts w:hint="eastAsia" w:ascii="宋体" w:hAnsi="宋体" w:cs="宋体"/>
                <w:color w:val="auto"/>
                <w:szCs w:val="21"/>
                <w:highlight w:val="none"/>
                <w:lang w:val="en-US" w:eastAsia="zh-CN"/>
              </w:rPr>
              <w:t>自治区</w:t>
            </w:r>
            <w:r>
              <w:rPr>
                <w:rFonts w:hint="eastAsia" w:ascii="宋体" w:hAnsi="宋体" w:eastAsia="宋体" w:cs="宋体"/>
                <w:color w:val="auto"/>
                <w:szCs w:val="21"/>
                <w:highlight w:val="none"/>
                <w:lang w:eastAsia="zh-CN"/>
              </w:rPr>
              <w:t>本级企事业单位名录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国有土地</w:t>
            </w:r>
            <w:r>
              <w:rPr>
                <w:rFonts w:hint="eastAsia" w:ascii="宋体" w:hAnsi="宋体" w:cs="宋体"/>
                <w:color w:val="auto"/>
                <w:szCs w:val="21"/>
                <w:highlight w:val="none"/>
                <w:lang w:val="en-US" w:eastAsia="zh-CN"/>
              </w:rPr>
              <w:t>资产台账及</w:t>
            </w:r>
            <w:r>
              <w:rPr>
                <w:rFonts w:hint="eastAsia" w:ascii="宋体" w:hAnsi="宋体" w:eastAsia="宋体" w:cs="宋体"/>
                <w:color w:val="auto"/>
                <w:szCs w:val="21"/>
                <w:highlight w:val="none"/>
                <w:lang w:eastAsia="zh-CN"/>
              </w:rPr>
              <w:t>矢量数据库</w:t>
            </w:r>
            <w:r>
              <w:rPr>
                <w:rFonts w:hint="eastAsia" w:ascii="宋体" w:hAnsi="宋体" w:cs="宋体"/>
                <w:color w:val="auto"/>
                <w:szCs w:val="21"/>
                <w:highlight w:val="none"/>
                <w:lang w:val="en-US" w:eastAsia="zh-CN"/>
              </w:rPr>
              <w:t>更新情况</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提出</w:t>
            </w:r>
            <w:r>
              <w:rPr>
                <w:rFonts w:hint="eastAsia" w:ascii="宋体" w:hAnsi="宋体" w:eastAsia="宋体" w:cs="宋体"/>
                <w:color w:val="auto"/>
                <w:szCs w:val="21"/>
                <w:highlight w:val="none"/>
                <w:lang w:eastAsia="zh-CN"/>
              </w:rPr>
              <w:t>完善广西全民所有自然资源资产管理信息系统中自治区本级国有土地管理模块</w:t>
            </w:r>
            <w:r>
              <w:rPr>
                <w:rFonts w:hint="eastAsia" w:ascii="宋体" w:hAnsi="宋体" w:cs="宋体"/>
                <w:color w:val="auto"/>
                <w:szCs w:val="21"/>
                <w:highlight w:val="none"/>
                <w:lang w:val="en-US" w:eastAsia="zh-CN"/>
              </w:rPr>
              <w:t>功能需求</w:t>
            </w:r>
            <w:r>
              <w:rPr>
                <w:rFonts w:hint="eastAsia" w:ascii="宋体" w:hAnsi="宋体" w:eastAsia="宋体" w:cs="宋体"/>
                <w:color w:val="auto"/>
                <w:szCs w:val="21"/>
                <w:highlight w:val="none"/>
                <w:lang w:eastAsia="zh-CN"/>
              </w:rPr>
              <w:t>。</w:t>
            </w:r>
          </w:p>
          <w:p w14:paraId="3A318D56">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（三）全民所有自然资源资产配置方案和实施计划研究和实践-以南宁为例</w:t>
            </w:r>
          </w:p>
          <w:p w14:paraId="3806C747">
            <w:pPr>
              <w:spacing w:line="36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1.收集整理</w:t>
            </w:r>
            <w:r>
              <w:rPr>
                <w:rFonts w:hint="eastAsia" w:ascii="宋体" w:hAnsi="宋体" w:cs="宋体"/>
                <w:color w:val="auto"/>
                <w:szCs w:val="21"/>
                <w:highlight w:val="none"/>
                <w:lang w:val="en-US" w:eastAsia="zh-CN"/>
              </w:rPr>
              <w:t>南宁市自然资源资产分布、权属、利用状况等情况，分析南宁市自然资源资产开发利用情况。</w:t>
            </w:r>
          </w:p>
          <w:p w14:paraId="7F86F121">
            <w:pPr>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cs="宋体"/>
                <w:color w:val="auto"/>
                <w:szCs w:val="21"/>
                <w:highlight w:val="none"/>
                <w:lang w:val="en-US" w:eastAsia="zh-CN"/>
              </w:rPr>
              <w:t>结合南宁市自然资源资产开发利用情况，统筹谋划南宁市自然资源资产</w:t>
            </w:r>
            <w:r>
              <w:rPr>
                <w:rFonts w:hint="eastAsia" w:ascii="宋体" w:hAnsi="宋体" w:eastAsia="宋体" w:cs="宋体"/>
                <w:color w:val="auto"/>
                <w:szCs w:val="21"/>
                <w:highlight w:val="none"/>
                <w:lang w:eastAsia="zh-CN"/>
              </w:rPr>
              <w:t>整备、配置以及权利流转、价值实现、收益分配、经营模式等重要内容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划定</w:t>
            </w:r>
            <w:r>
              <w:rPr>
                <w:rFonts w:hint="eastAsia" w:ascii="宋体" w:hAnsi="宋体" w:cs="宋体"/>
                <w:color w:val="auto"/>
                <w:szCs w:val="21"/>
                <w:highlight w:val="none"/>
                <w:lang w:val="en-US" w:eastAsia="zh-CN"/>
              </w:rPr>
              <w:t>南宁市自然资源资产</w:t>
            </w:r>
            <w:r>
              <w:rPr>
                <w:rFonts w:hint="eastAsia" w:ascii="宋体" w:hAnsi="宋体" w:eastAsia="宋体" w:cs="宋体"/>
                <w:color w:val="auto"/>
                <w:szCs w:val="21"/>
                <w:highlight w:val="none"/>
                <w:lang w:eastAsia="zh-CN"/>
              </w:rPr>
              <w:t>整备片区和配置单元。</w:t>
            </w:r>
          </w:p>
          <w:p w14:paraId="4EC54B0E">
            <w:pPr>
              <w:spacing w:line="360" w:lineRule="exact"/>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3.</w:t>
            </w:r>
            <w:r>
              <w:rPr>
                <w:rFonts w:hint="eastAsia" w:ascii="宋体" w:hAnsi="宋体" w:cs="宋体"/>
                <w:color w:val="auto"/>
                <w:szCs w:val="21"/>
                <w:highlight w:val="none"/>
                <w:lang w:val="en-US" w:eastAsia="zh-CN"/>
              </w:rPr>
              <w:t>研究</w:t>
            </w:r>
            <w:r>
              <w:rPr>
                <w:rFonts w:hint="eastAsia" w:ascii="宋体" w:hAnsi="宋体" w:eastAsia="宋体" w:cs="宋体"/>
                <w:color w:val="auto"/>
                <w:szCs w:val="21"/>
                <w:highlight w:val="none"/>
                <w:lang w:eastAsia="zh-CN"/>
              </w:rPr>
              <w:t>细化自然资源资产配置的时序、方式、规模、用途、权益等</w:t>
            </w:r>
            <w:r>
              <w:rPr>
                <w:rFonts w:hint="eastAsia" w:ascii="宋体" w:hAnsi="宋体" w:cs="宋体"/>
                <w:color w:val="auto"/>
                <w:szCs w:val="21"/>
                <w:highlight w:val="none"/>
                <w:lang w:eastAsia="zh-CN"/>
              </w:rPr>
              <w:t>。</w:t>
            </w:r>
          </w:p>
          <w:p w14:paraId="487D2A1B">
            <w:pPr>
              <w:keepNext w:val="0"/>
              <w:keepLines w:val="0"/>
              <w:pageBreakBefore w:val="0"/>
              <w:widowControl w:val="0"/>
              <w:kinsoku/>
              <w:overflowPunct/>
              <w:topLinePunct w:val="0"/>
              <w:autoSpaceDE/>
              <w:autoSpaceDN/>
              <w:bidi w:val="0"/>
              <w:adjustRightInd/>
              <w:snapToGrid w:val="0"/>
              <w:spacing w:line="360" w:lineRule="exact"/>
              <w:textAlignment w:val="auto"/>
              <w:rPr>
                <w:color w:val="auto"/>
                <w:sz w:val="21"/>
                <w:szCs w:val="21"/>
                <w:highlight w:val="none"/>
              </w:rPr>
            </w:pPr>
            <w:r>
              <w:rPr>
                <w:rFonts w:hint="eastAsia" w:ascii="宋体" w:hAnsi="宋体" w:cs="宋体"/>
                <w:color w:val="auto"/>
                <w:szCs w:val="21"/>
                <w:highlight w:val="none"/>
                <w:lang w:val="en-US" w:eastAsia="zh-CN"/>
              </w:rPr>
              <w:t>4.配合</w:t>
            </w:r>
            <w:r>
              <w:rPr>
                <w:rFonts w:hint="eastAsia" w:ascii="宋体" w:hAnsi="宋体" w:eastAsia="宋体" w:cs="宋体"/>
                <w:color w:val="auto"/>
                <w:szCs w:val="21"/>
                <w:highlight w:val="none"/>
                <w:lang w:eastAsia="zh-CN"/>
              </w:rPr>
              <w:t>编制《全民所有自然资源资产配置方案—以南宁市为例》。</w:t>
            </w:r>
          </w:p>
        </w:tc>
        <w:tc>
          <w:tcPr>
            <w:tcW w:w="456" w:type="dxa"/>
            <w:vAlign w:val="center"/>
          </w:tcPr>
          <w:p w14:paraId="77C8E36F">
            <w:pPr>
              <w:keepNext w:val="0"/>
              <w:keepLines w:val="0"/>
              <w:pageBreakBefore w:val="0"/>
              <w:widowControl w:val="0"/>
              <w:kinsoku/>
              <w:overflowPunct/>
              <w:topLinePunct w:val="0"/>
              <w:autoSpaceDE/>
              <w:autoSpaceDN/>
              <w:bidi w:val="0"/>
              <w:adjustRightInd/>
              <w:snapToGrid w:val="0"/>
              <w:spacing w:line="360" w:lineRule="exact"/>
              <w:jc w:val="center"/>
              <w:textAlignment w:val="auto"/>
              <w:rPr>
                <w:color w:val="auto"/>
                <w:sz w:val="21"/>
                <w:szCs w:val="21"/>
                <w:highlight w:val="none"/>
              </w:rPr>
            </w:pPr>
            <w:r>
              <w:rPr>
                <w:rFonts w:hint="eastAsia" w:ascii="宋体" w:hAnsi="宋体" w:cs="宋体"/>
                <w:color w:val="auto"/>
                <w:sz w:val="21"/>
                <w:szCs w:val="21"/>
                <w:highlight w:val="none"/>
              </w:rPr>
              <w:t>1</w:t>
            </w:r>
          </w:p>
        </w:tc>
        <w:tc>
          <w:tcPr>
            <w:tcW w:w="684" w:type="dxa"/>
            <w:vAlign w:val="center"/>
          </w:tcPr>
          <w:p w14:paraId="1A4BB76C">
            <w:pPr>
              <w:keepNext w:val="0"/>
              <w:keepLines w:val="0"/>
              <w:pageBreakBefore w:val="0"/>
              <w:widowControl w:val="0"/>
              <w:kinsoku/>
              <w:overflowPunct/>
              <w:topLinePunct w:val="0"/>
              <w:autoSpaceDE/>
              <w:autoSpaceDN/>
              <w:bidi w:val="0"/>
              <w:adjustRightInd/>
              <w:snapToGrid w:val="0"/>
              <w:spacing w:line="360" w:lineRule="exact"/>
              <w:jc w:val="center"/>
              <w:textAlignment w:val="auto"/>
              <w:rPr>
                <w:color w:val="auto"/>
                <w:sz w:val="21"/>
                <w:szCs w:val="21"/>
                <w:highlight w:val="none"/>
              </w:rPr>
            </w:pPr>
            <w:r>
              <w:rPr>
                <w:rFonts w:hint="eastAsia" w:ascii="宋体" w:hAnsi="宋体" w:cs="宋体"/>
                <w:color w:val="auto"/>
                <w:sz w:val="21"/>
                <w:szCs w:val="21"/>
                <w:highlight w:val="none"/>
              </w:rPr>
              <w:t>项</w:t>
            </w:r>
          </w:p>
        </w:tc>
        <w:tc>
          <w:tcPr>
            <w:tcW w:w="996" w:type="dxa"/>
            <w:vAlign w:val="center"/>
          </w:tcPr>
          <w:p w14:paraId="08D86691">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int="default" w:eastAsia="宋体"/>
                <w:color w:val="auto"/>
                <w:sz w:val="21"/>
                <w:szCs w:val="21"/>
                <w:highlight w:val="none"/>
                <w:lang w:val="en-US" w:eastAsia="zh-CN"/>
              </w:rPr>
            </w:pPr>
          </w:p>
        </w:tc>
        <w:tc>
          <w:tcPr>
            <w:tcW w:w="876" w:type="dxa"/>
            <w:vAlign w:val="center"/>
          </w:tcPr>
          <w:p w14:paraId="4F22DB9F">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int="default" w:eastAsia="宋体"/>
                <w:color w:val="auto"/>
                <w:sz w:val="21"/>
                <w:szCs w:val="21"/>
                <w:highlight w:val="none"/>
                <w:lang w:val="en-US" w:eastAsia="zh-CN"/>
              </w:rPr>
            </w:pPr>
          </w:p>
        </w:tc>
      </w:tr>
      <w:tr w14:paraId="6081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gridSpan w:val="7"/>
          </w:tcPr>
          <w:p w14:paraId="1D84C27E">
            <w:pPr>
              <w:pStyle w:val="24"/>
              <w:keepNext w:val="0"/>
              <w:keepLines w:val="0"/>
              <w:pageBreakBefore w:val="0"/>
              <w:widowControl w:val="0"/>
              <w:kinsoku/>
              <w:overflowPunct/>
              <w:topLinePunct w:val="0"/>
              <w:autoSpaceDE/>
              <w:autoSpaceDN/>
              <w:bidi w:val="0"/>
              <w:adjustRightInd/>
              <w:spacing w:after="0" w:line="360" w:lineRule="exact"/>
              <w:ind w:left="0" w:leftChars="0"/>
              <w:textAlignment w:val="auto"/>
              <w:rPr>
                <w:color w:val="auto"/>
                <w:sz w:val="21"/>
                <w:szCs w:val="21"/>
                <w:highlight w:val="none"/>
              </w:rPr>
            </w:pPr>
            <w:r>
              <w:rPr>
                <w:rFonts w:hint="eastAsia" w:ascii="宋体" w:hAnsi="宋体" w:cs="宋体"/>
                <w:color w:val="auto"/>
                <w:sz w:val="21"/>
                <w:szCs w:val="21"/>
                <w:highlight w:val="none"/>
              </w:rPr>
              <w:t>合同总价（大写）：人民币</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（小写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p>
        </w:tc>
      </w:tr>
    </w:tbl>
    <w:p w14:paraId="6D27930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本合同价款采用固定总价方式确定。合同总价包括完成本项目采购要求所产生的全部费用及税费，甲方不再另行向乙方支付其他任何费用。</w:t>
      </w:r>
    </w:p>
    <w:p w14:paraId="0530C8A0">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第二条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质量保证</w:t>
      </w:r>
    </w:p>
    <w:p w14:paraId="0A005B40">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1、乙方所提供的服务内容、技术规格、技术参数等质量必须与承诺相一致，提交项目成果一式三份。</w:t>
      </w:r>
    </w:p>
    <w:p w14:paraId="3E6DB2CF">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2、乙方所提供的服务各项指标均应达到质量要求，并组织进行专家验收，验收费用由乙方承担，如验收不通过，需按专家意见重新修改后再次组织专家评审。</w:t>
      </w:r>
    </w:p>
    <w:p w14:paraId="5F60F53E">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第三条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权利保证</w:t>
      </w:r>
    </w:p>
    <w:p w14:paraId="6503497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1、乙方应保证所提供服务成果（或其任何一部分）在使用时不会侵犯任何第三方的专利权、商标权、著作权、工业设计权或其他权利。</w:t>
      </w:r>
    </w:p>
    <w:p w14:paraId="623885F4">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2、乙方在甲方已按规定时间（合同签订后一个月内）提供必要数据资料的前提下应按合同约定的时间向甲方提交服务成果。</w:t>
      </w:r>
    </w:p>
    <w:p w14:paraId="5CFE975C">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第八条第5款承担违约责任。本合同终止后本保密条款继续有效。</w:t>
      </w:r>
    </w:p>
    <w:p w14:paraId="06EF0AED">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4、没有甲方同意，乙方不得将涉及服务成果的相关文本、表格、图件等资料提供任何其他人使用。</w:t>
      </w:r>
    </w:p>
    <w:p w14:paraId="791351C1">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5、如乙方所交付的服务成果侵犯第三人合法权益的，视为乙方违约，乙方应向甲方支付合同总价 5%的违约金，若上述违约金不足以弥补甲方的损失的，乙方应另行赔偿。</w:t>
      </w:r>
    </w:p>
    <w:p w14:paraId="6DA14C8D">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eastAsia" w:eastAsia="黑体"/>
          <w:color w:val="auto"/>
          <w:sz w:val="21"/>
          <w:szCs w:val="21"/>
          <w:highlight w:val="none"/>
          <w:lang w:val="en-US" w:eastAsia="zh-CN"/>
        </w:rPr>
      </w:pPr>
      <w:r>
        <w:rPr>
          <w:rFonts w:hint="eastAsia" w:ascii="宋体" w:hAnsi="宋体" w:cs="宋体"/>
          <w:color w:val="auto"/>
          <w:sz w:val="21"/>
          <w:szCs w:val="21"/>
          <w:highlight w:val="none"/>
        </w:rPr>
        <w:t>6.乙方配合甲方完成绩效考核工作。</w:t>
      </w:r>
    </w:p>
    <w:p w14:paraId="5D27E90D">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7.服务过程中形成的所有知识产权成果归甲方所有。</w:t>
      </w:r>
    </w:p>
    <w:p w14:paraId="4833E873">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第四条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成果交付</w:t>
      </w:r>
    </w:p>
    <w:p w14:paraId="3DBCC6F1">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1、交付时间：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31日</w:t>
      </w:r>
      <w:r>
        <w:rPr>
          <w:rFonts w:hint="eastAsia" w:ascii="宋体" w:hAnsi="宋体" w:cs="宋体"/>
          <w:color w:val="auto"/>
          <w:sz w:val="21"/>
          <w:szCs w:val="21"/>
          <w:highlight w:val="none"/>
          <w:u w:val="single"/>
        </w:rPr>
        <w:t>前，具体时间按甲方的具体要求</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rPr>
        <w:t xml:space="preserve"> 交付地点：</w:t>
      </w:r>
      <w:r>
        <w:rPr>
          <w:rFonts w:hint="eastAsia" w:ascii="宋体" w:hAnsi="宋体" w:cs="宋体"/>
          <w:color w:val="auto"/>
          <w:sz w:val="21"/>
          <w:szCs w:val="21"/>
          <w:highlight w:val="none"/>
          <w:u w:val="single"/>
        </w:rPr>
        <w:t xml:space="preserve">广西南宁市青秀区中新路2号 </w:t>
      </w:r>
      <w:r>
        <w:rPr>
          <w:rFonts w:hint="eastAsia" w:ascii="宋体" w:hAnsi="宋体" w:cs="宋体"/>
          <w:color w:val="auto"/>
          <w:sz w:val="21"/>
          <w:szCs w:val="21"/>
          <w:highlight w:val="none"/>
        </w:rPr>
        <w:t>。</w:t>
      </w:r>
    </w:p>
    <w:p w14:paraId="7C971DF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2、乙方提供不符合本合同规定的服务或服务成果的，甲方有权拒绝接受。</w:t>
      </w:r>
    </w:p>
    <w:p w14:paraId="033C2EF5">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3、乙方必须按承诺的服务响应条款向甲方提供服务及服务成果。</w:t>
      </w:r>
    </w:p>
    <w:p w14:paraId="547031BB">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4、乙方应对提交的服务成果作出全面检查和整理，并列出清单，经甲方确认后，清单应随提交的服务成果交给甲方。</w:t>
      </w:r>
    </w:p>
    <w:p w14:paraId="68CE0F0E">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乙方在指定地点提交服务成果后，甲方应在7个工作日内依据合同约定组织验收。验收合格后由甲乙双方签署服务成果验收单并加盖甲方公章，甲乙双方各执一份。甲方未按约定期限进行验收的，视同乙方交付的服务成果质量合格，符合合同约定。</w:t>
      </w:r>
    </w:p>
    <w:p w14:paraId="5CCEB0C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甲方委托采购代理机构组织验收的项目，其验收时间以该项目验收方案确定的验收时间为准，验收结果以该项目验收报告结论为准。在验收过程中发现乙方有违约问题且未整改完毕的，可暂缓资金结算，待违约问题解决后，方可办理资金结算事宜。</w:t>
      </w:r>
    </w:p>
    <w:p w14:paraId="63BB30D5">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7、甲方对服务成果的质量有异议的，在列出清单后</w:t>
      </w:r>
      <w:r>
        <w:rPr>
          <w:rFonts w:hint="eastAsia" w:ascii="宋体" w:hAnsi="宋体" w:cs="宋体"/>
          <w:color w:val="auto"/>
          <w:sz w:val="21"/>
          <w:szCs w:val="21"/>
          <w:highlight w:val="none"/>
          <w:u w:val="single"/>
        </w:rPr>
        <w:t>5</w:t>
      </w:r>
      <w:r>
        <w:rPr>
          <w:rFonts w:hint="eastAsia" w:ascii="宋体" w:hAnsi="宋体" w:cs="宋体"/>
          <w:color w:val="auto"/>
          <w:sz w:val="21"/>
          <w:szCs w:val="21"/>
          <w:highlight w:val="none"/>
        </w:rPr>
        <w:t>个工作日内以书面形式向乙方提出，乙方应自收到甲方书面异议后</w:t>
      </w:r>
      <w:r>
        <w:rPr>
          <w:rFonts w:hint="eastAsia" w:ascii="宋体" w:hAnsi="宋体" w:cs="宋体"/>
          <w:color w:val="auto"/>
          <w:sz w:val="21"/>
          <w:szCs w:val="21"/>
          <w:highlight w:val="none"/>
          <w:u w:val="single"/>
        </w:rPr>
        <w:t>5</w:t>
      </w:r>
      <w:r>
        <w:rPr>
          <w:rFonts w:hint="eastAsia" w:ascii="宋体" w:hAnsi="宋体" w:cs="宋体"/>
          <w:color w:val="auto"/>
          <w:sz w:val="21"/>
          <w:szCs w:val="21"/>
          <w:highlight w:val="none"/>
        </w:rPr>
        <w:t>个工作日内及时予以解决，乙方必须无条件进行整改、修正，直至甲方验收通过。</w:t>
      </w:r>
    </w:p>
    <w:p w14:paraId="59CDCA69">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第五条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付款方式</w:t>
      </w:r>
    </w:p>
    <w:p w14:paraId="6CBFE264">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1、资金性质：财政资金。</w:t>
      </w:r>
    </w:p>
    <w:p w14:paraId="77EFE4C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2、付款方式：</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双方签署合同后的10个工作日内，采购人向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支付合同总价款的30%；</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w:t>
      </w:r>
      <w:r>
        <w:rPr>
          <w:rFonts w:hint="eastAsia" w:ascii="宋体" w:hAnsi="宋体" w:cs="宋体"/>
          <w:color w:val="auto"/>
          <w:sz w:val="21"/>
          <w:szCs w:val="21"/>
          <w:highlight w:val="none"/>
          <w:lang w:val="en-US" w:eastAsia="zh-CN"/>
        </w:rPr>
        <w:t>要求</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val="en-US" w:eastAsia="zh-CN"/>
        </w:rPr>
        <w:t>《自治区本级国有土地资产管理技术服务工作方案》、《自然资源资产配置方案—以南宁市为例工作方案》</w:t>
      </w:r>
      <w:r>
        <w:rPr>
          <w:rFonts w:hint="eastAsia" w:ascii="宋体" w:hAnsi="宋体" w:cs="宋体"/>
          <w:color w:val="auto"/>
          <w:sz w:val="21"/>
          <w:szCs w:val="21"/>
          <w:highlight w:val="none"/>
        </w:rPr>
        <w:t>，并获得采购人确认后的10个工作日内，采购人向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支付合同总价款的30%；</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按要求完成</w:t>
      </w:r>
      <w:r>
        <w:rPr>
          <w:rFonts w:hint="eastAsia" w:ascii="宋体" w:hAnsi="宋体" w:cs="宋体"/>
          <w:color w:val="auto"/>
          <w:sz w:val="21"/>
          <w:szCs w:val="21"/>
          <w:highlight w:val="none"/>
          <w:lang w:val="en-US" w:eastAsia="zh-CN"/>
        </w:rPr>
        <w:t>2025年自治区本级国有土地矢量数据库、《自然资源资产配置方案—以南宁市为例》初步成果</w:t>
      </w:r>
      <w:r>
        <w:rPr>
          <w:rFonts w:hint="eastAsia" w:ascii="宋体" w:hAnsi="宋体" w:cs="宋体"/>
          <w:color w:val="auto"/>
          <w:sz w:val="21"/>
          <w:szCs w:val="21"/>
          <w:highlight w:val="none"/>
        </w:rPr>
        <w:t>，并获得采购人确认后的10个工作日内，采购人向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支付合同总价款的30%；</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按要求</w:t>
      </w:r>
      <w:r>
        <w:rPr>
          <w:rFonts w:hint="eastAsia" w:ascii="宋体" w:hAnsi="宋体" w:cs="宋体"/>
          <w:color w:val="auto"/>
          <w:sz w:val="21"/>
          <w:szCs w:val="21"/>
          <w:highlight w:val="none"/>
          <w:lang w:val="en-US" w:eastAsia="zh-CN"/>
        </w:rPr>
        <w:t>完成2025年自治区本级国有土地矢量数据库、《自然资源资产配置方案—以南宁市为例》最终成果</w:t>
      </w:r>
      <w:r>
        <w:rPr>
          <w:rFonts w:hint="eastAsia" w:ascii="宋体" w:hAnsi="宋体" w:cs="宋体"/>
          <w:color w:val="auto"/>
          <w:sz w:val="21"/>
          <w:szCs w:val="21"/>
          <w:highlight w:val="none"/>
        </w:rPr>
        <w:t>，提交甲方验收合格</w:t>
      </w:r>
      <w:r>
        <w:rPr>
          <w:rFonts w:hint="eastAsia" w:ascii="宋体" w:hAnsi="宋体" w:cs="宋体"/>
          <w:color w:val="auto"/>
          <w:sz w:val="21"/>
          <w:szCs w:val="21"/>
          <w:highlight w:val="none"/>
          <w:lang w:val="en-US" w:eastAsia="zh-CN"/>
        </w:rPr>
        <w:t>并移交成果数据至厅信息中心</w:t>
      </w:r>
      <w:r>
        <w:rPr>
          <w:rFonts w:hint="eastAsia" w:ascii="宋体" w:hAnsi="宋体" w:cs="宋体"/>
          <w:color w:val="auto"/>
          <w:sz w:val="21"/>
          <w:szCs w:val="21"/>
          <w:highlight w:val="none"/>
        </w:rPr>
        <w:t>后10个工作日内，甲方向</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支付合同总价款的10%</w:t>
      </w:r>
      <w:r>
        <w:rPr>
          <w:rFonts w:hint="eastAsia" w:ascii="宋体" w:hAnsi="宋体" w:cs="宋体"/>
          <w:color w:val="auto"/>
          <w:sz w:val="21"/>
          <w:szCs w:val="21"/>
          <w:highlight w:val="none"/>
          <w:lang w:eastAsia="zh-CN"/>
        </w:rPr>
        <w:t>。</w:t>
      </w:r>
    </w:p>
    <w:p w14:paraId="48133FA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乙方在每次收到合同款项后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个工作日内向甲方开具正式等额发票。如提供假发票的，乙方除须向甲方补开合法发票外，由此产生的一切损失均由乙方商承担。乙方未提供发票的，甲方有权暂不支付之后的款项。</w:t>
      </w:r>
    </w:p>
    <w:p w14:paraId="29F5C047">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第六条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税费</w:t>
      </w:r>
    </w:p>
    <w:p w14:paraId="394AC6F0">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本合同执行中相关的一切税费均由</w:t>
      </w:r>
      <w:r>
        <w:rPr>
          <w:rFonts w:hint="eastAsia" w:ascii="宋体" w:hAnsi="宋体" w:cs="宋体"/>
          <w:color w:val="auto"/>
          <w:sz w:val="21"/>
          <w:szCs w:val="21"/>
          <w:highlight w:val="none"/>
          <w:lang w:val="en-US" w:eastAsia="zh-CN"/>
        </w:rPr>
        <w:t>乙方承担</w:t>
      </w:r>
      <w:r>
        <w:rPr>
          <w:rFonts w:hint="eastAsia" w:ascii="宋体" w:hAnsi="宋体" w:cs="宋体"/>
          <w:color w:val="auto"/>
          <w:sz w:val="21"/>
          <w:szCs w:val="21"/>
          <w:highlight w:val="none"/>
        </w:rPr>
        <w:t>。</w:t>
      </w:r>
    </w:p>
    <w:p w14:paraId="28359501">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第七条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服务成果质量保证及售后服务</w:t>
      </w:r>
    </w:p>
    <w:p w14:paraId="4B51BB9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1、乙方应按采购文件规定的采购服务内容、数量、服务项目要求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技术参数需求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等向甲方提交质量必须为合格的服务成果，因乙方原因导致乙方提交的成果不符合要求的，根据实际情况，经双方协商，可按以下办法处理：</w:t>
      </w:r>
    </w:p>
    <w:p w14:paraId="4900160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（1）更换：由乙方承担更换所发生的全部费用，若因此导致逾期向甲方提交成果的，按本合同第八条第3款约定处理。</w:t>
      </w:r>
    </w:p>
    <w:p w14:paraId="78CCE1A2">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（2）贬值处理：合同总价由甲乙双方重新合议确定，此外乙方还应向甲方支付合同总价5%的违约金。</w:t>
      </w:r>
    </w:p>
    <w:p w14:paraId="48D23CCF">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（3）退服务成果处理：乙方须按本合同第八条第1款中乙方无法提供质量符合采购及响应文件、国家有关质量标准或本合同约定的服务成果情形的约定处理。</w:t>
      </w:r>
    </w:p>
    <w:p w14:paraId="3D24B54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2、如在使用过程中发生质量问题，乙方在接到甲方通知后在 8 小时内到达甲方现场。</w:t>
      </w:r>
    </w:p>
    <w:p w14:paraId="5B413974">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保期为乙方提交的成果经甲方验收合格之日起6个月。在质保期内，乙方应对服务成果出现的质量及安全问题负责处理解决并承担一切费用，并无偿为甲方提供项目日常服务工作，因人为因素出现的故障不在免费质保范围内。超过质保期的服务成果，终生维护，维护时只收成本费。</w:t>
      </w:r>
    </w:p>
    <w:p w14:paraId="7A92D0F0">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第八条 违约责任</w:t>
      </w:r>
    </w:p>
    <w:p w14:paraId="048DF8D6">
      <w:pPr>
        <w:keepNext w:val="0"/>
        <w:keepLines w:val="0"/>
        <w:pageBreakBefore w:val="0"/>
        <w:widowControl w:val="0"/>
        <w:kinsoku/>
        <w:overflowPunct/>
        <w:topLinePunct w:val="0"/>
        <w:autoSpaceDE/>
        <w:autoSpaceDN/>
        <w:bidi w:val="0"/>
        <w:adjustRightInd/>
        <w:snapToGrid w:val="0"/>
        <w:spacing w:line="360" w:lineRule="exact"/>
        <w:ind w:firstLine="525" w:firstLineChars="25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1、因乙方原因，乙方所提交的服务成果内容、数量、服务项目要求（技术参数需求）等不符合招投标文件、国家有关质量标准或本合同约定的，应及时调整，调整不及时的按本条第3款的约定按逾期提交成果处理；因特殊情况甲方同意接收不符合招投标文件、国家有关质量标准或本合同约定的服务或报告的，乙方除承担逾期违约责任外，还应向甲方支付合同总价5%违约金。因乙方无法提供质量符合招投标文件、国家有关质量标准或本合同约定的服务或报告的，甲方有权解除合同。 </w:t>
      </w:r>
    </w:p>
    <w:p w14:paraId="61C0EFED">
      <w:pPr>
        <w:keepNext w:val="0"/>
        <w:keepLines w:val="0"/>
        <w:pageBreakBefore w:val="0"/>
        <w:widowControl w:val="0"/>
        <w:kinsoku/>
        <w:overflowPunct/>
        <w:topLinePunct w:val="0"/>
        <w:autoSpaceDE/>
        <w:autoSpaceDN/>
        <w:bidi w:val="0"/>
        <w:adjustRightInd/>
        <w:snapToGrid w:val="0"/>
        <w:spacing w:line="360" w:lineRule="exact"/>
        <w:ind w:firstLine="472" w:firstLineChars="225"/>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提供的服务成果如侵犯第三方合法权益而引发的任何纠纷或诉讼，均由乙方负责交涉并承担全部责任。如甲方为解决纠纷先行支付了费用，乙方应当在收到甲方关于要求偿还已支付款项的通知之日起5个工作日内将甲方已支付的合理费用赔偿给甲方。</w:t>
      </w:r>
    </w:p>
    <w:p w14:paraId="6F8BC5ED">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3、因乙方原因，乙方逾期交付服务成果的，每天向甲方支付合同总价0.5‰的违约金，但违约金累计不超过合同总价的 5% 。乙方逾期交付超过15日的，甲方有权解除合同。</w:t>
      </w:r>
    </w:p>
    <w:p w14:paraId="6AA4EFCB">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4、乙方未按本合同和投标文件中规定的服务承诺提供售后服务的，乙方应按合同总</w:t>
      </w:r>
      <w:r>
        <w:rPr>
          <w:rFonts w:hint="eastAsia" w:ascii="宋体" w:hAnsi="宋体" w:cs="宋体"/>
          <w:color w:val="auto"/>
          <w:sz w:val="21"/>
          <w:szCs w:val="21"/>
          <w:highlight w:val="none"/>
          <w:u w:val="none"/>
        </w:rPr>
        <w:t>价的5%</w:t>
      </w:r>
      <w:r>
        <w:rPr>
          <w:rFonts w:hint="eastAsia" w:ascii="宋体" w:hAnsi="宋体" w:cs="宋体"/>
          <w:color w:val="auto"/>
          <w:sz w:val="21"/>
          <w:szCs w:val="21"/>
          <w:highlight w:val="none"/>
        </w:rPr>
        <w:t>向甲方支付违约金。</w:t>
      </w:r>
    </w:p>
    <w:p w14:paraId="3EB8A88C">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5、乙方有其它严重影响合同目的实现的违约行为的，每发生一次按合同总价的</w:t>
      </w:r>
      <w:r>
        <w:rPr>
          <w:rFonts w:hint="eastAsia" w:ascii="宋体" w:hAnsi="宋体" w:cs="宋体"/>
          <w:color w:val="auto"/>
          <w:sz w:val="21"/>
          <w:szCs w:val="21"/>
          <w:highlight w:val="none"/>
          <w:u w:val="single"/>
        </w:rPr>
        <w:t>5%</w:t>
      </w:r>
      <w:r>
        <w:rPr>
          <w:rFonts w:hint="eastAsia" w:ascii="宋体" w:hAnsi="宋体" w:cs="宋体"/>
          <w:color w:val="auto"/>
          <w:sz w:val="21"/>
          <w:szCs w:val="21"/>
          <w:highlight w:val="none"/>
        </w:rPr>
        <w:t>支付违约金。</w:t>
      </w:r>
    </w:p>
    <w:p w14:paraId="35106E1C">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甲方根据本合同约定解除合同的，有权不予支付任何款项给乙方，已经支付的，乙方应当自甲方要求返还之日起5日内予以返还，此外乙方还应支付合同总价5%的违约金给甲方。但甲方接受或利用乙方已完成的服务的，应按乙方完成的工作量支付费用。</w:t>
      </w:r>
    </w:p>
    <w:p w14:paraId="46ACA7A1">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当以上违约金不足以弥补甲方损失时，乙方还应对甲方超过违约金部分的损失依法承担赔偿责任，甲方有权继续向乙方追偿。乙方应当赔偿因此给甲方造成的所有损失，包括但不限于甲方直接损失、向第三人承担的违约金、赔偿金、为索赔支出的费用、律师费、诉讼费、仲裁费、调查费、公证费、鉴定费</w:t>
      </w:r>
      <w:r>
        <w:rPr>
          <w:rFonts w:hint="eastAsia" w:ascii="宋体" w:hAnsi="宋体" w:eastAsia="宋体" w:cs="宋体"/>
          <w:b w:val="0"/>
          <w:bCs w:val="0"/>
          <w:color w:val="auto"/>
          <w:sz w:val="21"/>
          <w:szCs w:val="21"/>
          <w:highlight w:val="none"/>
          <w:lang w:val="en-US" w:eastAsia="zh-CN"/>
        </w:rPr>
        <w:t>、保全费、保全保险费</w:t>
      </w:r>
      <w:r>
        <w:rPr>
          <w:rFonts w:hint="eastAsia" w:ascii="宋体" w:hAnsi="宋体" w:cs="宋体"/>
          <w:color w:val="auto"/>
          <w:sz w:val="21"/>
          <w:szCs w:val="21"/>
          <w:highlight w:val="none"/>
        </w:rPr>
        <w:t>等。</w:t>
      </w:r>
    </w:p>
    <w:p w14:paraId="6AE6694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8、乙方不得将项目全部或部分进行转包，如有违反，乙方应向甲方一次性支付合同总价20%的违约金，且甲方有权解除合同。</w:t>
      </w:r>
    </w:p>
    <w:p w14:paraId="47D5599B">
      <w:pPr>
        <w:keepNext w:val="0"/>
        <w:keepLines w:val="0"/>
        <w:pageBreakBefore w:val="0"/>
        <w:widowControl w:val="0"/>
        <w:kinsoku/>
        <w:overflowPunct/>
        <w:topLinePunct w:val="0"/>
        <w:autoSpaceDE/>
        <w:autoSpaceDN/>
        <w:bidi w:val="0"/>
        <w:adjustRightInd/>
        <w:snapToGrid w:val="0"/>
        <w:spacing w:before="120" w:after="120" w:line="360" w:lineRule="exact"/>
        <w:ind w:firstLine="413" w:firstLineChars="196"/>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第九条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不可抗力事件处理</w:t>
      </w:r>
    </w:p>
    <w:p w14:paraId="54E2C9D1">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1、在合同有效期内，任何一方因不可抗力事件导致不能履行合同的，则合同履行期可延长，其延长期与不可抗力影响期相同。</w:t>
      </w:r>
    </w:p>
    <w:p w14:paraId="2201ED90">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2、由于不可抗力事件不能全部或部分履行合同义务时，任一方可中止履行其在本合同项下的义务。</w:t>
      </w:r>
    </w:p>
    <w:p w14:paraId="03C0779E">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不可抗力事件发生后，受影响方应立即通知对方，并寄送有关不可抗力发生的有效证明。声称受到不可抗力的一方应在任何时候采取合理的行动，以避免或尽量减少不可抗力事件的影响。因主观原因延误，未及时采取必要措施而导致损失扩大的，不能免除相应责任。</w:t>
      </w:r>
    </w:p>
    <w:p w14:paraId="04580BBC">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4、不可抗力事件延续一百二十天以上时，双方应通过友好协商，确定是否继续履行合同。若双方协商解除合同，甲方应按乙方完成的工作量支付费用。</w:t>
      </w:r>
    </w:p>
    <w:p w14:paraId="4E8C4169">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第十条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合同争议解决</w:t>
      </w:r>
    </w:p>
    <w:p w14:paraId="6116CD3B">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1、因服务成果质量问题发生争议的，应邀请国家认可的质量检测机构对服务成果质量进行鉴定。服务成果符合标准的，鉴定费由甲方承担；服务成果不符合标准的，鉴定费由乙方承担。</w:t>
      </w:r>
    </w:p>
    <w:p w14:paraId="2D4C0FBD">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2、因履行本合同引起的或与本合同有关的争议，甲乙双方应首先通过友好协商解决，如果协商不能解决，任何一方均可向甲方所在地有管辖权的人民法院提起诉讼。</w:t>
      </w:r>
    </w:p>
    <w:p w14:paraId="4EFE8A31">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第十一条  合同生效及其它</w:t>
      </w:r>
    </w:p>
    <w:p w14:paraId="49D6D854">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1、本合同经双方法定代表人或授权代表签字并加盖单位公章后生效。</w:t>
      </w:r>
    </w:p>
    <w:p w14:paraId="6E1A3784">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2、本合同未尽事宜，双方另行协商。</w:t>
      </w:r>
    </w:p>
    <w:p w14:paraId="1244303D">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第十二条  合同的变更、终止与转让</w:t>
      </w:r>
    </w:p>
    <w:p w14:paraId="3D5C83C9">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1、除《中华人民共和国政府采购法》第五十条规定的情形外，本合同一经签订，甲乙双方不得擅自变更、中止或终止。</w:t>
      </w:r>
    </w:p>
    <w:p w14:paraId="425E67A6">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eastAsia" w:ascii="宋体" w:hAnsi="宋体" w:cs="宋体"/>
          <w:b/>
          <w:bCs/>
          <w:color w:val="auto"/>
          <w:sz w:val="21"/>
          <w:szCs w:val="21"/>
          <w:highlight w:val="none"/>
        </w:rPr>
      </w:pPr>
      <w:r>
        <w:rPr>
          <w:rFonts w:hint="eastAsia" w:ascii="宋体" w:hAnsi="宋体" w:cs="宋体"/>
          <w:color w:val="auto"/>
          <w:sz w:val="21"/>
          <w:szCs w:val="21"/>
          <w:highlight w:val="none"/>
        </w:rPr>
        <w:t>2、未经甲方书面同意，乙方不得转让其应履行的任何合同义务。</w:t>
      </w:r>
    </w:p>
    <w:p w14:paraId="764197EE">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 xml:space="preserve">第十三条 </w:t>
      </w:r>
      <w:r>
        <w:rPr>
          <w:rFonts w:hint="eastAsia" w:ascii="宋体" w:hAnsi="宋体" w:cs="宋体"/>
          <w:color w:val="auto"/>
          <w:sz w:val="21"/>
          <w:szCs w:val="21"/>
          <w:highlight w:val="none"/>
        </w:rPr>
        <w:t>本合同一式陆份，具有同等法律效力，甲乙双方各执叁份。</w:t>
      </w:r>
    </w:p>
    <w:tbl>
      <w:tblPr>
        <w:tblStyle w:val="34"/>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4745"/>
      </w:tblGrid>
      <w:tr w14:paraId="4521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463E1331">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甲方（章）           </w:t>
            </w:r>
          </w:p>
          <w:p w14:paraId="13B3ED5C">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广西壮族自治区自然资源厅</w:t>
            </w:r>
          </w:p>
          <w:p w14:paraId="417E45D9">
            <w:pPr>
              <w:keepNext w:val="0"/>
              <w:keepLines w:val="0"/>
              <w:pageBreakBefore w:val="0"/>
              <w:widowControl w:val="0"/>
              <w:kinsoku/>
              <w:overflowPunct/>
              <w:topLinePunct w:val="0"/>
              <w:autoSpaceDE/>
              <w:autoSpaceDN/>
              <w:bidi w:val="0"/>
              <w:adjustRightInd/>
              <w:snapToGrid w:val="0"/>
              <w:spacing w:line="360" w:lineRule="exact"/>
              <w:ind w:firstLine="945" w:firstLineChars="450"/>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rPr>
              <w:t>年   月   日</w:t>
            </w:r>
          </w:p>
        </w:tc>
        <w:tc>
          <w:tcPr>
            <w:tcW w:w="4745" w:type="dxa"/>
            <w:tcBorders>
              <w:top w:val="single" w:color="auto" w:sz="4" w:space="0"/>
              <w:left w:val="nil"/>
              <w:bottom w:val="single" w:color="auto" w:sz="4" w:space="0"/>
              <w:right w:val="single" w:color="auto" w:sz="4" w:space="0"/>
            </w:tcBorders>
            <w:vAlign w:val="center"/>
          </w:tcPr>
          <w:p w14:paraId="74EF7404">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乙方（章）</w:t>
            </w:r>
          </w:p>
          <w:p w14:paraId="230E8EAB">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F664A0D">
            <w:pPr>
              <w:keepNext w:val="0"/>
              <w:keepLines w:val="0"/>
              <w:pageBreakBefore w:val="0"/>
              <w:widowControl w:val="0"/>
              <w:kinsoku/>
              <w:overflowPunct/>
              <w:topLinePunct w:val="0"/>
              <w:autoSpaceDE/>
              <w:autoSpaceDN/>
              <w:bidi w:val="0"/>
              <w:adjustRightInd/>
              <w:snapToGrid w:val="0"/>
              <w:spacing w:line="360" w:lineRule="exact"/>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月   日</w:t>
            </w:r>
          </w:p>
        </w:tc>
      </w:tr>
      <w:tr w14:paraId="7BA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1A771E82">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单位地址：南宁市中新路2号</w:t>
            </w:r>
          </w:p>
        </w:tc>
        <w:tc>
          <w:tcPr>
            <w:tcW w:w="4745" w:type="dxa"/>
            <w:tcBorders>
              <w:top w:val="single" w:color="auto" w:sz="4" w:space="0"/>
              <w:left w:val="nil"/>
              <w:bottom w:val="single" w:color="auto" w:sz="4" w:space="0"/>
              <w:right w:val="single" w:color="auto" w:sz="4" w:space="0"/>
            </w:tcBorders>
            <w:vAlign w:val="center"/>
          </w:tcPr>
          <w:p w14:paraId="6DA3457F">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单位地址：</w:t>
            </w:r>
          </w:p>
        </w:tc>
      </w:tr>
      <w:tr w14:paraId="5211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71B4F588">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4745" w:type="dxa"/>
            <w:tcBorders>
              <w:top w:val="single" w:color="auto" w:sz="4" w:space="0"/>
              <w:left w:val="nil"/>
              <w:bottom w:val="single" w:color="auto" w:sz="4" w:space="0"/>
              <w:right w:val="single" w:color="auto" w:sz="4" w:space="0"/>
            </w:tcBorders>
            <w:vAlign w:val="center"/>
          </w:tcPr>
          <w:p w14:paraId="42B723DF">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r>
      <w:tr w14:paraId="0656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60933126">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委托代理人：</w:t>
            </w:r>
          </w:p>
        </w:tc>
        <w:tc>
          <w:tcPr>
            <w:tcW w:w="4745" w:type="dxa"/>
            <w:tcBorders>
              <w:top w:val="single" w:color="auto" w:sz="4" w:space="0"/>
              <w:left w:val="nil"/>
              <w:bottom w:val="single" w:color="auto" w:sz="4" w:space="0"/>
              <w:right w:val="single" w:color="auto" w:sz="4" w:space="0"/>
            </w:tcBorders>
            <w:vAlign w:val="center"/>
          </w:tcPr>
          <w:p w14:paraId="23E53A35">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委托代理人：</w:t>
            </w:r>
          </w:p>
        </w:tc>
      </w:tr>
      <w:tr w14:paraId="14D6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7ACF20E6">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745" w:type="dxa"/>
            <w:tcBorders>
              <w:top w:val="single" w:color="auto" w:sz="4" w:space="0"/>
              <w:left w:val="nil"/>
              <w:bottom w:val="single" w:color="auto" w:sz="4" w:space="0"/>
              <w:right w:val="single" w:color="auto" w:sz="4" w:space="0"/>
            </w:tcBorders>
            <w:vAlign w:val="center"/>
          </w:tcPr>
          <w:p w14:paraId="1CC82139">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电话：</w:t>
            </w:r>
          </w:p>
        </w:tc>
      </w:tr>
      <w:tr w14:paraId="32A7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36191523">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745" w:type="dxa"/>
            <w:tcBorders>
              <w:top w:val="single" w:color="auto" w:sz="4" w:space="0"/>
              <w:left w:val="nil"/>
              <w:bottom w:val="single" w:color="auto" w:sz="4" w:space="0"/>
              <w:right w:val="single" w:color="auto" w:sz="4" w:space="0"/>
            </w:tcBorders>
            <w:vAlign w:val="center"/>
          </w:tcPr>
          <w:p w14:paraId="6404363C">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开户银行：</w:t>
            </w:r>
          </w:p>
        </w:tc>
      </w:tr>
      <w:tr w14:paraId="3C11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383BACE6">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c>
          <w:tcPr>
            <w:tcW w:w="4745" w:type="dxa"/>
            <w:tcBorders>
              <w:top w:val="single" w:color="auto" w:sz="4" w:space="0"/>
              <w:left w:val="nil"/>
              <w:bottom w:val="single" w:color="auto" w:sz="4" w:space="0"/>
              <w:right w:val="single" w:color="auto" w:sz="4" w:space="0"/>
            </w:tcBorders>
            <w:vAlign w:val="center"/>
          </w:tcPr>
          <w:p w14:paraId="51BB8B04">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账号：</w:t>
            </w:r>
            <w:r>
              <w:rPr>
                <w:rFonts w:hint="eastAsia" w:ascii="宋体" w:hAnsi="宋体" w:cs="宋体"/>
                <w:color w:val="auto"/>
                <w:sz w:val="21"/>
                <w:szCs w:val="21"/>
                <w:highlight w:val="none"/>
                <w:lang w:val="en-US" w:eastAsia="zh-CN"/>
              </w:rPr>
              <w:t xml:space="preserve"> </w:t>
            </w:r>
          </w:p>
        </w:tc>
      </w:tr>
      <w:tr w14:paraId="3E0D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0B6C69F0">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邮政编码：530022</w:t>
            </w:r>
          </w:p>
        </w:tc>
        <w:tc>
          <w:tcPr>
            <w:tcW w:w="4745" w:type="dxa"/>
            <w:tcBorders>
              <w:top w:val="single" w:color="auto" w:sz="4" w:space="0"/>
              <w:left w:val="nil"/>
              <w:bottom w:val="single" w:color="auto" w:sz="4" w:space="0"/>
              <w:right w:val="single" w:color="auto" w:sz="4" w:space="0"/>
            </w:tcBorders>
            <w:vAlign w:val="center"/>
          </w:tcPr>
          <w:p w14:paraId="1348DA1E">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邮政编码：</w:t>
            </w:r>
          </w:p>
        </w:tc>
      </w:tr>
    </w:tbl>
    <w:p w14:paraId="58BA00DD">
      <w:pPr>
        <w:keepNext w:val="0"/>
        <w:keepLines w:val="0"/>
        <w:pageBreakBefore w:val="0"/>
        <w:widowControl w:val="0"/>
        <w:kinsoku/>
        <w:overflowPunct/>
        <w:topLinePunct w:val="0"/>
        <w:autoSpaceDE/>
        <w:autoSpaceDN/>
        <w:bidi w:val="0"/>
        <w:adjustRightInd/>
        <w:snapToGrid w:val="0"/>
        <w:spacing w:line="360" w:lineRule="exact"/>
        <w:ind w:left="120" w:hanging="420" w:hangingChars="200"/>
        <w:textAlignment w:val="auto"/>
        <w:rPr>
          <w:rFonts w:ascii="方正小标宋简体" w:hAnsi="方正小标宋简体" w:eastAsia="方正小标宋简体" w:cs="方正小标宋简体"/>
          <w:color w:val="auto"/>
          <w:sz w:val="21"/>
          <w:szCs w:val="21"/>
          <w:highlight w:val="none"/>
        </w:rPr>
      </w:pPr>
    </w:p>
    <w:p w14:paraId="43235F57">
      <w:pPr>
        <w:spacing w:line="300" w:lineRule="auto"/>
        <w:jc w:val="center"/>
        <w:rPr>
          <w:rFonts w:ascii="宋体" w:hAnsi="Courier New"/>
          <w:color w:val="auto"/>
          <w:highlight w:val="none"/>
        </w:rPr>
      </w:pPr>
      <w:r>
        <w:rPr>
          <w:rFonts w:hint="eastAsia" w:ascii="宋体" w:hAnsi="Courier New"/>
          <w:color w:val="auto"/>
          <w:highlight w:val="none"/>
        </w:rPr>
        <w:t xml:space="preserve"> </w:t>
      </w:r>
    </w:p>
    <w:p w14:paraId="23CD38EB">
      <w:pP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2E3DFF35">
      <w:pPr>
        <w:snapToGrid w:val="0"/>
        <w:spacing w:line="3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6D2A1853">
      <w:pPr>
        <w:snapToGrid w:val="0"/>
        <w:spacing w:line="360" w:lineRule="exact"/>
        <w:jc w:val="center"/>
        <w:rPr>
          <w:rFonts w:ascii="宋体" w:hAnsi="宋体"/>
          <w:color w:val="auto"/>
          <w:szCs w:val="21"/>
          <w:highlight w:val="none"/>
        </w:rPr>
      </w:pPr>
      <w:r>
        <w:rPr>
          <w:rFonts w:hint="eastAsia" w:ascii="宋体" w:hAnsi="宋体"/>
          <w:color w:val="auto"/>
          <w:highlight w:val="none"/>
        </w:rPr>
        <w:t xml:space="preserve"> </w:t>
      </w:r>
    </w:p>
    <w:p w14:paraId="11CD7E37">
      <w:pPr>
        <w:keepNext w:val="0"/>
        <w:keepLines w:val="0"/>
        <w:pageBreakBefore w:val="0"/>
        <w:widowControl w:val="0"/>
        <w:kinsoku/>
        <w:wordWrap w:val="0"/>
        <w:overflowPunct/>
        <w:topLinePunct w:val="0"/>
        <w:autoSpaceDE/>
        <w:autoSpaceDN/>
        <w:bidi w:val="0"/>
        <w:adjustRightInd/>
        <w:snapToGrid w:val="0"/>
        <w:spacing w:line="360" w:lineRule="exact"/>
        <w:ind w:right="60"/>
        <w:jc w:val="center"/>
        <w:textAlignment w:val="auto"/>
        <w:rPr>
          <w:rFonts w:ascii="宋体" w:hAnsi="宋体"/>
          <w:color w:val="auto"/>
          <w:sz w:val="21"/>
          <w:szCs w:val="21"/>
          <w:highlight w:val="none"/>
          <w:u w:val="singl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合同编号：</w:t>
      </w:r>
    </w:p>
    <w:p w14:paraId="07E13B09">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14:paraId="648650BB">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采购单位（甲方）：</w:t>
      </w:r>
      <w:r>
        <w:rPr>
          <w:rFonts w:hint="eastAsia" w:ascii="宋体" w:hAnsi="宋体" w:cs="宋体"/>
          <w:color w:val="auto"/>
          <w:sz w:val="21"/>
          <w:szCs w:val="21"/>
          <w:highlight w:val="none"/>
          <w:u w:val="single"/>
        </w:rPr>
        <w:t>广西壮族自治区自然资源厅</w:t>
      </w:r>
      <w:r>
        <w:rPr>
          <w:rFonts w:hint="eastAsia" w:ascii="宋体" w:hAnsi="宋体" w:cs="宋体"/>
          <w:color w:val="auto"/>
          <w:sz w:val="21"/>
          <w:szCs w:val="21"/>
          <w:highlight w:val="none"/>
        </w:rPr>
        <w:t xml:space="preserve">            </w:t>
      </w:r>
    </w:p>
    <w:p w14:paraId="5BBCEC2E">
      <w:pPr>
        <w:keepNext w:val="0"/>
        <w:keepLines w:val="0"/>
        <w:pageBreakBefore w:val="0"/>
        <w:widowControl w:val="0"/>
        <w:kinsoku/>
        <w:overflowPunct/>
        <w:topLinePunct w:val="0"/>
        <w:autoSpaceDE/>
        <w:autoSpaceDN/>
        <w:bidi w:val="0"/>
        <w:adjustRightInd/>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采购计划号：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0EE7F139">
      <w:pPr>
        <w:keepNext w:val="0"/>
        <w:keepLines w:val="0"/>
        <w:pageBreakBefore w:val="0"/>
        <w:widowControl w:val="0"/>
        <w:kinsoku/>
        <w:overflowPunct/>
        <w:topLinePunct w:val="0"/>
        <w:autoSpaceDE/>
        <w:autoSpaceDN/>
        <w:bidi w:val="0"/>
        <w:adjustRightInd/>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供应商（乙方）：</w:t>
      </w:r>
      <w:r>
        <w:rPr>
          <w:rFonts w:hint="eastAsia" w:ascii="宋体" w:hAnsi="宋体" w:cs="宋体"/>
          <w:color w:val="auto"/>
          <w:sz w:val="21"/>
          <w:szCs w:val="21"/>
          <w:highlight w:val="none"/>
          <w:u w:val="single"/>
          <w:lang w:val="en-US" w:eastAsia="zh-CN"/>
        </w:rPr>
        <w:t xml:space="preserve">                       </w:t>
      </w:r>
    </w:p>
    <w:p w14:paraId="6C6E2364">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标项号及标项名称：</w:t>
      </w:r>
      <w:r>
        <w:rPr>
          <w:rFonts w:hint="eastAsia" w:ascii="宋体" w:hAnsi="宋体" w:cs="宋体"/>
          <w:color w:val="auto"/>
          <w:sz w:val="21"/>
          <w:szCs w:val="21"/>
          <w:highlight w:val="none"/>
          <w:u w:val="single"/>
          <w:lang w:val="en-US" w:eastAsia="zh-CN"/>
        </w:rPr>
        <w:t>分标2：自治区本级国有土地集约利用技术服务</w:t>
      </w:r>
    </w:p>
    <w:p w14:paraId="26EE8850">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签订地点 </w:t>
      </w:r>
      <w:r>
        <w:rPr>
          <w:rFonts w:hint="eastAsia" w:ascii="宋体" w:hAnsi="宋体" w:cs="宋体"/>
          <w:color w:val="auto"/>
          <w:sz w:val="21"/>
          <w:szCs w:val="21"/>
          <w:highlight w:val="none"/>
          <w:u w:val="single"/>
        </w:rPr>
        <w:t xml:space="preserve">广西南宁市青秀区中新路2号  </w:t>
      </w:r>
    </w:p>
    <w:p w14:paraId="51569839">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签订时间 </w:t>
      </w:r>
      <w:r>
        <w:rPr>
          <w:rFonts w:hint="eastAsia" w:ascii="宋体" w:hAnsi="宋体" w:cs="宋体"/>
          <w:color w:val="auto"/>
          <w:sz w:val="21"/>
          <w:szCs w:val="21"/>
          <w:highlight w:val="none"/>
          <w:u w:val="single"/>
        </w:rPr>
        <w:t xml:space="preserve">                  </w:t>
      </w:r>
    </w:p>
    <w:p w14:paraId="2C5FF4E0">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2E27629">
      <w:pPr>
        <w:keepNext w:val="0"/>
        <w:keepLines w:val="0"/>
        <w:pageBreakBefore w:val="0"/>
        <w:widowControl w:val="0"/>
        <w:kinsoku/>
        <w:overflowPunct/>
        <w:topLinePunct w:val="0"/>
        <w:autoSpaceDE/>
        <w:autoSpaceDN/>
        <w:bidi w:val="0"/>
        <w:adjustRightIn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根据《中华人民共和国政府采购法》、《中华人民共和国民法典》等法律、法规规定，甲乙双方签订本合同。</w:t>
      </w:r>
    </w:p>
    <w:p w14:paraId="659EAC41">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第一条 合同标的</w:t>
      </w:r>
    </w:p>
    <w:p w14:paraId="69B864F6">
      <w:pPr>
        <w:keepNext w:val="0"/>
        <w:keepLines w:val="0"/>
        <w:pageBreakBefore w:val="0"/>
        <w:widowControl w:val="0"/>
        <w:kinsoku/>
        <w:overflowPunct/>
        <w:topLinePunct w:val="0"/>
        <w:autoSpaceDE/>
        <w:autoSpaceDN/>
        <w:bidi w:val="0"/>
        <w:adjustRightInd/>
        <w:snapToGrid w:val="0"/>
        <w:spacing w:line="360" w:lineRule="exact"/>
        <w:ind w:firstLine="420" w:firstLineChars="20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甲方委托乙方提供的技术服务一览表</w:t>
      </w:r>
    </w:p>
    <w:tbl>
      <w:tblPr>
        <w:tblStyle w:val="35"/>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0"/>
        <w:gridCol w:w="4296"/>
        <w:gridCol w:w="456"/>
        <w:gridCol w:w="684"/>
        <w:gridCol w:w="996"/>
        <w:gridCol w:w="876"/>
      </w:tblGrid>
      <w:tr w14:paraId="3497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6EDE4B3">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序号</w:t>
            </w:r>
          </w:p>
        </w:tc>
        <w:tc>
          <w:tcPr>
            <w:tcW w:w="900" w:type="dxa"/>
            <w:vAlign w:val="center"/>
          </w:tcPr>
          <w:p w14:paraId="1B6FC86B">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服务名称</w:t>
            </w:r>
          </w:p>
        </w:tc>
        <w:tc>
          <w:tcPr>
            <w:tcW w:w="4296" w:type="dxa"/>
            <w:vAlign w:val="center"/>
          </w:tcPr>
          <w:p w14:paraId="0F00819A">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ascii="宋体" w:hAnsi="宋体" w:cs="宋体"/>
                <w:color w:val="auto"/>
                <w:sz w:val="21"/>
                <w:szCs w:val="21"/>
                <w:highlight w:val="none"/>
              </w:rPr>
              <w:t>服务项目要求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或技术参数需求</w:t>
            </w:r>
            <w:r>
              <w:rPr>
                <w:rFonts w:hint="eastAsia" w:ascii="宋体" w:hAnsi="宋体" w:cs="宋体"/>
                <w:color w:val="auto"/>
                <w:sz w:val="21"/>
                <w:szCs w:val="21"/>
                <w:highlight w:val="none"/>
                <w:lang w:eastAsia="zh-CN"/>
              </w:rPr>
              <w:t>）</w:t>
            </w:r>
          </w:p>
        </w:tc>
        <w:tc>
          <w:tcPr>
            <w:tcW w:w="456" w:type="dxa"/>
            <w:vAlign w:val="center"/>
          </w:tcPr>
          <w:p w14:paraId="1060F2B3">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数量</w:t>
            </w:r>
          </w:p>
        </w:tc>
        <w:tc>
          <w:tcPr>
            <w:tcW w:w="684" w:type="dxa"/>
            <w:vAlign w:val="center"/>
          </w:tcPr>
          <w:p w14:paraId="01D50721">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单位</w:t>
            </w:r>
          </w:p>
        </w:tc>
        <w:tc>
          <w:tcPr>
            <w:tcW w:w="996" w:type="dxa"/>
            <w:vAlign w:val="center"/>
          </w:tcPr>
          <w:p w14:paraId="715E8341">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单价（元）</w:t>
            </w:r>
          </w:p>
        </w:tc>
        <w:tc>
          <w:tcPr>
            <w:tcW w:w="876" w:type="dxa"/>
            <w:vAlign w:val="center"/>
          </w:tcPr>
          <w:p w14:paraId="5C308E8C">
            <w:pPr>
              <w:pStyle w:val="24"/>
              <w:keepNext w:val="0"/>
              <w:keepLines w:val="0"/>
              <w:pageBreakBefore w:val="0"/>
              <w:widowControl w:val="0"/>
              <w:kinsoku/>
              <w:overflowPunct/>
              <w:topLinePunct w:val="0"/>
              <w:autoSpaceDE/>
              <w:autoSpaceDN/>
              <w:bidi w:val="0"/>
              <w:adjustRightInd/>
              <w:spacing w:after="0" w:line="360" w:lineRule="exact"/>
              <w:ind w:left="0" w:leftChars="0"/>
              <w:jc w:val="center"/>
              <w:textAlignment w:val="auto"/>
              <w:rPr>
                <w:color w:val="auto"/>
                <w:sz w:val="21"/>
                <w:szCs w:val="21"/>
                <w:highlight w:val="none"/>
              </w:rPr>
            </w:pPr>
            <w:r>
              <w:rPr>
                <w:rFonts w:hint="eastAsia"/>
                <w:color w:val="auto"/>
                <w:sz w:val="21"/>
                <w:szCs w:val="21"/>
                <w:highlight w:val="none"/>
              </w:rPr>
              <w:t>金额（元）</w:t>
            </w:r>
          </w:p>
        </w:tc>
      </w:tr>
      <w:tr w14:paraId="52B0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670CA157">
            <w:pPr>
              <w:keepNext w:val="0"/>
              <w:keepLines w:val="0"/>
              <w:pageBreakBefore w:val="0"/>
              <w:widowControl w:val="0"/>
              <w:kinsoku/>
              <w:overflowPunct/>
              <w:topLinePunct w:val="0"/>
              <w:autoSpaceDE/>
              <w:autoSpaceDN/>
              <w:bidi w:val="0"/>
              <w:adjustRightInd/>
              <w:snapToGrid w:val="0"/>
              <w:spacing w:line="360" w:lineRule="exact"/>
              <w:jc w:val="center"/>
              <w:textAlignment w:val="auto"/>
              <w:rPr>
                <w:color w:val="auto"/>
                <w:sz w:val="21"/>
                <w:szCs w:val="21"/>
                <w:highlight w:val="none"/>
              </w:rPr>
            </w:pPr>
            <w:r>
              <w:rPr>
                <w:rFonts w:hint="eastAsia" w:ascii="宋体" w:hAnsi="宋体" w:cs="宋体"/>
                <w:color w:val="auto"/>
                <w:sz w:val="21"/>
                <w:szCs w:val="21"/>
                <w:highlight w:val="none"/>
              </w:rPr>
              <w:t>1</w:t>
            </w:r>
          </w:p>
        </w:tc>
        <w:tc>
          <w:tcPr>
            <w:tcW w:w="900" w:type="dxa"/>
            <w:vAlign w:val="center"/>
          </w:tcPr>
          <w:p w14:paraId="5BE86A31">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eastAsia="宋体"/>
                <w:color w:val="auto"/>
                <w:sz w:val="21"/>
                <w:szCs w:val="21"/>
                <w:highlight w:val="none"/>
                <w:lang w:eastAsia="zh-CN"/>
              </w:rPr>
            </w:pPr>
            <w:r>
              <w:rPr>
                <w:rFonts w:hint="eastAsia" w:eastAsia="宋体"/>
                <w:color w:val="auto"/>
                <w:sz w:val="21"/>
                <w:szCs w:val="21"/>
                <w:highlight w:val="none"/>
                <w:lang w:eastAsia="zh-CN"/>
              </w:rPr>
              <w:t>自治区本级国有土地集约利用技术服务</w:t>
            </w:r>
          </w:p>
        </w:tc>
        <w:tc>
          <w:tcPr>
            <w:tcW w:w="4296" w:type="dxa"/>
            <w:vAlign w:val="center"/>
          </w:tcPr>
          <w:p w14:paraId="2C976484">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（一）自治区本级存量国有土地盘活利用技术服务</w:t>
            </w:r>
          </w:p>
          <w:p w14:paraId="693D1F7D">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1.在已建立的自治区本级国有土地管理台账和矢量数据库基础上，梳理分析自治区本级存量建设用地低效利用情况，建立自治区本级存量建设用地低效利用台账和矢量数据库。</w:t>
            </w:r>
          </w:p>
          <w:p w14:paraId="3F56E3D4">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2.针对自治区本级存量国有土地低效利用，实地核查低效利用具体情况，分析自治区本级存量国有土地粗放利用的原因，问诊把脉，归类总结，编制自治区本级存量国有建设用地低效利用情况调查报告。</w:t>
            </w:r>
          </w:p>
          <w:p w14:paraId="33752625">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3.以国土空间规划为依据，结合广西土地利用调研分析情况，研究制定盘活利用自治区本级存量国有土地的实施路径和处置方式，加大闲置土地资源的资产价值显化，增强自治区本级国有企事业单位抗风险能力，促进自治区本级国有土地节约集约用地和土地高效利用。</w:t>
            </w:r>
          </w:p>
          <w:p w14:paraId="79A6C722">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（二）自治区本级国有土地开发利用综合管理技术服务</w:t>
            </w:r>
          </w:p>
          <w:p w14:paraId="46223EDD">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1.协助收集汇总、核实整理全区14个市、111个县（区）2025年自治区本级国有土地开发利用年度计划情况，梳理自治区和各市县2024年开发利用、处置自治区本级国有土地的情况。</w:t>
            </w:r>
          </w:p>
          <w:p w14:paraId="1FB4AB5E">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2.结合全国土地市场动态监测监管系统、广西全民所有自然资源资产管理信息系统、广西自然资源开发利用监管平台、广西自然资源综合监测监管平台，核实2025年各市、县(市、区)开发利用自治区本级国有土地情况，含以城镇住宅用地、商业用地、商务金融用地、娱乐用地以及其他商业服务用地等经营性用途或综合用途开发利用的情况，和以工矿仓储及划拨方式供应自治区本级国有土地情况，形成年度开发利用台账和矢量数据库。</w:t>
            </w:r>
          </w:p>
          <w:p w14:paraId="2BF33B1B">
            <w:pPr>
              <w:pStyle w:val="22"/>
              <w:snapToGrid w:val="0"/>
              <w:spacing w:line="360" w:lineRule="exact"/>
              <w:jc w:val="left"/>
              <w:outlineLvl w:val="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3.协助做好2025年度自治区本级国有土地年度开发利用管理，核算需上解自治区财政厅收益情况。</w:t>
            </w:r>
          </w:p>
          <w:p w14:paraId="080884E8">
            <w:pPr>
              <w:keepNext w:val="0"/>
              <w:keepLines w:val="0"/>
              <w:pageBreakBefore w:val="0"/>
              <w:widowControl w:val="0"/>
              <w:kinsoku/>
              <w:overflowPunct/>
              <w:topLinePunct w:val="0"/>
              <w:autoSpaceDE/>
              <w:autoSpaceDN/>
              <w:bidi w:val="0"/>
              <w:adjustRightInd/>
              <w:snapToGrid w:val="0"/>
              <w:spacing w:line="360" w:lineRule="exact"/>
              <w:textAlignment w:val="auto"/>
              <w:rPr>
                <w:color w:val="auto"/>
                <w:sz w:val="21"/>
                <w:szCs w:val="21"/>
                <w:highlight w:val="none"/>
              </w:rPr>
            </w:pPr>
            <w:r>
              <w:rPr>
                <w:rFonts w:hint="eastAsia" w:ascii="宋体" w:hAnsi="宋体" w:eastAsia="宋体" w:cs="宋体"/>
                <w:bCs/>
                <w:color w:val="auto"/>
                <w:sz w:val="21"/>
                <w:highlight w:val="none"/>
                <w:lang w:eastAsia="zh-CN"/>
              </w:rPr>
              <w:t>4.协助完善广西全民所有自然资源资产管理信息系统中自治区本级国有土地开发利用监管模块。</w:t>
            </w:r>
          </w:p>
        </w:tc>
        <w:tc>
          <w:tcPr>
            <w:tcW w:w="456" w:type="dxa"/>
            <w:vAlign w:val="center"/>
          </w:tcPr>
          <w:p w14:paraId="382E840B">
            <w:pPr>
              <w:keepNext w:val="0"/>
              <w:keepLines w:val="0"/>
              <w:pageBreakBefore w:val="0"/>
              <w:widowControl w:val="0"/>
              <w:kinsoku/>
              <w:overflowPunct/>
              <w:topLinePunct w:val="0"/>
              <w:autoSpaceDE/>
              <w:autoSpaceDN/>
              <w:bidi w:val="0"/>
              <w:adjustRightInd/>
              <w:snapToGrid w:val="0"/>
              <w:spacing w:line="360" w:lineRule="exact"/>
              <w:jc w:val="center"/>
              <w:textAlignment w:val="auto"/>
              <w:rPr>
                <w:color w:val="auto"/>
                <w:sz w:val="21"/>
                <w:szCs w:val="21"/>
                <w:highlight w:val="none"/>
              </w:rPr>
            </w:pPr>
            <w:r>
              <w:rPr>
                <w:rFonts w:hint="eastAsia" w:ascii="宋体" w:hAnsi="宋体" w:cs="宋体"/>
                <w:color w:val="auto"/>
                <w:sz w:val="21"/>
                <w:szCs w:val="21"/>
                <w:highlight w:val="none"/>
              </w:rPr>
              <w:t>1</w:t>
            </w:r>
          </w:p>
        </w:tc>
        <w:tc>
          <w:tcPr>
            <w:tcW w:w="684" w:type="dxa"/>
            <w:vAlign w:val="center"/>
          </w:tcPr>
          <w:p w14:paraId="6F333955">
            <w:pPr>
              <w:keepNext w:val="0"/>
              <w:keepLines w:val="0"/>
              <w:pageBreakBefore w:val="0"/>
              <w:widowControl w:val="0"/>
              <w:kinsoku/>
              <w:overflowPunct/>
              <w:topLinePunct w:val="0"/>
              <w:autoSpaceDE/>
              <w:autoSpaceDN/>
              <w:bidi w:val="0"/>
              <w:adjustRightInd/>
              <w:snapToGrid w:val="0"/>
              <w:spacing w:line="360" w:lineRule="exact"/>
              <w:jc w:val="center"/>
              <w:textAlignment w:val="auto"/>
              <w:rPr>
                <w:color w:val="auto"/>
                <w:sz w:val="21"/>
                <w:szCs w:val="21"/>
                <w:highlight w:val="none"/>
              </w:rPr>
            </w:pPr>
            <w:r>
              <w:rPr>
                <w:rFonts w:hint="eastAsia" w:ascii="宋体" w:hAnsi="宋体" w:cs="宋体"/>
                <w:color w:val="auto"/>
                <w:sz w:val="21"/>
                <w:szCs w:val="21"/>
                <w:highlight w:val="none"/>
              </w:rPr>
              <w:t>项</w:t>
            </w:r>
          </w:p>
        </w:tc>
        <w:tc>
          <w:tcPr>
            <w:tcW w:w="996" w:type="dxa"/>
            <w:vAlign w:val="center"/>
          </w:tcPr>
          <w:p w14:paraId="7F1D1EBD">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int="default" w:eastAsia="宋体"/>
                <w:color w:val="auto"/>
                <w:sz w:val="21"/>
                <w:szCs w:val="21"/>
                <w:highlight w:val="none"/>
                <w:lang w:val="en-US" w:eastAsia="zh-CN"/>
              </w:rPr>
            </w:pPr>
          </w:p>
        </w:tc>
        <w:tc>
          <w:tcPr>
            <w:tcW w:w="876" w:type="dxa"/>
            <w:vAlign w:val="center"/>
          </w:tcPr>
          <w:p w14:paraId="30FC8B0E">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int="default" w:eastAsia="宋体"/>
                <w:color w:val="auto"/>
                <w:sz w:val="21"/>
                <w:szCs w:val="21"/>
                <w:highlight w:val="none"/>
                <w:lang w:val="en-US" w:eastAsia="zh-CN"/>
              </w:rPr>
            </w:pPr>
          </w:p>
        </w:tc>
      </w:tr>
      <w:tr w14:paraId="6FAA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gridSpan w:val="7"/>
          </w:tcPr>
          <w:p w14:paraId="7F94AD40">
            <w:pPr>
              <w:pStyle w:val="24"/>
              <w:keepNext w:val="0"/>
              <w:keepLines w:val="0"/>
              <w:pageBreakBefore w:val="0"/>
              <w:widowControl w:val="0"/>
              <w:kinsoku/>
              <w:overflowPunct/>
              <w:topLinePunct w:val="0"/>
              <w:autoSpaceDE/>
              <w:autoSpaceDN/>
              <w:bidi w:val="0"/>
              <w:adjustRightInd/>
              <w:spacing w:after="0" w:line="360" w:lineRule="exact"/>
              <w:ind w:left="0" w:leftChars="0"/>
              <w:textAlignment w:val="auto"/>
              <w:rPr>
                <w:color w:val="auto"/>
                <w:sz w:val="21"/>
                <w:szCs w:val="21"/>
                <w:highlight w:val="none"/>
              </w:rPr>
            </w:pPr>
            <w:r>
              <w:rPr>
                <w:rFonts w:hint="eastAsia" w:ascii="宋体" w:hAnsi="宋体" w:cs="宋体"/>
                <w:color w:val="auto"/>
                <w:sz w:val="21"/>
                <w:szCs w:val="21"/>
                <w:highlight w:val="none"/>
              </w:rPr>
              <w:t>合同总价（大写）：人民币</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（小写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p>
        </w:tc>
      </w:tr>
    </w:tbl>
    <w:p w14:paraId="23747D7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本合同价款采用固定总价方式确定。合同总价包括完成本项目采购要求所产生的全部费用及税费，甲方不再另行向乙方支付其他任何费用。</w:t>
      </w:r>
    </w:p>
    <w:p w14:paraId="6534A3A3">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第二条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质量保证</w:t>
      </w:r>
    </w:p>
    <w:p w14:paraId="52378A82">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1、乙方所提供的服务内容、技术规格、技术参数等质量必须与承诺相一致，提交项目成果一式三份。</w:t>
      </w:r>
    </w:p>
    <w:p w14:paraId="5848F11C">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2、乙方所提供的服务各项指标均应达到质量要求，并组织进行专家验收，验收费用由乙方承担，如验收不通过，需按专家意见重新修改后再次组织专家评审。</w:t>
      </w:r>
    </w:p>
    <w:p w14:paraId="6EEE5D9D">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第三条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权利保证</w:t>
      </w:r>
    </w:p>
    <w:p w14:paraId="661C8D12">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1、乙方应保证所提供服务成果（或其任何一部分）在使用时不会侵犯任何第三方的专利权、商标权、著作权、工业设计权或其他权利。</w:t>
      </w:r>
    </w:p>
    <w:p w14:paraId="137A9341">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2、乙方在甲方已按规定时间（合同签订后一个月内）提供必要数据资料的前提下应按合同约定的时间向甲方提交服务成果。</w:t>
      </w:r>
    </w:p>
    <w:p w14:paraId="057F09E2">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第八条第5款承担违约责任。本合同终止后本保密条款继续有效。</w:t>
      </w:r>
    </w:p>
    <w:p w14:paraId="3B1059AF">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4、没有甲方同意，乙方不得将涉及服务成果的相关文本、表格、图件等资料提供任何其他人使用。</w:t>
      </w:r>
    </w:p>
    <w:p w14:paraId="24540735">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5、如乙方所交付的服务成果侵犯第三人合法权益的，视为乙方违约，乙方应向甲方支付合同总价 5%的违约金，若上述违约金不足以弥补甲方的损失的，乙方应另行赔偿。</w:t>
      </w:r>
    </w:p>
    <w:p w14:paraId="0232FAF1">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eastAsia" w:eastAsia="黑体"/>
          <w:color w:val="auto"/>
          <w:sz w:val="21"/>
          <w:szCs w:val="21"/>
          <w:highlight w:val="none"/>
          <w:lang w:val="en-US" w:eastAsia="zh-CN"/>
        </w:rPr>
      </w:pPr>
      <w:r>
        <w:rPr>
          <w:rFonts w:hint="eastAsia" w:ascii="宋体" w:hAnsi="宋体" w:cs="宋体"/>
          <w:color w:val="auto"/>
          <w:sz w:val="21"/>
          <w:szCs w:val="21"/>
          <w:highlight w:val="none"/>
        </w:rPr>
        <w:t>6.乙方配合甲方完成绩效考核工作。</w:t>
      </w:r>
    </w:p>
    <w:p w14:paraId="6A19906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7.服务过程中形成的所有知识产权成果归甲方所有。</w:t>
      </w:r>
    </w:p>
    <w:p w14:paraId="08EF4796">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第四条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成果交付</w:t>
      </w:r>
    </w:p>
    <w:p w14:paraId="6AD1096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1、交付时间：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31日</w:t>
      </w:r>
      <w:r>
        <w:rPr>
          <w:rFonts w:hint="eastAsia" w:ascii="宋体" w:hAnsi="宋体" w:cs="宋体"/>
          <w:color w:val="auto"/>
          <w:sz w:val="21"/>
          <w:szCs w:val="21"/>
          <w:highlight w:val="none"/>
          <w:u w:val="single"/>
        </w:rPr>
        <w:t>前，具体时间按甲方的具体要求</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rPr>
        <w:t xml:space="preserve"> 交付地点：</w:t>
      </w:r>
      <w:r>
        <w:rPr>
          <w:rFonts w:hint="eastAsia" w:ascii="宋体" w:hAnsi="宋体" w:cs="宋体"/>
          <w:color w:val="auto"/>
          <w:sz w:val="21"/>
          <w:szCs w:val="21"/>
          <w:highlight w:val="none"/>
          <w:u w:val="single"/>
        </w:rPr>
        <w:t xml:space="preserve">广西南宁市青秀区中新路2号 </w:t>
      </w:r>
      <w:r>
        <w:rPr>
          <w:rFonts w:hint="eastAsia" w:ascii="宋体" w:hAnsi="宋体" w:cs="宋体"/>
          <w:color w:val="auto"/>
          <w:sz w:val="21"/>
          <w:szCs w:val="21"/>
          <w:highlight w:val="none"/>
        </w:rPr>
        <w:t>。</w:t>
      </w:r>
    </w:p>
    <w:p w14:paraId="18B6A910">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2、乙方提供不符合本合同规定的服务或服务成果的，甲方有权拒绝接受。</w:t>
      </w:r>
    </w:p>
    <w:p w14:paraId="38C7FED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3、乙方必须按承诺的服务响应条款向甲方提供服务及服务成果。</w:t>
      </w:r>
    </w:p>
    <w:p w14:paraId="219DE41E">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4、乙方应对提交的服务成果作出全面检查和整理，并列出清单，经甲方确认后，清单应随提交的服务成果交给甲方。</w:t>
      </w:r>
    </w:p>
    <w:p w14:paraId="6C6DB597">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乙方在指定地点提交服务成果后，甲方应在7个工作日内依据合同约定组织验收。验收合格后由甲乙双方签署服务成果验收单并加盖甲方公章，甲乙双方各执一份。甲方未按约定期限进行验收的，视同乙方交付的服务成果质量合格，符合合同约定。</w:t>
      </w:r>
    </w:p>
    <w:p w14:paraId="06BA61E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甲方委托采购代理机构组织验收的项目，其验收时间以该项目验收方案确定的验收时间为准，验收结果以该项目验收报告结论为准。在验收过程中发现乙方有违约问题且未整改完毕的，可暂缓资金结算，待违约问题解决后，方可办理资金结算事宜。</w:t>
      </w:r>
    </w:p>
    <w:p w14:paraId="11F93EF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7、甲方对服务成果的质量有异议的，在列出清单后</w:t>
      </w:r>
      <w:r>
        <w:rPr>
          <w:rFonts w:hint="eastAsia" w:ascii="宋体" w:hAnsi="宋体" w:cs="宋体"/>
          <w:color w:val="auto"/>
          <w:sz w:val="21"/>
          <w:szCs w:val="21"/>
          <w:highlight w:val="none"/>
          <w:u w:val="single"/>
        </w:rPr>
        <w:t>5</w:t>
      </w:r>
      <w:r>
        <w:rPr>
          <w:rFonts w:hint="eastAsia" w:ascii="宋体" w:hAnsi="宋体" w:cs="宋体"/>
          <w:color w:val="auto"/>
          <w:sz w:val="21"/>
          <w:szCs w:val="21"/>
          <w:highlight w:val="none"/>
        </w:rPr>
        <w:t>个工作日内以书面形式向乙方提出，乙方应自收到甲方书面异议后</w:t>
      </w:r>
      <w:r>
        <w:rPr>
          <w:rFonts w:hint="eastAsia" w:ascii="宋体" w:hAnsi="宋体" w:cs="宋体"/>
          <w:color w:val="auto"/>
          <w:sz w:val="21"/>
          <w:szCs w:val="21"/>
          <w:highlight w:val="none"/>
          <w:u w:val="single"/>
        </w:rPr>
        <w:t>5</w:t>
      </w:r>
      <w:r>
        <w:rPr>
          <w:rFonts w:hint="eastAsia" w:ascii="宋体" w:hAnsi="宋体" w:cs="宋体"/>
          <w:color w:val="auto"/>
          <w:sz w:val="21"/>
          <w:szCs w:val="21"/>
          <w:highlight w:val="none"/>
        </w:rPr>
        <w:t>个工作日内及时予以解决，乙方必须无条件进行整改、修正，直至甲方验收通过。</w:t>
      </w:r>
    </w:p>
    <w:p w14:paraId="57BD6316">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第五条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付款方式</w:t>
      </w:r>
    </w:p>
    <w:p w14:paraId="1253E0D4">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1、资金性质：财政资金。</w:t>
      </w:r>
    </w:p>
    <w:p w14:paraId="58CF51DF">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付款方式：采购人和成交供应商双方签署合同后的10个工作日内，采购人向成交供应商支付合同总价款的30%；成交供应商按要求完成《自治区本级存量国有土地盘活利用技术服务工作方案》《自治区本级国有土地开发利用综合管理技术服务工作方案》，并获得采购人确认后的10个工作日内，采购人向成交供应商支付合同总价款的30%；成交供应商按要求完成自治区本级存量国有用地低效利用台账和矢量数据库、自治区本级存量国有用地低效利用调查报告，2024年自治区本级国有土地开发利用台账、2025年各市土地年度开发利用计划台账及矢量数据库，并获得采购人确认后的10个工作日内，采购人向成交供应商支付合同总价款的30%；成交供应商按要求完成自治区本级存量国有土地盘活利用方案、2025年自治区本级国有土地开发利用台账及矢量数据、2025年各市开发利用本级土地情况核查报告，提交甲方验收合格并移交成果数据至厅信息中心后10个工作日内，甲方向成交供应商支付合同总价款的10%。。</w:t>
      </w:r>
    </w:p>
    <w:p w14:paraId="7AC6F9EF">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乙方在每次收到合同款项后3个工作日内向甲方开具正式等额发票。如提供假发票的，乙方除须向甲方补开合法发票外，由此产生的一切损失均由乙方商承担。乙方未提供发票的，甲方有权暂不支付之后的款项。</w:t>
      </w:r>
    </w:p>
    <w:p w14:paraId="48E0C6B9">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第六条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税费</w:t>
      </w:r>
    </w:p>
    <w:p w14:paraId="0A241BD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本合同执行中相关的一切税费均由</w:t>
      </w:r>
      <w:r>
        <w:rPr>
          <w:rFonts w:hint="eastAsia" w:ascii="宋体" w:hAnsi="宋体" w:cs="宋体"/>
          <w:color w:val="auto"/>
          <w:sz w:val="21"/>
          <w:szCs w:val="21"/>
          <w:highlight w:val="none"/>
          <w:lang w:val="en-US" w:eastAsia="zh-CN"/>
        </w:rPr>
        <w:t>乙方承担</w:t>
      </w:r>
      <w:r>
        <w:rPr>
          <w:rFonts w:hint="eastAsia" w:ascii="宋体" w:hAnsi="宋体" w:cs="宋体"/>
          <w:color w:val="auto"/>
          <w:sz w:val="21"/>
          <w:szCs w:val="21"/>
          <w:highlight w:val="none"/>
        </w:rPr>
        <w:t>。</w:t>
      </w:r>
    </w:p>
    <w:p w14:paraId="3334F22A">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第七条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服务成果质量保证及售后服务</w:t>
      </w:r>
    </w:p>
    <w:p w14:paraId="725B090A">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1、乙方应按采购文件规定的采购服务内容、数量、服务项目要求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技术参数需求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等向甲方提交质量必须为合格的服务成果，因乙方原因导致乙方提交的成果不符合要求的，根据实际情况，经双方协商，可按以下办法处理：</w:t>
      </w:r>
    </w:p>
    <w:p w14:paraId="3886F82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（1）更换：由乙方承担更换所发生的全部费用，若因此导致逾期向甲方提交成果的，按本合同第八条第3款约定处理。</w:t>
      </w:r>
    </w:p>
    <w:p w14:paraId="4CADC7B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（2）贬值处理：合同总价由甲乙双方重新合议确定，此外乙方还应向甲方支付合同总价5%的违约金。</w:t>
      </w:r>
    </w:p>
    <w:p w14:paraId="074F02E0">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（3）退服务成果处理：乙方须按本合同第八条第1款中乙方无法提供质量符合采购及响应文件、国家有关质量标准或本合同约定的服务成果情形的约定处理。</w:t>
      </w:r>
    </w:p>
    <w:p w14:paraId="259DC336">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2、如在使用过程中发生质量问题，乙方在接到甲方通知后在 8 小时内到达甲方现场。</w:t>
      </w:r>
    </w:p>
    <w:p w14:paraId="28B84759">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保期为乙方提交的成果经甲方验收合格之日起6个月。在质保期内，乙方应对服务成果出现的质量及安全问题负责处理解决并承担一切费用，并无偿为甲方提供项目日常服务工作，因人为因素出现的故障不在免费质保范围内。超过质保期的服务成果，终生维护，维护时只收成本费。</w:t>
      </w:r>
    </w:p>
    <w:p w14:paraId="68643B34">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第八条 违约责任</w:t>
      </w:r>
    </w:p>
    <w:p w14:paraId="7852FEB9">
      <w:pPr>
        <w:keepNext w:val="0"/>
        <w:keepLines w:val="0"/>
        <w:pageBreakBefore w:val="0"/>
        <w:widowControl w:val="0"/>
        <w:kinsoku/>
        <w:overflowPunct/>
        <w:topLinePunct w:val="0"/>
        <w:autoSpaceDE/>
        <w:autoSpaceDN/>
        <w:bidi w:val="0"/>
        <w:adjustRightInd/>
        <w:snapToGrid w:val="0"/>
        <w:spacing w:line="360" w:lineRule="exact"/>
        <w:ind w:firstLine="525" w:firstLineChars="25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1、因乙方原因，乙方所提交的服务成果内容、数量、服务项目要求（技术参数需求）等不符合招投标文件、国家有关质量标准或本合同约定的，应及时调整，调整不及时的按本条第3款的约定按逾期提交成果处理；因特殊情况甲方同意接收不符合招投标文件、国家有关质量标准或本合同约定的服务或报告的，乙方除承担逾期违约责任外，还应向甲方支付合同总价5%违约金。因乙方无法提供质量符合招投标文件、国家有关质量标准或本合同约定的服务或报告的，甲方有权解除合同。 </w:t>
      </w:r>
    </w:p>
    <w:p w14:paraId="7549EF7F">
      <w:pPr>
        <w:keepNext w:val="0"/>
        <w:keepLines w:val="0"/>
        <w:pageBreakBefore w:val="0"/>
        <w:widowControl w:val="0"/>
        <w:kinsoku/>
        <w:overflowPunct/>
        <w:topLinePunct w:val="0"/>
        <w:autoSpaceDE/>
        <w:autoSpaceDN/>
        <w:bidi w:val="0"/>
        <w:adjustRightInd/>
        <w:snapToGrid w:val="0"/>
        <w:spacing w:line="360" w:lineRule="exact"/>
        <w:ind w:firstLine="472" w:firstLineChars="225"/>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提供的服务成果如侵犯第三方合法权益而引发的任何纠纷或诉讼，均由乙方负责交涉并承担全部责任。如甲方为解决纠纷先行支付了费用，乙方应当在收到甲方关于要求偿还已支付款项的通知之日起5个工作日内将甲方已支付的合理费用赔偿给甲方。</w:t>
      </w:r>
    </w:p>
    <w:p w14:paraId="1703973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3、因乙方原因，乙方逾期交付服务成果的，每天向甲方支付合同总价0.5‰的违约金，但违约金累计不超过合同总价的 5% 。乙方逾期交付超过15日的，甲方有权解除合同。</w:t>
      </w:r>
    </w:p>
    <w:p w14:paraId="38C63465">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4、乙方未按本合同和投标文件中规定的服务承诺提供售后服务的，乙方应按合同总</w:t>
      </w:r>
      <w:r>
        <w:rPr>
          <w:rFonts w:hint="eastAsia" w:ascii="宋体" w:hAnsi="宋体" w:cs="宋体"/>
          <w:color w:val="auto"/>
          <w:sz w:val="21"/>
          <w:szCs w:val="21"/>
          <w:highlight w:val="none"/>
          <w:u w:val="none"/>
        </w:rPr>
        <w:t>价的5%</w:t>
      </w:r>
      <w:r>
        <w:rPr>
          <w:rFonts w:hint="eastAsia" w:ascii="宋体" w:hAnsi="宋体" w:cs="宋体"/>
          <w:color w:val="auto"/>
          <w:sz w:val="21"/>
          <w:szCs w:val="21"/>
          <w:highlight w:val="none"/>
        </w:rPr>
        <w:t>向甲方支付违约金。</w:t>
      </w:r>
    </w:p>
    <w:p w14:paraId="11A6A273">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5、乙方有其它严重影响合同目的实现的违约行为的，每发生一次按合同总价的</w:t>
      </w:r>
      <w:r>
        <w:rPr>
          <w:rFonts w:hint="eastAsia" w:ascii="宋体" w:hAnsi="宋体" w:cs="宋体"/>
          <w:color w:val="auto"/>
          <w:sz w:val="21"/>
          <w:szCs w:val="21"/>
          <w:highlight w:val="none"/>
          <w:u w:val="single"/>
        </w:rPr>
        <w:t>5%</w:t>
      </w:r>
      <w:r>
        <w:rPr>
          <w:rFonts w:hint="eastAsia" w:ascii="宋体" w:hAnsi="宋体" w:cs="宋体"/>
          <w:color w:val="auto"/>
          <w:sz w:val="21"/>
          <w:szCs w:val="21"/>
          <w:highlight w:val="none"/>
        </w:rPr>
        <w:t>支付违约金。</w:t>
      </w:r>
    </w:p>
    <w:p w14:paraId="6E332CD0">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甲方根据本合同约定解除合同的，有权不予支付任何款项给乙方，已经支付的，乙方应当自甲方要求返还之日起5日内予以返还，此外乙方还应支付合同总价5%的违约金给甲方。但甲方接受或利用乙方已完成的服务的，应按乙方完成的工作量支付费用。</w:t>
      </w:r>
    </w:p>
    <w:p w14:paraId="625D10DD">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当以上违约金不足以弥补甲方损失时，乙方还应对甲方超过违约金部分的损失依法承担赔偿责任，甲方有权继续向乙方追偿。乙方应当赔偿因此给甲方造成的所有损失，包括但不限于甲方直接损失、向第三人承担的违约金、赔偿金、为索赔支出的费用、律师费、诉讼费、仲裁费、调查费、公证费、鉴定费</w:t>
      </w:r>
      <w:r>
        <w:rPr>
          <w:rFonts w:hint="eastAsia" w:ascii="宋体" w:hAnsi="宋体" w:eastAsia="宋体" w:cs="宋体"/>
          <w:b w:val="0"/>
          <w:bCs w:val="0"/>
          <w:color w:val="auto"/>
          <w:sz w:val="21"/>
          <w:szCs w:val="21"/>
          <w:highlight w:val="none"/>
          <w:lang w:val="en-US" w:eastAsia="zh-CN"/>
        </w:rPr>
        <w:t>、保全费、保全保险费</w:t>
      </w:r>
      <w:r>
        <w:rPr>
          <w:rFonts w:hint="eastAsia" w:ascii="宋体" w:hAnsi="宋体" w:cs="宋体"/>
          <w:color w:val="auto"/>
          <w:sz w:val="21"/>
          <w:szCs w:val="21"/>
          <w:highlight w:val="none"/>
        </w:rPr>
        <w:t>等。</w:t>
      </w:r>
    </w:p>
    <w:p w14:paraId="67A72F82">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8、乙方不得将项目全部或部分进行转包，如有违反，乙方应向甲方一次性支付合同总价20%的违约金，且甲方有权解除合同。</w:t>
      </w:r>
    </w:p>
    <w:p w14:paraId="3BEDEDE8">
      <w:pPr>
        <w:keepNext w:val="0"/>
        <w:keepLines w:val="0"/>
        <w:pageBreakBefore w:val="0"/>
        <w:widowControl w:val="0"/>
        <w:kinsoku/>
        <w:overflowPunct/>
        <w:topLinePunct w:val="0"/>
        <w:autoSpaceDE/>
        <w:autoSpaceDN/>
        <w:bidi w:val="0"/>
        <w:adjustRightInd/>
        <w:snapToGrid w:val="0"/>
        <w:spacing w:before="120" w:after="120" w:line="360" w:lineRule="exact"/>
        <w:ind w:firstLine="413" w:firstLineChars="196"/>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第九条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不可抗力事件处理</w:t>
      </w:r>
    </w:p>
    <w:p w14:paraId="393670D5">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1、在合同有效期内，任何一方因不可抗力事件导致不能履行合同的，则合同履行期可延长，其延长期与不可抗力影响期相同。</w:t>
      </w:r>
    </w:p>
    <w:p w14:paraId="560AFB4D">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2、由于不可抗力事件不能全部或部分履行合同义务时，任一方可中止履行其在本合同项下的义务。</w:t>
      </w:r>
    </w:p>
    <w:p w14:paraId="397ED2FF">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不可抗力事件发生后，受影响方应立即通知对方，并寄送有关不可抗力发生的有效证明。声称受到不可抗力的一方应在任何时候采取合理的行动，以避免或尽量减少不可抗力事件的影响。因主观原因延误，未及时采取必要措施而导致损失扩大的，不能免除相应责任。</w:t>
      </w:r>
    </w:p>
    <w:p w14:paraId="3D7D9590">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4、不可抗力事件延续一百二十天以上时，双方应通过友好协商，确定是否继续履行合同。若双方协商解除合同，甲方应按乙方完成的工作量支付费用。</w:t>
      </w:r>
    </w:p>
    <w:p w14:paraId="443F4609">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第十条</w:t>
      </w:r>
      <w:r>
        <w:rPr>
          <w:rFonts w:hint="eastAsia" w:ascii="宋体" w:hAnsi="宋体" w:cs="宋体"/>
          <w:b/>
          <w:bCs/>
          <w:color w:val="auto"/>
          <w:sz w:val="21"/>
          <w:szCs w:val="21"/>
          <w:highlight w:val="none"/>
        </w:rPr>
        <w:tab/>
      </w:r>
      <w:r>
        <w:rPr>
          <w:rFonts w:hint="eastAsia" w:ascii="宋体" w:hAnsi="宋体" w:cs="宋体"/>
          <w:b/>
          <w:bCs/>
          <w:color w:val="auto"/>
          <w:sz w:val="21"/>
          <w:szCs w:val="21"/>
          <w:highlight w:val="none"/>
        </w:rPr>
        <w:t>合同争议解决</w:t>
      </w:r>
    </w:p>
    <w:p w14:paraId="679E5AB2">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1、因服务成果质量问题发生争议的，应邀请国家认可的质量检测机构对服务成果质量进行鉴定。服务成果符合标准的，鉴定费由甲方承担；服务成果不符合标准的，鉴定费由乙方承担。</w:t>
      </w:r>
    </w:p>
    <w:p w14:paraId="42305D3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2、因履行本合同引起的或与本合同有关的争议，甲乙双方应首先通过友好协商解决，如果协商不能解决，任何一方均可向甲方所在地有管辖权的人民法院提起诉讼。</w:t>
      </w:r>
    </w:p>
    <w:p w14:paraId="4EA0120A">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第十一条  合同生效及其它</w:t>
      </w:r>
    </w:p>
    <w:p w14:paraId="1A07E8C9">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1、本合同经双方法定代表人或授权代表签字并加盖单位公章后生效。</w:t>
      </w:r>
    </w:p>
    <w:p w14:paraId="2DA0E7E7">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2、本合同未尽事宜，双方另行协商。</w:t>
      </w:r>
    </w:p>
    <w:p w14:paraId="7480269C">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第十二条  合同的变更、终止与转让</w:t>
      </w:r>
    </w:p>
    <w:p w14:paraId="119297BC">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1、除《中华人民共和国政府采购法》第五十条规定的情形外，本合同一经签订，甲乙双方不得擅自变更、中止或终止。</w:t>
      </w:r>
    </w:p>
    <w:p w14:paraId="0BA10FD8">
      <w:pPr>
        <w:keepNext w:val="0"/>
        <w:keepLines w:val="0"/>
        <w:pageBreakBefore w:val="0"/>
        <w:widowControl w:val="0"/>
        <w:kinsoku/>
        <w:overflowPunct/>
        <w:topLinePunct w:val="0"/>
        <w:autoSpaceDE/>
        <w:autoSpaceDN/>
        <w:bidi w:val="0"/>
        <w:adjustRightInd/>
        <w:snapToGrid w:val="0"/>
        <w:spacing w:line="360" w:lineRule="exact"/>
        <w:ind w:firstLine="420" w:firstLineChars="200"/>
        <w:textAlignment w:val="auto"/>
        <w:rPr>
          <w:rFonts w:hint="eastAsia" w:ascii="宋体" w:hAnsi="宋体" w:cs="宋体"/>
          <w:b/>
          <w:bCs/>
          <w:color w:val="auto"/>
          <w:sz w:val="21"/>
          <w:szCs w:val="21"/>
          <w:highlight w:val="none"/>
        </w:rPr>
      </w:pPr>
      <w:r>
        <w:rPr>
          <w:rFonts w:hint="eastAsia" w:ascii="宋体" w:hAnsi="宋体" w:cs="宋体"/>
          <w:color w:val="auto"/>
          <w:sz w:val="21"/>
          <w:szCs w:val="21"/>
          <w:highlight w:val="none"/>
        </w:rPr>
        <w:t>2、未经甲方书面同意，乙方不得转让其应履行的任何合同义务。</w:t>
      </w:r>
    </w:p>
    <w:p w14:paraId="68D1E75E">
      <w:pPr>
        <w:keepNext w:val="0"/>
        <w:keepLines w:val="0"/>
        <w:pageBreakBefore w:val="0"/>
        <w:widowControl w:val="0"/>
        <w:kinsoku/>
        <w:overflowPunct/>
        <w:topLinePunct w:val="0"/>
        <w:autoSpaceDE/>
        <w:autoSpaceDN/>
        <w:bidi w:val="0"/>
        <w:adjustRightInd/>
        <w:snapToGrid w:val="0"/>
        <w:spacing w:line="360" w:lineRule="exact"/>
        <w:ind w:firstLine="422" w:firstLineChars="200"/>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 xml:space="preserve">第十三条 </w:t>
      </w:r>
      <w:r>
        <w:rPr>
          <w:rFonts w:hint="eastAsia" w:ascii="宋体" w:hAnsi="宋体" w:cs="宋体"/>
          <w:color w:val="auto"/>
          <w:sz w:val="21"/>
          <w:szCs w:val="21"/>
          <w:highlight w:val="none"/>
        </w:rPr>
        <w:t>本合同一式陆份，具有同等法律效力，甲乙双方各执叁份。</w:t>
      </w:r>
    </w:p>
    <w:tbl>
      <w:tblPr>
        <w:tblStyle w:val="34"/>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4745"/>
      </w:tblGrid>
      <w:tr w14:paraId="3F32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413FC4B3">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甲方（章）           </w:t>
            </w:r>
          </w:p>
          <w:p w14:paraId="14E47F9D">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广西壮族自治区自然资源厅</w:t>
            </w:r>
          </w:p>
          <w:p w14:paraId="5D665089">
            <w:pPr>
              <w:keepNext w:val="0"/>
              <w:keepLines w:val="0"/>
              <w:pageBreakBefore w:val="0"/>
              <w:widowControl w:val="0"/>
              <w:kinsoku/>
              <w:overflowPunct/>
              <w:topLinePunct w:val="0"/>
              <w:autoSpaceDE/>
              <w:autoSpaceDN/>
              <w:bidi w:val="0"/>
              <w:adjustRightInd/>
              <w:snapToGrid w:val="0"/>
              <w:spacing w:line="360" w:lineRule="exact"/>
              <w:ind w:firstLine="945" w:firstLineChars="450"/>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rPr>
              <w:t>年   月   日</w:t>
            </w:r>
          </w:p>
        </w:tc>
        <w:tc>
          <w:tcPr>
            <w:tcW w:w="4745" w:type="dxa"/>
            <w:tcBorders>
              <w:top w:val="single" w:color="auto" w:sz="4" w:space="0"/>
              <w:left w:val="nil"/>
              <w:bottom w:val="single" w:color="auto" w:sz="4" w:space="0"/>
              <w:right w:val="single" w:color="auto" w:sz="4" w:space="0"/>
            </w:tcBorders>
            <w:vAlign w:val="center"/>
          </w:tcPr>
          <w:p w14:paraId="4FCD0896">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乙方（章）</w:t>
            </w:r>
          </w:p>
          <w:p w14:paraId="2D711154">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2B705F04">
            <w:pPr>
              <w:keepNext w:val="0"/>
              <w:keepLines w:val="0"/>
              <w:pageBreakBefore w:val="0"/>
              <w:widowControl w:val="0"/>
              <w:kinsoku/>
              <w:overflowPunct/>
              <w:topLinePunct w:val="0"/>
              <w:autoSpaceDE/>
              <w:autoSpaceDN/>
              <w:bidi w:val="0"/>
              <w:adjustRightInd/>
              <w:snapToGrid w:val="0"/>
              <w:spacing w:line="360" w:lineRule="exact"/>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月   日</w:t>
            </w:r>
          </w:p>
        </w:tc>
      </w:tr>
      <w:tr w14:paraId="33C4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34415D33">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单位地址：南宁市中新路2号</w:t>
            </w:r>
          </w:p>
        </w:tc>
        <w:tc>
          <w:tcPr>
            <w:tcW w:w="4745" w:type="dxa"/>
            <w:tcBorders>
              <w:top w:val="single" w:color="auto" w:sz="4" w:space="0"/>
              <w:left w:val="nil"/>
              <w:bottom w:val="single" w:color="auto" w:sz="4" w:space="0"/>
              <w:right w:val="single" w:color="auto" w:sz="4" w:space="0"/>
            </w:tcBorders>
            <w:vAlign w:val="center"/>
          </w:tcPr>
          <w:p w14:paraId="4301D5B4">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单位地址：</w:t>
            </w:r>
          </w:p>
        </w:tc>
      </w:tr>
      <w:tr w14:paraId="0AD1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521F2222">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4745" w:type="dxa"/>
            <w:tcBorders>
              <w:top w:val="single" w:color="auto" w:sz="4" w:space="0"/>
              <w:left w:val="nil"/>
              <w:bottom w:val="single" w:color="auto" w:sz="4" w:space="0"/>
              <w:right w:val="single" w:color="auto" w:sz="4" w:space="0"/>
            </w:tcBorders>
            <w:vAlign w:val="center"/>
          </w:tcPr>
          <w:p w14:paraId="68548BC0">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r>
      <w:tr w14:paraId="47D0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013DD663">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委托代理人：</w:t>
            </w:r>
          </w:p>
        </w:tc>
        <w:tc>
          <w:tcPr>
            <w:tcW w:w="4745" w:type="dxa"/>
            <w:tcBorders>
              <w:top w:val="single" w:color="auto" w:sz="4" w:space="0"/>
              <w:left w:val="nil"/>
              <w:bottom w:val="single" w:color="auto" w:sz="4" w:space="0"/>
              <w:right w:val="single" w:color="auto" w:sz="4" w:space="0"/>
            </w:tcBorders>
            <w:vAlign w:val="center"/>
          </w:tcPr>
          <w:p w14:paraId="2A8BB6BA">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委托代理人：</w:t>
            </w:r>
          </w:p>
        </w:tc>
      </w:tr>
      <w:tr w14:paraId="4D68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3B3F8C4D">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745" w:type="dxa"/>
            <w:tcBorders>
              <w:top w:val="single" w:color="auto" w:sz="4" w:space="0"/>
              <w:left w:val="nil"/>
              <w:bottom w:val="single" w:color="auto" w:sz="4" w:space="0"/>
              <w:right w:val="single" w:color="auto" w:sz="4" w:space="0"/>
            </w:tcBorders>
            <w:vAlign w:val="center"/>
          </w:tcPr>
          <w:p w14:paraId="1412374A">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电话：</w:t>
            </w:r>
          </w:p>
        </w:tc>
      </w:tr>
      <w:tr w14:paraId="7383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539722FC">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745" w:type="dxa"/>
            <w:tcBorders>
              <w:top w:val="single" w:color="auto" w:sz="4" w:space="0"/>
              <w:left w:val="nil"/>
              <w:bottom w:val="single" w:color="auto" w:sz="4" w:space="0"/>
              <w:right w:val="single" w:color="auto" w:sz="4" w:space="0"/>
            </w:tcBorders>
            <w:vAlign w:val="center"/>
          </w:tcPr>
          <w:p w14:paraId="103BD3CC">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开户银行：</w:t>
            </w:r>
          </w:p>
        </w:tc>
      </w:tr>
      <w:tr w14:paraId="412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5C5E7608">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c>
          <w:tcPr>
            <w:tcW w:w="4745" w:type="dxa"/>
            <w:tcBorders>
              <w:top w:val="single" w:color="auto" w:sz="4" w:space="0"/>
              <w:left w:val="nil"/>
              <w:bottom w:val="single" w:color="auto" w:sz="4" w:space="0"/>
              <w:right w:val="single" w:color="auto" w:sz="4" w:space="0"/>
            </w:tcBorders>
            <w:vAlign w:val="center"/>
          </w:tcPr>
          <w:p w14:paraId="75A32336">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账号：</w:t>
            </w:r>
            <w:r>
              <w:rPr>
                <w:rFonts w:hint="eastAsia" w:ascii="宋体" w:hAnsi="宋体" w:cs="宋体"/>
                <w:color w:val="auto"/>
                <w:sz w:val="21"/>
                <w:szCs w:val="21"/>
                <w:highlight w:val="none"/>
                <w:lang w:val="en-US" w:eastAsia="zh-CN"/>
              </w:rPr>
              <w:t xml:space="preserve"> </w:t>
            </w:r>
          </w:p>
        </w:tc>
      </w:tr>
      <w:tr w14:paraId="3245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142" w:type="dxa"/>
            <w:tcBorders>
              <w:top w:val="single" w:color="auto" w:sz="4" w:space="0"/>
              <w:left w:val="single" w:color="auto" w:sz="4" w:space="0"/>
              <w:bottom w:val="single" w:color="auto" w:sz="4" w:space="0"/>
              <w:right w:val="single" w:color="auto" w:sz="4" w:space="0"/>
            </w:tcBorders>
            <w:vAlign w:val="center"/>
          </w:tcPr>
          <w:p w14:paraId="614EEDE7">
            <w:pPr>
              <w:keepNext w:val="0"/>
              <w:keepLines w:val="0"/>
              <w:pageBreakBefore w:val="0"/>
              <w:widowControl w:val="0"/>
              <w:kinsoku/>
              <w:overflowPunct/>
              <w:topLinePunct w:val="0"/>
              <w:autoSpaceDE/>
              <w:autoSpaceDN/>
              <w:bidi w:val="0"/>
              <w:adjustRightInd/>
              <w:snapToGrid w:val="0"/>
              <w:spacing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邮政编码：530022</w:t>
            </w:r>
          </w:p>
        </w:tc>
        <w:tc>
          <w:tcPr>
            <w:tcW w:w="4745" w:type="dxa"/>
            <w:tcBorders>
              <w:top w:val="single" w:color="auto" w:sz="4" w:space="0"/>
              <w:left w:val="nil"/>
              <w:bottom w:val="single" w:color="auto" w:sz="4" w:space="0"/>
              <w:right w:val="single" w:color="auto" w:sz="4" w:space="0"/>
            </w:tcBorders>
            <w:vAlign w:val="center"/>
          </w:tcPr>
          <w:p w14:paraId="7888263B">
            <w:pPr>
              <w:keepNext w:val="0"/>
              <w:keepLines w:val="0"/>
              <w:pageBreakBefore w:val="0"/>
              <w:widowControl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邮政编码：</w:t>
            </w:r>
          </w:p>
        </w:tc>
      </w:tr>
    </w:tbl>
    <w:p w14:paraId="25AE6672">
      <w:pPr>
        <w:keepNext w:val="0"/>
        <w:keepLines w:val="0"/>
        <w:pageBreakBefore w:val="0"/>
        <w:widowControl w:val="0"/>
        <w:kinsoku/>
        <w:overflowPunct/>
        <w:topLinePunct w:val="0"/>
        <w:autoSpaceDE/>
        <w:autoSpaceDN/>
        <w:bidi w:val="0"/>
        <w:adjustRightInd/>
        <w:snapToGrid w:val="0"/>
        <w:spacing w:line="360" w:lineRule="exact"/>
        <w:ind w:left="120" w:hanging="420" w:hangingChars="200"/>
        <w:textAlignment w:val="auto"/>
        <w:rPr>
          <w:rFonts w:ascii="方正小标宋简体" w:hAnsi="方正小标宋简体" w:eastAsia="方正小标宋简体" w:cs="方正小标宋简体"/>
          <w:color w:val="auto"/>
          <w:sz w:val="21"/>
          <w:szCs w:val="21"/>
          <w:highlight w:val="none"/>
        </w:rPr>
      </w:pPr>
    </w:p>
    <w:p w14:paraId="4A4E2D74">
      <w:pPr>
        <w:keepNext w:val="0"/>
        <w:keepLines w:val="0"/>
        <w:pageBreakBefore w:val="0"/>
        <w:widowControl w:val="0"/>
        <w:kinsoku/>
        <w:overflowPunct/>
        <w:topLinePunct w:val="0"/>
        <w:autoSpaceDE/>
        <w:autoSpaceDN/>
        <w:bidi w:val="0"/>
        <w:adjustRightInd/>
        <w:snapToGrid w:val="0"/>
        <w:spacing w:line="360" w:lineRule="exact"/>
        <w:ind w:left="120" w:hanging="420" w:hangingChars="200"/>
        <w:textAlignment w:val="auto"/>
        <w:rPr>
          <w:rFonts w:ascii="方正小标宋简体" w:hAnsi="方正小标宋简体" w:eastAsia="方正小标宋简体" w:cs="方正小标宋简体"/>
          <w:color w:val="auto"/>
          <w:sz w:val="21"/>
          <w:szCs w:val="21"/>
          <w:highlight w:val="none"/>
        </w:rPr>
      </w:pPr>
    </w:p>
    <w:sectPr>
      <w:footerReference r:id="rId7" w:type="firs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46D79C-4175-488A-B6E7-C808F5DC051B}"/>
  </w:font>
  <w:font w:name="黑体">
    <w:panose1 w:val="02010609060101010101"/>
    <w:charset w:val="86"/>
    <w:family w:val="auto"/>
    <w:pitch w:val="default"/>
    <w:sig w:usb0="800002BF" w:usb1="38CF7CFA" w:usb2="00000016" w:usb3="00000000" w:csb0="00040001" w:csb1="00000000"/>
    <w:embedRegular r:id="rId2" w:fontKey="{A2DC1302-1153-45F0-B33A-2019770C35A8}"/>
  </w:font>
  <w:font w:name="Courier New">
    <w:panose1 w:val="02070309020205020404"/>
    <w:charset w:val="01"/>
    <w:family w:val="modern"/>
    <w:pitch w:val="default"/>
    <w:sig w:usb0="E0002EFF" w:usb1="C0007843" w:usb2="00000009" w:usb3="00000000" w:csb0="400001FF" w:csb1="FFFF0000"/>
    <w:embedRegular r:id="rId3" w:fontKey="{5A7FE81F-2754-4C51-8364-6A70AB9F7CB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9B512BCF-66EA-40D5-BE47-3DE4D721124B}"/>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DC0D4CE0-A19B-4FE5-9E9D-A18028EC92BD}"/>
  </w:font>
  <w:font w:name="Helvetica">
    <w:altName w:val="Arial"/>
    <w:panose1 w:val="020B0604020202020204"/>
    <w:charset w:val="00"/>
    <w:family w:val="swiss"/>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6" w:fontKey="{69486246-7FFC-4C08-965A-26A7C4E7DCED}"/>
  </w:font>
  <w:font w:name="华文新魏">
    <w:panose1 w:val="02010800040101010101"/>
    <w:charset w:val="86"/>
    <w:family w:val="auto"/>
    <w:pitch w:val="default"/>
    <w:sig w:usb0="00000001" w:usb1="080F0000" w:usb2="00000000" w:usb3="00000000" w:csb0="00040000" w:csb1="00000000"/>
    <w:embedRegular r:id="rId7" w:fontKey="{2A0936FC-0F14-44EF-B3FF-878B4DE8B2B7}"/>
  </w:font>
  <w:font w:name="Segoe UI Symbol">
    <w:panose1 w:val="020B0502040204020203"/>
    <w:charset w:val="00"/>
    <w:family w:val="swiss"/>
    <w:pitch w:val="default"/>
    <w:sig w:usb0="800001E3" w:usb1="1200FFEF" w:usb2="00040000" w:usb3="04000000" w:csb0="00000001" w:csb1="40000000"/>
    <w:embedRegular r:id="rId8" w:fontKey="{60EC4BBB-77DA-4B53-A4E6-04591E0933BF}"/>
  </w:font>
  <w:font w:name="微软雅黑">
    <w:panose1 w:val="020B0503020204020204"/>
    <w:charset w:val="86"/>
    <w:family w:val="swiss"/>
    <w:pitch w:val="default"/>
    <w:sig w:usb0="80000287" w:usb1="2ACF3C50" w:usb2="00000016" w:usb3="00000000" w:csb0="0004001F" w:csb1="00000000"/>
    <w:embedRegular r:id="rId9" w:fontKey="{0B3C255F-8D76-46D0-AC88-B6851443A44C}"/>
  </w:font>
  <w:font w:name="___WRD_EMBED_SUB_45">
    <w:altName w:val="宋体"/>
    <w:panose1 w:val="00000000000000000000"/>
    <w:charset w:val="86"/>
    <w:family w:val="modern"/>
    <w:pitch w:val="default"/>
    <w:sig w:usb0="00000000" w:usb1="00000000" w:usb2="00000000" w:usb3="00000000" w:csb0="00040000" w:csb1="00000000"/>
    <w:embedRegular r:id="rId10" w:fontKey="{0D1DD580-6890-4134-A082-89389CDF634F}"/>
  </w:font>
  <w:font w:name="Wingdings 2">
    <w:panose1 w:val="05020102010507070707"/>
    <w:charset w:val="02"/>
    <w:family w:val="roman"/>
    <w:pitch w:val="default"/>
    <w:sig w:usb0="00000000" w:usb1="00000000" w:usb2="00000000" w:usb3="00000000" w:csb0="80000000" w:csb1="00000000"/>
    <w:embedRegular r:id="rId11" w:fontKey="{9CC89ED5-EA88-4C4B-8E9A-A83860A98A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6DC1">
    <w:pPr>
      <w:pStyle w:val="26"/>
      <w:tabs>
        <w:tab w:val="center" w:pos="4439"/>
        <w:tab w:val="clear" w:pos="4153"/>
      </w:tabs>
      <w:jc w:val="both"/>
    </w:pPr>
  </w:p>
  <w:p w14:paraId="6D761AE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4C78">
    <w:pPr>
      <w:pStyle w:val="26"/>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64301881"/>
                      </w:txbxContent>
                    </wps:txbx>
                    <wps:bodyPr wrap="none" lIns="0" tIns="0" rIns="0" bIns="0" anchor="t" anchorCtr="0">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BU+a0AAAAAMBAAAPAAAAAAAAAAEAIAAA&#10;ACIAAABkcnMvZG93bnJldi54bWxQSwECFAAUAAAACACHTuJAWTzIctsBAAC1AwAADgAAAAAAAAAB&#10;ACAAAAAfAQAAZHJzL2Uyb0RvYy54bWxQSwUGAAAAAAYABgBZAQAAbAUAAAAA&#10;">
              <v:fill on="f" focussize="0,0"/>
              <v:stroke on="f"/>
              <v:imagedata o:title=""/>
              <o:lock v:ext="edit" aspectratio="f"/>
              <v:textbox inset="0mm,0mm,0mm,0mm" style="mso-fit-shape-to-text:t;">
                <w:txbxContent>
                  <w:p w14:paraId="6430188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EA12D">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39B6E">
                          <w:pPr>
                            <w:pStyle w:val="26"/>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A39B6E">
                    <w:pPr>
                      <w:pStyle w:val="26"/>
                    </w:pPr>
                    <w:r>
                      <w:fldChar w:fldCharType="begin"/>
                    </w:r>
                    <w:r>
                      <w:instrText xml:space="preserve"> PAGE  \* MERGEFORMAT </w:instrText>
                    </w:r>
                    <w:r>
                      <w:fldChar w:fldCharType="separate"/>
                    </w:r>
                    <w:r>
                      <w:t>103</w:t>
                    </w:r>
                    <w:r>
                      <w:fldChar w:fldCharType="end"/>
                    </w:r>
                  </w:p>
                </w:txbxContent>
              </v:textbox>
            </v:shape>
          </w:pict>
        </mc:Fallback>
      </mc:AlternateContent>
    </w:r>
  </w:p>
  <w:p w14:paraId="1DEAE19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B127">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D5929">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CD5929">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CC9F">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32D5D"/>
    <w:multiLevelType w:val="multilevel"/>
    <w:tmpl w:val="2A232D5D"/>
    <w:lvl w:ilvl="0" w:tentative="0">
      <w:start w:val="1"/>
      <w:numFmt w:val="decimal"/>
      <w:pStyle w:val="107"/>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39A5395"/>
    <w:multiLevelType w:val="multilevel"/>
    <w:tmpl w:val="339A5395"/>
    <w:lvl w:ilvl="0" w:tentative="0">
      <w:start w:val="1"/>
      <w:numFmt w:val="decimal"/>
      <w:pStyle w:val="106"/>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B5E3AF1"/>
    <w:multiLevelType w:val="singleLevel"/>
    <w:tmpl w:val="3B5E3AF1"/>
    <w:lvl w:ilvl="0" w:tentative="0">
      <w:start w:val="2"/>
      <w:numFmt w:val="decimal"/>
      <w:suff w:val="nothing"/>
      <w:lvlText w:val="（%1）"/>
      <w:lvlJc w:val="left"/>
    </w:lvl>
  </w:abstractNum>
  <w:abstractNum w:abstractNumId="3">
    <w:nsid w:val="5D5557BB"/>
    <w:multiLevelType w:val="multilevel"/>
    <w:tmpl w:val="5D5557BB"/>
    <w:lvl w:ilvl="0" w:tentative="0">
      <w:start w:val="1"/>
      <w:numFmt w:val="decimal"/>
      <w:pStyle w:val="104"/>
      <w:lvlText w:val="%1."/>
      <w:lvlJc w:val="left"/>
      <w:pPr>
        <w:ind w:left="0" w:firstLine="0"/>
      </w:p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
    <w:nsid w:val="69233C06"/>
    <w:multiLevelType w:val="multilevel"/>
    <w:tmpl w:val="69233C06"/>
    <w:lvl w:ilvl="0" w:tentative="0">
      <w:start w:val="1"/>
      <w:numFmt w:val="bullet"/>
      <w:pStyle w:val="105"/>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3173AD"/>
    <w:multiLevelType w:val="multilevel"/>
    <w:tmpl w:val="6B3173AD"/>
    <w:lvl w:ilvl="0" w:tentative="0">
      <w:start w:val="1"/>
      <w:numFmt w:val="decimal"/>
      <w:pStyle w:val="108"/>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1EF22EB"/>
    <w:multiLevelType w:val="multilevel"/>
    <w:tmpl w:val="71EF22EB"/>
    <w:lvl w:ilvl="0" w:tentative="0">
      <w:start w:val="1"/>
      <w:numFmt w:val="bullet"/>
      <w:pStyle w:val="109"/>
      <w:lvlText w:val=""/>
      <w:lvlJc w:val="left"/>
      <w:pPr>
        <w:ind w:left="0" w:firstLine="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053"/>
    <w:rsid w:val="00012854"/>
    <w:rsid w:val="00012C21"/>
    <w:rsid w:val="00012EA6"/>
    <w:rsid w:val="00013359"/>
    <w:rsid w:val="000139CF"/>
    <w:rsid w:val="00013AA4"/>
    <w:rsid w:val="00013DFE"/>
    <w:rsid w:val="000141EA"/>
    <w:rsid w:val="0001469F"/>
    <w:rsid w:val="00016ABC"/>
    <w:rsid w:val="000177DB"/>
    <w:rsid w:val="000179C9"/>
    <w:rsid w:val="00017CCC"/>
    <w:rsid w:val="00020227"/>
    <w:rsid w:val="00020263"/>
    <w:rsid w:val="000203B7"/>
    <w:rsid w:val="00020455"/>
    <w:rsid w:val="00020813"/>
    <w:rsid w:val="000215D0"/>
    <w:rsid w:val="00021813"/>
    <w:rsid w:val="000220B2"/>
    <w:rsid w:val="0002264C"/>
    <w:rsid w:val="00022731"/>
    <w:rsid w:val="00022792"/>
    <w:rsid w:val="00023E38"/>
    <w:rsid w:val="00024463"/>
    <w:rsid w:val="00025461"/>
    <w:rsid w:val="00025636"/>
    <w:rsid w:val="00025E36"/>
    <w:rsid w:val="00026855"/>
    <w:rsid w:val="00026886"/>
    <w:rsid w:val="0002785D"/>
    <w:rsid w:val="000279D2"/>
    <w:rsid w:val="000307BE"/>
    <w:rsid w:val="000329E0"/>
    <w:rsid w:val="000352E9"/>
    <w:rsid w:val="00035494"/>
    <w:rsid w:val="00035DD6"/>
    <w:rsid w:val="00036125"/>
    <w:rsid w:val="00036A07"/>
    <w:rsid w:val="0003780B"/>
    <w:rsid w:val="00040571"/>
    <w:rsid w:val="00040973"/>
    <w:rsid w:val="0004156E"/>
    <w:rsid w:val="00041713"/>
    <w:rsid w:val="00042B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C2B"/>
    <w:rsid w:val="000673E2"/>
    <w:rsid w:val="000677E3"/>
    <w:rsid w:val="00067EF1"/>
    <w:rsid w:val="0007063F"/>
    <w:rsid w:val="000707FD"/>
    <w:rsid w:val="00070949"/>
    <w:rsid w:val="000711E4"/>
    <w:rsid w:val="00071E9B"/>
    <w:rsid w:val="000720A1"/>
    <w:rsid w:val="000724D9"/>
    <w:rsid w:val="00072AED"/>
    <w:rsid w:val="00073F47"/>
    <w:rsid w:val="00074604"/>
    <w:rsid w:val="0007492F"/>
    <w:rsid w:val="00074C87"/>
    <w:rsid w:val="00074ED8"/>
    <w:rsid w:val="00075B7E"/>
    <w:rsid w:val="00077ACA"/>
    <w:rsid w:val="00077C70"/>
    <w:rsid w:val="000802FA"/>
    <w:rsid w:val="00080468"/>
    <w:rsid w:val="00080FD3"/>
    <w:rsid w:val="000813B5"/>
    <w:rsid w:val="0008191E"/>
    <w:rsid w:val="00081AFA"/>
    <w:rsid w:val="00081BA3"/>
    <w:rsid w:val="00081D2E"/>
    <w:rsid w:val="00081F89"/>
    <w:rsid w:val="00082619"/>
    <w:rsid w:val="00082D02"/>
    <w:rsid w:val="0008381A"/>
    <w:rsid w:val="00083871"/>
    <w:rsid w:val="00083AD2"/>
    <w:rsid w:val="00083B91"/>
    <w:rsid w:val="00084104"/>
    <w:rsid w:val="0008473C"/>
    <w:rsid w:val="00084BB3"/>
    <w:rsid w:val="0008520B"/>
    <w:rsid w:val="000857DE"/>
    <w:rsid w:val="000860BD"/>
    <w:rsid w:val="00086286"/>
    <w:rsid w:val="000871B8"/>
    <w:rsid w:val="00087B0A"/>
    <w:rsid w:val="000916DA"/>
    <w:rsid w:val="00091AAB"/>
    <w:rsid w:val="00092442"/>
    <w:rsid w:val="000929EF"/>
    <w:rsid w:val="00092C26"/>
    <w:rsid w:val="000933BE"/>
    <w:rsid w:val="00093B37"/>
    <w:rsid w:val="0009560F"/>
    <w:rsid w:val="0009588E"/>
    <w:rsid w:val="000959EE"/>
    <w:rsid w:val="00096DB9"/>
    <w:rsid w:val="00097183"/>
    <w:rsid w:val="000972CB"/>
    <w:rsid w:val="00097608"/>
    <w:rsid w:val="000A0E76"/>
    <w:rsid w:val="000A0F35"/>
    <w:rsid w:val="000A1175"/>
    <w:rsid w:val="000A13F3"/>
    <w:rsid w:val="000A23B1"/>
    <w:rsid w:val="000A2B0E"/>
    <w:rsid w:val="000A398F"/>
    <w:rsid w:val="000A448C"/>
    <w:rsid w:val="000A509C"/>
    <w:rsid w:val="000A54A7"/>
    <w:rsid w:val="000A5A17"/>
    <w:rsid w:val="000A5DF3"/>
    <w:rsid w:val="000A6007"/>
    <w:rsid w:val="000A65A6"/>
    <w:rsid w:val="000A70E3"/>
    <w:rsid w:val="000A7275"/>
    <w:rsid w:val="000A7A12"/>
    <w:rsid w:val="000A7A72"/>
    <w:rsid w:val="000A7DAC"/>
    <w:rsid w:val="000A7F5C"/>
    <w:rsid w:val="000B1202"/>
    <w:rsid w:val="000B1801"/>
    <w:rsid w:val="000B1D0C"/>
    <w:rsid w:val="000B2273"/>
    <w:rsid w:val="000B2BC6"/>
    <w:rsid w:val="000B2D03"/>
    <w:rsid w:val="000B37F2"/>
    <w:rsid w:val="000B3815"/>
    <w:rsid w:val="000B3C7B"/>
    <w:rsid w:val="000B3E68"/>
    <w:rsid w:val="000B4321"/>
    <w:rsid w:val="000B4AC4"/>
    <w:rsid w:val="000B6A6B"/>
    <w:rsid w:val="000B6C95"/>
    <w:rsid w:val="000B79FC"/>
    <w:rsid w:val="000C1679"/>
    <w:rsid w:val="000C1DAF"/>
    <w:rsid w:val="000C1EE3"/>
    <w:rsid w:val="000C3AE7"/>
    <w:rsid w:val="000C3CC9"/>
    <w:rsid w:val="000C446C"/>
    <w:rsid w:val="000C59C6"/>
    <w:rsid w:val="000C59FD"/>
    <w:rsid w:val="000C6DE4"/>
    <w:rsid w:val="000C7202"/>
    <w:rsid w:val="000D0A89"/>
    <w:rsid w:val="000D1389"/>
    <w:rsid w:val="000D1798"/>
    <w:rsid w:val="000D2626"/>
    <w:rsid w:val="000D411D"/>
    <w:rsid w:val="000D4589"/>
    <w:rsid w:val="000D4809"/>
    <w:rsid w:val="000D73DD"/>
    <w:rsid w:val="000E1C51"/>
    <w:rsid w:val="000E28AB"/>
    <w:rsid w:val="000E2E3E"/>
    <w:rsid w:val="000E3583"/>
    <w:rsid w:val="000E3AF0"/>
    <w:rsid w:val="000E4E04"/>
    <w:rsid w:val="000E5C8B"/>
    <w:rsid w:val="000E693B"/>
    <w:rsid w:val="000E6D5C"/>
    <w:rsid w:val="000E6EC9"/>
    <w:rsid w:val="000E70B4"/>
    <w:rsid w:val="000E725F"/>
    <w:rsid w:val="000E7B62"/>
    <w:rsid w:val="000F0E1E"/>
    <w:rsid w:val="000F1A1B"/>
    <w:rsid w:val="000F2A95"/>
    <w:rsid w:val="000F3281"/>
    <w:rsid w:val="000F32FD"/>
    <w:rsid w:val="000F3733"/>
    <w:rsid w:val="000F5F8B"/>
    <w:rsid w:val="000F6153"/>
    <w:rsid w:val="000F64AA"/>
    <w:rsid w:val="000F74C6"/>
    <w:rsid w:val="000F7AF4"/>
    <w:rsid w:val="000F7C33"/>
    <w:rsid w:val="000F7F0C"/>
    <w:rsid w:val="001004D6"/>
    <w:rsid w:val="00101D1B"/>
    <w:rsid w:val="00102676"/>
    <w:rsid w:val="00103646"/>
    <w:rsid w:val="00103918"/>
    <w:rsid w:val="00103D99"/>
    <w:rsid w:val="00104185"/>
    <w:rsid w:val="00104897"/>
    <w:rsid w:val="00104EDE"/>
    <w:rsid w:val="00104F54"/>
    <w:rsid w:val="00105CDA"/>
    <w:rsid w:val="00106BEE"/>
    <w:rsid w:val="001070E4"/>
    <w:rsid w:val="0010711C"/>
    <w:rsid w:val="00107368"/>
    <w:rsid w:val="00107BDF"/>
    <w:rsid w:val="00107C74"/>
    <w:rsid w:val="001104B2"/>
    <w:rsid w:val="0011091C"/>
    <w:rsid w:val="00111266"/>
    <w:rsid w:val="001112EB"/>
    <w:rsid w:val="0011247D"/>
    <w:rsid w:val="00112C88"/>
    <w:rsid w:val="0011352D"/>
    <w:rsid w:val="00113678"/>
    <w:rsid w:val="00113A7D"/>
    <w:rsid w:val="00113C3E"/>
    <w:rsid w:val="00114202"/>
    <w:rsid w:val="00114254"/>
    <w:rsid w:val="0011465D"/>
    <w:rsid w:val="00115E11"/>
    <w:rsid w:val="00115EEE"/>
    <w:rsid w:val="00115F56"/>
    <w:rsid w:val="00116CA9"/>
    <w:rsid w:val="00116F38"/>
    <w:rsid w:val="001170A4"/>
    <w:rsid w:val="00117AE7"/>
    <w:rsid w:val="00117B85"/>
    <w:rsid w:val="00117CBD"/>
    <w:rsid w:val="0012006A"/>
    <w:rsid w:val="001203BD"/>
    <w:rsid w:val="00121979"/>
    <w:rsid w:val="00122064"/>
    <w:rsid w:val="001223BF"/>
    <w:rsid w:val="00123CCB"/>
    <w:rsid w:val="00124341"/>
    <w:rsid w:val="00124492"/>
    <w:rsid w:val="00124B12"/>
    <w:rsid w:val="001250A0"/>
    <w:rsid w:val="001263B8"/>
    <w:rsid w:val="001268D1"/>
    <w:rsid w:val="00127F8A"/>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3A"/>
    <w:rsid w:val="00141C9C"/>
    <w:rsid w:val="00142344"/>
    <w:rsid w:val="00142351"/>
    <w:rsid w:val="0014277F"/>
    <w:rsid w:val="001434BE"/>
    <w:rsid w:val="00143AAD"/>
    <w:rsid w:val="00144050"/>
    <w:rsid w:val="00144369"/>
    <w:rsid w:val="0014479F"/>
    <w:rsid w:val="001452B4"/>
    <w:rsid w:val="00145320"/>
    <w:rsid w:val="001476D3"/>
    <w:rsid w:val="0014786A"/>
    <w:rsid w:val="001509CF"/>
    <w:rsid w:val="00150D1D"/>
    <w:rsid w:val="001525AA"/>
    <w:rsid w:val="00152A87"/>
    <w:rsid w:val="00152AC1"/>
    <w:rsid w:val="00153BB5"/>
    <w:rsid w:val="00154396"/>
    <w:rsid w:val="00154518"/>
    <w:rsid w:val="00154D4D"/>
    <w:rsid w:val="00156359"/>
    <w:rsid w:val="00156DD6"/>
    <w:rsid w:val="0016086E"/>
    <w:rsid w:val="001609B9"/>
    <w:rsid w:val="00160D0C"/>
    <w:rsid w:val="00160DD1"/>
    <w:rsid w:val="00161172"/>
    <w:rsid w:val="0016186C"/>
    <w:rsid w:val="00161998"/>
    <w:rsid w:val="00161E65"/>
    <w:rsid w:val="00162597"/>
    <w:rsid w:val="001629AF"/>
    <w:rsid w:val="001629FD"/>
    <w:rsid w:val="0016428A"/>
    <w:rsid w:val="001647C9"/>
    <w:rsid w:val="00165627"/>
    <w:rsid w:val="00166033"/>
    <w:rsid w:val="001661A3"/>
    <w:rsid w:val="00166F19"/>
    <w:rsid w:val="00167226"/>
    <w:rsid w:val="0016782B"/>
    <w:rsid w:val="0016784D"/>
    <w:rsid w:val="00167853"/>
    <w:rsid w:val="00167887"/>
    <w:rsid w:val="001710AB"/>
    <w:rsid w:val="00172CA8"/>
    <w:rsid w:val="00173256"/>
    <w:rsid w:val="001737B9"/>
    <w:rsid w:val="00173B0E"/>
    <w:rsid w:val="00173E03"/>
    <w:rsid w:val="0017512C"/>
    <w:rsid w:val="001756AF"/>
    <w:rsid w:val="0017586A"/>
    <w:rsid w:val="00175BA6"/>
    <w:rsid w:val="00176CA7"/>
    <w:rsid w:val="00176D0C"/>
    <w:rsid w:val="00176F8E"/>
    <w:rsid w:val="001778C5"/>
    <w:rsid w:val="00177E56"/>
    <w:rsid w:val="00177F0A"/>
    <w:rsid w:val="00180DA0"/>
    <w:rsid w:val="00181014"/>
    <w:rsid w:val="00181EAD"/>
    <w:rsid w:val="00182862"/>
    <w:rsid w:val="00184F57"/>
    <w:rsid w:val="00185091"/>
    <w:rsid w:val="001854A9"/>
    <w:rsid w:val="00185544"/>
    <w:rsid w:val="00185617"/>
    <w:rsid w:val="00186FE1"/>
    <w:rsid w:val="00187A14"/>
    <w:rsid w:val="0019171E"/>
    <w:rsid w:val="00192368"/>
    <w:rsid w:val="001923A0"/>
    <w:rsid w:val="001928B1"/>
    <w:rsid w:val="00192AE9"/>
    <w:rsid w:val="00193537"/>
    <w:rsid w:val="00193846"/>
    <w:rsid w:val="00195379"/>
    <w:rsid w:val="00195424"/>
    <w:rsid w:val="001955FF"/>
    <w:rsid w:val="00197EDD"/>
    <w:rsid w:val="001A02B3"/>
    <w:rsid w:val="001A04BB"/>
    <w:rsid w:val="001A08D0"/>
    <w:rsid w:val="001A194B"/>
    <w:rsid w:val="001A1B39"/>
    <w:rsid w:val="001A2120"/>
    <w:rsid w:val="001A28C6"/>
    <w:rsid w:val="001A2E69"/>
    <w:rsid w:val="001A3C34"/>
    <w:rsid w:val="001A3EDE"/>
    <w:rsid w:val="001A4222"/>
    <w:rsid w:val="001A50EA"/>
    <w:rsid w:val="001A5E24"/>
    <w:rsid w:val="001A661D"/>
    <w:rsid w:val="001A6795"/>
    <w:rsid w:val="001A681D"/>
    <w:rsid w:val="001A6B27"/>
    <w:rsid w:val="001A6D8B"/>
    <w:rsid w:val="001A6DAA"/>
    <w:rsid w:val="001A7717"/>
    <w:rsid w:val="001A793A"/>
    <w:rsid w:val="001B125A"/>
    <w:rsid w:val="001B1EBA"/>
    <w:rsid w:val="001B2142"/>
    <w:rsid w:val="001B2F2B"/>
    <w:rsid w:val="001B327A"/>
    <w:rsid w:val="001B35DE"/>
    <w:rsid w:val="001B3A13"/>
    <w:rsid w:val="001B3F5C"/>
    <w:rsid w:val="001B49C7"/>
    <w:rsid w:val="001B57C9"/>
    <w:rsid w:val="001B59FF"/>
    <w:rsid w:val="001B6512"/>
    <w:rsid w:val="001B65D7"/>
    <w:rsid w:val="001B6752"/>
    <w:rsid w:val="001B6768"/>
    <w:rsid w:val="001B6F1F"/>
    <w:rsid w:val="001B7ECC"/>
    <w:rsid w:val="001C025B"/>
    <w:rsid w:val="001C115F"/>
    <w:rsid w:val="001C1EAB"/>
    <w:rsid w:val="001C25A7"/>
    <w:rsid w:val="001C2775"/>
    <w:rsid w:val="001C318C"/>
    <w:rsid w:val="001C35C4"/>
    <w:rsid w:val="001C3613"/>
    <w:rsid w:val="001C4287"/>
    <w:rsid w:val="001C4479"/>
    <w:rsid w:val="001C5190"/>
    <w:rsid w:val="001C6081"/>
    <w:rsid w:val="001C680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1C7C"/>
    <w:rsid w:val="001E3B63"/>
    <w:rsid w:val="001E544E"/>
    <w:rsid w:val="001E55ED"/>
    <w:rsid w:val="001E5607"/>
    <w:rsid w:val="001E5A94"/>
    <w:rsid w:val="001E66C7"/>
    <w:rsid w:val="001E7D7E"/>
    <w:rsid w:val="001F1107"/>
    <w:rsid w:val="001F13FD"/>
    <w:rsid w:val="001F18F9"/>
    <w:rsid w:val="001F24F3"/>
    <w:rsid w:val="001F2A2E"/>
    <w:rsid w:val="001F3356"/>
    <w:rsid w:val="001F3A05"/>
    <w:rsid w:val="001F3C63"/>
    <w:rsid w:val="001F4460"/>
    <w:rsid w:val="001F68CB"/>
    <w:rsid w:val="001F6C96"/>
    <w:rsid w:val="001F711A"/>
    <w:rsid w:val="001F75B0"/>
    <w:rsid w:val="0020057C"/>
    <w:rsid w:val="0020083C"/>
    <w:rsid w:val="00200CE5"/>
    <w:rsid w:val="00200F7C"/>
    <w:rsid w:val="002014DB"/>
    <w:rsid w:val="0020150B"/>
    <w:rsid w:val="00201E12"/>
    <w:rsid w:val="00202295"/>
    <w:rsid w:val="00203122"/>
    <w:rsid w:val="002033B5"/>
    <w:rsid w:val="0020382C"/>
    <w:rsid w:val="0020437A"/>
    <w:rsid w:val="0020454C"/>
    <w:rsid w:val="00204740"/>
    <w:rsid w:val="002048C7"/>
    <w:rsid w:val="00205129"/>
    <w:rsid w:val="0020521F"/>
    <w:rsid w:val="0020532C"/>
    <w:rsid w:val="002062C1"/>
    <w:rsid w:val="00207F8E"/>
    <w:rsid w:val="002114C7"/>
    <w:rsid w:val="00212432"/>
    <w:rsid w:val="00212DE9"/>
    <w:rsid w:val="0021302C"/>
    <w:rsid w:val="00213B1C"/>
    <w:rsid w:val="00213F1E"/>
    <w:rsid w:val="00214202"/>
    <w:rsid w:val="002148E3"/>
    <w:rsid w:val="0021492A"/>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1E9"/>
    <w:rsid w:val="0022663D"/>
    <w:rsid w:val="00226A46"/>
    <w:rsid w:val="00226CB3"/>
    <w:rsid w:val="00227C56"/>
    <w:rsid w:val="00227F2D"/>
    <w:rsid w:val="0023158E"/>
    <w:rsid w:val="00231851"/>
    <w:rsid w:val="0023186A"/>
    <w:rsid w:val="002319FB"/>
    <w:rsid w:val="00231B89"/>
    <w:rsid w:val="00231F11"/>
    <w:rsid w:val="00231F5E"/>
    <w:rsid w:val="00232FF3"/>
    <w:rsid w:val="002346B4"/>
    <w:rsid w:val="00234F6E"/>
    <w:rsid w:val="002355BE"/>
    <w:rsid w:val="002358EA"/>
    <w:rsid w:val="00236578"/>
    <w:rsid w:val="00236DE9"/>
    <w:rsid w:val="00237342"/>
    <w:rsid w:val="002377AE"/>
    <w:rsid w:val="00237810"/>
    <w:rsid w:val="00237D5A"/>
    <w:rsid w:val="00240D75"/>
    <w:rsid w:val="002415AE"/>
    <w:rsid w:val="00241D3C"/>
    <w:rsid w:val="00242109"/>
    <w:rsid w:val="00243189"/>
    <w:rsid w:val="002439AB"/>
    <w:rsid w:val="00243C19"/>
    <w:rsid w:val="00244AE8"/>
    <w:rsid w:val="00244DC9"/>
    <w:rsid w:val="00245587"/>
    <w:rsid w:val="00245A5A"/>
    <w:rsid w:val="00245F2B"/>
    <w:rsid w:val="002466CD"/>
    <w:rsid w:val="00247F3A"/>
    <w:rsid w:val="00250122"/>
    <w:rsid w:val="0025024D"/>
    <w:rsid w:val="00250755"/>
    <w:rsid w:val="00250E5A"/>
    <w:rsid w:val="00251043"/>
    <w:rsid w:val="00251423"/>
    <w:rsid w:val="00251C4A"/>
    <w:rsid w:val="0025271C"/>
    <w:rsid w:val="0025277A"/>
    <w:rsid w:val="002530AC"/>
    <w:rsid w:val="002533CD"/>
    <w:rsid w:val="002535EA"/>
    <w:rsid w:val="00254AF9"/>
    <w:rsid w:val="00254EAB"/>
    <w:rsid w:val="002557AF"/>
    <w:rsid w:val="0025589C"/>
    <w:rsid w:val="00255B62"/>
    <w:rsid w:val="002566B1"/>
    <w:rsid w:val="00256D0F"/>
    <w:rsid w:val="002575E3"/>
    <w:rsid w:val="00257A74"/>
    <w:rsid w:val="00257C5D"/>
    <w:rsid w:val="002603C1"/>
    <w:rsid w:val="002609A1"/>
    <w:rsid w:val="002612B1"/>
    <w:rsid w:val="00262416"/>
    <w:rsid w:val="00265A12"/>
    <w:rsid w:val="00265C2F"/>
    <w:rsid w:val="00266165"/>
    <w:rsid w:val="00266F2C"/>
    <w:rsid w:val="0027125E"/>
    <w:rsid w:val="00271767"/>
    <w:rsid w:val="00272293"/>
    <w:rsid w:val="002723B3"/>
    <w:rsid w:val="002723C8"/>
    <w:rsid w:val="00273C2A"/>
    <w:rsid w:val="00273CBE"/>
    <w:rsid w:val="002746B1"/>
    <w:rsid w:val="00274BAD"/>
    <w:rsid w:val="002750C2"/>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C86"/>
    <w:rsid w:val="00294F10"/>
    <w:rsid w:val="002952B1"/>
    <w:rsid w:val="00295D11"/>
    <w:rsid w:val="00296FB6"/>
    <w:rsid w:val="002A0001"/>
    <w:rsid w:val="002A0BD9"/>
    <w:rsid w:val="002A0C3A"/>
    <w:rsid w:val="002A0DF8"/>
    <w:rsid w:val="002A0F1C"/>
    <w:rsid w:val="002A1130"/>
    <w:rsid w:val="002A1880"/>
    <w:rsid w:val="002A23B7"/>
    <w:rsid w:val="002A2763"/>
    <w:rsid w:val="002A3A57"/>
    <w:rsid w:val="002A4B4F"/>
    <w:rsid w:val="002A57A8"/>
    <w:rsid w:val="002A6DEF"/>
    <w:rsid w:val="002A770B"/>
    <w:rsid w:val="002A7F9C"/>
    <w:rsid w:val="002B013E"/>
    <w:rsid w:val="002B058D"/>
    <w:rsid w:val="002B0C16"/>
    <w:rsid w:val="002B2456"/>
    <w:rsid w:val="002B2799"/>
    <w:rsid w:val="002B2891"/>
    <w:rsid w:val="002B2AC5"/>
    <w:rsid w:val="002B32ED"/>
    <w:rsid w:val="002B3528"/>
    <w:rsid w:val="002B3539"/>
    <w:rsid w:val="002B4395"/>
    <w:rsid w:val="002B4532"/>
    <w:rsid w:val="002B4DD9"/>
    <w:rsid w:val="002B5042"/>
    <w:rsid w:val="002B69CC"/>
    <w:rsid w:val="002B6D71"/>
    <w:rsid w:val="002C03AE"/>
    <w:rsid w:val="002C0C1C"/>
    <w:rsid w:val="002C16AE"/>
    <w:rsid w:val="002C362C"/>
    <w:rsid w:val="002C41BF"/>
    <w:rsid w:val="002C54C2"/>
    <w:rsid w:val="002C5D34"/>
    <w:rsid w:val="002C60BB"/>
    <w:rsid w:val="002C6131"/>
    <w:rsid w:val="002C661A"/>
    <w:rsid w:val="002D0D6F"/>
    <w:rsid w:val="002D1796"/>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E6E76"/>
    <w:rsid w:val="002F016E"/>
    <w:rsid w:val="002F051C"/>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0F23"/>
    <w:rsid w:val="00302AFC"/>
    <w:rsid w:val="00302EFC"/>
    <w:rsid w:val="00303243"/>
    <w:rsid w:val="00303BCC"/>
    <w:rsid w:val="00303F2B"/>
    <w:rsid w:val="00303F8D"/>
    <w:rsid w:val="003047EB"/>
    <w:rsid w:val="0030572D"/>
    <w:rsid w:val="0030586A"/>
    <w:rsid w:val="0030622D"/>
    <w:rsid w:val="00306811"/>
    <w:rsid w:val="00306F32"/>
    <w:rsid w:val="003074C5"/>
    <w:rsid w:val="00307A3C"/>
    <w:rsid w:val="00307FA4"/>
    <w:rsid w:val="00310290"/>
    <w:rsid w:val="00310CC1"/>
    <w:rsid w:val="003119D1"/>
    <w:rsid w:val="00312504"/>
    <w:rsid w:val="00312B89"/>
    <w:rsid w:val="00313026"/>
    <w:rsid w:val="00313913"/>
    <w:rsid w:val="0031421F"/>
    <w:rsid w:val="00314B31"/>
    <w:rsid w:val="00315A65"/>
    <w:rsid w:val="003165D7"/>
    <w:rsid w:val="0031666B"/>
    <w:rsid w:val="00316ABE"/>
    <w:rsid w:val="00317247"/>
    <w:rsid w:val="00317A77"/>
    <w:rsid w:val="00317BA7"/>
    <w:rsid w:val="003202F6"/>
    <w:rsid w:val="00320BE2"/>
    <w:rsid w:val="00321886"/>
    <w:rsid w:val="00321EDC"/>
    <w:rsid w:val="00322ACB"/>
    <w:rsid w:val="00322D02"/>
    <w:rsid w:val="00323694"/>
    <w:rsid w:val="00323BE7"/>
    <w:rsid w:val="00324C3A"/>
    <w:rsid w:val="00324D63"/>
    <w:rsid w:val="003255AF"/>
    <w:rsid w:val="003256EB"/>
    <w:rsid w:val="003259DB"/>
    <w:rsid w:val="0032795B"/>
    <w:rsid w:val="0033025D"/>
    <w:rsid w:val="003303CD"/>
    <w:rsid w:val="003314D9"/>
    <w:rsid w:val="00331653"/>
    <w:rsid w:val="00331939"/>
    <w:rsid w:val="00331A48"/>
    <w:rsid w:val="00331BCC"/>
    <w:rsid w:val="00331C2F"/>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737"/>
    <w:rsid w:val="00354AE9"/>
    <w:rsid w:val="00355C0D"/>
    <w:rsid w:val="003566A9"/>
    <w:rsid w:val="00356988"/>
    <w:rsid w:val="003569D3"/>
    <w:rsid w:val="00356CE9"/>
    <w:rsid w:val="003570BB"/>
    <w:rsid w:val="00357128"/>
    <w:rsid w:val="003573D1"/>
    <w:rsid w:val="0035755E"/>
    <w:rsid w:val="00357A80"/>
    <w:rsid w:val="003608ED"/>
    <w:rsid w:val="00361441"/>
    <w:rsid w:val="00361B8B"/>
    <w:rsid w:val="00363F39"/>
    <w:rsid w:val="003640FC"/>
    <w:rsid w:val="0036445C"/>
    <w:rsid w:val="00364627"/>
    <w:rsid w:val="00364AB0"/>
    <w:rsid w:val="00364D71"/>
    <w:rsid w:val="003667B0"/>
    <w:rsid w:val="003667DD"/>
    <w:rsid w:val="00366B48"/>
    <w:rsid w:val="0036766E"/>
    <w:rsid w:val="00367764"/>
    <w:rsid w:val="00370316"/>
    <w:rsid w:val="00370DC7"/>
    <w:rsid w:val="00371CBD"/>
    <w:rsid w:val="00371F20"/>
    <w:rsid w:val="003721E3"/>
    <w:rsid w:val="00372B98"/>
    <w:rsid w:val="003737B7"/>
    <w:rsid w:val="003740CC"/>
    <w:rsid w:val="00374163"/>
    <w:rsid w:val="003745F4"/>
    <w:rsid w:val="0037491A"/>
    <w:rsid w:val="00374E79"/>
    <w:rsid w:val="0037529A"/>
    <w:rsid w:val="00375388"/>
    <w:rsid w:val="00375559"/>
    <w:rsid w:val="00375FB9"/>
    <w:rsid w:val="00376170"/>
    <w:rsid w:val="003761B2"/>
    <w:rsid w:val="00376851"/>
    <w:rsid w:val="00376FA2"/>
    <w:rsid w:val="00377133"/>
    <w:rsid w:val="00377A3B"/>
    <w:rsid w:val="00377E3C"/>
    <w:rsid w:val="00380874"/>
    <w:rsid w:val="00380BBE"/>
    <w:rsid w:val="00381BF4"/>
    <w:rsid w:val="00381D70"/>
    <w:rsid w:val="0038235E"/>
    <w:rsid w:val="003829D0"/>
    <w:rsid w:val="0038326A"/>
    <w:rsid w:val="00383D5E"/>
    <w:rsid w:val="0038444F"/>
    <w:rsid w:val="003861F0"/>
    <w:rsid w:val="00387051"/>
    <w:rsid w:val="003870BF"/>
    <w:rsid w:val="00387ECF"/>
    <w:rsid w:val="00390133"/>
    <w:rsid w:val="0039021B"/>
    <w:rsid w:val="00390429"/>
    <w:rsid w:val="003906A0"/>
    <w:rsid w:val="00391682"/>
    <w:rsid w:val="003923D5"/>
    <w:rsid w:val="003931AF"/>
    <w:rsid w:val="0039366C"/>
    <w:rsid w:val="00393EC8"/>
    <w:rsid w:val="003943CC"/>
    <w:rsid w:val="00394E3C"/>
    <w:rsid w:val="00395C11"/>
    <w:rsid w:val="00395E42"/>
    <w:rsid w:val="0039621E"/>
    <w:rsid w:val="00396409"/>
    <w:rsid w:val="00396A2D"/>
    <w:rsid w:val="00396FC3"/>
    <w:rsid w:val="003A0637"/>
    <w:rsid w:val="003A1431"/>
    <w:rsid w:val="003A1A94"/>
    <w:rsid w:val="003A204E"/>
    <w:rsid w:val="003A2D25"/>
    <w:rsid w:val="003A5101"/>
    <w:rsid w:val="003A5728"/>
    <w:rsid w:val="003A60E7"/>
    <w:rsid w:val="003A66A3"/>
    <w:rsid w:val="003A7092"/>
    <w:rsid w:val="003A72A1"/>
    <w:rsid w:val="003A7611"/>
    <w:rsid w:val="003A7D1F"/>
    <w:rsid w:val="003B0B6A"/>
    <w:rsid w:val="003B10E3"/>
    <w:rsid w:val="003B22F7"/>
    <w:rsid w:val="003B29CF"/>
    <w:rsid w:val="003B3A90"/>
    <w:rsid w:val="003B3D01"/>
    <w:rsid w:val="003B534F"/>
    <w:rsid w:val="003B7A79"/>
    <w:rsid w:val="003B7D00"/>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268"/>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331"/>
    <w:rsid w:val="003F1FC6"/>
    <w:rsid w:val="003F1FE3"/>
    <w:rsid w:val="003F2359"/>
    <w:rsid w:val="003F3232"/>
    <w:rsid w:val="003F335D"/>
    <w:rsid w:val="003F3865"/>
    <w:rsid w:val="003F38AC"/>
    <w:rsid w:val="003F3D55"/>
    <w:rsid w:val="003F415C"/>
    <w:rsid w:val="003F44E2"/>
    <w:rsid w:val="003F4632"/>
    <w:rsid w:val="003F47BA"/>
    <w:rsid w:val="003F4FE6"/>
    <w:rsid w:val="003F5638"/>
    <w:rsid w:val="003F6617"/>
    <w:rsid w:val="003F7F03"/>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503"/>
    <w:rsid w:val="0041582F"/>
    <w:rsid w:val="00416112"/>
    <w:rsid w:val="00417296"/>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10F2"/>
    <w:rsid w:val="004322D6"/>
    <w:rsid w:val="00432589"/>
    <w:rsid w:val="00432A94"/>
    <w:rsid w:val="00432C95"/>
    <w:rsid w:val="00432F1D"/>
    <w:rsid w:val="00433827"/>
    <w:rsid w:val="00433A40"/>
    <w:rsid w:val="00434B70"/>
    <w:rsid w:val="004360C8"/>
    <w:rsid w:val="004365DF"/>
    <w:rsid w:val="00436823"/>
    <w:rsid w:val="004371D5"/>
    <w:rsid w:val="0044006B"/>
    <w:rsid w:val="0044033F"/>
    <w:rsid w:val="00440630"/>
    <w:rsid w:val="004417EC"/>
    <w:rsid w:val="00441F0F"/>
    <w:rsid w:val="00442965"/>
    <w:rsid w:val="004432B6"/>
    <w:rsid w:val="00444157"/>
    <w:rsid w:val="0044417C"/>
    <w:rsid w:val="00444DB3"/>
    <w:rsid w:val="00445023"/>
    <w:rsid w:val="00445617"/>
    <w:rsid w:val="00445A2F"/>
    <w:rsid w:val="004462D6"/>
    <w:rsid w:val="0044684E"/>
    <w:rsid w:val="00446F22"/>
    <w:rsid w:val="00447E4E"/>
    <w:rsid w:val="0045019F"/>
    <w:rsid w:val="004503A4"/>
    <w:rsid w:val="004504E4"/>
    <w:rsid w:val="00450555"/>
    <w:rsid w:val="004506FA"/>
    <w:rsid w:val="00450B54"/>
    <w:rsid w:val="00450DC6"/>
    <w:rsid w:val="004516A5"/>
    <w:rsid w:val="00451E9C"/>
    <w:rsid w:val="0045280F"/>
    <w:rsid w:val="004535AE"/>
    <w:rsid w:val="0045422B"/>
    <w:rsid w:val="0045444D"/>
    <w:rsid w:val="0045463A"/>
    <w:rsid w:val="00454AC9"/>
    <w:rsid w:val="00455050"/>
    <w:rsid w:val="004554A3"/>
    <w:rsid w:val="00455A6E"/>
    <w:rsid w:val="00455EAD"/>
    <w:rsid w:val="004561E1"/>
    <w:rsid w:val="004578EB"/>
    <w:rsid w:val="004604D5"/>
    <w:rsid w:val="00460697"/>
    <w:rsid w:val="0046117B"/>
    <w:rsid w:val="00461FC2"/>
    <w:rsid w:val="00464AB7"/>
    <w:rsid w:val="00464BE6"/>
    <w:rsid w:val="00464EA0"/>
    <w:rsid w:val="00465DE5"/>
    <w:rsid w:val="00466EE8"/>
    <w:rsid w:val="00467EF8"/>
    <w:rsid w:val="00470385"/>
    <w:rsid w:val="00471AC3"/>
    <w:rsid w:val="00472429"/>
    <w:rsid w:val="004725E5"/>
    <w:rsid w:val="00472751"/>
    <w:rsid w:val="00473128"/>
    <w:rsid w:val="00475078"/>
    <w:rsid w:val="00475767"/>
    <w:rsid w:val="004779A0"/>
    <w:rsid w:val="00480857"/>
    <w:rsid w:val="004808E3"/>
    <w:rsid w:val="00481016"/>
    <w:rsid w:val="0048204C"/>
    <w:rsid w:val="004821BB"/>
    <w:rsid w:val="0048237A"/>
    <w:rsid w:val="004826FE"/>
    <w:rsid w:val="004827D5"/>
    <w:rsid w:val="00482AF2"/>
    <w:rsid w:val="004830C9"/>
    <w:rsid w:val="00483347"/>
    <w:rsid w:val="004838C4"/>
    <w:rsid w:val="00483E2E"/>
    <w:rsid w:val="00484B69"/>
    <w:rsid w:val="00485406"/>
    <w:rsid w:val="0048590F"/>
    <w:rsid w:val="004863CA"/>
    <w:rsid w:val="00486D60"/>
    <w:rsid w:val="00491FA1"/>
    <w:rsid w:val="00492A25"/>
    <w:rsid w:val="004938A3"/>
    <w:rsid w:val="0049392E"/>
    <w:rsid w:val="0049558B"/>
    <w:rsid w:val="00496350"/>
    <w:rsid w:val="0049797C"/>
    <w:rsid w:val="004A0D52"/>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398"/>
    <w:rsid w:val="004A7EDE"/>
    <w:rsid w:val="004B0D93"/>
    <w:rsid w:val="004B1FA4"/>
    <w:rsid w:val="004B29AC"/>
    <w:rsid w:val="004B2B0B"/>
    <w:rsid w:val="004B35DF"/>
    <w:rsid w:val="004B3627"/>
    <w:rsid w:val="004B4922"/>
    <w:rsid w:val="004B4BFE"/>
    <w:rsid w:val="004B57DF"/>
    <w:rsid w:val="004B5976"/>
    <w:rsid w:val="004B722E"/>
    <w:rsid w:val="004B72E8"/>
    <w:rsid w:val="004B7E4F"/>
    <w:rsid w:val="004C01A5"/>
    <w:rsid w:val="004C0412"/>
    <w:rsid w:val="004C2138"/>
    <w:rsid w:val="004C3940"/>
    <w:rsid w:val="004C51FD"/>
    <w:rsid w:val="004C65A8"/>
    <w:rsid w:val="004C6689"/>
    <w:rsid w:val="004D0196"/>
    <w:rsid w:val="004D0276"/>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279"/>
    <w:rsid w:val="004E3930"/>
    <w:rsid w:val="004E3ED9"/>
    <w:rsid w:val="004E5866"/>
    <w:rsid w:val="004E6097"/>
    <w:rsid w:val="004E61EF"/>
    <w:rsid w:val="004E63C6"/>
    <w:rsid w:val="004E76A7"/>
    <w:rsid w:val="004E7B03"/>
    <w:rsid w:val="004F0064"/>
    <w:rsid w:val="004F06AC"/>
    <w:rsid w:val="004F0B05"/>
    <w:rsid w:val="004F0E50"/>
    <w:rsid w:val="004F1D2A"/>
    <w:rsid w:val="004F243F"/>
    <w:rsid w:val="004F252C"/>
    <w:rsid w:val="004F36A3"/>
    <w:rsid w:val="004F3E0C"/>
    <w:rsid w:val="004F4308"/>
    <w:rsid w:val="004F49E3"/>
    <w:rsid w:val="004F7160"/>
    <w:rsid w:val="004F7DD0"/>
    <w:rsid w:val="00500258"/>
    <w:rsid w:val="00500B2D"/>
    <w:rsid w:val="00501A99"/>
    <w:rsid w:val="005026DA"/>
    <w:rsid w:val="00503180"/>
    <w:rsid w:val="005038A4"/>
    <w:rsid w:val="005048D1"/>
    <w:rsid w:val="00504CD4"/>
    <w:rsid w:val="0050524B"/>
    <w:rsid w:val="00505450"/>
    <w:rsid w:val="00505F2C"/>
    <w:rsid w:val="00505FC6"/>
    <w:rsid w:val="00506449"/>
    <w:rsid w:val="0050660A"/>
    <w:rsid w:val="00506C5E"/>
    <w:rsid w:val="00507C85"/>
    <w:rsid w:val="005100B7"/>
    <w:rsid w:val="005105DE"/>
    <w:rsid w:val="005113C9"/>
    <w:rsid w:val="00511D0F"/>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2B3"/>
    <w:rsid w:val="0052239D"/>
    <w:rsid w:val="005224EE"/>
    <w:rsid w:val="00522879"/>
    <w:rsid w:val="00523BB1"/>
    <w:rsid w:val="00524B23"/>
    <w:rsid w:val="0052570E"/>
    <w:rsid w:val="005260CD"/>
    <w:rsid w:val="00526265"/>
    <w:rsid w:val="0052655D"/>
    <w:rsid w:val="005265E0"/>
    <w:rsid w:val="00526BC3"/>
    <w:rsid w:val="00526FA3"/>
    <w:rsid w:val="00530064"/>
    <w:rsid w:val="00531761"/>
    <w:rsid w:val="0053248F"/>
    <w:rsid w:val="005327AB"/>
    <w:rsid w:val="00533307"/>
    <w:rsid w:val="0053332A"/>
    <w:rsid w:val="0053358A"/>
    <w:rsid w:val="00534668"/>
    <w:rsid w:val="00534DDD"/>
    <w:rsid w:val="00534F6B"/>
    <w:rsid w:val="00535291"/>
    <w:rsid w:val="00535A94"/>
    <w:rsid w:val="00537874"/>
    <w:rsid w:val="0053795F"/>
    <w:rsid w:val="00537D3D"/>
    <w:rsid w:val="00540112"/>
    <w:rsid w:val="00540511"/>
    <w:rsid w:val="00540578"/>
    <w:rsid w:val="00540808"/>
    <w:rsid w:val="0054080E"/>
    <w:rsid w:val="00540D1A"/>
    <w:rsid w:val="00540DE5"/>
    <w:rsid w:val="00540EA1"/>
    <w:rsid w:val="00541E5A"/>
    <w:rsid w:val="0054358E"/>
    <w:rsid w:val="00543AF4"/>
    <w:rsid w:val="00543F53"/>
    <w:rsid w:val="00544191"/>
    <w:rsid w:val="0054440C"/>
    <w:rsid w:val="00544838"/>
    <w:rsid w:val="005448EC"/>
    <w:rsid w:val="00544C0A"/>
    <w:rsid w:val="00544F39"/>
    <w:rsid w:val="005457FB"/>
    <w:rsid w:val="00545891"/>
    <w:rsid w:val="00546B96"/>
    <w:rsid w:val="00546F90"/>
    <w:rsid w:val="00547EFB"/>
    <w:rsid w:val="00550192"/>
    <w:rsid w:val="005522F2"/>
    <w:rsid w:val="00552D0F"/>
    <w:rsid w:val="005531DF"/>
    <w:rsid w:val="00553874"/>
    <w:rsid w:val="00553DCE"/>
    <w:rsid w:val="00554577"/>
    <w:rsid w:val="00554AD8"/>
    <w:rsid w:val="00554F78"/>
    <w:rsid w:val="00555DA1"/>
    <w:rsid w:val="00556BF7"/>
    <w:rsid w:val="00556E53"/>
    <w:rsid w:val="00556F1B"/>
    <w:rsid w:val="00557F60"/>
    <w:rsid w:val="00560244"/>
    <w:rsid w:val="00560E2E"/>
    <w:rsid w:val="00561730"/>
    <w:rsid w:val="00561B97"/>
    <w:rsid w:val="00562149"/>
    <w:rsid w:val="0056233F"/>
    <w:rsid w:val="005640EB"/>
    <w:rsid w:val="005656E8"/>
    <w:rsid w:val="005666A4"/>
    <w:rsid w:val="00566791"/>
    <w:rsid w:val="00567B5D"/>
    <w:rsid w:val="00570757"/>
    <w:rsid w:val="00573733"/>
    <w:rsid w:val="00573F8B"/>
    <w:rsid w:val="00574554"/>
    <w:rsid w:val="00574E06"/>
    <w:rsid w:val="005751BB"/>
    <w:rsid w:val="005751CF"/>
    <w:rsid w:val="00576089"/>
    <w:rsid w:val="005764B1"/>
    <w:rsid w:val="00576852"/>
    <w:rsid w:val="005769E3"/>
    <w:rsid w:val="00576D06"/>
    <w:rsid w:val="005779E4"/>
    <w:rsid w:val="00580EC7"/>
    <w:rsid w:val="0058289C"/>
    <w:rsid w:val="005836C7"/>
    <w:rsid w:val="0058408E"/>
    <w:rsid w:val="005844C3"/>
    <w:rsid w:val="00584D49"/>
    <w:rsid w:val="00585374"/>
    <w:rsid w:val="005854CA"/>
    <w:rsid w:val="00585FAB"/>
    <w:rsid w:val="00586E74"/>
    <w:rsid w:val="00587916"/>
    <w:rsid w:val="00590B77"/>
    <w:rsid w:val="00590D9A"/>
    <w:rsid w:val="005913A3"/>
    <w:rsid w:val="00591A5A"/>
    <w:rsid w:val="005940D4"/>
    <w:rsid w:val="00594A7B"/>
    <w:rsid w:val="0059580E"/>
    <w:rsid w:val="00595D90"/>
    <w:rsid w:val="00596A6F"/>
    <w:rsid w:val="00596FCE"/>
    <w:rsid w:val="00597771"/>
    <w:rsid w:val="005A11BC"/>
    <w:rsid w:val="005A1525"/>
    <w:rsid w:val="005A1E17"/>
    <w:rsid w:val="005A2254"/>
    <w:rsid w:val="005A252B"/>
    <w:rsid w:val="005A2A8F"/>
    <w:rsid w:val="005A3008"/>
    <w:rsid w:val="005A3204"/>
    <w:rsid w:val="005A3341"/>
    <w:rsid w:val="005A3C3D"/>
    <w:rsid w:val="005A46EC"/>
    <w:rsid w:val="005A5EAE"/>
    <w:rsid w:val="005A6407"/>
    <w:rsid w:val="005A726C"/>
    <w:rsid w:val="005A7ED7"/>
    <w:rsid w:val="005B0458"/>
    <w:rsid w:val="005B07EC"/>
    <w:rsid w:val="005B2285"/>
    <w:rsid w:val="005B27F6"/>
    <w:rsid w:val="005B2B11"/>
    <w:rsid w:val="005B32A4"/>
    <w:rsid w:val="005B3371"/>
    <w:rsid w:val="005B338D"/>
    <w:rsid w:val="005B33A1"/>
    <w:rsid w:val="005B3852"/>
    <w:rsid w:val="005B3BAF"/>
    <w:rsid w:val="005B4D14"/>
    <w:rsid w:val="005B4DA3"/>
    <w:rsid w:val="005B5BEE"/>
    <w:rsid w:val="005B77D2"/>
    <w:rsid w:val="005C0195"/>
    <w:rsid w:val="005C019B"/>
    <w:rsid w:val="005C08D0"/>
    <w:rsid w:val="005C1603"/>
    <w:rsid w:val="005C1AED"/>
    <w:rsid w:val="005C2136"/>
    <w:rsid w:val="005C30F5"/>
    <w:rsid w:val="005C3840"/>
    <w:rsid w:val="005C51A5"/>
    <w:rsid w:val="005C557A"/>
    <w:rsid w:val="005C566F"/>
    <w:rsid w:val="005C5C47"/>
    <w:rsid w:val="005C61DD"/>
    <w:rsid w:val="005C6438"/>
    <w:rsid w:val="005C6B8B"/>
    <w:rsid w:val="005C727F"/>
    <w:rsid w:val="005C76FB"/>
    <w:rsid w:val="005D02E3"/>
    <w:rsid w:val="005D1F34"/>
    <w:rsid w:val="005D2C1F"/>
    <w:rsid w:val="005D34B2"/>
    <w:rsid w:val="005D3B54"/>
    <w:rsid w:val="005D40CD"/>
    <w:rsid w:val="005D4979"/>
    <w:rsid w:val="005D6B59"/>
    <w:rsid w:val="005D784B"/>
    <w:rsid w:val="005E03E4"/>
    <w:rsid w:val="005E0454"/>
    <w:rsid w:val="005E05F6"/>
    <w:rsid w:val="005E1B9D"/>
    <w:rsid w:val="005E1BDA"/>
    <w:rsid w:val="005E2442"/>
    <w:rsid w:val="005E3111"/>
    <w:rsid w:val="005E3CA0"/>
    <w:rsid w:val="005E3F85"/>
    <w:rsid w:val="005E472F"/>
    <w:rsid w:val="005E4A5F"/>
    <w:rsid w:val="005E516A"/>
    <w:rsid w:val="005E57B0"/>
    <w:rsid w:val="005E5B01"/>
    <w:rsid w:val="005E6D3B"/>
    <w:rsid w:val="005E7538"/>
    <w:rsid w:val="005E7D97"/>
    <w:rsid w:val="005F009E"/>
    <w:rsid w:val="005F0DF1"/>
    <w:rsid w:val="005F1516"/>
    <w:rsid w:val="005F1A6F"/>
    <w:rsid w:val="005F229E"/>
    <w:rsid w:val="005F2564"/>
    <w:rsid w:val="005F3822"/>
    <w:rsid w:val="005F4635"/>
    <w:rsid w:val="005F4900"/>
    <w:rsid w:val="005F4E52"/>
    <w:rsid w:val="005F5D0C"/>
    <w:rsid w:val="005F6D58"/>
    <w:rsid w:val="005F7383"/>
    <w:rsid w:val="0060058E"/>
    <w:rsid w:val="006009F6"/>
    <w:rsid w:val="00600C9D"/>
    <w:rsid w:val="00602A3C"/>
    <w:rsid w:val="00603CBD"/>
    <w:rsid w:val="00603EFD"/>
    <w:rsid w:val="0060475B"/>
    <w:rsid w:val="00604BED"/>
    <w:rsid w:val="00604FB6"/>
    <w:rsid w:val="006052E4"/>
    <w:rsid w:val="00605387"/>
    <w:rsid w:val="00605E40"/>
    <w:rsid w:val="00606302"/>
    <w:rsid w:val="00606C59"/>
    <w:rsid w:val="006076FD"/>
    <w:rsid w:val="00610357"/>
    <w:rsid w:val="0061077B"/>
    <w:rsid w:val="00610811"/>
    <w:rsid w:val="0061143F"/>
    <w:rsid w:val="006114D8"/>
    <w:rsid w:val="00612F5F"/>
    <w:rsid w:val="00613553"/>
    <w:rsid w:val="00613601"/>
    <w:rsid w:val="00613791"/>
    <w:rsid w:val="006150D6"/>
    <w:rsid w:val="00615245"/>
    <w:rsid w:val="0061590D"/>
    <w:rsid w:val="00615AAB"/>
    <w:rsid w:val="00617EEE"/>
    <w:rsid w:val="00620A1F"/>
    <w:rsid w:val="0062114B"/>
    <w:rsid w:val="0062169D"/>
    <w:rsid w:val="0062181E"/>
    <w:rsid w:val="006218DD"/>
    <w:rsid w:val="0062211B"/>
    <w:rsid w:val="00622BB7"/>
    <w:rsid w:val="00622C1E"/>
    <w:rsid w:val="00623389"/>
    <w:rsid w:val="00623DAA"/>
    <w:rsid w:val="00623FAF"/>
    <w:rsid w:val="006265C4"/>
    <w:rsid w:val="0062678A"/>
    <w:rsid w:val="00626887"/>
    <w:rsid w:val="006270AF"/>
    <w:rsid w:val="00632950"/>
    <w:rsid w:val="00634367"/>
    <w:rsid w:val="00635C0A"/>
    <w:rsid w:val="00636CE3"/>
    <w:rsid w:val="00640082"/>
    <w:rsid w:val="00640291"/>
    <w:rsid w:val="00640CE0"/>
    <w:rsid w:val="00640EFE"/>
    <w:rsid w:val="00641573"/>
    <w:rsid w:val="00641D6D"/>
    <w:rsid w:val="00641FAC"/>
    <w:rsid w:val="00642B2C"/>
    <w:rsid w:val="00643664"/>
    <w:rsid w:val="00643CAA"/>
    <w:rsid w:val="00644740"/>
    <w:rsid w:val="00644F16"/>
    <w:rsid w:val="006455EB"/>
    <w:rsid w:val="006456C2"/>
    <w:rsid w:val="00645A65"/>
    <w:rsid w:val="00646959"/>
    <w:rsid w:val="00646A71"/>
    <w:rsid w:val="006477F0"/>
    <w:rsid w:val="006478E4"/>
    <w:rsid w:val="00650475"/>
    <w:rsid w:val="0065171A"/>
    <w:rsid w:val="00652680"/>
    <w:rsid w:val="00653CDE"/>
    <w:rsid w:val="00654585"/>
    <w:rsid w:val="0065566E"/>
    <w:rsid w:val="00655A89"/>
    <w:rsid w:val="00655AB6"/>
    <w:rsid w:val="00655EFA"/>
    <w:rsid w:val="00656061"/>
    <w:rsid w:val="00656281"/>
    <w:rsid w:val="0065636A"/>
    <w:rsid w:val="00657003"/>
    <w:rsid w:val="00660238"/>
    <w:rsid w:val="006602EF"/>
    <w:rsid w:val="00660B0C"/>
    <w:rsid w:val="00661277"/>
    <w:rsid w:val="006619E0"/>
    <w:rsid w:val="00663BA2"/>
    <w:rsid w:val="00663FEA"/>
    <w:rsid w:val="00664803"/>
    <w:rsid w:val="006657C5"/>
    <w:rsid w:val="006661A4"/>
    <w:rsid w:val="00666AC0"/>
    <w:rsid w:val="00666C51"/>
    <w:rsid w:val="006670E0"/>
    <w:rsid w:val="006671B8"/>
    <w:rsid w:val="00667275"/>
    <w:rsid w:val="00667532"/>
    <w:rsid w:val="0066783E"/>
    <w:rsid w:val="00667E53"/>
    <w:rsid w:val="006706C3"/>
    <w:rsid w:val="006711C4"/>
    <w:rsid w:val="006713AB"/>
    <w:rsid w:val="00672CA5"/>
    <w:rsid w:val="00673711"/>
    <w:rsid w:val="00673F82"/>
    <w:rsid w:val="00674F74"/>
    <w:rsid w:val="0067508F"/>
    <w:rsid w:val="00677576"/>
    <w:rsid w:val="0068051E"/>
    <w:rsid w:val="00680B9D"/>
    <w:rsid w:val="00681F13"/>
    <w:rsid w:val="0068231C"/>
    <w:rsid w:val="00682332"/>
    <w:rsid w:val="00682344"/>
    <w:rsid w:val="00682F28"/>
    <w:rsid w:val="00683515"/>
    <w:rsid w:val="00683804"/>
    <w:rsid w:val="00684842"/>
    <w:rsid w:val="006854D9"/>
    <w:rsid w:val="006859AA"/>
    <w:rsid w:val="00685BD6"/>
    <w:rsid w:val="00687116"/>
    <w:rsid w:val="006878A6"/>
    <w:rsid w:val="00687D5F"/>
    <w:rsid w:val="00690437"/>
    <w:rsid w:val="00690830"/>
    <w:rsid w:val="00690DC3"/>
    <w:rsid w:val="00690E65"/>
    <w:rsid w:val="006911B7"/>
    <w:rsid w:val="00691387"/>
    <w:rsid w:val="0069188E"/>
    <w:rsid w:val="00691974"/>
    <w:rsid w:val="00692BF6"/>
    <w:rsid w:val="00692CE6"/>
    <w:rsid w:val="00693186"/>
    <w:rsid w:val="00693381"/>
    <w:rsid w:val="00693B6C"/>
    <w:rsid w:val="006942AE"/>
    <w:rsid w:val="00694C82"/>
    <w:rsid w:val="00695421"/>
    <w:rsid w:val="00697626"/>
    <w:rsid w:val="00697BD3"/>
    <w:rsid w:val="00697DFA"/>
    <w:rsid w:val="006A16D5"/>
    <w:rsid w:val="006A1772"/>
    <w:rsid w:val="006A1780"/>
    <w:rsid w:val="006A21DD"/>
    <w:rsid w:val="006A26C6"/>
    <w:rsid w:val="006A3302"/>
    <w:rsid w:val="006A3B28"/>
    <w:rsid w:val="006A4FEE"/>
    <w:rsid w:val="006A5549"/>
    <w:rsid w:val="006A703E"/>
    <w:rsid w:val="006A7721"/>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0A8"/>
    <w:rsid w:val="006C16C3"/>
    <w:rsid w:val="006C2187"/>
    <w:rsid w:val="006C27D9"/>
    <w:rsid w:val="006C32F4"/>
    <w:rsid w:val="006C3C54"/>
    <w:rsid w:val="006C4657"/>
    <w:rsid w:val="006C4B6B"/>
    <w:rsid w:val="006C4CE1"/>
    <w:rsid w:val="006C4E1B"/>
    <w:rsid w:val="006C4F9F"/>
    <w:rsid w:val="006C5FE5"/>
    <w:rsid w:val="006C71A2"/>
    <w:rsid w:val="006C73EC"/>
    <w:rsid w:val="006D0C1D"/>
    <w:rsid w:val="006D1313"/>
    <w:rsid w:val="006D28F3"/>
    <w:rsid w:val="006D2E9D"/>
    <w:rsid w:val="006D4A4E"/>
    <w:rsid w:val="006D4C42"/>
    <w:rsid w:val="006D4F79"/>
    <w:rsid w:val="006D5389"/>
    <w:rsid w:val="006D53A2"/>
    <w:rsid w:val="006D55CC"/>
    <w:rsid w:val="006D5809"/>
    <w:rsid w:val="006D607E"/>
    <w:rsid w:val="006D6E12"/>
    <w:rsid w:val="006D70CB"/>
    <w:rsid w:val="006D715C"/>
    <w:rsid w:val="006D7363"/>
    <w:rsid w:val="006D774E"/>
    <w:rsid w:val="006E04A1"/>
    <w:rsid w:val="006E0754"/>
    <w:rsid w:val="006E2668"/>
    <w:rsid w:val="006E2D39"/>
    <w:rsid w:val="006E2FE9"/>
    <w:rsid w:val="006E32B0"/>
    <w:rsid w:val="006E348E"/>
    <w:rsid w:val="006E396A"/>
    <w:rsid w:val="006E3D63"/>
    <w:rsid w:val="006E42EC"/>
    <w:rsid w:val="006E58BF"/>
    <w:rsid w:val="006E5DD8"/>
    <w:rsid w:val="006E5EA1"/>
    <w:rsid w:val="006E6DEE"/>
    <w:rsid w:val="006E7D4B"/>
    <w:rsid w:val="006F018A"/>
    <w:rsid w:val="006F0760"/>
    <w:rsid w:val="006F11E2"/>
    <w:rsid w:val="006F168D"/>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676B"/>
    <w:rsid w:val="0070796C"/>
    <w:rsid w:val="007106C8"/>
    <w:rsid w:val="007109BB"/>
    <w:rsid w:val="00710EBF"/>
    <w:rsid w:val="007110B8"/>
    <w:rsid w:val="0071209F"/>
    <w:rsid w:val="007125A2"/>
    <w:rsid w:val="00713DD9"/>
    <w:rsid w:val="00713F79"/>
    <w:rsid w:val="00714847"/>
    <w:rsid w:val="007148A8"/>
    <w:rsid w:val="00716AC8"/>
    <w:rsid w:val="00716E54"/>
    <w:rsid w:val="0072033C"/>
    <w:rsid w:val="00720B1B"/>
    <w:rsid w:val="00721062"/>
    <w:rsid w:val="00721E5D"/>
    <w:rsid w:val="007229D4"/>
    <w:rsid w:val="007230F8"/>
    <w:rsid w:val="007233F4"/>
    <w:rsid w:val="00723F12"/>
    <w:rsid w:val="00724044"/>
    <w:rsid w:val="007248D3"/>
    <w:rsid w:val="00724DF8"/>
    <w:rsid w:val="00725137"/>
    <w:rsid w:val="007252DA"/>
    <w:rsid w:val="00725378"/>
    <w:rsid w:val="00727A43"/>
    <w:rsid w:val="00727FF2"/>
    <w:rsid w:val="00730550"/>
    <w:rsid w:val="00730C2A"/>
    <w:rsid w:val="00731434"/>
    <w:rsid w:val="00731E59"/>
    <w:rsid w:val="00732022"/>
    <w:rsid w:val="00732337"/>
    <w:rsid w:val="007323E0"/>
    <w:rsid w:val="00732911"/>
    <w:rsid w:val="00733721"/>
    <w:rsid w:val="00733DE2"/>
    <w:rsid w:val="00734142"/>
    <w:rsid w:val="007352EA"/>
    <w:rsid w:val="00737267"/>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56A"/>
    <w:rsid w:val="00756AB7"/>
    <w:rsid w:val="0076106D"/>
    <w:rsid w:val="00761863"/>
    <w:rsid w:val="007623FB"/>
    <w:rsid w:val="00762517"/>
    <w:rsid w:val="00763240"/>
    <w:rsid w:val="0076376A"/>
    <w:rsid w:val="007648AD"/>
    <w:rsid w:val="0076504E"/>
    <w:rsid w:val="00765437"/>
    <w:rsid w:val="007656D8"/>
    <w:rsid w:val="00767BFD"/>
    <w:rsid w:val="00767EA0"/>
    <w:rsid w:val="0077068F"/>
    <w:rsid w:val="00771439"/>
    <w:rsid w:val="00771EDF"/>
    <w:rsid w:val="00772A90"/>
    <w:rsid w:val="00772F8D"/>
    <w:rsid w:val="0077408D"/>
    <w:rsid w:val="00774270"/>
    <w:rsid w:val="007743F6"/>
    <w:rsid w:val="0077478A"/>
    <w:rsid w:val="00775679"/>
    <w:rsid w:val="0077574F"/>
    <w:rsid w:val="00775823"/>
    <w:rsid w:val="00777153"/>
    <w:rsid w:val="007777CC"/>
    <w:rsid w:val="00777B32"/>
    <w:rsid w:val="0078051E"/>
    <w:rsid w:val="00781089"/>
    <w:rsid w:val="00782B59"/>
    <w:rsid w:val="007838F3"/>
    <w:rsid w:val="007856FE"/>
    <w:rsid w:val="00785F46"/>
    <w:rsid w:val="007865F4"/>
    <w:rsid w:val="00786D5C"/>
    <w:rsid w:val="00786E96"/>
    <w:rsid w:val="00787BB6"/>
    <w:rsid w:val="00787BEB"/>
    <w:rsid w:val="00787DFF"/>
    <w:rsid w:val="00787F93"/>
    <w:rsid w:val="00791E6D"/>
    <w:rsid w:val="00791EB5"/>
    <w:rsid w:val="0079343F"/>
    <w:rsid w:val="00793696"/>
    <w:rsid w:val="007955DA"/>
    <w:rsid w:val="00796CDD"/>
    <w:rsid w:val="00796DDF"/>
    <w:rsid w:val="00796F65"/>
    <w:rsid w:val="007A11C2"/>
    <w:rsid w:val="007A18BB"/>
    <w:rsid w:val="007A2714"/>
    <w:rsid w:val="007A27DD"/>
    <w:rsid w:val="007A338C"/>
    <w:rsid w:val="007A41BF"/>
    <w:rsid w:val="007A490A"/>
    <w:rsid w:val="007A7B95"/>
    <w:rsid w:val="007B0297"/>
    <w:rsid w:val="007B02FA"/>
    <w:rsid w:val="007B0F53"/>
    <w:rsid w:val="007B21AE"/>
    <w:rsid w:val="007B2570"/>
    <w:rsid w:val="007B3113"/>
    <w:rsid w:val="007B3304"/>
    <w:rsid w:val="007B3BF0"/>
    <w:rsid w:val="007B5FE6"/>
    <w:rsid w:val="007B7490"/>
    <w:rsid w:val="007C007F"/>
    <w:rsid w:val="007C03B6"/>
    <w:rsid w:val="007C0525"/>
    <w:rsid w:val="007C13F7"/>
    <w:rsid w:val="007C1D77"/>
    <w:rsid w:val="007C218D"/>
    <w:rsid w:val="007C2D28"/>
    <w:rsid w:val="007C3E22"/>
    <w:rsid w:val="007C4801"/>
    <w:rsid w:val="007C58C1"/>
    <w:rsid w:val="007C6218"/>
    <w:rsid w:val="007C6484"/>
    <w:rsid w:val="007C67C6"/>
    <w:rsid w:val="007C76F4"/>
    <w:rsid w:val="007C78BE"/>
    <w:rsid w:val="007C7A5D"/>
    <w:rsid w:val="007C7E59"/>
    <w:rsid w:val="007D0476"/>
    <w:rsid w:val="007D0B91"/>
    <w:rsid w:val="007D0FE7"/>
    <w:rsid w:val="007D1452"/>
    <w:rsid w:val="007D1563"/>
    <w:rsid w:val="007D1FC5"/>
    <w:rsid w:val="007D3DCB"/>
    <w:rsid w:val="007D460C"/>
    <w:rsid w:val="007D4996"/>
    <w:rsid w:val="007D4AD3"/>
    <w:rsid w:val="007D5D19"/>
    <w:rsid w:val="007D5FDC"/>
    <w:rsid w:val="007D6176"/>
    <w:rsid w:val="007D69CD"/>
    <w:rsid w:val="007D6C3F"/>
    <w:rsid w:val="007D6D68"/>
    <w:rsid w:val="007E1015"/>
    <w:rsid w:val="007E194F"/>
    <w:rsid w:val="007E1DE4"/>
    <w:rsid w:val="007E32DA"/>
    <w:rsid w:val="007E4998"/>
    <w:rsid w:val="007E4A9C"/>
    <w:rsid w:val="007E567C"/>
    <w:rsid w:val="007E6914"/>
    <w:rsid w:val="007E7A0F"/>
    <w:rsid w:val="007E7F78"/>
    <w:rsid w:val="007F0179"/>
    <w:rsid w:val="007F01BC"/>
    <w:rsid w:val="007F1326"/>
    <w:rsid w:val="007F17AF"/>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472"/>
    <w:rsid w:val="00810BB6"/>
    <w:rsid w:val="00810D21"/>
    <w:rsid w:val="00810E8E"/>
    <w:rsid w:val="00812C44"/>
    <w:rsid w:val="008135E1"/>
    <w:rsid w:val="00813779"/>
    <w:rsid w:val="00813E26"/>
    <w:rsid w:val="0081481D"/>
    <w:rsid w:val="00814BE8"/>
    <w:rsid w:val="00814F6E"/>
    <w:rsid w:val="00815ADF"/>
    <w:rsid w:val="00815B84"/>
    <w:rsid w:val="00816342"/>
    <w:rsid w:val="008166F6"/>
    <w:rsid w:val="00816BE9"/>
    <w:rsid w:val="00817113"/>
    <w:rsid w:val="00817D10"/>
    <w:rsid w:val="00820086"/>
    <w:rsid w:val="00822518"/>
    <w:rsid w:val="008226F5"/>
    <w:rsid w:val="0082382A"/>
    <w:rsid w:val="00823FC6"/>
    <w:rsid w:val="00824189"/>
    <w:rsid w:val="00824306"/>
    <w:rsid w:val="0082465B"/>
    <w:rsid w:val="00825C74"/>
    <w:rsid w:val="00825CFA"/>
    <w:rsid w:val="00826AB9"/>
    <w:rsid w:val="00826E0E"/>
    <w:rsid w:val="00827D11"/>
    <w:rsid w:val="00827E0F"/>
    <w:rsid w:val="00827F6E"/>
    <w:rsid w:val="00830DD8"/>
    <w:rsid w:val="00831758"/>
    <w:rsid w:val="008317D9"/>
    <w:rsid w:val="00831AEC"/>
    <w:rsid w:val="0083279F"/>
    <w:rsid w:val="00832CE9"/>
    <w:rsid w:val="008334DB"/>
    <w:rsid w:val="00833B7F"/>
    <w:rsid w:val="00833E8E"/>
    <w:rsid w:val="00834906"/>
    <w:rsid w:val="00836075"/>
    <w:rsid w:val="00836417"/>
    <w:rsid w:val="00837526"/>
    <w:rsid w:val="008407A7"/>
    <w:rsid w:val="00840CE2"/>
    <w:rsid w:val="0084322B"/>
    <w:rsid w:val="00843F81"/>
    <w:rsid w:val="00844087"/>
    <w:rsid w:val="008444DE"/>
    <w:rsid w:val="008448F1"/>
    <w:rsid w:val="0084519E"/>
    <w:rsid w:val="00845CAE"/>
    <w:rsid w:val="008462C5"/>
    <w:rsid w:val="008462FA"/>
    <w:rsid w:val="00846370"/>
    <w:rsid w:val="00846873"/>
    <w:rsid w:val="008477E7"/>
    <w:rsid w:val="00847C2B"/>
    <w:rsid w:val="00850272"/>
    <w:rsid w:val="008506B9"/>
    <w:rsid w:val="0085086F"/>
    <w:rsid w:val="00851822"/>
    <w:rsid w:val="008518D6"/>
    <w:rsid w:val="00851C16"/>
    <w:rsid w:val="00851D27"/>
    <w:rsid w:val="008532BF"/>
    <w:rsid w:val="008539B2"/>
    <w:rsid w:val="00853BF4"/>
    <w:rsid w:val="00854294"/>
    <w:rsid w:val="00854295"/>
    <w:rsid w:val="0085572E"/>
    <w:rsid w:val="0085788B"/>
    <w:rsid w:val="00857A9E"/>
    <w:rsid w:val="00857DE2"/>
    <w:rsid w:val="0086003D"/>
    <w:rsid w:val="00861521"/>
    <w:rsid w:val="008631A2"/>
    <w:rsid w:val="00863A8E"/>
    <w:rsid w:val="0086407F"/>
    <w:rsid w:val="008645E3"/>
    <w:rsid w:val="00864E79"/>
    <w:rsid w:val="0086572B"/>
    <w:rsid w:val="00866615"/>
    <w:rsid w:val="0086661F"/>
    <w:rsid w:val="00866A0D"/>
    <w:rsid w:val="00866DB5"/>
    <w:rsid w:val="0086701D"/>
    <w:rsid w:val="0086702B"/>
    <w:rsid w:val="008672E2"/>
    <w:rsid w:val="0086784E"/>
    <w:rsid w:val="008709D1"/>
    <w:rsid w:val="0087121C"/>
    <w:rsid w:val="00871FD2"/>
    <w:rsid w:val="00872084"/>
    <w:rsid w:val="00872827"/>
    <w:rsid w:val="00872A32"/>
    <w:rsid w:val="0087377C"/>
    <w:rsid w:val="008743E3"/>
    <w:rsid w:val="00874911"/>
    <w:rsid w:val="008754E4"/>
    <w:rsid w:val="00876EAE"/>
    <w:rsid w:val="00880106"/>
    <w:rsid w:val="00880F95"/>
    <w:rsid w:val="0088266A"/>
    <w:rsid w:val="00882B44"/>
    <w:rsid w:val="008838AD"/>
    <w:rsid w:val="00885BC9"/>
    <w:rsid w:val="008864B3"/>
    <w:rsid w:val="008865E5"/>
    <w:rsid w:val="008871B0"/>
    <w:rsid w:val="00890B57"/>
    <w:rsid w:val="008916BA"/>
    <w:rsid w:val="00891A93"/>
    <w:rsid w:val="00891F64"/>
    <w:rsid w:val="0089217C"/>
    <w:rsid w:val="00892790"/>
    <w:rsid w:val="00893261"/>
    <w:rsid w:val="00893671"/>
    <w:rsid w:val="00895838"/>
    <w:rsid w:val="00895A1E"/>
    <w:rsid w:val="00895A72"/>
    <w:rsid w:val="00895CDF"/>
    <w:rsid w:val="00895DF6"/>
    <w:rsid w:val="00896679"/>
    <w:rsid w:val="00896D8C"/>
    <w:rsid w:val="008973B2"/>
    <w:rsid w:val="008A0FC9"/>
    <w:rsid w:val="008A1956"/>
    <w:rsid w:val="008A1A7C"/>
    <w:rsid w:val="008A248A"/>
    <w:rsid w:val="008A2CE2"/>
    <w:rsid w:val="008A392F"/>
    <w:rsid w:val="008A3BEC"/>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214"/>
    <w:rsid w:val="008C6341"/>
    <w:rsid w:val="008C653D"/>
    <w:rsid w:val="008C731F"/>
    <w:rsid w:val="008C74D9"/>
    <w:rsid w:val="008D19DA"/>
    <w:rsid w:val="008D2050"/>
    <w:rsid w:val="008D3B2D"/>
    <w:rsid w:val="008D4819"/>
    <w:rsid w:val="008D58D9"/>
    <w:rsid w:val="008D5AD4"/>
    <w:rsid w:val="008D5E24"/>
    <w:rsid w:val="008D695E"/>
    <w:rsid w:val="008D6DD5"/>
    <w:rsid w:val="008D6E59"/>
    <w:rsid w:val="008D7155"/>
    <w:rsid w:val="008D76E0"/>
    <w:rsid w:val="008D7A3C"/>
    <w:rsid w:val="008E08F5"/>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B"/>
    <w:rsid w:val="008F44CA"/>
    <w:rsid w:val="008F49D3"/>
    <w:rsid w:val="008F5921"/>
    <w:rsid w:val="008F6519"/>
    <w:rsid w:val="008F7012"/>
    <w:rsid w:val="008F7ADA"/>
    <w:rsid w:val="008F7B17"/>
    <w:rsid w:val="00900042"/>
    <w:rsid w:val="0090034B"/>
    <w:rsid w:val="0090087C"/>
    <w:rsid w:val="00901121"/>
    <w:rsid w:val="00901547"/>
    <w:rsid w:val="00902623"/>
    <w:rsid w:val="00902A67"/>
    <w:rsid w:val="00902C5E"/>
    <w:rsid w:val="00904BE4"/>
    <w:rsid w:val="0090504A"/>
    <w:rsid w:val="009051F5"/>
    <w:rsid w:val="00905221"/>
    <w:rsid w:val="00905664"/>
    <w:rsid w:val="0090596F"/>
    <w:rsid w:val="00905A7C"/>
    <w:rsid w:val="00905D7E"/>
    <w:rsid w:val="00907037"/>
    <w:rsid w:val="00907259"/>
    <w:rsid w:val="00910C5D"/>
    <w:rsid w:val="0091112C"/>
    <w:rsid w:val="0091160A"/>
    <w:rsid w:val="00912E04"/>
    <w:rsid w:val="00913258"/>
    <w:rsid w:val="00913851"/>
    <w:rsid w:val="00913BB0"/>
    <w:rsid w:val="00914439"/>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6E66"/>
    <w:rsid w:val="00927028"/>
    <w:rsid w:val="0092756F"/>
    <w:rsid w:val="00927763"/>
    <w:rsid w:val="00927A2D"/>
    <w:rsid w:val="00927B37"/>
    <w:rsid w:val="009321B1"/>
    <w:rsid w:val="009327F0"/>
    <w:rsid w:val="00932ED7"/>
    <w:rsid w:val="0093422D"/>
    <w:rsid w:val="0093483B"/>
    <w:rsid w:val="00934CF9"/>
    <w:rsid w:val="00934DD7"/>
    <w:rsid w:val="0093555C"/>
    <w:rsid w:val="00935CB2"/>
    <w:rsid w:val="009369A9"/>
    <w:rsid w:val="00936CF7"/>
    <w:rsid w:val="00937783"/>
    <w:rsid w:val="00937EAD"/>
    <w:rsid w:val="00937F28"/>
    <w:rsid w:val="00940FE1"/>
    <w:rsid w:val="00941474"/>
    <w:rsid w:val="00942306"/>
    <w:rsid w:val="009424B8"/>
    <w:rsid w:val="009432E2"/>
    <w:rsid w:val="00944668"/>
    <w:rsid w:val="00944DC6"/>
    <w:rsid w:val="0094545B"/>
    <w:rsid w:val="00945644"/>
    <w:rsid w:val="0094579F"/>
    <w:rsid w:val="009458B0"/>
    <w:rsid w:val="00945B52"/>
    <w:rsid w:val="00945B7A"/>
    <w:rsid w:val="00945F05"/>
    <w:rsid w:val="00946348"/>
    <w:rsid w:val="00946D8A"/>
    <w:rsid w:val="00947224"/>
    <w:rsid w:val="00947797"/>
    <w:rsid w:val="009478A2"/>
    <w:rsid w:val="009504E8"/>
    <w:rsid w:val="009533BD"/>
    <w:rsid w:val="009536FB"/>
    <w:rsid w:val="00953808"/>
    <w:rsid w:val="009539A6"/>
    <w:rsid w:val="00954032"/>
    <w:rsid w:val="00954537"/>
    <w:rsid w:val="0095472D"/>
    <w:rsid w:val="00955342"/>
    <w:rsid w:val="00955FBB"/>
    <w:rsid w:val="0095694B"/>
    <w:rsid w:val="00956BD5"/>
    <w:rsid w:val="00956D84"/>
    <w:rsid w:val="009577B5"/>
    <w:rsid w:val="0095789E"/>
    <w:rsid w:val="00960478"/>
    <w:rsid w:val="009608E6"/>
    <w:rsid w:val="00960F57"/>
    <w:rsid w:val="00961C90"/>
    <w:rsid w:val="00965443"/>
    <w:rsid w:val="00965954"/>
    <w:rsid w:val="00965A21"/>
    <w:rsid w:val="00965E55"/>
    <w:rsid w:val="0096608E"/>
    <w:rsid w:val="00966522"/>
    <w:rsid w:val="00966C33"/>
    <w:rsid w:val="00970F18"/>
    <w:rsid w:val="00971CF1"/>
    <w:rsid w:val="00971F5D"/>
    <w:rsid w:val="0097206B"/>
    <w:rsid w:val="009721E9"/>
    <w:rsid w:val="00973772"/>
    <w:rsid w:val="009739F8"/>
    <w:rsid w:val="00974C8A"/>
    <w:rsid w:val="0097560A"/>
    <w:rsid w:val="00975E1E"/>
    <w:rsid w:val="00975E70"/>
    <w:rsid w:val="009761DE"/>
    <w:rsid w:val="009766FA"/>
    <w:rsid w:val="009779D8"/>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1A4"/>
    <w:rsid w:val="00995D67"/>
    <w:rsid w:val="00997613"/>
    <w:rsid w:val="009A013B"/>
    <w:rsid w:val="009A02F4"/>
    <w:rsid w:val="009A06BF"/>
    <w:rsid w:val="009A0D17"/>
    <w:rsid w:val="009A1FD8"/>
    <w:rsid w:val="009A2494"/>
    <w:rsid w:val="009A32B1"/>
    <w:rsid w:val="009A33A3"/>
    <w:rsid w:val="009A36F2"/>
    <w:rsid w:val="009A383D"/>
    <w:rsid w:val="009A3BCA"/>
    <w:rsid w:val="009A3C81"/>
    <w:rsid w:val="009A40C3"/>
    <w:rsid w:val="009A40D5"/>
    <w:rsid w:val="009A5268"/>
    <w:rsid w:val="009A56B1"/>
    <w:rsid w:val="009A57D0"/>
    <w:rsid w:val="009A6559"/>
    <w:rsid w:val="009A68FC"/>
    <w:rsid w:val="009A6CE4"/>
    <w:rsid w:val="009A7514"/>
    <w:rsid w:val="009A7E7A"/>
    <w:rsid w:val="009B0925"/>
    <w:rsid w:val="009B1584"/>
    <w:rsid w:val="009B18F0"/>
    <w:rsid w:val="009B1F4C"/>
    <w:rsid w:val="009B2471"/>
    <w:rsid w:val="009B2515"/>
    <w:rsid w:val="009B2A25"/>
    <w:rsid w:val="009B314F"/>
    <w:rsid w:val="009B439C"/>
    <w:rsid w:val="009B49A1"/>
    <w:rsid w:val="009B4A6C"/>
    <w:rsid w:val="009B4B06"/>
    <w:rsid w:val="009B4DA8"/>
    <w:rsid w:val="009B519A"/>
    <w:rsid w:val="009B620C"/>
    <w:rsid w:val="009B6753"/>
    <w:rsid w:val="009B676C"/>
    <w:rsid w:val="009B6A26"/>
    <w:rsid w:val="009B6B20"/>
    <w:rsid w:val="009B6BD0"/>
    <w:rsid w:val="009B73B6"/>
    <w:rsid w:val="009C079D"/>
    <w:rsid w:val="009C0D70"/>
    <w:rsid w:val="009C13D1"/>
    <w:rsid w:val="009C2913"/>
    <w:rsid w:val="009C2BD4"/>
    <w:rsid w:val="009C3001"/>
    <w:rsid w:val="009C5AFE"/>
    <w:rsid w:val="009C6606"/>
    <w:rsid w:val="009C6CE5"/>
    <w:rsid w:val="009C6D50"/>
    <w:rsid w:val="009C7547"/>
    <w:rsid w:val="009D05EC"/>
    <w:rsid w:val="009D06F8"/>
    <w:rsid w:val="009D18D4"/>
    <w:rsid w:val="009D1FCF"/>
    <w:rsid w:val="009D2F60"/>
    <w:rsid w:val="009D3485"/>
    <w:rsid w:val="009D3A2E"/>
    <w:rsid w:val="009D5ADE"/>
    <w:rsid w:val="009D5BAC"/>
    <w:rsid w:val="009D5C56"/>
    <w:rsid w:val="009D6265"/>
    <w:rsid w:val="009D64BD"/>
    <w:rsid w:val="009D6CB1"/>
    <w:rsid w:val="009E0286"/>
    <w:rsid w:val="009E153F"/>
    <w:rsid w:val="009E18C5"/>
    <w:rsid w:val="009E262A"/>
    <w:rsid w:val="009E277F"/>
    <w:rsid w:val="009E322A"/>
    <w:rsid w:val="009E393E"/>
    <w:rsid w:val="009E444E"/>
    <w:rsid w:val="009E4968"/>
    <w:rsid w:val="009E663C"/>
    <w:rsid w:val="009E684A"/>
    <w:rsid w:val="009E6BB1"/>
    <w:rsid w:val="009E6DB2"/>
    <w:rsid w:val="009E6E14"/>
    <w:rsid w:val="009E71FF"/>
    <w:rsid w:val="009E794A"/>
    <w:rsid w:val="009E7C14"/>
    <w:rsid w:val="009F0494"/>
    <w:rsid w:val="009F0CD9"/>
    <w:rsid w:val="009F1A79"/>
    <w:rsid w:val="009F1F57"/>
    <w:rsid w:val="009F2DDD"/>
    <w:rsid w:val="009F2F84"/>
    <w:rsid w:val="009F3447"/>
    <w:rsid w:val="009F4D20"/>
    <w:rsid w:val="009F65F4"/>
    <w:rsid w:val="009F676B"/>
    <w:rsid w:val="009F6D2D"/>
    <w:rsid w:val="009F6D54"/>
    <w:rsid w:val="009F7758"/>
    <w:rsid w:val="009F7F7D"/>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67B"/>
    <w:rsid w:val="00A10CA8"/>
    <w:rsid w:val="00A11042"/>
    <w:rsid w:val="00A12260"/>
    <w:rsid w:val="00A12579"/>
    <w:rsid w:val="00A12CDC"/>
    <w:rsid w:val="00A133D8"/>
    <w:rsid w:val="00A15655"/>
    <w:rsid w:val="00A160B0"/>
    <w:rsid w:val="00A1740C"/>
    <w:rsid w:val="00A17904"/>
    <w:rsid w:val="00A20069"/>
    <w:rsid w:val="00A21787"/>
    <w:rsid w:val="00A2244D"/>
    <w:rsid w:val="00A2253D"/>
    <w:rsid w:val="00A2267F"/>
    <w:rsid w:val="00A22CDB"/>
    <w:rsid w:val="00A247B8"/>
    <w:rsid w:val="00A2495A"/>
    <w:rsid w:val="00A24C7A"/>
    <w:rsid w:val="00A24D85"/>
    <w:rsid w:val="00A24D8F"/>
    <w:rsid w:val="00A25B8B"/>
    <w:rsid w:val="00A2689F"/>
    <w:rsid w:val="00A26ECA"/>
    <w:rsid w:val="00A27461"/>
    <w:rsid w:val="00A27D67"/>
    <w:rsid w:val="00A30ABC"/>
    <w:rsid w:val="00A32760"/>
    <w:rsid w:val="00A3297E"/>
    <w:rsid w:val="00A33B74"/>
    <w:rsid w:val="00A3467F"/>
    <w:rsid w:val="00A34B4C"/>
    <w:rsid w:val="00A35030"/>
    <w:rsid w:val="00A3551A"/>
    <w:rsid w:val="00A35F6F"/>
    <w:rsid w:val="00A366A0"/>
    <w:rsid w:val="00A37209"/>
    <w:rsid w:val="00A37584"/>
    <w:rsid w:val="00A376E8"/>
    <w:rsid w:val="00A37EE0"/>
    <w:rsid w:val="00A37F8E"/>
    <w:rsid w:val="00A41537"/>
    <w:rsid w:val="00A41737"/>
    <w:rsid w:val="00A42B8F"/>
    <w:rsid w:val="00A42D15"/>
    <w:rsid w:val="00A42D8E"/>
    <w:rsid w:val="00A43254"/>
    <w:rsid w:val="00A43896"/>
    <w:rsid w:val="00A43951"/>
    <w:rsid w:val="00A43A26"/>
    <w:rsid w:val="00A447A0"/>
    <w:rsid w:val="00A459F5"/>
    <w:rsid w:val="00A45FC0"/>
    <w:rsid w:val="00A46B74"/>
    <w:rsid w:val="00A47BF7"/>
    <w:rsid w:val="00A47ECC"/>
    <w:rsid w:val="00A50171"/>
    <w:rsid w:val="00A50444"/>
    <w:rsid w:val="00A504FA"/>
    <w:rsid w:val="00A5102E"/>
    <w:rsid w:val="00A5132E"/>
    <w:rsid w:val="00A51375"/>
    <w:rsid w:val="00A51533"/>
    <w:rsid w:val="00A531D4"/>
    <w:rsid w:val="00A54572"/>
    <w:rsid w:val="00A569A4"/>
    <w:rsid w:val="00A571A5"/>
    <w:rsid w:val="00A575B8"/>
    <w:rsid w:val="00A619BB"/>
    <w:rsid w:val="00A61BC6"/>
    <w:rsid w:val="00A61C60"/>
    <w:rsid w:val="00A61E78"/>
    <w:rsid w:val="00A61ECB"/>
    <w:rsid w:val="00A6410C"/>
    <w:rsid w:val="00A64604"/>
    <w:rsid w:val="00A647B1"/>
    <w:rsid w:val="00A64DEF"/>
    <w:rsid w:val="00A654D2"/>
    <w:rsid w:val="00A654F3"/>
    <w:rsid w:val="00A665DF"/>
    <w:rsid w:val="00A66767"/>
    <w:rsid w:val="00A67CB9"/>
    <w:rsid w:val="00A67FCC"/>
    <w:rsid w:val="00A70AA5"/>
    <w:rsid w:val="00A70C03"/>
    <w:rsid w:val="00A71256"/>
    <w:rsid w:val="00A7217B"/>
    <w:rsid w:val="00A722D7"/>
    <w:rsid w:val="00A723A3"/>
    <w:rsid w:val="00A73861"/>
    <w:rsid w:val="00A739A6"/>
    <w:rsid w:val="00A740ED"/>
    <w:rsid w:val="00A749A9"/>
    <w:rsid w:val="00A74C29"/>
    <w:rsid w:val="00A74C62"/>
    <w:rsid w:val="00A75EF9"/>
    <w:rsid w:val="00A7657C"/>
    <w:rsid w:val="00A77894"/>
    <w:rsid w:val="00A8311C"/>
    <w:rsid w:val="00A835D0"/>
    <w:rsid w:val="00A83754"/>
    <w:rsid w:val="00A849A0"/>
    <w:rsid w:val="00A84C5F"/>
    <w:rsid w:val="00A84CFA"/>
    <w:rsid w:val="00A85930"/>
    <w:rsid w:val="00A861BE"/>
    <w:rsid w:val="00A863F7"/>
    <w:rsid w:val="00A86604"/>
    <w:rsid w:val="00A87519"/>
    <w:rsid w:val="00A9246D"/>
    <w:rsid w:val="00A92B11"/>
    <w:rsid w:val="00A92CCA"/>
    <w:rsid w:val="00A93BD0"/>
    <w:rsid w:val="00A93CC2"/>
    <w:rsid w:val="00A94D4B"/>
    <w:rsid w:val="00A9509F"/>
    <w:rsid w:val="00A95F11"/>
    <w:rsid w:val="00A974CC"/>
    <w:rsid w:val="00AA1738"/>
    <w:rsid w:val="00AA1D03"/>
    <w:rsid w:val="00AA2001"/>
    <w:rsid w:val="00AA2B5C"/>
    <w:rsid w:val="00AA32D2"/>
    <w:rsid w:val="00AA3B8B"/>
    <w:rsid w:val="00AA4016"/>
    <w:rsid w:val="00AA4C1F"/>
    <w:rsid w:val="00AA5328"/>
    <w:rsid w:val="00AA536E"/>
    <w:rsid w:val="00AA5393"/>
    <w:rsid w:val="00AA63D4"/>
    <w:rsid w:val="00AB01C2"/>
    <w:rsid w:val="00AB03FD"/>
    <w:rsid w:val="00AB2000"/>
    <w:rsid w:val="00AB38CB"/>
    <w:rsid w:val="00AB3BEC"/>
    <w:rsid w:val="00AB44E4"/>
    <w:rsid w:val="00AB4AEB"/>
    <w:rsid w:val="00AB4E5F"/>
    <w:rsid w:val="00AB5352"/>
    <w:rsid w:val="00AB56AE"/>
    <w:rsid w:val="00AB62D5"/>
    <w:rsid w:val="00AB65B5"/>
    <w:rsid w:val="00AB68D5"/>
    <w:rsid w:val="00AB6DCD"/>
    <w:rsid w:val="00AB6EE0"/>
    <w:rsid w:val="00AC166D"/>
    <w:rsid w:val="00AC17A2"/>
    <w:rsid w:val="00AC272D"/>
    <w:rsid w:val="00AC40B7"/>
    <w:rsid w:val="00AC531F"/>
    <w:rsid w:val="00AC58DF"/>
    <w:rsid w:val="00AC5B36"/>
    <w:rsid w:val="00AC6104"/>
    <w:rsid w:val="00AC6377"/>
    <w:rsid w:val="00AC66A4"/>
    <w:rsid w:val="00AC6CB1"/>
    <w:rsid w:val="00AC6D38"/>
    <w:rsid w:val="00AC75E9"/>
    <w:rsid w:val="00AC7D6D"/>
    <w:rsid w:val="00AD0091"/>
    <w:rsid w:val="00AD23EF"/>
    <w:rsid w:val="00AD2662"/>
    <w:rsid w:val="00AD307B"/>
    <w:rsid w:val="00AD4014"/>
    <w:rsid w:val="00AD41B3"/>
    <w:rsid w:val="00AD5721"/>
    <w:rsid w:val="00AD69F0"/>
    <w:rsid w:val="00AD7127"/>
    <w:rsid w:val="00AD730C"/>
    <w:rsid w:val="00AE0FC2"/>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2F"/>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3B58"/>
    <w:rsid w:val="00B04721"/>
    <w:rsid w:val="00B04935"/>
    <w:rsid w:val="00B04B15"/>
    <w:rsid w:val="00B04B46"/>
    <w:rsid w:val="00B0523D"/>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5B02"/>
    <w:rsid w:val="00B16715"/>
    <w:rsid w:val="00B1768E"/>
    <w:rsid w:val="00B17910"/>
    <w:rsid w:val="00B20014"/>
    <w:rsid w:val="00B20F18"/>
    <w:rsid w:val="00B21516"/>
    <w:rsid w:val="00B21A37"/>
    <w:rsid w:val="00B21D23"/>
    <w:rsid w:val="00B21F62"/>
    <w:rsid w:val="00B22418"/>
    <w:rsid w:val="00B22CE0"/>
    <w:rsid w:val="00B23738"/>
    <w:rsid w:val="00B23BC7"/>
    <w:rsid w:val="00B23BEF"/>
    <w:rsid w:val="00B247BB"/>
    <w:rsid w:val="00B2504A"/>
    <w:rsid w:val="00B2519B"/>
    <w:rsid w:val="00B25EE6"/>
    <w:rsid w:val="00B307D6"/>
    <w:rsid w:val="00B3115A"/>
    <w:rsid w:val="00B3178B"/>
    <w:rsid w:val="00B31825"/>
    <w:rsid w:val="00B31A5C"/>
    <w:rsid w:val="00B32265"/>
    <w:rsid w:val="00B3276D"/>
    <w:rsid w:val="00B3344B"/>
    <w:rsid w:val="00B33B06"/>
    <w:rsid w:val="00B33C19"/>
    <w:rsid w:val="00B34608"/>
    <w:rsid w:val="00B35684"/>
    <w:rsid w:val="00B35A15"/>
    <w:rsid w:val="00B35B45"/>
    <w:rsid w:val="00B35CA6"/>
    <w:rsid w:val="00B36165"/>
    <w:rsid w:val="00B36A99"/>
    <w:rsid w:val="00B4213D"/>
    <w:rsid w:val="00B42264"/>
    <w:rsid w:val="00B42B6C"/>
    <w:rsid w:val="00B42DDF"/>
    <w:rsid w:val="00B434B2"/>
    <w:rsid w:val="00B43D45"/>
    <w:rsid w:val="00B459AF"/>
    <w:rsid w:val="00B468F2"/>
    <w:rsid w:val="00B469DE"/>
    <w:rsid w:val="00B47286"/>
    <w:rsid w:val="00B47EB4"/>
    <w:rsid w:val="00B50234"/>
    <w:rsid w:val="00B51BF4"/>
    <w:rsid w:val="00B52C68"/>
    <w:rsid w:val="00B5372B"/>
    <w:rsid w:val="00B5384B"/>
    <w:rsid w:val="00B542FE"/>
    <w:rsid w:val="00B55A1B"/>
    <w:rsid w:val="00B561DB"/>
    <w:rsid w:val="00B56DF9"/>
    <w:rsid w:val="00B56E80"/>
    <w:rsid w:val="00B571F1"/>
    <w:rsid w:val="00B600BD"/>
    <w:rsid w:val="00B604A2"/>
    <w:rsid w:val="00B60E4E"/>
    <w:rsid w:val="00B61274"/>
    <w:rsid w:val="00B61717"/>
    <w:rsid w:val="00B61DCE"/>
    <w:rsid w:val="00B62188"/>
    <w:rsid w:val="00B62F79"/>
    <w:rsid w:val="00B62F82"/>
    <w:rsid w:val="00B6306A"/>
    <w:rsid w:val="00B633AB"/>
    <w:rsid w:val="00B635E3"/>
    <w:rsid w:val="00B6567B"/>
    <w:rsid w:val="00B662FF"/>
    <w:rsid w:val="00B66679"/>
    <w:rsid w:val="00B70145"/>
    <w:rsid w:val="00B701D1"/>
    <w:rsid w:val="00B71293"/>
    <w:rsid w:val="00B71A92"/>
    <w:rsid w:val="00B721D8"/>
    <w:rsid w:val="00B730CA"/>
    <w:rsid w:val="00B732EA"/>
    <w:rsid w:val="00B73747"/>
    <w:rsid w:val="00B747C5"/>
    <w:rsid w:val="00B74F2F"/>
    <w:rsid w:val="00B753ED"/>
    <w:rsid w:val="00B758E7"/>
    <w:rsid w:val="00B7665F"/>
    <w:rsid w:val="00B769BC"/>
    <w:rsid w:val="00B770F7"/>
    <w:rsid w:val="00B77349"/>
    <w:rsid w:val="00B7761E"/>
    <w:rsid w:val="00B77953"/>
    <w:rsid w:val="00B80A3D"/>
    <w:rsid w:val="00B80B04"/>
    <w:rsid w:val="00B81015"/>
    <w:rsid w:val="00B81103"/>
    <w:rsid w:val="00B821E4"/>
    <w:rsid w:val="00B823E0"/>
    <w:rsid w:val="00B8260D"/>
    <w:rsid w:val="00B82B78"/>
    <w:rsid w:val="00B82DE9"/>
    <w:rsid w:val="00B838FD"/>
    <w:rsid w:val="00B845B4"/>
    <w:rsid w:val="00B84662"/>
    <w:rsid w:val="00B84C74"/>
    <w:rsid w:val="00B84CE9"/>
    <w:rsid w:val="00B85191"/>
    <w:rsid w:val="00B858A1"/>
    <w:rsid w:val="00B85FEC"/>
    <w:rsid w:val="00B864A3"/>
    <w:rsid w:val="00B86728"/>
    <w:rsid w:val="00B86C2A"/>
    <w:rsid w:val="00B8759A"/>
    <w:rsid w:val="00B902A5"/>
    <w:rsid w:val="00B90420"/>
    <w:rsid w:val="00B90848"/>
    <w:rsid w:val="00B91146"/>
    <w:rsid w:val="00B913E4"/>
    <w:rsid w:val="00B91DB9"/>
    <w:rsid w:val="00B91FF3"/>
    <w:rsid w:val="00B925F8"/>
    <w:rsid w:val="00B93EFE"/>
    <w:rsid w:val="00B93F8A"/>
    <w:rsid w:val="00B944B9"/>
    <w:rsid w:val="00B94956"/>
    <w:rsid w:val="00B949EB"/>
    <w:rsid w:val="00B94C7F"/>
    <w:rsid w:val="00B94E93"/>
    <w:rsid w:val="00B956B5"/>
    <w:rsid w:val="00B95956"/>
    <w:rsid w:val="00B96DF2"/>
    <w:rsid w:val="00B96E18"/>
    <w:rsid w:val="00B96F5A"/>
    <w:rsid w:val="00B970CA"/>
    <w:rsid w:val="00BA0B39"/>
    <w:rsid w:val="00BA0CB2"/>
    <w:rsid w:val="00BA0E26"/>
    <w:rsid w:val="00BA138B"/>
    <w:rsid w:val="00BA305B"/>
    <w:rsid w:val="00BA31BF"/>
    <w:rsid w:val="00BA3C0F"/>
    <w:rsid w:val="00BA3FC7"/>
    <w:rsid w:val="00BA478B"/>
    <w:rsid w:val="00BA4ABD"/>
    <w:rsid w:val="00BA4BB4"/>
    <w:rsid w:val="00BA5224"/>
    <w:rsid w:val="00BA575E"/>
    <w:rsid w:val="00BA76B7"/>
    <w:rsid w:val="00BA7E3B"/>
    <w:rsid w:val="00BB078D"/>
    <w:rsid w:val="00BB079C"/>
    <w:rsid w:val="00BB0D7A"/>
    <w:rsid w:val="00BB10E1"/>
    <w:rsid w:val="00BB22F6"/>
    <w:rsid w:val="00BB2471"/>
    <w:rsid w:val="00BB3035"/>
    <w:rsid w:val="00BB366E"/>
    <w:rsid w:val="00BB39C1"/>
    <w:rsid w:val="00BB3DF5"/>
    <w:rsid w:val="00BB3EA7"/>
    <w:rsid w:val="00BB5D16"/>
    <w:rsid w:val="00BB6180"/>
    <w:rsid w:val="00BB64CA"/>
    <w:rsid w:val="00BB69E6"/>
    <w:rsid w:val="00BB6DC3"/>
    <w:rsid w:val="00BB7323"/>
    <w:rsid w:val="00BB7BE5"/>
    <w:rsid w:val="00BC07C8"/>
    <w:rsid w:val="00BC08BD"/>
    <w:rsid w:val="00BC11E8"/>
    <w:rsid w:val="00BC1B7A"/>
    <w:rsid w:val="00BC2C17"/>
    <w:rsid w:val="00BC3ACD"/>
    <w:rsid w:val="00BC3B20"/>
    <w:rsid w:val="00BC3EE4"/>
    <w:rsid w:val="00BC4577"/>
    <w:rsid w:val="00BC588C"/>
    <w:rsid w:val="00BC6E73"/>
    <w:rsid w:val="00BC74D3"/>
    <w:rsid w:val="00BD0014"/>
    <w:rsid w:val="00BD01D8"/>
    <w:rsid w:val="00BD255F"/>
    <w:rsid w:val="00BD2895"/>
    <w:rsid w:val="00BD4236"/>
    <w:rsid w:val="00BD483B"/>
    <w:rsid w:val="00BD51F9"/>
    <w:rsid w:val="00BD5977"/>
    <w:rsid w:val="00BD5CD4"/>
    <w:rsid w:val="00BD5D1D"/>
    <w:rsid w:val="00BD65D9"/>
    <w:rsid w:val="00BD6DF3"/>
    <w:rsid w:val="00BD6E09"/>
    <w:rsid w:val="00BD6EF9"/>
    <w:rsid w:val="00BE0ACB"/>
    <w:rsid w:val="00BE1C07"/>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1B1A"/>
    <w:rsid w:val="00BF22E9"/>
    <w:rsid w:val="00BF3AFD"/>
    <w:rsid w:val="00BF4342"/>
    <w:rsid w:val="00BF45EA"/>
    <w:rsid w:val="00BF4704"/>
    <w:rsid w:val="00BF4A1A"/>
    <w:rsid w:val="00BF4FFC"/>
    <w:rsid w:val="00BF5050"/>
    <w:rsid w:val="00BF50D1"/>
    <w:rsid w:val="00BF5422"/>
    <w:rsid w:val="00BF59B1"/>
    <w:rsid w:val="00BF606A"/>
    <w:rsid w:val="00BF6163"/>
    <w:rsid w:val="00BF6625"/>
    <w:rsid w:val="00BF6A78"/>
    <w:rsid w:val="00BF7114"/>
    <w:rsid w:val="00BF7695"/>
    <w:rsid w:val="00BF79B4"/>
    <w:rsid w:val="00BF7C61"/>
    <w:rsid w:val="00C01427"/>
    <w:rsid w:val="00C014C7"/>
    <w:rsid w:val="00C01CD4"/>
    <w:rsid w:val="00C031CF"/>
    <w:rsid w:val="00C047AB"/>
    <w:rsid w:val="00C04895"/>
    <w:rsid w:val="00C058AF"/>
    <w:rsid w:val="00C075B6"/>
    <w:rsid w:val="00C1066D"/>
    <w:rsid w:val="00C124C1"/>
    <w:rsid w:val="00C128AE"/>
    <w:rsid w:val="00C12BA8"/>
    <w:rsid w:val="00C13094"/>
    <w:rsid w:val="00C136D6"/>
    <w:rsid w:val="00C13D5B"/>
    <w:rsid w:val="00C141D7"/>
    <w:rsid w:val="00C14329"/>
    <w:rsid w:val="00C1711B"/>
    <w:rsid w:val="00C17AE2"/>
    <w:rsid w:val="00C200CD"/>
    <w:rsid w:val="00C20140"/>
    <w:rsid w:val="00C20537"/>
    <w:rsid w:val="00C20E7C"/>
    <w:rsid w:val="00C20F27"/>
    <w:rsid w:val="00C215CF"/>
    <w:rsid w:val="00C2244B"/>
    <w:rsid w:val="00C22711"/>
    <w:rsid w:val="00C2280A"/>
    <w:rsid w:val="00C22B0D"/>
    <w:rsid w:val="00C22BFF"/>
    <w:rsid w:val="00C23522"/>
    <w:rsid w:val="00C240C1"/>
    <w:rsid w:val="00C244A1"/>
    <w:rsid w:val="00C24AED"/>
    <w:rsid w:val="00C250D0"/>
    <w:rsid w:val="00C252AC"/>
    <w:rsid w:val="00C25B30"/>
    <w:rsid w:val="00C25C0F"/>
    <w:rsid w:val="00C26567"/>
    <w:rsid w:val="00C26923"/>
    <w:rsid w:val="00C27214"/>
    <w:rsid w:val="00C27597"/>
    <w:rsid w:val="00C27E5E"/>
    <w:rsid w:val="00C30382"/>
    <w:rsid w:val="00C30772"/>
    <w:rsid w:val="00C30D6F"/>
    <w:rsid w:val="00C31063"/>
    <w:rsid w:val="00C31B7E"/>
    <w:rsid w:val="00C31DF8"/>
    <w:rsid w:val="00C32024"/>
    <w:rsid w:val="00C322D1"/>
    <w:rsid w:val="00C3242A"/>
    <w:rsid w:val="00C33201"/>
    <w:rsid w:val="00C33A39"/>
    <w:rsid w:val="00C341D1"/>
    <w:rsid w:val="00C34619"/>
    <w:rsid w:val="00C348D9"/>
    <w:rsid w:val="00C35D01"/>
    <w:rsid w:val="00C360B3"/>
    <w:rsid w:val="00C368FB"/>
    <w:rsid w:val="00C37027"/>
    <w:rsid w:val="00C373BF"/>
    <w:rsid w:val="00C37B19"/>
    <w:rsid w:val="00C4031E"/>
    <w:rsid w:val="00C40993"/>
    <w:rsid w:val="00C41349"/>
    <w:rsid w:val="00C413CB"/>
    <w:rsid w:val="00C42752"/>
    <w:rsid w:val="00C42973"/>
    <w:rsid w:val="00C46339"/>
    <w:rsid w:val="00C46B95"/>
    <w:rsid w:val="00C4712A"/>
    <w:rsid w:val="00C5034F"/>
    <w:rsid w:val="00C50830"/>
    <w:rsid w:val="00C52479"/>
    <w:rsid w:val="00C5266E"/>
    <w:rsid w:val="00C52C59"/>
    <w:rsid w:val="00C533F8"/>
    <w:rsid w:val="00C5349E"/>
    <w:rsid w:val="00C539FF"/>
    <w:rsid w:val="00C544BD"/>
    <w:rsid w:val="00C54D3D"/>
    <w:rsid w:val="00C55127"/>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5F32"/>
    <w:rsid w:val="00C77818"/>
    <w:rsid w:val="00C778A2"/>
    <w:rsid w:val="00C8063F"/>
    <w:rsid w:val="00C81282"/>
    <w:rsid w:val="00C827B4"/>
    <w:rsid w:val="00C83214"/>
    <w:rsid w:val="00C8329F"/>
    <w:rsid w:val="00C84F8A"/>
    <w:rsid w:val="00C85BA4"/>
    <w:rsid w:val="00C8618F"/>
    <w:rsid w:val="00C8625D"/>
    <w:rsid w:val="00C8744E"/>
    <w:rsid w:val="00C90372"/>
    <w:rsid w:val="00C9041F"/>
    <w:rsid w:val="00C9166B"/>
    <w:rsid w:val="00C91945"/>
    <w:rsid w:val="00C91A45"/>
    <w:rsid w:val="00C91FB4"/>
    <w:rsid w:val="00C92150"/>
    <w:rsid w:val="00C92328"/>
    <w:rsid w:val="00C92D42"/>
    <w:rsid w:val="00C92F22"/>
    <w:rsid w:val="00C938C2"/>
    <w:rsid w:val="00C93F8A"/>
    <w:rsid w:val="00C94EA1"/>
    <w:rsid w:val="00C95745"/>
    <w:rsid w:val="00C95902"/>
    <w:rsid w:val="00C962E3"/>
    <w:rsid w:val="00C978E2"/>
    <w:rsid w:val="00C97997"/>
    <w:rsid w:val="00CA0284"/>
    <w:rsid w:val="00CA10A2"/>
    <w:rsid w:val="00CA1D83"/>
    <w:rsid w:val="00CA1ED3"/>
    <w:rsid w:val="00CA25C0"/>
    <w:rsid w:val="00CA3451"/>
    <w:rsid w:val="00CA35C6"/>
    <w:rsid w:val="00CA4948"/>
    <w:rsid w:val="00CA52F9"/>
    <w:rsid w:val="00CA5368"/>
    <w:rsid w:val="00CA568B"/>
    <w:rsid w:val="00CA573A"/>
    <w:rsid w:val="00CA5C58"/>
    <w:rsid w:val="00CB19D7"/>
    <w:rsid w:val="00CB19FE"/>
    <w:rsid w:val="00CB1C3F"/>
    <w:rsid w:val="00CB2364"/>
    <w:rsid w:val="00CB2580"/>
    <w:rsid w:val="00CB304C"/>
    <w:rsid w:val="00CB3933"/>
    <w:rsid w:val="00CB5010"/>
    <w:rsid w:val="00CB53E8"/>
    <w:rsid w:val="00CB594A"/>
    <w:rsid w:val="00CB5CB2"/>
    <w:rsid w:val="00CB6979"/>
    <w:rsid w:val="00CB722D"/>
    <w:rsid w:val="00CB7DDE"/>
    <w:rsid w:val="00CC0A3D"/>
    <w:rsid w:val="00CC1F5E"/>
    <w:rsid w:val="00CC2840"/>
    <w:rsid w:val="00CC2A24"/>
    <w:rsid w:val="00CC2FF0"/>
    <w:rsid w:val="00CC3C53"/>
    <w:rsid w:val="00CC3D24"/>
    <w:rsid w:val="00CC3F91"/>
    <w:rsid w:val="00CC47EE"/>
    <w:rsid w:val="00CC4ACD"/>
    <w:rsid w:val="00CC4B0A"/>
    <w:rsid w:val="00CC4ED8"/>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4AAC"/>
    <w:rsid w:val="00CD5DAD"/>
    <w:rsid w:val="00CD72C5"/>
    <w:rsid w:val="00CD79A7"/>
    <w:rsid w:val="00CD7FAD"/>
    <w:rsid w:val="00CE0789"/>
    <w:rsid w:val="00CE0E8D"/>
    <w:rsid w:val="00CE1A03"/>
    <w:rsid w:val="00CE2346"/>
    <w:rsid w:val="00CE25B2"/>
    <w:rsid w:val="00CE3529"/>
    <w:rsid w:val="00CE35C8"/>
    <w:rsid w:val="00CE3962"/>
    <w:rsid w:val="00CE3C3D"/>
    <w:rsid w:val="00CE4D0A"/>
    <w:rsid w:val="00CE4D1A"/>
    <w:rsid w:val="00CE4E8A"/>
    <w:rsid w:val="00CE5105"/>
    <w:rsid w:val="00CE56BD"/>
    <w:rsid w:val="00CE5EC0"/>
    <w:rsid w:val="00CE68AD"/>
    <w:rsid w:val="00CE6F9B"/>
    <w:rsid w:val="00CE6F9F"/>
    <w:rsid w:val="00CE781A"/>
    <w:rsid w:val="00CE7B08"/>
    <w:rsid w:val="00CE7D52"/>
    <w:rsid w:val="00CF0AB7"/>
    <w:rsid w:val="00CF0E02"/>
    <w:rsid w:val="00CF1D74"/>
    <w:rsid w:val="00CF2BE2"/>
    <w:rsid w:val="00CF3DEB"/>
    <w:rsid w:val="00CF55F9"/>
    <w:rsid w:val="00CF7074"/>
    <w:rsid w:val="00CF7495"/>
    <w:rsid w:val="00CF7D8D"/>
    <w:rsid w:val="00D01CF9"/>
    <w:rsid w:val="00D0334D"/>
    <w:rsid w:val="00D0374D"/>
    <w:rsid w:val="00D06D7B"/>
    <w:rsid w:val="00D06DA5"/>
    <w:rsid w:val="00D07191"/>
    <w:rsid w:val="00D07F1D"/>
    <w:rsid w:val="00D10558"/>
    <w:rsid w:val="00D10E7D"/>
    <w:rsid w:val="00D11D4D"/>
    <w:rsid w:val="00D11DB1"/>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5C88"/>
    <w:rsid w:val="00D26471"/>
    <w:rsid w:val="00D26C3F"/>
    <w:rsid w:val="00D27185"/>
    <w:rsid w:val="00D3028A"/>
    <w:rsid w:val="00D30AC5"/>
    <w:rsid w:val="00D31618"/>
    <w:rsid w:val="00D33488"/>
    <w:rsid w:val="00D33AB3"/>
    <w:rsid w:val="00D33F24"/>
    <w:rsid w:val="00D34160"/>
    <w:rsid w:val="00D346B8"/>
    <w:rsid w:val="00D34DCA"/>
    <w:rsid w:val="00D3545C"/>
    <w:rsid w:val="00D35AC8"/>
    <w:rsid w:val="00D35E80"/>
    <w:rsid w:val="00D36165"/>
    <w:rsid w:val="00D36F87"/>
    <w:rsid w:val="00D37E4E"/>
    <w:rsid w:val="00D411EC"/>
    <w:rsid w:val="00D417D8"/>
    <w:rsid w:val="00D41CAB"/>
    <w:rsid w:val="00D41F78"/>
    <w:rsid w:val="00D42E6C"/>
    <w:rsid w:val="00D4351C"/>
    <w:rsid w:val="00D43B80"/>
    <w:rsid w:val="00D440FE"/>
    <w:rsid w:val="00D44988"/>
    <w:rsid w:val="00D45B4C"/>
    <w:rsid w:val="00D45BA4"/>
    <w:rsid w:val="00D471AF"/>
    <w:rsid w:val="00D471E2"/>
    <w:rsid w:val="00D4724F"/>
    <w:rsid w:val="00D50519"/>
    <w:rsid w:val="00D50779"/>
    <w:rsid w:val="00D51601"/>
    <w:rsid w:val="00D51ECB"/>
    <w:rsid w:val="00D5264C"/>
    <w:rsid w:val="00D52BBC"/>
    <w:rsid w:val="00D537FE"/>
    <w:rsid w:val="00D53BE5"/>
    <w:rsid w:val="00D53CC9"/>
    <w:rsid w:val="00D54A6A"/>
    <w:rsid w:val="00D54B8F"/>
    <w:rsid w:val="00D55848"/>
    <w:rsid w:val="00D55951"/>
    <w:rsid w:val="00D559F0"/>
    <w:rsid w:val="00D55BCC"/>
    <w:rsid w:val="00D5650F"/>
    <w:rsid w:val="00D57EB6"/>
    <w:rsid w:val="00D608C0"/>
    <w:rsid w:val="00D60BC2"/>
    <w:rsid w:val="00D60D6D"/>
    <w:rsid w:val="00D6128C"/>
    <w:rsid w:val="00D614B3"/>
    <w:rsid w:val="00D63B22"/>
    <w:rsid w:val="00D63C98"/>
    <w:rsid w:val="00D63EA5"/>
    <w:rsid w:val="00D66D8B"/>
    <w:rsid w:val="00D70849"/>
    <w:rsid w:val="00D71B08"/>
    <w:rsid w:val="00D72297"/>
    <w:rsid w:val="00D726FF"/>
    <w:rsid w:val="00D72A1C"/>
    <w:rsid w:val="00D7308F"/>
    <w:rsid w:val="00D7313E"/>
    <w:rsid w:val="00D73580"/>
    <w:rsid w:val="00D73802"/>
    <w:rsid w:val="00D73C2C"/>
    <w:rsid w:val="00D73D52"/>
    <w:rsid w:val="00D745E7"/>
    <w:rsid w:val="00D75758"/>
    <w:rsid w:val="00D75FDA"/>
    <w:rsid w:val="00D774ED"/>
    <w:rsid w:val="00D777C3"/>
    <w:rsid w:val="00D7797C"/>
    <w:rsid w:val="00D77C44"/>
    <w:rsid w:val="00D77F88"/>
    <w:rsid w:val="00D81AFA"/>
    <w:rsid w:val="00D81EAA"/>
    <w:rsid w:val="00D81F04"/>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A52"/>
    <w:rsid w:val="00D86C88"/>
    <w:rsid w:val="00D86D47"/>
    <w:rsid w:val="00D8710C"/>
    <w:rsid w:val="00D873C6"/>
    <w:rsid w:val="00D9074A"/>
    <w:rsid w:val="00D9099E"/>
    <w:rsid w:val="00D9193A"/>
    <w:rsid w:val="00D91DED"/>
    <w:rsid w:val="00D923B2"/>
    <w:rsid w:val="00D92463"/>
    <w:rsid w:val="00D936B5"/>
    <w:rsid w:val="00D93E64"/>
    <w:rsid w:val="00D93F64"/>
    <w:rsid w:val="00D94CA4"/>
    <w:rsid w:val="00D95E99"/>
    <w:rsid w:val="00D965D5"/>
    <w:rsid w:val="00D96D7E"/>
    <w:rsid w:val="00D97DA2"/>
    <w:rsid w:val="00DA0485"/>
    <w:rsid w:val="00DA1A3A"/>
    <w:rsid w:val="00DA2351"/>
    <w:rsid w:val="00DA249E"/>
    <w:rsid w:val="00DA2D3D"/>
    <w:rsid w:val="00DA3855"/>
    <w:rsid w:val="00DA39BA"/>
    <w:rsid w:val="00DA3FBF"/>
    <w:rsid w:val="00DA4C30"/>
    <w:rsid w:val="00DA641B"/>
    <w:rsid w:val="00DA6A44"/>
    <w:rsid w:val="00DA6EF0"/>
    <w:rsid w:val="00DA76D9"/>
    <w:rsid w:val="00DA7A3C"/>
    <w:rsid w:val="00DB069C"/>
    <w:rsid w:val="00DB145E"/>
    <w:rsid w:val="00DB1966"/>
    <w:rsid w:val="00DB19CB"/>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1445"/>
    <w:rsid w:val="00DC21D8"/>
    <w:rsid w:val="00DC282A"/>
    <w:rsid w:val="00DC2DE8"/>
    <w:rsid w:val="00DC34DC"/>
    <w:rsid w:val="00DC3780"/>
    <w:rsid w:val="00DC3ADA"/>
    <w:rsid w:val="00DC3CC6"/>
    <w:rsid w:val="00DC3F55"/>
    <w:rsid w:val="00DC468B"/>
    <w:rsid w:val="00DC4782"/>
    <w:rsid w:val="00DC488D"/>
    <w:rsid w:val="00DC514A"/>
    <w:rsid w:val="00DC67B1"/>
    <w:rsid w:val="00DC7FBC"/>
    <w:rsid w:val="00DD0019"/>
    <w:rsid w:val="00DD132B"/>
    <w:rsid w:val="00DD1725"/>
    <w:rsid w:val="00DD2159"/>
    <w:rsid w:val="00DD218B"/>
    <w:rsid w:val="00DD2A18"/>
    <w:rsid w:val="00DD3044"/>
    <w:rsid w:val="00DD3737"/>
    <w:rsid w:val="00DD3985"/>
    <w:rsid w:val="00DD3FEE"/>
    <w:rsid w:val="00DD4676"/>
    <w:rsid w:val="00DD61E8"/>
    <w:rsid w:val="00DD62C0"/>
    <w:rsid w:val="00DD64DE"/>
    <w:rsid w:val="00DD66DE"/>
    <w:rsid w:val="00DD7859"/>
    <w:rsid w:val="00DD7B41"/>
    <w:rsid w:val="00DE0784"/>
    <w:rsid w:val="00DE0A1D"/>
    <w:rsid w:val="00DE15B2"/>
    <w:rsid w:val="00DE1A9A"/>
    <w:rsid w:val="00DE2108"/>
    <w:rsid w:val="00DE2800"/>
    <w:rsid w:val="00DE3D2C"/>
    <w:rsid w:val="00DE4513"/>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A8B"/>
    <w:rsid w:val="00E01C9C"/>
    <w:rsid w:val="00E0219D"/>
    <w:rsid w:val="00E03662"/>
    <w:rsid w:val="00E04B0B"/>
    <w:rsid w:val="00E04BF4"/>
    <w:rsid w:val="00E04C0F"/>
    <w:rsid w:val="00E0570B"/>
    <w:rsid w:val="00E069C5"/>
    <w:rsid w:val="00E10913"/>
    <w:rsid w:val="00E10B87"/>
    <w:rsid w:val="00E121CE"/>
    <w:rsid w:val="00E12209"/>
    <w:rsid w:val="00E1478B"/>
    <w:rsid w:val="00E14FAC"/>
    <w:rsid w:val="00E15007"/>
    <w:rsid w:val="00E16277"/>
    <w:rsid w:val="00E16EC7"/>
    <w:rsid w:val="00E17DCC"/>
    <w:rsid w:val="00E21832"/>
    <w:rsid w:val="00E219CE"/>
    <w:rsid w:val="00E21D93"/>
    <w:rsid w:val="00E22D2A"/>
    <w:rsid w:val="00E24071"/>
    <w:rsid w:val="00E24DCA"/>
    <w:rsid w:val="00E24EBC"/>
    <w:rsid w:val="00E2522C"/>
    <w:rsid w:val="00E2552F"/>
    <w:rsid w:val="00E2599B"/>
    <w:rsid w:val="00E2710C"/>
    <w:rsid w:val="00E272BD"/>
    <w:rsid w:val="00E27428"/>
    <w:rsid w:val="00E305B4"/>
    <w:rsid w:val="00E3132E"/>
    <w:rsid w:val="00E31AFA"/>
    <w:rsid w:val="00E31CB7"/>
    <w:rsid w:val="00E324EE"/>
    <w:rsid w:val="00E33C5F"/>
    <w:rsid w:val="00E34DB1"/>
    <w:rsid w:val="00E35931"/>
    <w:rsid w:val="00E359FF"/>
    <w:rsid w:val="00E3699A"/>
    <w:rsid w:val="00E402C5"/>
    <w:rsid w:val="00E402F4"/>
    <w:rsid w:val="00E405F1"/>
    <w:rsid w:val="00E40F9A"/>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5DD1"/>
    <w:rsid w:val="00E57577"/>
    <w:rsid w:val="00E57593"/>
    <w:rsid w:val="00E61847"/>
    <w:rsid w:val="00E619AA"/>
    <w:rsid w:val="00E62043"/>
    <w:rsid w:val="00E626B9"/>
    <w:rsid w:val="00E627C9"/>
    <w:rsid w:val="00E62EB6"/>
    <w:rsid w:val="00E630F3"/>
    <w:rsid w:val="00E6330F"/>
    <w:rsid w:val="00E6332F"/>
    <w:rsid w:val="00E637C9"/>
    <w:rsid w:val="00E6402D"/>
    <w:rsid w:val="00E6680A"/>
    <w:rsid w:val="00E66F0D"/>
    <w:rsid w:val="00E67747"/>
    <w:rsid w:val="00E70615"/>
    <w:rsid w:val="00E71116"/>
    <w:rsid w:val="00E7161E"/>
    <w:rsid w:val="00E7207B"/>
    <w:rsid w:val="00E721A3"/>
    <w:rsid w:val="00E7347A"/>
    <w:rsid w:val="00E7507A"/>
    <w:rsid w:val="00E75A47"/>
    <w:rsid w:val="00E75BB6"/>
    <w:rsid w:val="00E75D8C"/>
    <w:rsid w:val="00E777F2"/>
    <w:rsid w:val="00E802C9"/>
    <w:rsid w:val="00E804B4"/>
    <w:rsid w:val="00E80BFB"/>
    <w:rsid w:val="00E80EC2"/>
    <w:rsid w:val="00E80F0A"/>
    <w:rsid w:val="00E814F9"/>
    <w:rsid w:val="00E815D4"/>
    <w:rsid w:val="00E8291B"/>
    <w:rsid w:val="00E82E70"/>
    <w:rsid w:val="00E82F92"/>
    <w:rsid w:val="00E830C6"/>
    <w:rsid w:val="00E8395F"/>
    <w:rsid w:val="00E8410F"/>
    <w:rsid w:val="00E849D7"/>
    <w:rsid w:val="00E85E41"/>
    <w:rsid w:val="00E85E95"/>
    <w:rsid w:val="00E85EA1"/>
    <w:rsid w:val="00E86703"/>
    <w:rsid w:val="00E900DA"/>
    <w:rsid w:val="00E91044"/>
    <w:rsid w:val="00E910D3"/>
    <w:rsid w:val="00E92097"/>
    <w:rsid w:val="00E92154"/>
    <w:rsid w:val="00E923CF"/>
    <w:rsid w:val="00E93685"/>
    <w:rsid w:val="00E93B65"/>
    <w:rsid w:val="00E93C8C"/>
    <w:rsid w:val="00E95111"/>
    <w:rsid w:val="00E95FDF"/>
    <w:rsid w:val="00E96ED8"/>
    <w:rsid w:val="00E97B69"/>
    <w:rsid w:val="00EA14C8"/>
    <w:rsid w:val="00EA2110"/>
    <w:rsid w:val="00EA283A"/>
    <w:rsid w:val="00EA2AE0"/>
    <w:rsid w:val="00EA2C90"/>
    <w:rsid w:val="00EA2E07"/>
    <w:rsid w:val="00EA383B"/>
    <w:rsid w:val="00EA48F3"/>
    <w:rsid w:val="00EA60BF"/>
    <w:rsid w:val="00EA7365"/>
    <w:rsid w:val="00EA763F"/>
    <w:rsid w:val="00EA77E9"/>
    <w:rsid w:val="00EB05D0"/>
    <w:rsid w:val="00EB1151"/>
    <w:rsid w:val="00EB11DF"/>
    <w:rsid w:val="00EB1D49"/>
    <w:rsid w:val="00EB23D9"/>
    <w:rsid w:val="00EB39A0"/>
    <w:rsid w:val="00EB430A"/>
    <w:rsid w:val="00EB5447"/>
    <w:rsid w:val="00EB559F"/>
    <w:rsid w:val="00EB566C"/>
    <w:rsid w:val="00EB5A18"/>
    <w:rsid w:val="00EB5DDB"/>
    <w:rsid w:val="00EB5F3D"/>
    <w:rsid w:val="00EB6A88"/>
    <w:rsid w:val="00EB6C97"/>
    <w:rsid w:val="00EB778A"/>
    <w:rsid w:val="00EC1CEB"/>
    <w:rsid w:val="00EC1DC0"/>
    <w:rsid w:val="00EC1DC2"/>
    <w:rsid w:val="00EC1E09"/>
    <w:rsid w:val="00EC210E"/>
    <w:rsid w:val="00EC21EC"/>
    <w:rsid w:val="00EC24B8"/>
    <w:rsid w:val="00EC268C"/>
    <w:rsid w:val="00EC2CCB"/>
    <w:rsid w:val="00EC3692"/>
    <w:rsid w:val="00EC3753"/>
    <w:rsid w:val="00EC4E71"/>
    <w:rsid w:val="00EC5F1C"/>
    <w:rsid w:val="00EC740C"/>
    <w:rsid w:val="00EC7F06"/>
    <w:rsid w:val="00ED0365"/>
    <w:rsid w:val="00ED0865"/>
    <w:rsid w:val="00ED0C1C"/>
    <w:rsid w:val="00ED0D3F"/>
    <w:rsid w:val="00ED1C60"/>
    <w:rsid w:val="00ED2EB9"/>
    <w:rsid w:val="00ED3722"/>
    <w:rsid w:val="00ED3A31"/>
    <w:rsid w:val="00ED4469"/>
    <w:rsid w:val="00ED5424"/>
    <w:rsid w:val="00ED5B5C"/>
    <w:rsid w:val="00ED5F23"/>
    <w:rsid w:val="00ED6A17"/>
    <w:rsid w:val="00ED6DC0"/>
    <w:rsid w:val="00ED73D6"/>
    <w:rsid w:val="00ED7A7A"/>
    <w:rsid w:val="00EE0327"/>
    <w:rsid w:val="00EE038C"/>
    <w:rsid w:val="00EE0A71"/>
    <w:rsid w:val="00EE10A9"/>
    <w:rsid w:val="00EE15B3"/>
    <w:rsid w:val="00EE1985"/>
    <w:rsid w:val="00EE28C5"/>
    <w:rsid w:val="00EE2F09"/>
    <w:rsid w:val="00EE47C5"/>
    <w:rsid w:val="00EE490C"/>
    <w:rsid w:val="00EE4E57"/>
    <w:rsid w:val="00EE5738"/>
    <w:rsid w:val="00EE58BD"/>
    <w:rsid w:val="00EE5E59"/>
    <w:rsid w:val="00EE73D0"/>
    <w:rsid w:val="00EE76AC"/>
    <w:rsid w:val="00EE7CB0"/>
    <w:rsid w:val="00EF08A8"/>
    <w:rsid w:val="00EF167B"/>
    <w:rsid w:val="00EF186B"/>
    <w:rsid w:val="00EF2496"/>
    <w:rsid w:val="00EF41A8"/>
    <w:rsid w:val="00EF44FB"/>
    <w:rsid w:val="00EF5122"/>
    <w:rsid w:val="00EF5554"/>
    <w:rsid w:val="00EF5AD8"/>
    <w:rsid w:val="00EF6B90"/>
    <w:rsid w:val="00EF7807"/>
    <w:rsid w:val="00EF79F7"/>
    <w:rsid w:val="00F006C0"/>
    <w:rsid w:val="00F00847"/>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6F7"/>
    <w:rsid w:val="00F12A99"/>
    <w:rsid w:val="00F12C04"/>
    <w:rsid w:val="00F13599"/>
    <w:rsid w:val="00F13B28"/>
    <w:rsid w:val="00F14C13"/>
    <w:rsid w:val="00F156A0"/>
    <w:rsid w:val="00F15730"/>
    <w:rsid w:val="00F176A6"/>
    <w:rsid w:val="00F202C2"/>
    <w:rsid w:val="00F212F6"/>
    <w:rsid w:val="00F2260B"/>
    <w:rsid w:val="00F22756"/>
    <w:rsid w:val="00F2282D"/>
    <w:rsid w:val="00F23248"/>
    <w:rsid w:val="00F23890"/>
    <w:rsid w:val="00F2504D"/>
    <w:rsid w:val="00F2637F"/>
    <w:rsid w:val="00F268F7"/>
    <w:rsid w:val="00F30043"/>
    <w:rsid w:val="00F30B83"/>
    <w:rsid w:val="00F30BDB"/>
    <w:rsid w:val="00F30CF8"/>
    <w:rsid w:val="00F31EDF"/>
    <w:rsid w:val="00F32CDE"/>
    <w:rsid w:val="00F32D4C"/>
    <w:rsid w:val="00F3327E"/>
    <w:rsid w:val="00F338C3"/>
    <w:rsid w:val="00F34B14"/>
    <w:rsid w:val="00F34F58"/>
    <w:rsid w:val="00F35DA7"/>
    <w:rsid w:val="00F36619"/>
    <w:rsid w:val="00F36A6A"/>
    <w:rsid w:val="00F40101"/>
    <w:rsid w:val="00F404F7"/>
    <w:rsid w:val="00F40CCA"/>
    <w:rsid w:val="00F42D97"/>
    <w:rsid w:val="00F42FCF"/>
    <w:rsid w:val="00F436B2"/>
    <w:rsid w:val="00F43813"/>
    <w:rsid w:val="00F43FEE"/>
    <w:rsid w:val="00F4492F"/>
    <w:rsid w:val="00F44DFD"/>
    <w:rsid w:val="00F45A72"/>
    <w:rsid w:val="00F46723"/>
    <w:rsid w:val="00F4706D"/>
    <w:rsid w:val="00F476E1"/>
    <w:rsid w:val="00F47D1D"/>
    <w:rsid w:val="00F47F29"/>
    <w:rsid w:val="00F50016"/>
    <w:rsid w:val="00F5118A"/>
    <w:rsid w:val="00F51A21"/>
    <w:rsid w:val="00F52614"/>
    <w:rsid w:val="00F52742"/>
    <w:rsid w:val="00F5276E"/>
    <w:rsid w:val="00F52E9F"/>
    <w:rsid w:val="00F53304"/>
    <w:rsid w:val="00F53B81"/>
    <w:rsid w:val="00F540FE"/>
    <w:rsid w:val="00F5459A"/>
    <w:rsid w:val="00F556FF"/>
    <w:rsid w:val="00F55D12"/>
    <w:rsid w:val="00F5687F"/>
    <w:rsid w:val="00F56A6D"/>
    <w:rsid w:val="00F56D3F"/>
    <w:rsid w:val="00F575C7"/>
    <w:rsid w:val="00F57FD0"/>
    <w:rsid w:val="00F60305"/>
    <w:rsid w:val="00F61725"/>
    <w:rsid w:val="00F61B12"/>
    <w:rsid w:val="00F61C70"/>
    <w:rsid w:val="00F63264"/>
    <w:rsid w:val="00F634E4"/>
    <w:rsid w:val="00F6379E"/>
    <w:rsid w:val="00F64047"/>
    <w:rsid w:val="00F65171"/>
    <w:rsid w:val="00F6560D"/>
    <w:rsid w:val="00F67844"/>
    <w:rsid w:val="00F67AFD"/>
    <w:rsid w:val="00F70799"/>
    <w:rsid w:val="00F70A8B"/>
    <w:rsid w:val="00F70B8D"/>
    <w:rsid w:val="00F712A2"/>
    <w:rsid w:val="00F7138B"/>
    <w:rsid w:val="00F7162F"/>
    <w:rsid w:val="00F71936"/>
    <w:rsid w:val="00F724FB"/>
    <w:rsid w:val="00F726B8"/>
    <w:rsid w:val="00F72A26"/>
    <w:rsid w:val="00F733C3"/>
    <w:rsid w:val="00F738BE"/>
    <w:rsid w:val="00F746A1"/>
    <w:rsid w:val="00F74820"/>
    <w:rsid w:val="00F756DD"/>
    <w:rsid w:val="00F77F4E"/>
    <w:rsid w:val="00F80047"/>
    <w:rsid w:val="00F800C7"/>
    <w:rsid w:val="00F80AA9"/>
    <w:rsid w:val="00F8104D"/>
    <w:rsid w:val="00F8153F"/>
    <w:rsid w:val="00F81587"/>
    <w:rsid w:val="00F8288F"/>
    <w:rsid w:val="00F8376E"/>
    <w:rsid w:val="00F83C52"/>
    <w:rsid w:val="00F84802"/>
    <w:rsid w:val="00F84BF9"/>
    <w:rsid w:val="00F85B72"/>
    <w:rsid w:val="00F86540"/>
    <w:rsid w:val="00F865CE"/>
    <w:rsid w:val="00F8766F"/>
    <w:rsid w:val="00F87D5C"/>
    <w:rsid w:val="00F90282"/>
    <w:rsid w:val="00F90FC2"/>
    <w:rsid w:val="00F91082"/>
    <w:rsid w:val="00F9116D"/>
    <w:rsid w:val="00F91342"/>
    <w:rsid w:val="00F9194D"/>
    <w:rsid w:val="00F91A9A"/>
    <w:rsid w:val="00F92634"/>
    <w:rsid w:val="00F926D6"/>
    <w:rsid w:val="00F933F3"/>
    <w:rsid w:val="00F93ABB"/>
    <w:rsid w:val="00F941FE"/>
    <w:rsid w:val="00F94213"/>
    <w:rsid w:val="00F94D79"/>
    <w:rsid w:val="00F9658C"/>
    <w:rsid w:val="00F96EEB"/>
    <w:rsid w:val="00F97A7F"/>
    <w:rsid w:val="00F97CD0"/>
    <w:rsid w:val="00FA0889"/>
    <w:rsid w:val="00FA16E7"/>
    <w:rsid w:val="00FA31C7"/>
    <w:rsid w:val="00FA42E4"/>
    <w:rsid w:val="00FA472D"/>
    <w:rsid w:val="00FA681F"/>
    <w:rsid w:val="00FA6CBC"/>
    <w:rsid w:val="00FB05D9"/>
    <w:rsid w:val="00FB0CBF"/>
    <w:rsid w:val="00FB18F6"/>
    <w:rsid w:val="00FB286A"/>
    <w:rsid w:val="00FB2A52"/>
    <w:rsid w:val="00FB3F92"/>
    <w:rsid w:val="00FB52C7"/>
    <w:rsid w:val="00FB57DC"/>
    <w:rsid w:val="00FB6E19"/>
    <w:rsid w:val="00FB71F6"/>
    <w:rsid w:val="00FC07AF"/>
    <w:rsid w:val="00FC0AF8"/>
    <w:rsid w:val="00FC0B69"/>
    <w:rsid w:val="00FC1483"/>
    <w:rsid w:val="00FC1C47"/>
    <w:rsid w:val="00FC3102"/>
    <w:rsid w:val="00FC39ED"/>
    <w:rsid w:val="00FC4195"/>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3B00"/>
    <w:rsid w:val="00FD6071"/>
    <w:rsid w:val="00FD633B"/>
    <w:rsid w:val="00FD6C88"/>
    <w:rsid w:val="00FE0794"/>
    <w:rsid w:val="00FE1041"/>
    <w:rsid w:val="00FE24CB"/>
    <w:rsid w:val="00FE323F"/>
    <w:rsid w:val="00FE3473"/>
    <w:rsid w:val="00FE4049"/>
    <w:rsid w:val="00FE4794"/>
    <w:rsid w:val="00FE480F"/>
    <w:rsid w:val="00FE4998"/>
    <w:rsid w:val="00FE57DE"/>
    <w:rsid w:val="00FE5ED3"/>
    <w:rsid w:val="00FE7A68"/>
    <w:rsid w:val="00FF0231"/>
    <w:rsid w:val="00FF19D2"/>
    <w:rsid w:val="00FF1C9B"/>
    <w:rsid w:val="00FF1D49"/>
    <w:rsid w:val="00FF203B"/>
    <w:rsid w:val="00FF2562"/>
    <w:rsid w:val="00FF3A41"/>
    <w:rsid w:val="00FF3E5B"/>
    <w:rsid w:val="00FF57E4"/>
    <w:rsid w:val="00FF78E5"/>
    <w:rsid w:val="012C5FAF"/>
    <w:rsid w:val="017A0844"/>
    <w:rsid w:val="01AF3D99"/>
    <w:rsid w:val="02511F9D"/>
    <w:rsid w:val="039739BA"/>
    <w:rsid w:val="03A314B8"/>
    <w:rsid w:val="03D82B98"/>
    <w:rsid w:val="03F83E8B"/>
    <w:rsid w:val="04297968"/>
    <w:rsid w:val="04ED0B8D"/>
    <w:rsid w:val="05C56868"/>
    <w:rsid w:val="0677683B"/>
    <w:rsid w:val="06B92E38"/>
    <w:rsid w:val="070B0B12"/>
    <w:rsid w:val="07A539BD"/>
    <w:rsid w:val="07B72767"/>
    <w:rsid w:val="07D869EE"/>
    <w:rsid w:val="08077E72"/>
    <w:rsid w:val="08882DD0"/>
    <w:rsid w:val="09224C05"/>
    <w:rsid w:val="09390F9C"/>
    <w:rsid w:val="09CC2AAC"/>
    <w:rsid w:val="0A652D3E"/>
    <w:rsid w:val="0B326F2A"/>
    <w:rsid w:val="0B7B218C"/>
    <w:rsid w:val="0C1E2888"/>
    <w:rsid w:val="0C92213C"/>
    <w:rsid w:val="0CC2027E"/>
    <w:rsid w:val="0CEC743A"/>
    <w:rsid w:val="0CF245DC"/>
    <w:rsid w:val="0D626DEB"/>
    <w:rsid w:val="0D84032B"/>
    <w:rsid w:val="0F2A74C4"/>
    <w:rsid w:val="0F401BB1"/>
    <w:rsid w:val="10377635"/>
    <w:rsid w:val="106E2403"/>
    <w:rsid w:val="10A27F31"/>
    <w:rsid w:val="113F6753"/>
    <w:rsid w:val="11927058"/>
    <w:rsid w:val="120E171E"/>
    <w:rsid w:val="12273735"/>
    <w:rsid w:val="13AF4F03"/>
    <w:rsid w:val="14736E66"/>
    <w:rsid w:val="147F458F"/>
    <w:rsid w:val="14AB6523"/>
    <w:rsid w:val="1534169A"/>
    <w:rsid w:val="15C03E03"/>
    <w:rsid w:val="162A25EB"/>
    <w:rsid w:val="16503754"/>
    <w:rsid w:val="16735895"/>
    <w:rsid w:val="16FD2A55"/>
    <w:rsid w:val="17067C1A"/>
    <w:rsid w:val="17366761"/>
    <w:rsid w:val="177C01F0"/>
    <w:rsid w:val="179E3EFA"/>
    <w:rsid w:val="17CE6630"/>
    <w:rsid w:val="188B7BF3"/>
    <w:rsid w:val="189F7432"/>
    <w:rsid w:val="1AF35FFD"/>
    <w:rsid w:val="1AFF0AFE"/>
    <w:rsid w:val="1B48113B"/>
    <w:rsid w:val="1B4F19F8"/>
    <w:rsid w:val="1C2473F0"/>
    <w:rsid w:val="1D58102D"/>
    <w:rsid w:val="1E303430"/>
    <w:rsid w:val="1E9D6E35"/>
    <w:rsid w:val="1ECC44FA"/>
    <w:rsid w:val="1F063325"/>
    <w:rsid w:val="1FBC5DF5"/>
    <w:rsid w:val="1FF90588"/>
    <w:rsid w:val="206C78B8"/>
    <w:rsid w:val="20C3623F"/>
    <w:rsid w:val="21206B6D"/>
    <w:rsid w:val="215225A2"/>
    <w:rsid w:val="21781212"/>
    <w:rsid w:val="21B83F86"/>
    <w:rsid w:val="221178A8"/>
    <w:rsid w:val="221213CF"/>
    <w:rsid w:val="22327A92"/>
    <w:rsid w:val="22393A5C"/>
    <w:rsid w:val="226A7901"/>
    <w:rsid w:val="231D53A2"/>
    <w:rsid w:val="233A0AA7"/>
    <w:rsid w:val="236D5383"/>
    <w:rsid w:val="23B7504C"/>
    <w:rsid w:val="24205E37"/>
    <w:rsid w:val="24571307"/>
    <w:rsid w:val="25110A2A"/>
    <w:rsid w:val="256C0944"/>
    <w:rsid w:val="25BD151C"/>
    <w:rsid w:val="26096022"/>
    <w:rsid w:val="261B6E61"/>
    <w:rsid w:val="26446DE3"/>
    <w:rsid w:val="26877DFE"/>
    <w:rsid w:val="269669E7"/>
    <w:rsid w:val="26A270C1"/>
    <w:rsid w:val="26D7699F"/>
    <w:rsid w:val="273A5E93"/>
    <w:rsid w:val="27F52125"/>
    <w:rsid w:val="29D75F7F"/>
    <w:rsid w:val="2B774624"/>
    <w:rsid w:val="2C7A72BE"/>
    <w:rsid w:val="2C9A7D75"/>
    <w:rsid w:val="2CC17412"/>
    <w:rsid w:val="2D7C1E99"/>
    <w:rsid w:val="2E9976CE"/>
    <w:rsid w:val="2EF01DEE"/>
    <w:rsid w:val="2F1B73D0"/>
    <w:rsid w:val="2F401D3C"/>
    <w:rsid w:val="2F5B24E1"/>
    <w:rsid w:val="2FA95C88"/>
    <w:rsid w:val="2FE542C2"/>
    <w:rsid w:val="3041370F"/>
    <w:rsid w:val="30965447"/>
    <w:rsid w:val="30B87FED"/>
    <w:rsid w:val="312B50A3"/>
    <w:rsid w:val="31894FD2"/>
    <w:rsid w:val="319D4F57"/>
    <w:rsid w:val="32453A27"/>
    <w:rsid w:val="32586D8C"/>
    <w:rsid w:val="3263064A"/>
    <w:rsid w:val="32A43132"/>
    <w:rsid w:val="32AC0C06"/>
    <w:rsid w:val="32F21B9D"/>
    <w:rsid w:val="33344EF5"/>
    <w:rsid w:val="333539E1"/>
    <w:rsid w:val="3537750C"/>
    <w:rsid w:val="3537798C"/>
    <w:rsid w:val="35C13FC9"/>
    <w:rsid w:val="35CB2A79"/>
    <w:rsid w:val="36372B05"/>
    <w:rsid w:val="364257B6"/>
    <w:rsid w:val="37054F3D"/>
    <w:rsid w:val="371655CD"/>
    <w:rsid w:val="3786388E"/>
    <w:rsid w:val="37EA5922"/>
    <w:rsid w:val="38276B93"/>
    <w:rsid w:val="382E58B8"/>
    <w:rsid w:val="386E1496"/>
    <w:rsid w:val="38AB7BD0"/>
    <w:rsid w:val="38AC3431"/>
    <w:rsid w:val="392F2E16"/>
    <w:rsid w:val="39B03534"/>
    <w:rsid w:val="39E00529"/>
    <w:rsid w:val="3A0B64A7"/>
    <w:rsid w:val="3A574DDA"/>
    <w:rsid w:val="3AD3075A"/>
    <w:rsid w:val="3AF74C02"/>
    <w:rsid w:val="3B1456C8"/>
    <w:rsid w:val="3C0059A5"/>
    <w:rsid w:val="3C134E78"/>
    <w:rsid w:val="3D3003AC"/>
    <w:rsid w:val="3DF6345D"/>
    <w:rsid w:val="3E2B5515"/>
    <w:rsid w:val="3E4D4F28"/>
    <w:rsid w:val="3EB66C42"/>
    <w:rsid w:val="3ED92EC4"/>
    <w:rsid w:val="3EE13701"/>
    <w:rsid w:val="3F1A4BB3"/>
    <w:rsid w:val="3F632CDC"/>
    <w:rsid w:val="3F9116F6"/>
    <w:rsid w:val="3F9B2526"/>
    <w:rsid w:val="3FBF6807"/>
    <w:rsid w:val="40192BA6"/>
    <w:rsid w:val="40572841"/>
    <w:rsid w:val="40EA5F74"/>
    <w:rsid w:val="40F83E05"/>
    <w:rsid w:val="416C57BC"/>
    <w:rsid w:val="41766EA9"/>
    <w:rsid w:val="42550A18"/>
    <w:rsid w:val="429D496A"/>
    <w:rsid w:val="42F473A1"/>
    <w:rsid w:val="432924BB"/>
    <w:rsid w:val="437217EA"/>
    <w:rsid w:val="43AB7156"/>
    <w:rsid w:val="441E62C0"/>
    <w:rsid w:val="449235DA"/>
    <w:rsid w:val="44AD4C35"/>
    <w:rsid w:val="45325D14"/>
    <w:rsid w:val="45811C7C"/>
    <w:rsid w:val="45906116"/>
    <w:rsid w:val="45931B8C"/>
    <w:rsid w:val="45AF648D"/>
    <w:rsid w:val="45DC3E93"/>
    <w:rsid w:val="45EF2552"/>
    <w:rsid w:val="468B3EFB"/>
    <w:rsid w:val="470A6193"/>
    <w:rsid w:val="471524DB"/>
    <w:rsid w:val="47385210"/>
    <w:rsid w:val="475510F8"/>
    <w:rsid w:val="4764092B"/>
    <w:rsid w:val="47940848"/>
    <w:rsid w:val="47DC4F5C"/>
    <w:rsid w:val="480D0DB2"/>
    <w:rsid w:val="482577C1"/>
    <w:rsid w:val="48B40671"/>
    <w:rsid w:val="499B5738"/>
    <w:rsid w:val="499D46C8"/>
    <w:rsid w:val="499F244D"/>
    <w:rsid w:val="4A076B07"/>
    <w:rsid w:val="4A473705"/>
    <w:rsid w:val="4A756AF6"/>
    <w:rsid w:val="4A973F3F"/>
    <w:rsid w:val="4AEB59AA"/>
    <w:rsid w:val="4AF96BC7"/>
    <w:rsid w:val="4B5C0D0B"/>
    <w:rsid w:val="4B862A85"/>
    <w:rsid w:val="4C952A0B"/>
    <w:rsid w:val="4CEF36E2"/>
    <w:rsid w:val="4CEF4DC5"/>
    <w:rsid w:val="4E257655"/>
    <w:rsid w:val="4F0C47F7"/>
    <w:rsid w:val="4F372380"/>
    <w:rsid w:val="4F372FFB"/>
    <w:rsid w:val="4F6B2677"/>
    <w:rsid w:val="4F72167B"/>
    <w:rsid w:val="4F982BE8"/>
    <w:rsid w:val="5025116D"/>
    <w:rsid w:val="505748CA"/>
    <w:rsid w:val="51FC0EF6"/>
    <w:rsid w:val="52395ECD"/>
    <w:rsid w:val="527A0585"/>
    <w:rsid w:val="52C10D75"/>
    <w:rsid w:val="53C27FF8"/>
    <w:rsid w:val="54074D86"/>
    <w:rsid w:val="547965EE"/>
    <w:rsid w:val="54806794"/>
    <w:rsid w:val="549E1A80"/>
    <w:rsid w:val="54B02BB2"/>
    <w:rsid w:val="54C658F4"/>
    <w:rsid w:val="550C4BD7"/>
    <w:rsid w:val="554C1D56"/>
    <w:rsid w:val="55572986"/>
    <w:rsid w:val="56403B91"/>
    <w:rsid w:val="565340FA"/>
    <w:rsid w:val="56AC0BBA"/>
    <w:rsid w:val="56AD2D63"/>
    <w:rsid w:val="56AD5F59"/>
    <w:rsid w:val="56C60774"/>
    <w:rsid w:val="578710DA"/>
    <w:rsid w:val="57B12A52"/>
    <w:rsid w:val="57FE765E"/>
    <w:rsid w:val="58462D6F"/>
    <w:rsid w:val="586E3B12"/>
    <w:rsid w:val="59E94924"/>
    <w:rsid w:val="5A2F2CC8"/>
    <w:rsid w:val="5B143D77"/>
    <w:rsid w:val="5BF2638F"/>
    <w:rsid w:val="5C10702D"/>
    <w:rsid w:val="5C152601"/>
    <w:rsid w:val="5C591F03"/>
    <w:rsid w:val="5C8A1B2F"/>
    <w:rsid w:val="5CE17AD2"/>
    <w:rsid w:val="5CE56D79"/>
    <w:rsid w:val="5CFB46A4"/>
    <w:rsid w:val="5D186138"/>
    <w:rsid w:val="5D2F32EF"/>
    <w:rsid w:val="5EA37071"/>
    <w:rsid w:val="5ECA51B2"/>
    <w:rsid w:val="5F561B72"/>
    <w:rsid w:val="606007BB"/>
    <w:rsid w:val="60AC7F66"/>
    <w:rsid w:val="60C538FF"/>
    <w:rsid w:val="60DA7449"/>
    <w:rsid w:val="61BF10D9"/>
    <w:rsid w:val="62782477"/>
    <w:rsid w:val="62AC22DC"/>
    <w:rsid w:val="63A22BFD"/>
    <w:rsid w:val="647F358F"/>
    <w:rsid w:val="64E45EF7"/>
    <w:rsid w:val="64F74FD4"/>
    <w:rsid w:val="6691014E"/>
    <w:rsid w:val="66955BDE"/>
    <w:rsid w:val="66C87CCE"/>
    <w:rsid w:val="677435B2"/>
    <w:rsid w:val="67753E1B"/>
    <w:rsid w:val="67955138"/>
    <w:rsid w:val="67EF75F1"/>
    <w:rsid w:val="684F4F11"/>
    <w:rsid w:val="69124F16"/>
    <w:rsid w:val="69CD5C14"/>
    <w:rsid w:val="69CF0D33"/>
    <w:rsid w:val="6A3E2228"/>
    <w:rsid w:val="6A6E1A38"/>
    <w:rsid w:val="6B106E02"/>
    <w:rsid w:val="6B7F3D78"/>
    <w:rsid w:val="6B9946B3"/>
    <w:rsid w:val="6BE518DA"/>
    <w:rsid w:val="6C23604B"/>
    <w:rsid w:val="6C276F3A"/>
    <w:rsid w:val="6C7007C7"/>
    <w:rsid w:val="6C701104"/>
    <w:rsid w:val="6C896FE9"/>
    <w:rsid w:val="6DE76850"/>
    <w:rsid w:val="6E220F6C"/>
    <w:rsid w:val="6EB255EA"/>
    <w:rsid w:val="6FB20BD4"/>
    <w:rsid w:val="6FBA59BE"/>
    <w:rsid w:val="6FFB5CAF"/>
    <w:rsid w:val="70296B3E"/>
    <w:rsid w:val="702E1F53"/>
    <w:rsid w:val="70611204"/>
    <w:rsid w:val="70895616"/>
    <w:rsid w:val="70C86B24"/>
    <w:rsid w:val="7165620F"/>
    <w:rsid w:val="717039F8"/>
    <w:rsid w:val="71A41DC6"/>
    <w:rsid w:val="735A6BC8"/>
    <w:rsid w:val="737541F2"/>
    <w:rsid w:val="73ED1443"/>
    <w:rsid w:val="74844CAB"/>
    <w:rsid w:val="74D13AD5"/>
    <w:rsid w:val="74FA2C30"/>
    <w:rsid w:val="754D5C4B"/>
    <w:rsid w:val="761622C0"/>
    <w:rsid w:val="767A7E6A"/>
    <w:rsid w:val="76C240A7"/>
    <w:rsid w:val="76DA416A"/>
    <w:rsid w:val="775246B7"/>
    <w:rsid w:val="776F7F1C"/>
    <w:rsid w:val="77A2560C"/>
    <w:rsid w:val="77A954CC"/>
    <w:rsid w:val="77F146B3"/>
    <w:rsid w:val="781E69D1"/>
    <w:rsid w:val="784C72E1"/>
    <w:rsid w:val="789A2829"/>
    <w:rsid w:val="7901747F"/>
    <w:rsid w:val="7A263B6B"/>
    <w:rsid w:val="7AEE489F"/>
    <w:rsid w:val="7AF46346"/>
    <w:rsid w:val="7B0F5EBF"/>
    <w:rsid w:val="7B130FB9"/>
    <w:rsid w:val="7B18614D"/>
    <w:rsid w:val="7BD71E38"/>
    <w:rsid w:val="7BF64EDE"/>
    <w:rsid w:val="7C400C1E"/>
    <w:rsid w:val="7CA74464"/>
    <w:rsid w:val="7DD11708"/>
    <w:rsid w:val="7DEE4A4F"/>
    <w:rsid w:val="7E751068"/>
    <w:rsid w:val="7EAE6230"/>
    <w:rsid w:val="7EBD579E"/>
    <w:rsid w:val="7EC167BD"/>
    <w:rsid w:val="7EEF4B84"/>
    <w:rsid w:val="7EF35613"/>
    <w:rsid w:val="7F272D9E"/>
    <w:rsid w:val="7F743B6E"/>
    <w:rsid w:val="7FC900BF"/>
    <w:rsid w:val="BAFE33D7"/>
    <w:rsid w:val="E6CFF7DE"/>
    <w:rsid w:val="EFDD103F"/>
    <w:rsid w:val="F9ABFCB9"/>
    <w:rsid w:val="FD69E651"/>
    <w:rsid w:val="FEDB96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qFormat="1" w:uiPriority="99" w:semiHidden="0" w:name="Body Text First Indent 2"/>
    <w:lsdException w:uiPriority="99" w:name="Note Heading"/>
    <w:lsdException w:qFormat="1" w:uiPriority="0" w:name="Body Text 2"/>
    <w:lsdException w:qFormat="1" w:uiPriority="99"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7"/>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81"/>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8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0"/>
    <w:link w:val="48"/>
    <w:qFormat/>
    <w:uiPriority w:val="9"/>
    <w:pPr>
      <w:keepNext/>
      <w:keepLines/>
      <w:spacing w:before="280" w:after="290" w:line="376" w:lineRule="auto"/>
      <w:outlineLvl w:val="4"/>
    </w:pPr>
    <w:rPr>
      <w:b/>
      <w:bCs/>
      <w:sz w:val="28"/>
      <w:szCs w:val="28"/>
    </w:rPr>
  </w:style>
  <w:style w:type="paragraph" w:styleId="11">
    <w:name w:val="heading 6"/>
    <w:basedOn w:val="1"/>
    <w:next w:val="1"/>
    <w:link w:val="89"/>
    <w:semiHidden/>
    <w:unhideWhenUsed/>
    <w:qFormat/>
    <w:uiPriority w:val="9"/>
    <w:pPr>
      <w:keepNext/>
      <w:keepLines/>
      <w:spacing w:before="240" w:after="64" w:line="316" w:lineRule="auto"/>
      <w:ind w:left="1151"/>
      <w:outlineLvl w:val="5"/>
    </w:pPr>
    <w:rPr>
      <w:rFonts w:ascii="Arial" w:hAnsi="Arial" w:eastAsia="黑体" w:cstheme="minorBidi"/>
      <w:b/>
      <w:sz w:val="24"/>
    </w:rPr>
  </w:style>
  <w:style w:type="paragraph" w:styleId="12">
    <w:name w:val="heading 7"/>
    <w:basedOn w:val="1"/>
    <w:next w:val="1"/>
    <w:link w:val="90"/>
    <w:semiHidden/>
    <w:unhideWhenUsed/>
    <w:qFormat/>
    <w:uiPriority w:val="9"/>
    <w:pPr>
      <w:keepNext/>
      <w:keepLines/>
      <w:spacing w:before="240" w:after="64" w:line="316" w:lineRule="auto"/>
      <w:ind w:left="1296"/>
      <w:outlineLvl w:val="6"/>
    </w:pPr>
    <w:rPr>
      <w:rFonts w:cstheme="minorBidi"/>
      <w:b/>
      <w:sz w:val="24"/>
    </w:rPr>
  </w:style>
  <w:style w:type="paragraph" w:styleId="13">
    <w:name w:val="heading 8"/>
    <w:basedOn w:val="1"/>
    <w:next w:val="1"/>
    <w:link w:val="49"/>
    <w:qFormat/>
    <w:uiPriority w:val="9"/>
    <w:pPr>
      <w:keepNext/>
      <w:keepLines/>
      <w:spacing w:before="240" w:after="64" w:line="320" w:lineRule="auto"/>
      <w:outlineLvl w:val="7"/>
    </w:pPr>
    <w:rPr>
      <w:rFonts w:ascii="等线 Light" w:hAnsi="等线 Light" w:eastAsia="等线 Light"/>
      <w:sz w:val="24"/>
    </w:rPr>
  </w:style>
  <w:style w:type="paragraph" w:styleId="14">
    <w:name w:val="heading 9"/>
    <w:basedOn w:val="1"/>
    <w:next w:val="1"/>
    <w:link w:val="91"/>
    <w:semiHidden/>
    <w:unhideWhenUsed/>
    <w:qFormat/>
    <w:uiPriority w:val="9"/>
    <w:pPr>
      <w:keepNext/>
      <w:keepLines/>
      <w:spacing w:before="240" w:after="64" w:line="316" w:lineRule="auto"/>
      <w:ind w:left="1583"/>
      <w:outlineLvl w:val="8"/>
    </w:pPr>
    <w:rPr>
      <w:rFonts w:ascii="Arial" w:hAnsi="Arial" w:eastAsia="黑体" w:cstheme="minorBidi"/>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unhideWhenUsed/>
    <w:qFormat/>
    <w:uiPriority w:val="0"/>
    <w:pPr>
      <w:spacing w:after="120"/>
    </w:pPr>
  </w:style>
  <w:style w:type="paragraph" w:styleId="3">
    <w:name w:val="Body Text First Indent 2"/>
    <w:basedOn w:val="1"/>
    <w:next w:val="4"/>
    <w:unhideWhenUsed/>
    <w:qFormat/>
    <w:uiPriority w:val="99"/>
    <w:pPr>
      <w:spacing w:after="120"/>
      <w:ind w:left="420" w:leftChars="200" w:firstLine="420" w:firstLineChars="200"/>
    </w:pPr>
    <w:rPr>
      <w:rFonts w:ascii="Times New Roman" w:eastAsia="宋体"/>
      <w:kern w:val="2"/>
      <w:sz w:val="21"/>
      <w:szCs w:val="24"/>
    </w:rPr>
  </w:style>
  <w:style w:type="paragraph" w:styleId="4">
    <w:name w:val="Body Text First Indent"/>
    <w:basedOn w:val="2"/>
    <w:link w:val="93"/>
    <w:semiHidden/>
    <w:unhideWhenUsed/>
    <w:qFormat/>
    <w:uiPriority w:val="0"/>
    <w:pPr>
      <w:spacing w:line="360" w:lineRule="auto"/>
      <w:ind w:firstLine="420" w:firstLineChars="100"/>
    </w:pPr>
    <w:rPr>
      <w:rFonts w:cstheme="minorBidi"/>
      <w:sz w:val="28"/>
    </w:rPr>
  </w:style>
  <w:style w:type="paragraph" w:styleId="10">
    <w:name w:val="Normal Indent"/>
    <w:basedOn w:val="1"/>
    <w:qFormat/>
    <w:uiPriority w:val="0"/>
    <w:pPr>
      <w:ind w:firstLine="420"/>
    </w:pPr>
    <w:rPr>
      <w:szCs w:val="20"/>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semiHidden/>
    <w:unhideWhenUsed/>
    <w:qFormat/>
    <w:uiPriority w:val="35"/>
    <w:pPr>
      <w:spacing w:line="360" w:lineRule="auto"/>
      <w:jc w:val="center"/>
    </w:pPr>
    <w:rPr>
      <w:rFonts w:eastAsia="黑体" w:asciiTheme="majorHAnsi" w:hAnsiTheme="majorHAnsi" w:cstheme="majorBidi"/>
      <w:sz w:val="20"/>
      <w:szCs w:val="20"/>
    </w:rPr>
  </w:style>
  <w:style w:type="paragraph" w:styleId="17">
    <w:name w:val="annotation text"/>
    <w:basedOn w:val="1"/>
    <w:link w:val="50"/>
    <w:qFormat/>
    <w:uiPriority w:val="0"/>
    <w:pPr>
      <w:jc w:val="left"/>
    </w:pPr>
    <w:rPr>
      <w:szCs w:val="21"/>
    </w:rPr>
  </w:style>
  <w:style w:type="paragraph" w:styleId="18">
    <w:name w:val="Body Text 3"/>
    <w:basedOn w:val="1"/>
    <w:link w:val="51"/>
    <w:unhideWhenUsed/>
    <w:qFormat/>
    <w:uiPriority w:val="99"/>
    <w:pPr>
      <w:spacing w:after="120"/>
    </w:pPr>
    <w:rPr>
      <w:sz w:val="16"/>
      <w:szCs w:val="16"/>
    </w:rPr>
  </w:style>
  <w:style w:type="paragraph" w:styleId="19">
    <w:name w:val="Body Text Indent"/>
    <w:basedOn w:val="1"/>
    <w:link w:val="53"/>
    <w:qFormat/>
    <w:uiPriority w:val="0"/>
    <w:pPr>
      <w:ind w:firstLine="830" w:firstLineChars="352"/>
    </w:pPr>
    <w:rPr>
      <w:rFonts w:ascii="仿宋_GB2312" w:eastAsia="仿宋_GB2312"/>
      <w:kern w:val="0"/>
      <w:sz w:val="32"/>
      <w:szCs w:val="20"/>
    </w:rPr>
  </w:style>
  <w:style w:type="paragraph" w:styleId="20">
    <w:name w:val="List 2"/>
    <w:basedOn w:val="1"/>
    <w:unhideWhenUsed/>
    <w:qFormat/>
    <w:uiPriority w:val="99"/>
    <w:pPr>
      <w:ind w:left="100" w:leftChars="200" w:hanging="200" w:hangingChars="200"/>
      <w:contextualSpacing/>
    </w:pPr>
  </w:style>
  <w:style w:type="paragraph" w:styleId="21">
    <w:name w:val="toc 3"/>
    <w:basedOn w:val="1"/>
    <w:next w:val="1"/>
    <w:semiHidden/>
    <w:unhideWhenUsed/>
    <w:qFormat/>
    <w:uiPriority w:val="39"/>
    <w:pPr>
      <w:spacing w:line="360" w:lineRule="auto"/>
      <w:ind w:left="400" w:leftChars="400" w:firstLine="560" w:firstLineChars="200"/>
    </w:pPr>
    <w:rPr>
      <w:rFonts w:eastAsia="黑体" w:cstheme="minorBidi"/>
      <w:sz w:val="28"/>
    </w:rPr>
  </w:style>
  <w:style w:type="paragraph" w:styleId="22">
    <w:name w:val="Plain Text"/>
    <w:basedOn w:val="1"/>
    <w:next w:val="8"/>
    <w:link w:val="54"/>
    <w:qFormat/>
    <w:uiPriority w:val="0"/>
    <w:rPr>
      <w:rFonts w:ascii="宋体" w:hAnsi="Courier New"/>
      <w:kern w:val="0"/>
      <w:sz w:val="20"/>
      <w:szCs w:val="21"/>
    </w:rPr>
  </w:style>
  <w:style w:type="paragraph" w:styleId="23">
    <w:name w:val="Date"/>
    <w:basedOn w:val="1"/>
    <w:next w:val="1"/>
    <w:link w:val="55"/>
    <w:unhideWhenUsed/>
    <w:qFormat/>
    <w:uiPriority w:val="99"/>
    <w:pPr>
      <w:ind w:left="100" w:leftChars="2500"/>
    </w:pPr>
  </w:style>
  <w:style w:type="paragraph" w:styleId="24">
    <w:name w:val="Body Text Indent 2"/>
    <w:basedOn w:val="1"/>
    <w:semiHidden/>
    <w:unhideWhenUsed/>
    <w:qFormat/>
    <w:uiPriority w:val="99"/>
    <w:pPr>
      <w:spacing w:after="120" w:line="480" w:lineRule="auto"/>
      <w:ind w:left="420" w:leftChars="200"/>
    </w:pPr>
  </w:style>
  <w:style w:type="paragraph" w:styleId="25">
    <w:name w:val="Balloon Text"/>
    <w:basedOn w:val="1"/>
    <w:link w:val="95"/>
    <w:semiHidden/>
    <w:qFormat/>
    <w:uiPriority w:val="99"/>
    <w:rPr>
      <w:sz w:val="18"/>
      <w:szCs w:val="18"/>
    </w:rPr>
  </w:style>
  <w:style w:type="paragraph" w:styleId="26">
    <w:name w:val="footer"/>
    <w:basedOn w:val="1"/>
    <w:next w:val="1"/>
    <w:link w:val="56"/>
    <w:unhideWhenUsed/>
    <w:qFormat/>
    <w:uiPriority w:val="0"/>
    <w:pPr>
      <w:tabs>
        <w:tab w:val="center" w:pos="4153"/>
        <w:tab w:val="right" w:pos="8306"/>
      </w:tabs>
      <w:snapToGrid w:val="0"/>
      <w:jc w:val="left"/>
    </w:pPr>
    <w:rPr>
      <w:kern w:val="0"/>
      <w:sz w:val="18"/>
      <w:szCs w:val="18"/>
    </w:rPr>
  </w:style>
  <w:style w:type="paragraph" w:styleId="27">
    <w:name w:val="header"/>
    <w:basedOn w:val="1"/>
    <w:link w:val="57"/>
    <w:unhideWhenUsed/>
    <w:qFormat/>
    <w:uiPriority w:val="99"/>
    <w:pPr>
      <w:tabs>
        <w:tab w:val="center" w:pos="4153"/>
        <w:tab w:val="right" w:pos="8306"/>
      </w:tabs>
      <w:snapToGrid w:val="0"/>
      <w:jc w:val="center"/>
      <w:pPrChange w:id="0" w:author="林源" w:date="2024-05-31T09:29:00Z">
        <w:pPr>
          <w:widowControl w:val="0"/>
          <w:pBdr>
            <w:bottom w:val="single" w:color="auto" w:sz="6" w:space="1"/>
          </w:pBdr>
          <w:snapToGrid w:val="0"/>
          <w:jc w:val="center"/>
        </w:pPr>
      </w:pPrChange>
    </w:pPr>
    <w:rPr>
      <w:kern w:val="0"/>
      <w:sz w:val="18"/>
      <w:szCs w:val="18"/>
      <w:rPrChange w:id="1" w:author="林源" w:date="2024-05-31T09:29:00Z">
        <w:rPr>
          <w:rFonts w:eastAsia="宋体"/>
          <w:sz w:val="18"/>
          <w:szCs w:val="18"/>
          <w:lang w:val="en-US" w:eastAsia="zh-CN" w:bidi="ar-SA"/>
        </w:rPr>
      </w:rPrChange>
    </w:rPr>
  </w:style>
  <w:style w:type="paragraph" w:styleId="28">
    <w:name w:val="toc 1"/>
    <w:basedOn w:val="1"/>
    <w:next w:val="1"/>
    <w:unhideWhenUsed/>
    <w:qFormat/>
    <w:uiPriority w:val="39"/>
  </w:style>
  <w:style w:type="paragraph" w:styleId="29">
    <w:name w:val="List"/>
    <w:basedOn w:val="1"/>
    <w:qFormat/>
    <w:uiPriority w:val="0"/>
    <w:pPr>
      <w:ind w:left="200" w:hanging="200" w:hangingChars="200"/>
    </w:pPr>
    <w:rPr>
      <w:sz w:val="28"/>
    </w:rPr>
  </w:style>
  <w:style w:type="paragraph" w:styleId="30">
    <w:name w:val="toc 2"/>
    <w:basedOn w:val="1"/>
    <w:next w:val="1"/>
    <w:unhideWhenUsed/>
    <w:qFormat/>
    <w:uiPriority w:val="39"/>
    <w:pPr>
      <w:tabs>
        <w:tab w:val="right" w:leader="dot" w:pos="8296"/>
      </w:tabs>
      <w:ind w:left="420" w:leftChars="200"/>
    </w:pPr>
  </w:style>
  <w:style w:type="paragraph" w:styleId="31">
    <w:name w:val="Body Text 2"/>
    <w:basedOn w:val="1"/>
    <w:link w:val="94"/>
    <w:semiHidden/>
    <w:unhideWhenUsed/>
    <w:qFormat/>
    <w:uiPriority w:val="0"/>
    <w:pPr>
      <w:spacing w:after="120" w:line="480" w:lineRule="auto"/>
      <w:ind w:firstLine="560" w:firstLineChars="200"/>
    </w:pPr>
    <w:rPr>
      <w:rFonts w:cstheme="minorBidi"/>
      <w:sz w:val="28"/>
    </w:rPr>
  </w:style>
  <w:style w:type="paragraph" w:styleId="32">
    <w:name w:val="Normal (Web)"/>
    <w:basedOn w:val="1"/>
    <w:unhideWhenUsed/>
    <w:qFormat/>
    <w:uiPriority w:val="99"/>
    <w:rPr>
      <w:rFonts w:ascii="Calibri" w:hAnsi="Calibri"/>
      <w:kern w:val="0"/>
      <w:sz w:val="24"/>
    </w:rPr>
  </w:style>
  <w:style w:type="paragraph" w:styleId="33">
    <w:name w:val="annotation subject"/>
    <w:basedOn w:val="17"/>
    <w:next w:val="17"/>
    <w:link w:val="58"/>
    <w:qFormat/>
    <w:uiPriority w:val="99"/>
    <w:rPr>
      <w:b/>
      <w:bCs/>
    </w:rPr>
  </w:style>
  <w:style w:type="table" w:styleId="35">
    <w:name w:val="Table Grid"/>
    <w:basedOn w:val="3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22"/>
    <w:rPr>
      <w:b/>
    </w:rPr>
  </w:style>
  <w:style w:type="character" w:styleId="38">
    <w:name w:val="endnote reference"/>
    <w:unhideWhenUsed/>
    <w:qFormat/>
    <w:uiPriority w:val="99"/>
    <w:rPr>
      <w:vertAlign w:val="superscript"/>
    </w:rPr>
  </w:style>
  <w:style w:type="character" w:styleId="39">
    <w:name w:val="page number"/>
    <w:basedOn w:val="36"/>
    <w:semiHidden/>
    <w:unhideWhenUsed/>
    <w:qFormat/>
    <w:uiPriority w:val="99"/>
    <w:rPr>
      <w:rFonts w:hint="default" w:ascii="Times New Roman" w:hAnsi="Times New Roman" w:eastAsia="宋体" w:cs="Times New Roman"/>
      <w:color w:val="auto"/>
      <w:sz w:val="21"/>
    </w:rPr>
  </w:style>
  <w:style w:type="character" w:styleId="40">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41">
    <w:name w:val="Hyperlink"/>
    <w:unhideWhenUsed/>
    <w:qFormat/>
    <w:uiPriority w:val="99"/>
    <w:rPr>
      <w:color w:val="0000FF"/>
      <w:u w:val="single"/>
    </w:rPr>
  </w:style>
  <w:style w:type="character" w:styleId="42">
    <w:name w:val="annotation reference"/>
    <w:qFormat/>
    <w:uiPriority w:val="99"/>
    <w:rPr>
      <w:sz w:val="21"/>
      <w:szCs w:val="21"/>
    </w:rPr>
  </w:style>
  <w:style w:type="paragraph" w:customStyle="1" w:styleId="43">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44">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5">
    <w:name w:val="标题 2 Char"/>
    <w:qFormat/>
    <w:uiPriority w:val="9"/>
    <w:rPr>
      <w:rFonts w:ascii="Cambria" w:hAnsi="Cambria" w:eastAsia="宋体" w:cs="Times New Roman"/>
      <w:b/>
      <w:bCs/>
      <w:kern w:val="2"/>
      <w:sz w:val="32"/>
      <w:szCs w:val="32"/>
    </w:rPr>
  </w:style>
  <w:style w:type="character" w:customStyle="1" w:styleId="46">
    <w:name w:val="标题 1 Char"/>
    <w:link w:val="5"/>
    <w:qFormat/>
    <w:uiPriority w:val="9"/>
    <w:rPr>
      <w:b/>
      <w:bCs/>
      <w:kern w:val="44"/>
      <w:sz w:val="44"/>
      <w:szCs w:val="44"/>
    </w:rPr>
  </w:style>
  <w:style w:type="character" w:customStyle="1" w:styleId="47">
    <w:name w:val="标题 2 Char1"/>
    <w:link w:val="6"/>
    <w:qFormat/>
    <w:uiPriority w:val="9"/>
    <w:rPr>
      <w:rFonts w:ascii="Cambria" w:hAnsi="Cambria" w:eastAsia="宋体" w:cs="Times New Roman"/>
      <w:b/>
      <w:bCs/>
      <w:kern w:val="2"/>
      <w:sz w:val="32"/>
      <w:szCs w:val="32"/>
    </w:rPr>
  </w:style>
  <w:style w:type="character" w:customStyle="1" w:styleId="48">
    <w:name w:val="标题 5 Char"/>
    <w:link w:val="9"/>
    <w:semiHidden/>
    <w:qFormat/>
    <w:uiPriority w:val="9"/>
    <w:rPr>
      <w:rFonts w:ascii="Times New Roman" w:hAnsi="Times New Roman"/>
      <w:b/>
      <w:bCs/>
      <w:kern w:val="2"/>
      <w:sz w:val="28"/>
      <w:szCs w:val="28"/>
    </w:rPr>
  </w:style>
  <w:style w:type="character" w:customStyle="1" w:styleId="49">
    <w:name w:val="标题 8 Char1"/>
    <w:link w:val="13"/>
    <w:semiHidden/>
    <w:qFormat/>
    <w:uiPriority w:val="9"/>
    <w:rPr>
      <w:rFonts w:ascii="等线 Light" w:hAnsi="等线 Light" w:eastAsia="等线 Light" w:cs="Times New Roman"/>
      <w:kern w:val="2"/>
      <w:sz w:val="24"/>
      <w:szCs w:val="24"/>
    </w:rPr>
  </w:style>
  <w:style w:type="character" w:customStyle="1" w:styleId="50">
    <w:name w:val="批注文字 Char1"/>
    <w:link w:val="17"/>
    <w:qFormat/>
    <w:uiPriority w:val="0"/>
    <w:rPr>
      <w:rFonts w:ascii="Times New Roman" w:hAnsi="Times New Roman"/>
      <w:kern w:val="2"/>
      <w:sz w:val="21"/>
      <w:szCs w:val="24"/>
    </w:rPr>
  </w:style>
  <w:style w:type="character" w:customStyle="1" w:styleId="51">
    <w:name w:val="正文文本 3 Char"/>
    <w:link w:val="18"/>
    <w:semiHidden/>
    <w:qFormat/>
    <w:uiPriority w:val="99"/>
    <w:rPr>
      <w:kern w:val="2"/>
      <w:sz w:val="16"/>
      <w:szCs w:val="16"/>
    </w:rPr>
  </w:style>
  <w:style w:type="character" w:customStyle="1" w:styleId="52">
    <w:name w:val="正文文本 Char1"/>
    <w:link w:val="2"/>
    <w:qFormat/>
    <w:uiPriority w:val="0"/>
    <w:rPr>
      <w:rFonts w:ascii="Times New Roman" w:hAnsi="Times New Roman"/>
      <w:kern w:val="2"/>
      <w:sz w:val="21"/>
      <w:szCs w:val="24"/>
    </w:rPr>
  </w:style>
  <w:style w:type="character" w:customStyle="1" w:styleId="53">
    <w:name w:val="正文文本缩进 Char"/>
    <w:link w:val="19"/>
    <w:qFormat/>
    <w:uiPriority w:val="0"/>
    <w:rPr>
      <w:rFonts w:ascii="仿宋_GB2312" w:hAnsi="Times New Roman" w:eastAsia="仿宋_GB2312" w:cs="Times New Roman"/>
      <w:sz w:val="32"/>
      <w:szCs w:val="20"/>
    </w:rPr>
  </w:style>
  <w:style w:type="character" w:customStyle="1" w:styleId="54">
    <w:name w:val="纯文本 Char1"/>
    <w:link w:val="22"/>
    <w:qFormat/>
    <w:uiPriority w:val="0"/>
    <w:rPr>
      <w:rFonts w:ascii="宋体" w:hAnsi="Courier New" w:eastAsia="宋体" w:cs="Courier New"/>
      <w:szCs w:val="21"/>
    </w:rPr>
  </w:style>
  <w:style w:type="character" w:customStyle="1" w:styleId="55">
    <w:name w:val="日期 Char"/>
    <w:link w:val="23"/>
    <w:semiHidden/>
    <w:qFormat/>
    <w:uiPriority w:val="99"/>
    <w:rPr>
      <w:rFonts w:ascii="Times New Roman" w:hAnsi="Times New Roman"/>
      <w:kern w:val="2"/>
      <w:sz w:val="21"/>
      <w:szCs w:val="24"/>
    </w:rPr>
  </w:style>
  <w:style w:type="character" w:customStyle="1" w:styleId="56">
    <w:name w:val="页脚 Char"/>
    <w:link w:val="26"/>
    <w:qFormat/>
    <w:uiPriority w:val="0"/>
    <w:rPr>
      <w:sz w:val="18"/>
      <w:szCs w:val="18"/>
    </w:rPr>
  </w:style>
  <w:style w:type="character" w:customStyle="1" w:styleId="57">
    <w:name w:val="页眉 Char"/>
    <w:link w:val="27"/>
    <w:qFormat/>
    <w:uiPriority w:val="99"/>
    <w:rPr>
      <w:sz w:val="18"/>
      <w:szCs w:val="18"/>
    </w:rPr>
  </w:style>
  <w:style w:type="character" w:customStyle="1" w:styleId="58">
    <w:name w:val="批注主题 Char"/>
    <w:link w:val="33"/>
    <w:qFormat/>
    <w:uiPriority w:val="99"/>
    <w:rPr>
      <w:rFonts w:ascii="Times New Roman" w:hAnsi="Times New Roman"/>
      <w:b/>
      <w:bCs/>
      <w:kern w:val="2"/>
      <w:sz w:val="21"/>
      <w:szCs w:val="24"/>
    </w:rPr>
  </w:style>
  <w:style w:type="character" w:customStyle="1" w:styleId="59">
    <w:name w:val="纯文本 字符2"/>
    <w:qFormat/>
    <w:uiPriority w:val="0"/>
    <w:rPr>
      <w:rFonts w:ascii="宋体" w:hAnsi="Courier New" w:eastAsia="宋体" w:cs="Courier New"/>
      <w:szCs w:val="21"/>
    </w:rPr>
  </w:style>
  <w:style w:type="character" w:customStyle="1" w:styleId="60">
    <w:name w:val="标题 1 字符1"/>
    <w:qFormat/>
    <w:uiPriority w:val="0"/>
    <w:rPr>
      <w:b/>
      <w:bCs/>
      <w:kern w:val="44"/>
      <w:sz w:val="44"/>
      <w:szCs w:val="44"/>
    </w:rPr>
  </w:style>
  <w:style w:type="character" w:customStyle="1" w:styleId="61">
    <w:name w:val="正文2 Char Char"/>
    <w:link w:val="62"/>
    <w:qFormat/>
    <w:uiPriority w:val="0"/>
    <w:rPr>
      <w:kern w:val="2"/>
      <w:sz w:val="24"/>
    </w:rPr>
  </w:style>
  <w:style w:type="paragraph" w:customStyle="1" w:styleId="62">
    <w:name w:val="正文2"/>
    <w:basedOn w:val="1"/>
    <w:link w:val="61"/>
    <w:qFormat/>
    <w:uiPriority w:val="0"/>
    <w:pPr>
      <w:adjustRightInd w:val="0"/>
      <w:spacing w:before="156" w:line="360" w:lineRule="auto"/>
      <w:ind w:firstLine="510" w:firstLineChars="200"/>
    </w:pPr>
    <w:rPr>
      <w:sz w:val="24"/>
      <w:szCs w:val="20"/>
    </w:rPr>
  </w:style>
  <w:style w:type="character" w:customStyle="1" w:styleId="63">
    <w:name w:val="纯文本 字符1"/>
    <w:qFormat/>
    <w:uiPriority w:val="99"/>
    <w:rPr>
      <w:rFonts w:ascii="宋体" w:hAnsi="Courier New"/>
    </w:rPr>
  </w:style>
  <w:style w:type="character" w:customStyle="1" w:styleId="64">
    <w:name w:val="批注文字 Char2"/>
    <w:qFormat/>
    <w:uiPriority w:val="0"/>
    <w:rPr>
      <w:rFonts w:ascii="Times New Roman" w:hAnsi="Times New Roman"/>
      <w:kern w:val="2"/>
      <w:sz w:val="21"/>
      <w:szCs w:val="24"/>
    </w:rPr>
  </w:style>
  <w:style w:type="character" w:customStyle="1" w:styleId="65">
    <w:name w:val="纯文本 字符"/>
    <w:qFormat/>
    <w:uiPriority w:val="0"/>
    <w:rPr>
      <w:rFonts w:ascii="宋体" w:hAnsi="Courier New" w:eastAsia="宋体" w:cs="Courier New"/>
      <w:szCs w:val="21"/>
    </w:rPr>
  </w:style>
  <w:style w:type="character" w:customStyle="1" w:styleId="66">
    <w:name w:val="textcontents"/>
    <w:qFormat/>
    <w:uiPriority w:val="0"/>
  </w:style>
  <w:style w:type="character" w:customStyle="1" w:styleId="67">
    <w:name w:val="apple-style-span"/>
    <w:qFormat/>
    <w:uiPriority w:val="0"/>
  </w:style>
  <w:style w:type="character" w:customStyle="1" w:styleId="68">
    <w:name w:val="批注文字 Char"/>
    <w:qFormat/>
    <w:uiPriority w:val="0"/>
    <w:rPr>
      <w:rFonts w:ascii="Times New Roman" w:hAnsi="Times New Roman"/>
      <w:kern w:val="2"/>
      <w:sz w:val="21"/>
      <w:szCs w:val="24"/>
    </w:rPr>
  </w:style>
  <w:style w:type="character" w:customStyle="1" w:styleId="69">
    <w:name w:val="正文文本 字符"/>
    <w:qFormat/>
    <w:uiPriority w:val="0"/>
    <w:rPr>
      <w:rFonts w:ascii="Times New Roman" w:hAnsi="Times New Roman"/>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纯文本 Char"/>
    <w:qFormat/>
    <w:uiPriority w:val="0"/>
    <w:rPr>
      <w:rFonts w:ascii="宋体" w:hAnsi="Courier New" w:eastAsia="宋体" w:cs="Courier New"/>
      <w:szCs w:val="21"/>
    </w:rPr>
  </w:style>
  <w:style w:type="character" w:customStyle="1" w:styleId="72">
    <w:name w:val="标题 8 Char"/>
    <w:qFormat/>
    <w:uiPriority w:val="0"/>
    <w:rPr>
      <w:rFonts w:ascii="Arial" w:hAnsi="Arial" w:eastAsia="黑体"/>
      <w:kern w:val="2"/>
      <w:sz w:val="24"/>
      <w:szCs w:val="24"/>
    </w:rPr>
  </w:style>
  <w:style w:type="character" w:customStyle="1" w:styleId="73">
    <w:name w:val="批注文字 字符"/>
    <w:qFormat/>
    <w:uiPriority w:val="99"/>
    <w:rPr>
      <w:rFonts w:ascii="Times New Roman" w:hAnsi="Times New Roman"/>
      <w:kern w:val="2"/>
      <w:sz w:val="21"/>
      <w:szCs w:val="24"/>
    </w:rPr>
  </w:style>
  <w:style w:type="character" w:customStyle="1" w:styleId="74">
    <w:name w:val="批注文字 字符1"/>
    <w:qFormat/>
    <w:uiPriority w:val="0"/>
    <w:rPr>
      <w:rFonts w:ascii="Times New Roman" w:hAnsi="Times New Roman"/>
      <w:kern w:val="2"/>
      <w:sz w:val="21"/>
      <w:szCs w:val="24"/>
    </w:rPr>
  </w:style>
  <w:style w:type="character" w:customStyle="1" w:styleId="75">
    <w:name w:val="正文文本 Char"/>
    <w:qFormat/>
    <w:uiPriority w:val="0"/>
    <w:rPr>
      <w:rFonts w:ascii="Times New Roman" w:hAnsi="Times New Roman"/>
      <w:kern w:val="2"/>
      <w:sz w:val="21"/>
      <w:szCs w:val="24"/>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Table Paragraph"/>
    <w:basedOn w:val="1"/>
    <w:qFormat/>
    <w:uiPriority w:val="1"/>
    <w:pPr>
      <w:jc w:val="left"/>
    </w:pPr>
    <w:rPr>
      <w:rFonts w:ascii="Calibri" w:hAnsi="Calibri"/>
      <w:kern w:val="0"/>
      <w:sz w:val="22"/>
      <w:szCs w:val="22"/>
      <w:lang w:eastAsia="en-US"/>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列出段落1"/>
    <w:basedOn w:val="1"/>
    <w:qFormat/>
    <w:uiPriority w:val="34"/>
    <w:pPr>
      <w:ind w:firstLine="420" w:firstLineChars="200"/>
    </w:pPr>
  </w:style>
  <w:style w:type="paragraph" w:customStyle="1" w:styleId="80">
    <w:name w:val="列出段落2"/>
    <w:basedOn w:val="1"/>
    <w:qFormat/>
    <w:uiPriority w:val="34"/>
    <w:pPr>
      <w:ind w:firstLine="420" w:firstLineChars="200"/>
    </w:pPr>
    <w:rPr>
      <w:rFonts w:ascii="Calibri" w:hAnsi="Calibri"/>
    </w:rPr>
  </w:style>
  <w:style w:type="character" w:customStyle="1" w:styleId="81">
    <w:name w:val="标题 3 Char"/>
    <w:basedOn w:val="36"/>
    <w:link w:val="7"/>
    <w:semiHidden/>
    <w:qFormat/>
    <w:uiPriority w:val="9"/>
    <w:rPr>
      <w:b/>
      <w:bCs/>
      <w:kern w:val="2"/>
      <w:sz w:val="32"/>
      <w:szCs w:val="32"/>
    </w:rPr>
  </w:style>
  <w:style w:type="character" w:customStyle="1" w:styleId="82">
    <w:name w:val="标题 4 Char"/>
    <w:basedOn w:val="36"/>
    <w:link w:val="8"/>
    <w:semiHidden/>
    <w:qFormat/>
    <w:uiPriority w:val="9"/>
    <w:rPr>
      <w:rFonts w:asciiTheme="majorHAnsi" w:hAnsiTheme="majorHAnsi" w:eastAsiaTheme="majorEastAsia" w:cstheme="majorBidi"/>
      <w:b/>
      <w:bCs/>
      <w:kern w:val="2"/>
      <w:sz w:val="28"/>
      <w:szCs w:val="28"/>
    </w:rPr>
  </w:style>
  <w:style w:type="character" w:customStyle="1" w:styleId="83">
    <w:name w:val="*正文 Char Char"/>
    <w:link w:val="84"/>
    <w:qFormat/>
    <w:locked/>
    <w:uiPriority w:val="0"/>
    <w:rPr>
      <w:rFonts w:ascii="宋体" w:hAnsi="宋体" w:eastAsia="仿宋_GB2312"/>
      <w:sz w:val="28"/>
      <w:szCs w:val="24"/>
    </w:rPr>
  </w:style>
  <w:style w:type="paragraph" w:customStyle="1" w:styleId="84">
    <w:name w:val="*正文"/>
    <w:basedOn w:val="1"/>
    <w:link w:val="83"/>
    <w:qFormat/>
    <w:uiPriority w:val="0"/>
    <w:pPr>
      <w:widowControl/>
      <w:spacing w:line="360" w:lineRule="auto"/>
      <w:ind w:firstLine="200" w:firstLineChars="200"/>
      <w:jc w:val="left"/>
    </w:pPr>
    <w:rPr>
      <w:rFonts w:ascii="宋体" w:hAnsi="宋体" w:eastAsia="仿宋_GB2312"/>
      <w:kern w:val="0"/>
      <w:sz w:val="28"/>
    </w:rPr>
  </w:style>
  <w:style w:type="character" w:customStyle="1" w:styleId="85">
    <w:name w:val="正正正文 Char"/>
    <w:link w:val="86"/>
    <w:qFormat/>
    <w:locked/>
    <w:uiPriority w:val="0"/>
    <w:rPr>
      <w:rFonts w:ascii="仿宋" w:hAnsi="仿宋" w:eastAsia="仿宋"/>
      <w:sz w:val="28"/>
      <w:szCs w:val="28"/>
    </w:rPr>
  </w:style>
  <w:style w:type="paragraph" w:customStyle="1" w:styleId="86">
    <w:name w:val="正正正文"/>
    <w:basedOn w:val="1"/>
    <w:link w:val="85"/>
    <w:qFormat/>
    <w:uiPriority w:val="0"/>
    <w:pPr>
      <w:spacing w:line="560" w:lineRule="exact"/>
      <w:ind w:firstLine="200" w:firstLineChars="200"/>
    </w:pPr>
    <w:rPr>
      <w:rFonts w:ascii="仿宋" w:hAnsi="仿宋" w:eastAsia="仿宋"/>
      <w:kern w:val="0"/>
      <w:sz w:val="28"/>
      <w:szCs w:val="28"/>
    </w:rPr>
  </w:style>
  <w:style w:type="character" w:customStyle="1" w:styleId="87">
    <w:name w:val="列表段落 字符2"/>
    <w:link w:val="88"/>
    <w:qFormat/>
    <w:locked/>
    <w:uiPriority w:val="0"/>
    <w:rPr>
      <w:rFonts w:ascii="Calibri" w:hAnsi="Calibri" w:cs="Calibri"/>
      <w:kern w:val="2"/>
      <w:sz w:val="21"/>
      <w:szCs w:val="22"/>
    </w:rPr>
  </w:style>
  <w:style w:type="paragraph" w:customStyle="1" w:styleId="88">
    <w:name w:val="列表段落1"/>
    <w:basedOn w:val="1"/>
    <w:link w:val="87"/>
    <w:qFormat/>
    <w:uiPriority w:val="0"/>
    <w:pPr>
      <w:widowControl/>
      <w:ind w:firstLine="420" w:firstLineChars="200"/>
      <w:jc w:val="left"/>
    </w:pPr>
    <w:rPr>
      <w:rFonts w:ascii="Calibri" w:hAnsi="Calibri" w:cs="Calibri"/>
      <w:szCs w:val="22"/>
    </w:rPr>
  </w:style>
  <w:style w:type="character" w:customStyle="1" w:styleId="89">
    <w:name w:val="标题 6 Char"/>
    <w:basedOn w:val="36"/>
    <w:link w:val="11"/>
    <w:semiHidden/>
    <w:qFormat/>
    <w:uiPriority w:val="9"/>
    <w:rPr>
      <w:rFonts w:ascii="Arial" w:hAnsi="Arial" w:eastAsia="黑体" w:cstheme="minorBidi"/>
      <w:b/>
      <w:kern w:val="2"/>
      <w:sz w:val="24"/>
      <w:szCs w:val="24"/>
    </w:rPr>
  </w:style>
  <w:style w:type="character" w:customStyle="1" w:styleId="90">
    <w:name w:val="标题 7 Char"/>
    <w:basedOn w:val="36"/>
    <w:link w:val="12"/>
    <w:semiHidden/>
    <w:qFormat/>
    <w:uiPriority w:val="9"/>
    <w:rPr>
      <w:rFonts w:cstheme="minorBidi"/>
      <w:b/>
      <w:kern w:val="2"/>
      <w:sz w:val="24"/>
      <w:szCs w:val="24"/>
    </w:rPr>
  </w:style>
  <w:style w:type="character" w:customStyle="1" w:styleId="91">
    <w:name w:val="标题 9 Char"/>
    <w:basedOn w:val="36"/>
    <w:link w:val="14"/>
    <w:semiHidden/>
    <w:qFormat/>
    <w:uiPriority w:val="9"/>
    <w:rPr>
      <w:rFonts w:ascii="Arial" w:hAnsi="Arial" w:eastAsia="黑体" w:cstheme="minorBidi"/>
      <w:kern w:val="2"/>
      <w:sz w:val="21"/>
      <w:szCs w:val="24"/>
    </w:rPr>
  </w:style>
  <w:style w:type="paragraph" w:customStyle="1" w:styleId="92">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正文首行缩进 Char"/>
    <w:basedOn w:val="52"/>
    <w:link w:val="4"/>
    <w:semiHidden/>
    <w:qFormat/>
    <w:uiPriority w:val="0"/>
    <w:rPr>
      <w:rFonts w:ascii="Times New Roman" w:hAnsi="Times New Roman" w:cstheme="minorBidi"/>
      <w:kern w:val="2"/>
      <w:sz w:val="28"/>
      <w:szCs w:val="24"/>
    </w:rPr>
  </w:style>
  <w:style w:type="character" w:customStyle="1" w:styleId="94">
    <w:name w:val="正文文本 2 Char"/>
    <w:basedOn w:val="36"/>
    <w:link w:val="31"/>
    <w:semiHidden/>
    <w:qFormat/>
    <w:uiPriority w:val="0"/>
    <w:rPr>
      <w:rFonts w:cstheme="minorBidi"/>
      <w:kern w:val="2"/>
      <w:sz w:val="28"/>
      <w:szCs w:val="24"/>
    </w:rPr>
  </w:style>
  <w:style w:type="character" w:customStyle="1" w:styleId="95">
    <w:name w:val="批注框文本 Char"/>
    <w:basedOn w:val="36"/>
    <w:link w:val="25"/>
    <w:semiHidden/>
    <w:qFormat/>
    <w:uiPriority w:val="99"/>
    <w:rPr>
      <w:kern w:val="2"/>
      <w:sz w:val="18"/>
      <w:szCs w:val="18"/>
    </w:rPr>
  </w:style>
  <w:style w:type="paragraph" w:customStyle="1" w:styleId="96">
    <w:name w:val="01-项目名称"/>
    <w:basedOn w:val="1"/>
    <w:next w:val="1"/>
    <w:qFormat/>
    <w:uiPriority w:val="0"/>
    <w:pPr>
      <w:snapToGrid w:val="0"/>
      <w:spacing w:line="360" w:lineRule="auto"/>
      <w:ind w:firstLine="560" w:firstLineChars="200"/>
      <w:jc w:val="center"/>
    </w:pPr>
    <w:rPr>
      <w:rFonts w:cstheme="minorBidi"/>
      <w:b/>
      <w:sz w:val="44"/>
    </w:rPr>
  </w:style>
  <w:style w:type="paragraph" w:customStyle="1" w:styleId="97">
    <w:name w:val="02-公司名称时间"/>
    <w:basedOn w:val="1"/>
    <w:next w:val="1"/>
    <w:qFormat/>
    <w:uiPriority w:val="0"/>
    <w:pPr>
      <w:snapToGrid w:val="0"/>
      <w:spacing w:line="360" w:lineRule="auto"/>
      <w:ind w:firstLine="560" w:firstLineChars="200"/>
      <w:jc w:val="center"/>
    </w:pPr>
    <w:rPr>
      <w:rFonts w:cstheme="minorBidi"/>
      <w:b/>
      <w:sz w:val="32"/>
    </w:rPr>
  </w:style>
  <w:style w:type="paragraph" w:customStyle="1" w:styleId="98">
    <w:name w:val="03-目录两字"/>
    <w:basedOn w:val="1"/>
    <w:next w:val="1"/>
    <w:qFormat/>
    <w:uiPriority w:val="0"/>
    <w:pPr>
      <w:snapToGrid w:val="0"/>
      <w:spacing w:line="360" w:lineRule="auto"/>
      <w:ind w:firstLine="560" w:firstLineChars="200"/>
      <w:jc w:val="center"/>
    </w:pPr>
    <w:rPr>
      <w:rFonts w:cstheme="minorBidi"/>
      <w:b/>
      <w:sz w:val="28"/>
    </w:rPr>
  </w:style>
  <w:style w:type="paragraph" w:customStyle="1" w:styleId="99">
    <w:name w:val="12-图片"/>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0">
    <w:name w:val="13-表格整体"/>
    <w:basedOn w:val="1"/>
    <w:qFormat/>
    <w:uiPriority w:val="0"/>
    <w:pPr>
      <w:snapToGrid w:val="0"/>
      <w:spacing w:beforeLines="50" w:afterLines="50" w:line="360" w:lineRule="auto"/>
      <w:ind w:firstLine="560" w:firstLineChars="200"/>
    </w:pPr>
    <w:rPr>
      <w:rFonts w:cstheme="minorBidi"/>
      <w:sz w:val="28"/>
    </w:rPr>
  </w:style>
  <w:style w:type="paragraph" w:customStyle="1" w:styleId="101">
    <w:name w:val="15-图片题注"/>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2">
    <w:name w:val="14-表格首行"/>
    <w:basedOn w:val="100"/>
    <w:next w:val="100"/>
    <w:qFormat/>
    <w:uiPriority w:val="0"/>
    <w:pPr>
      <w:jc w:val="center"/>
    </w:pPr>
    <w:rPr>
      <w:b/>
    </w:rPr>
  </w:style>
  <w:style w:type="paragraph" w:customStyle="1" w:styleId="103">
    <w:name w:val="05-正文加粗"/>
    <w:basedOn w:val="1"/>
    <w:next w:val="1"/>
    <w:qFormat/>
    <w:uiPriority w:val="0"/>
    <w:pPr>
      <w:snapToGrid w:val="0"/>
      <w:spacing w:line="360" w:lineRule="auto"/>
      <w:ind w:firstLine="200" w:firstLineChars="200"/>
    </w:pPr>
    <w:rPr>
      <w:rFonts w:cstheme="minorBidi"/>
      <w:b/>
      <w:sz w:val="24"/>
    </w:rPr>
  </w:style>
  <w:style w:type="paragraph" w:customStyle="1" w:styleId="104">
    <w:name w:val="06-编号"/>
    <w:basedOn w:val="1"/>
    <w:next w:val="1"/>
    <w:qFormat/>
    <w:uiPriority w:val="0"/>
    <w:pPr>
      <w:numPr>
        <w:ilvl w:val="0"/>
        <w:numId w:val="1"/>
      </w:numPr>
      <w:snapToGrid w:val="0"/>
      <w:spacing w:line="360" w:lineRule="auto"/>
      <w:ind w:firstLine="200" w:firstLineChars="200"/>
    </w:pPr>
    <w:rPr>
      <w:rFonts w:cstheme="minorBidi"/>
      <w:sz w:val="24"/>
    </w:rPr>
  </w:style>
  <w:style w:type="paragraph" w:customStyle="1" w:styleId="105">
    <w:name w:val="10-列表-圆点"/>
    <w:basedOn w:val="1"/>
    <w:next w:val="1"/>
    <w:qFormat/>
    <w:uiPriority w:val="0"/>
    <w:pPr>
      <w:numPr>
        <w:ilvl w:val="0"/>
        <w:numId w:val="2"/>
      </w:numPr>
      <w:snapToGrid w:val="0"/>
      <w:spacing w:line="360" w:lineRule="auto"/>
      <w:ind w:left="400" w:leftChars="200" w:hanging="200" w:hangingChars="200"/>
    </w:pPr>
    <w:rPr>
      <w:rFonts w:cstheme="minorBidi"/>
      <w:sz w:val="24"/>
    </w:rPr>
  </w:style>
  <w:style w:type="paragraph" w:customStyle="1" w:styleId="106">
    <w:name w:val="08-编号-括号"/>
    <w:basedOn w:val="1"/>
    <w:next w:val="1"/>
    <w:qFormat/>
    <w:uiPriority w:val="0"/>
    <w:pPr>
      <w:numPr>
        <w:ilvl w:val="0"/>
        <w:numId w:val="3"/>
      </w:numPr>
      <w:snapToGrid w:val="0"/>
      <w:spacing w:line="360" w:lineRule="auto"/>
      <w:ind w:firstLine="200" w:firstLineChars="200"/>
    </w:pPr>
    <w:rPr>
      <w:rFonts w:cstheme="minorBidi"/>
      <w:sz w:val="24"/>
    </w:rPr>
  </w:style>
  <w:style w:type="paragraph" w:customStyle="1" w:styleId="107">
    <w:name w:val="07-编号加粗"/>
    <w:basedOn w:val="1"/>
    <w:next w:val="1"/>
    <w:qFormat/>
    <w:uiPriority w:val="0"/>
    <w:pPr>
      <w:numPr>
        <w:ilvl w:val="0"/>
        <w:numId w:val="4"/>
      </w:numPr>
      <w:snapToGrid w:val="0"/>
      <w:spacing w:line="360" w:lineRule="auto"/>
      <w:ind w:firstLine="200" w:firstLineChars="200"/>
    </w:pPr>
    <w:rPr>
      <w:rFonts w:cstheme="minorBidi"/>
      <w:b/>
      <w:sz w:val="24"/>
    </w:rPr>
  </w:style>
  <w:style w:type="paragraph" w:customStyle="1" w:styleId="108">
    <w:name w:val="09-编号加粗-括号"/>
    <w:basedOn w:val="1"/>
    <w:next w:val="1"/>
    <w:qFormat/>
    <w:uiPriority w:val="0"/>
    <w:pPr>
      <w:numPr>
        <w:ilvl w:val="0"/>
        <w:numId w:val="5"/>
      </w:numPr>
      <w:snapToGrid w:val="0"/>
      <w:spacing w:line="360" w:lineRule="auto"/>
      <w:ind w:firstLine="200" w:firstLineChars="200"/>
    </w:pPr>
    <w:rPr>
      <w:rFonts w:cstheme="minorBidi"/>
      <w:b/>
      <w:sz w:val="24"/>
    </w:rPr>
  </w:style>
  <w:style w:type="paragraph" w:customStyle="1" w:styleId="109">
    <w:name w:val="11-列表-箭头"/>
    <w:basedOn w:val="1"/>
    <w:next w:val="1"/>
    <w:qFormat/>
    <w:uiPriority w:val="0"/>
    <w:pPr>
      <w:numPr>
        <w:ilvl w:val="0"/>
        <w:numId w:val="6"/>
      </w:numPr>
      <w:snapToGrid w:val="0"/>
      <w:spacing w:line="360" w:lineRule="auto"/>
      <w:ind w:left="400" w:leftChars="200" w:hanging="200" w:hangingChars="200"/>
    </w:pPr>
    <w:rPr>
      <w:rFonts w:cstheme="minorBidi"/>
      <w:sz w:val="24"/>
    </w:rPr>
  </w:style>
  <w:style w:type="paragraph" w:customStyle="1" w:styleId="110">
    <w:name w:val="16-表格题注"/>
    <w:basedOn w:val="1"/>
    <w:next w:val="1"/>
    <w:qFormat/>
    <w:uiPriority w:val="0"/>
    <w:pPr>
      <w:snapToGrid w:val="0"/>
      <w:spacing w:beforeLines="50" w:afterLines="50" w:line="360" w:lineRule="auto"/>
      <w:ind w:firstLine="560" w:firstLineChars="200"/>
      <w:jc w:val="center"/>
    </w:pPr>
    <w:rPr>
      <w:rFonts w:cstheme="minorBidi"/>
      <w:b/>
      <w:sz w:val="28"/>
    </w:rPr>
  </w:style>
  <w:style w:type="character" w:customStyle="1" w:styleId="111">
    <w:name w:val="00文档名称 Char"/>
    <w:basedOn w:val="36"/>
    <w:link w:val="112"/>
    <w:qFormat/>
    <w:locked/>
    <w:uiPriority w:val="0"/>
    <w:rPr>
      <w:rFonts w:ascii="黑体" w:hAnsi="黑体" w:eastAsia="黑体" w:cstheme="minorBidi"/>
      <w:b/>
      <w:kern w:val="2"/>
      <w:sz w:val="52"/>
      <w:szCs w:val="24"/>
    </w:rPr>
  </w:style>
  <w:style w:type="paragraph" w:customStyle="1" w:styleId="112">
    <w:name w:val="00文档名称"/>
    <w:basedOn w:val="1"/>
    <w:link w:val="111"/>
    <w:qFormat/>
    <w:uiPriority w:val="0"/>
    <w:pPr>
      <w:snapToGrid w:val="0"/>
      <w:spacing w:line="360" w:lineRule="auto"/>
      <w:ind w:firstLine="560" w:firstLineChars="200"/>
      <w:jc w:val="center"/>
    </w:pPr>
    <w:rPr>
      <w:rFonts w:ascii="黑体" w:hAnsi="黑体" w:eastAsia="黑体" w:cstheme="minorBidi"/>
      <w:b/>
      <w:sz w:val="52"/>
    </w:rPr>
  </w:style>
  <w:style w:type="paragraph" w:customStyle="1" w:styleId="113">
    <w:name w:val="04-正文"/>
    <w:basedOn w:val="1"/>
    <w:qFormat/>
    <w:uiPriority w:val="0"/>
    <w:pPr>
      <w:snapToGrid w:val="0"/>
      <w:spacing w:line="360" w:lineRule="auto"/>
      <w:ind w:firstLine="200" w:firstLineChars="200"/>
    </w:pPr>
    <w:rPr>
      <w:rFonts w:cstheme="minorBidi"/>
      <w:sz w:val="28"/>
    </w:rPr>
  </w:style>
  <w:style w:type="character" w:customStyle="1" w:styleId="114">
    <w:name w:val="font81"/>
    <w:basedOn w:val="36"/>
    <w:qFormat/>
    <w:uiPriority w:val="0"/>
    <w:rPr>
      <w:rFonts w:hint="eastAsia" w:ascii="宋体" w:hAnsi="宋体" w:eastAsia="宋体" w:cs="宋体"/>
      <w:b/>
      <w:bCs/>
      <w:color w:val="1D1D1F"/>
      <w:sz w:val="24"/>
      <w:szCs w:val="24"/>
      <w:u w:val="none"/>
    </w:rPr>
  </w:style>
  <w:style w:type="character" w:customStyle="1" w:styleId="115">
    <w:name w:val="font21"/>
    <w:basedOn w:val="36"/>
    <w:qFormat/>
    <w:uiPriority w:val="0"/>
    <w:rPr>
      <w:rFonts w:hint="default" w:ascii="Helvetica" w:hAnsi="Helvetica" w:eastAsia="Helvetica" w:cs="Helvetica"/>
      <w:b/>
      <w:bCs/>
      <w:color w:val="1D1D1F"/>
      <w:sz w:val="24"/>
      <w:szCs w:val="24"/>
      <w:u w:val="none"/>
    </w:rPr>
  </w:style>
  <w:style w:type="character" w:customStyle="1" w:styleId="116">
    <w:name w:val="font11"/>
    <w:basedOn w:val="36"/>
    <w:qFormat/>
    <w:uiPriority w:val="0"/>
    <w:rPr>
      <w:rFonts w:hint="eastAsia" w:ascii="宋体" w:hAnsi="宋体" w:eastAsia="宋体" w:cs="宋体"/>
      <w:color w:val="000000"/>
      <w:sz w:val="22"/>
      <w:szCs w:val="22"/>
      <w:u w:val="none"/>
    </w:rPr>
  </w:style>
  <w:style w:type="paragraph" w:styleId="117">
    <w:name w:val="List Paragraph"/>
    <w:basedOn w:val="1"/>
    <w:qFormat/>
    <w:uiPriority w:val="99"/>
    <w:pPr>
      <w:ind w:firstLine="420" w:firstLineChars="200"/>
    </w:pPr>
  </w:style>
  <w:style w:type="character" w:customStyle="1" w:styleId="118">
    <w:name w:val="表格格式 字符"/>
    <w:link w:val="119"/>
    <w:qFormat/>
    <w:locked/>
    <w:uiPriority w:val="0"/>
    <w:rPr>
      <w:rFonts w:ascii="宋体" w:hAnsi="宋体"/>
      <w:kern w:val="2"/>
      <w:sz w:val="21"/>
      <w:szCs w:val="21"/>
    </w:rPr>
  </w:style>
  <w:style w:type="paragraph" w:customStyle="1" w:styleId="119">
    <w:name w:val="表格格式"/>
    <w:basedOn w:val="1"/>
    <w:link w:val="118"/>
    <w:qFormat/>
    <w:uiPriority w:val="0"/>
    <w:pPr>
      <w:spacing w:line="360" w:lineRule="auto"/>
      <w:jc w:val="center"/>
    </w:pPr>
    <w:rPr>
      <w:rFonts w:ascii="宋体" w:hAnsi="宋体"/>
      <w:szCs w:val="21"/>
    </w:rPr>
  </w:style>
  <w:style w:type="paragraph" w:customStyle="1" w:styleId="120">
    <w:name w:val="NormalNormal"/>
    <w:next w:val="121"/>
    <w:qFormat/>
    <w:uiPriority w:val="0"/>
    <w:pPr>
      <w:widowControl w:val="0"/>
      <w:spacing w:line="580" w:lineRule="exact"/>
      <w:jc w:val="both"/>
    </w:pPr>
    <w:rPr>
      <w:rFonts w:ascii="Calibri" w:hAnsi="Calibri" w:eastAsia="宋体" w:cs="宋体"/>
      <w:kern w:val="2"/>
      <w:sz w:val="21"/>
      <w:szCs w:val="21"/>
      <w:lang w:val="en-US" w:eastAsia="zh-CN" w:bidi="ar-SA"/>
    </w:rPr>
  </w:style>
  <w:style w:type="paragraph" w:customStyle="1" w:styleId="121">
    <w:name w:val="Heading 2Heading2"/>
    <w:basedOn w:val="120"/>
    <w:next w:val="120"/>
    <w:qFormat/>
    <w:uiPriority w:val="9"/>
    <w:pPr>
      <w:keepNext/>
      <w:keepLines/>
      <w:spacing w:before="260" w:after="260" w:line="416" w:lineRule="auto"/>
      <w:outlineLvl w:val="1"/>
    </w:pPr>
    <w:rPr>
      <w:rFonts w:ascii="Cambria" w:hAnsi="Cambria"/>
      <w:b/>
      <w:bCs/>
      <w:sz w:val="32"/>
      <w:szCs w:val="32"/>
    </w:rPr>
  </w:style>
  <w:style w:type="character" w:customStyle="1" w:styleId="122">
    <w:name w:val="未处理的提及1"/>
    <w:basedOn w:val="36"/>
    <w:semiHidden/>
    <w:unhideWhenUsed/>
    <w:qFormat/>
    <w:uiPriority w:val="99"/>
    <w:rPr>
      <w:color w:val="605E5C"/>
      <w:shd w:val="clear" w:color="auto" w:fill="E1DFDD"/>
    </w:rPr>
  </w:style>
  <w:style w:type="character" w:customStyle="1" w:styleId="123">
    <w:name w:val="纯文本 字符4"/>
    <w:qFormat/>
    <w:uiPriority w:val="0"/>
    <w:rPr>
      <w:rFonts w:ascii="宋体" w:hAnsi="Courier New" w:eastAsia="宋体" w:cs="Courier New"/>
      <w:szCs w:val="21"/>
    </w:rPr>
  </w:style>
  <w:style w:type="character" w:customStyle="1" w:styleId="124">
    <w:name w:val="未处理的提及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85</Pages>
  <Words>7483</Words>
  <Characters>8176</Characters>
  <Lines>483</Lines>
  <Paragraphs>136</Paragraphs>
  <TotalTime>65</TotalTime>
  <ScaleCrop>false</ScaleCrop>
  <LinksUpToDate>false</LinksUpToDate>
  <CharactersWithSpaces>8243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2024-05-20T07:14:00Z</dcterms:created>
  <dc:creator>Administrator</dc:creator>
  <cp:lastModifiedBy>。。</cp:lastModifiedBy>
  <cp:lastPrinted>2020-04-04T16:20:00Z</cp:lastPrinted>
  <dcterms:modified xsi:type="dcterms:W3CDTF">2025-03-07T01:01:02Z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D6F5A3431B4B49EC82842A951C20A30E_13</vt:lpwstr>
  </property>
  <property fmtid="{D5CDD505-2E9C-101B-9397-08002B2CF9AE}" pid="4" name="KSOTemplateDocerSaveRecord">
    <vt:lpwstr>eyJoZGlkIjoiMDY4MDVlYTNjYjkwZjVhZGZiNGM0MmE1ZWU4ZTg5OTAiLCJ1c2VySWQiOiIyMTc4NDM4MzkifQ==</vt:lpwstr>
  </property>
</Properties>
</file>