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rPr>
          <w:rFonts w:hint="eastAsia" w:ascii="仿宋" w:hAnsi="仿宋" w:eastAsia="仿宋"/>
          <w:sz w:val="52"/>
          <w:szCs w:val="52"/>
          <w:highlight w:val="none"/>
        </w:rPr>
      </w:pPr>
    </w:p>
    <w:p>
      <w:pPr>
        <w:spacing w:line="360" w:lineRule="auto"/>
        <w:jc w:val="center"/>
        <w:rPr>
          <w:rFonts w:hint="eastAsia" w:ascii="仿宋" w:hAnsi="仿宋" w:eastAsia="仿宋"/>
          <w:sz w:val="52"/>
          <w:szCs w:val="52"/>
          <w:highlight w:val="none"/>
        </w:rPr>
      </w:pPr>
      <w:r>
        <w:rPr>
          <w:rFonts w:ascii="仿宋" w:hAnsi="仿宋" w:eastAsia="仿宋"/>
          <w:highlight w:val="none"/>
        </w:rPr>
        <w:drawing>
          <wp:inline distT="0" distB="0" distL="0" distR="0">
            <wp:extent cx="895350" cy="933450"/>
            <wp:effectExtent l="0" t="0" r="0" b="0"/>
            <wp:docPr id="2" name="图片 2"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文名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95350" cy="933450"/>
                    </a:xfrm>
                    <a:prstGeom prst="rect">
                      <a:avLst/>
                    </a:prstGeom>
                    <a:noFill/>
                    <a:ln>
                      <a:noFill/>
                    </a:ln>
                  </pic:spPr>
                </pic:pic>
              </a:graphicData>
            </a:graphic>
          </wp:inline>
        </w:drawing>
      </w:r>
    </w:p>
    <w:p>
      <w:pPr>
        <w:pStyle w:val="24"/>
        <w:ind w:firstLine="0" w:firstLineChars="0"/>
        <w:jc w:val="center"/>
        <w:rPr>
          <w:rFonts w:hint="eastAsia"/>
          <w:sz w:val="52"/>
          <w:szCs w:val="52"/>
          <w:highlight w:val="none"/>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495300</wp:posOffset>
                </wp:positionH>
                <wp:positionV relativeFrom="paragraph">
                  <wp:posOffset>506095</wp:posOffset>
                </wp:positionV>
                <wp:extent cx="5486400" cy="0"/>
                <wp:effectExtent l="0" t="0" r="19050" b="1905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wps:spPr>
                      <wps:bodyPr/>
                    </wps:wsp>
                  </a:graphicData>
                </a:graphic>
              </wp:anchor>
            </w:drawing>
          </mc:Choice>
          <mc:Fallback>
            <w:pict>
              <v:line id="Line 2" o:spid="_x0000_s1026" o:spt="20" style="position:absolute;left:0pt;margin-left:39pt;margin-top:39.85pt;height:0pt;width:432pt;z-index:251659264;mso-width-relative:page;mso-height-relative:page;" filled="f" stroked="t" coordsize="21600,21600" o:gfxdata="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Q&#10;569c1wAAAAgBAAAPAAAAAAAAAAEAIAAAACIAAABkcnMvZG93bnJldi54bWxQSwECFAAUAAAACACH&#10;TuJAgaALsLMBAABdAwAADgAAAAAAAAABACAAAAAmAQAAZHJzL2Uyb0RvYy54bWxQSwUGAAAAAAYA&#10;BgBZAQAASwUAAAAA&#10;">
                <v:fill on="f" focussize="0,0"/>
                <v:stroke weight="1pt" color="#000000" joinstyle="round"/>
                <v:imagedata o:title=""/>
                <o:lock v:ext="edit" aspectratio="f"/>
              </v:line>
            </w:pict>
          </mc:Fallback>
        </mc:AlternateContent>
      </w:r>
      <w:r>
        <w:rPr>
          <w:rFonts w:hint="eastAsia"/>
          <w:sz w:val="52"/>
          <w:szCs w:val="52"/>
          <w:highlight w:val="none"/>
        </w:rPr>
        <w:t xml:space="preserve">广 西 </w:t>
      </w:r>
      <w:r>
        <w:rPr>
          <w:sz w:val="52"/>
          <w:szCs w:val="52"/>
          <w:highlight w:val="none"/>
        </w:rPr>
        <w:t>科</w:t>
      </w:r>
      <w:r>
        <w:rPr>
          <w:rFonts w:hint="eastAsia"/>
          <w:sz w:val="52"/>
          <w:szCs w:val="52"/>
          <w:highlight w:val="none"/>
        </w:rPr>
        <w:t xml:space="preserve"> </w:t>
      </w:r>
      <w:r>
        <w:rPr>
          <w:sz w:val="52"/>
          <w:szCs w:val="52"/>
          <w:highlight w:val="none"/>
        </w:rPr>
        <w:t>文</w:t>
      </w:r>
      <w:r>
        <w:rPr>
          <w:rFonts w:hint="eastAsia"/>
          <w:sz w:val="52"/>
          <w:szCs w:val="52"/>
          <w:highlight w:val="none"/>
        </w:rPr>
        <w:t xml:space="preserve"> </w:t>
      </w:r>
      <w:r>
        <w:rPr>
          <w:sz w:val="52"/>
          <w:szCs w:val="52"/>
          <w:highlight w:val="none"/>
        </w:rPr>
        <w:t>招</w:t>
      </w:r>
      <w:r>
        <w:rPr>
          <w:rFonts w:hint="eastAsia"/>
          <w:sz w:val="52"/>
          <w:szCs w:val="52"/>
          <w:highlight w:val="none"/>
        </w:rPr>
        <w:t xml:space="preserve"> </w:t>
      </w:r>
      <w:r>
        <w:rPr>
          <w:sz w:val="52"/>
          <w:szCs w:val="52"/>
          <w:highlight w:val="none"/>
        </w:rPr>
        <w:t>标</w:t>
      </w:r>
      <w:r>
        <w:rPr>
          <w:rFonts w:hint="eastAsia"/>
          <w:sz w:val="52"/>
          <w:szCs w:val="52"/>
          <w:highlight w:val="none"/>
        </w:rPr>
        <w:t xml:space="preserve"> </w:t>
      </w:r>
      <w:r>
        <w:rPr>
          <w:sz w:val="52"/>
          <w:szCs w:val="52"/>
          <w:highlight w:val="none"/>
        </w:rPr>
        <w:t>有</w:t>
      </w:r>
      <w:r>
        <w:rPr>
          <w:rFonts w:hint="eastAsia"/>
          <w:sz w:val="52"/>
          <w:szCs w:val="52"/>
          <w:highlight w:val="none"/>
        </w:rPr>
        <w:t xml:space="preserve"> </w:t>
      </w:r>
      <w:r>
        <w:rPr>
          <w:sz w:val="52"/>
          <w:szCs w:val="52"/>
          <w:highlight w:val="none"/>
        </w:rPr>
        <w:t>限</w:t>
      </w:r>
      <w:r>
        <w:rPr>
          <w:rFonts w:hint="eastAsia"/>
          <w:sz w:val="52"/>
          <w:szCs w:val="52"/>
          <w:highlight w:val="none"/>
        </w:rPr>
        <w:t xml:space="preserve"> </w:t>
      </w:r>
      <w:r>
        <w:rPr>
          <w:sz w:val="52"/>
          <w:szCs w:val="52"/>
          <w:highlight w:val="none"/>
        </w:rPr>
        <w:t>公</w:t>
      </w:r>
      <w:r>
        <w:rPr>
          <w:rFonts w:hint="eastAsia"/>
          <w:sz w:val="52"/>
          <w:szCs w:val="52"/>
          <w:highlight w:val="none"/>
        </w:rPr>
        <w:t xml:space="preserve"> </w:t>
      </w:r>
      <w:r>
        <w:rPr>
          <w:sz w:val="52"/>
          <w:szCs w:val="52"/>
          <w:highlight w:val="none"/>
        </w:rPr>
        <w:t>司</w:t>
      </w:r>
    </w:p>
    <w:p>
      <w:pPr>
        <w:pStyle w:val="24"/>
        <w:ind w:firstLine="594"/>
        <w:rPr>
          <w:rFonts w:hint="eastAsia"/>
          <w:spacing w:val="28"/>
          <w:highlight w:val="none"/>
        </w:rPr>
      </w:pPr>
    </w:p>
    <w:p>
      <w:pPr>
        <w:snapToGrid w:val="0"/>
        <w:spacing w:before="120" w:beforeLines="50" w:line="360" w:lineRule="auto"/>
        <w:jc w:val="center"/>
        <w:rPr>
          <w:rFonts w:hint="eastAsia" w:ascii="仿宋" w:hAnsi="仿宋" w:eastAsia="仿宋"/>
          <w:sz w:val="120"/>
          <w:szCs w:val="120"/>
          <w:highlight w:val="none"/>
        </w:rPr>
      </w:pPr>
      <w:r>
        <w:rPr>
          <w:rFonts w:hint="eastAsia" w:ascii="仿宋" w:hAnsi="仿宋" w:eastAsia="仿宋"/>
          <w:sz w:val="120"/>
          <w:szCs w:val="120"/>
          <w:highlight w:val="none"/>
        </w:rPr>
        <w:t>招 标 文 件</w:t>
      </w:r>
    </w:p>
    <w:p>
      <w:pPr>
        <w:pStyle w:val="24"/>
        <w:ind w:firstLine="456"/>
        <w:rPr>
          <w:rFonts w:hint="eastAsia"/>
          <w:w w:val="95"/>
          <w:highlight w:val="none"/>
        </w:rPr>
      </w:pPr>
    </w:p>
    <w:p>
      <w:pPr>
        <w:pStyle w:val="24"/>
        <w:ind w:firstLine="570"/>
        <w:jc w:val="center"/>
        <w:rPr>
          <w:rFonts w:hint="eastAsia"/>
          <w:w w:val="95"/>
          <w:sz w:val="30"/>
          <w:szCs w:val="30"/>
          <w:highlight w:val="none"/>
        </w:rPr>
      </w:pPr>
    </w:p>
    <w:p>
      <w:pPr>
        <w:pStyle w:val="24"/>
        <w:ind w:firstLine="602"/>
        <w:jc w:val="center"/>
        <w:rPr>
          <w:rFonts w:hint="eastAsia" w:eastAsia="仿宋"/>
          <w:sz w:val="30"/>
          <w:szCs w:val="30"/>
          <w:highlight w:val="none"/>
          <w:lang w:eastAsia="zh-CN"/>
        </w:rPr>
      </w:pPr>
      <w:bookmarkStart w:id="0" w:name="OLE_LINK36"/>
      <w:r>
        <w:rPr>
          <w:rFonts w:hint="eastAsia"/>
          <w:sz w:val="30"/>
          <w:szCs w:val="30"/>
          <w:highlight w:val="none"/>
        </w:rPr>
        <w:t>项目名称：</w:t>
      </w:r>
      <w:r>
        <w:rPr>
          <w:rFonts w:hint="eastAsia"/>
          <w:sz w:val="30"/>
          <w:szCs w:val="30"/>
          <w:highlight w:val="none"/>
          <w:lang w:eastAsia="zh-CN"/>
        </w:rPr>
        <w:t>2024年广西重大公共卫生服务艾滋病防治项目（重）</w:t>
      </w:r>
    </w:p>
    <w:p>
      <w:pPr>
        <w:pStyle w:val="24"/>
        <w:ind w:firstLine="602"/>
        <w:jc w:val="center"/>
        <w:rPr>
          <w:rFonts w:hint="eastAsia" w:eastAsia="仿宋"/>
          <w:sz w:val="30"/>
          <w:szCs w:val="30"/>
          <w:highlight w:val="none"/>
          <w:lang w:eastAsia="zh-CN"/>
        </w:rPr>
      </w:pPr>
      <w:r>
        <w:rPr>
          <w:rFonts w:hint="eastAsia"/>
          <w:sz w:val="30"/>
          <w:szCs w:val="30"/>
          <w:highlight w:val="none"/>
        </w:rPr>
        <w:t>项目编号：</w:t>
      </w:r>
      <w:r>
        <w:rPr>
          <w:rFonts w:hint="eastAsia"/>
          <w:sz w:val="30"/>
          <w:szCs w:val="30"/>
          <w:highlight w:val="none"/>
          <w:lang w:eastAsia="zh-CN"/>
        </w:rPr>
        <w:t>GLZC2025-G1-250023-KWZB</w:t>
      </w:r>
    </w:p>
    <w:bookmarkEnd w:id="0"/>
    <w:p>
      <w:pPr>
        <w:pStyle w:val="24"/>
        <w:ind w:firstLine="602"/>
        <w:rPr>
          <w:rFonts w:hint="eastAsia"/>
          <w:sz w:val="30"/>
          <w:szCs w:val="30"/>
          <w:highlight w:val="none"/>
        </w:rPr>
      </w:pPr>
    </w:p>
    <w:p>
      <w:pPr>
        <w:rPr>
          <w:highlight w:val="none"/>
        </w:rPr>
      </w:pPr>
    </w:p>
    <w:p>
      <w:pPr>
        <w:pStyle w:val="24"/>
        <w:ind w:firstLine="456"/>
        <w:rPr>
          <w:rFonts w:hint="eastAsia"/>
          <w:w w:val="95"/>
          <w:highlight w:val="none"/>
        </w:rPr>
      </w:pPr>
    </w:p>
    <w:p>
      <w:pPr>
        <w:pStyle w:val="24"/>
        <w:ind w:firstLine="456"/>
        <w:rPr>
          <w:rFonts w:hint="eastAsia"/>
          <w:w w:val="95"/>
          <w:highlight w:val="none"/>
        </w:rPr>
      </w:pPr>
    </w:p>
    <w:p>
      <w:pPr>
        <w:pStyle w:val="24"/>
        <w:ind w:firstLine="456"/>
        <w:rPr>
          <w:rFonts w:hint="eastAsia"/>
          <w:w w:val="95"/>
          <w:highlight w:val="none"/>
        </w:rPr>
      </w:pPr>
    </w:p>
    <w:p>
      <w:pPr>
        <w:pStyle w:val="24"/>
        <w:ind w:firstLine="456"/>
        <w:rPr>
          <w:rFonts w:hint="eastAsia"/>
          <w:w w:val="95"/>
          <w:highlight w:val="none"/>
        </w:rPr>
      </w:pPr>
    </w:p>
    <w:p>
      <w:pPr>
        <w:pStyle w:val="24"/>
        <w:ind w:firstLine="456"/>
        <w:rPr>
          <w:rFonts w:hint="eastAsia"/>
          <w:w w:val="95"/>
          <w:highlight w:val="none"/>
        </w:rPr>
      </w:pPr>
    </w:p>
    <w:p>
      <w:pPr>
        <w:pStyle w:val="24"/>
        <w:ind w:firstLine="456"/>
        <w:jc w:val="center"/>
        <w:rPr>
          <w:rFonts w:hint="eastAsia"/>
          <w:w w:val="95"/>
          <w:highlight w:val="none"/>
        </w:rPr>
      </w:pPr>
    </w:p>
    <w:p>
      <w:pPr>
        <w:pStyle w:val="24"/>
        <w:ind w:firstLine="0" w:firstLineChars="0"/>
        <w:jc w:val="center"/>
        <w:rPr>
          <w:rFonts w:hint="eastAsia"/>
          <w:sz w:val="30"/>
          <w:szCs w:val="30"/>
          <w:highlight w:val="none"/>
        </w:rPr>
      </w:pPr>
      <w:r>
        <w:rPr>
          <w:rFonts w:hint="eastAsia"/>
          <w:sz w:val="30"/>
          <w:szCs w:val="30"/>
          <w:highlight w:val="none"/>
        </w:rPr>
        <w:t>采购人：</w:t>
      </w:r>
      <w:bookmarkStart w:id="1" w:name="OLE_LINK39"/>
      <w:r>
        <w:rPr>
          <w:rFonts w:hint="eastAsia"/>
          <w:sz w:val="30"/>
          <w:szCs w:val="30"/>
          <w:highlight w:val="none"/>
        </w:rPr>
        <w:t>兴安县人民医院</w:t>
      </w:r>
      <w:bookmarkEnd w:id="1"/>
    </w:p>
    <w:p>
      <w:pPr>
        <w:pStyle w:val="24"/>
        <w:ind w:firstLine="0" w:firstLineChars="0"/>
        <w:jc w:val="center"/>
        <w:rPr>
          <w:rFonts w:hint="eastAsia"/>
          <w:sz w:val="30"/>
          <w:szCs w:val="30"/>
          <w:highlight w:val="none"/>
        </w:rPr>
      </w:pPr>
      <w:r>
        <w:rPr>
          <w:rFonts w:hint="eastAsia"/>
          <w:sz w:val="30"/>
          <w:szCs w:val="30"/>
          <w:highlight w:val="none"/>
        </w:rPr>
        <w:t>采购代理机构：广西</w:t>
      </w:r>
      <w:r>
        <w:rPr>
          <w:sz w:val="30"/>
          <w:szCs w:val="30"/>
          <w:highlight w:val="none"/>
        </w:rPr>
        <w:t>科文</w:t>
      </w:r>
      <w:r>
        <w:rPr>
          <w:rFonts w:hint="eastAsia"/>
          <w:sz w:val="30"/>
          <w:szCs w:val="30"/>
          <w:highlight w:val="none"/>
        </w:rPr>
        <w:t>招标有限公司</w:t>
      </w:r>
    </w:p>
    <w:p>
      <w:pPr>
        <w:pStyle w:val="24"/>
        <w:ind w:firstLine="0" w:firstLineChars="0"/>
        <w:jc w:val="center"/>
        <w:rPr>
          <w:rFonts w:hint="eastAsia"/>
          <w:sz w:val="30"/>
          <w:szCs w:val="30"/>
          <w:highlight w:val="none"/>
        </w:rPr>
      </w:pPr>
      <w:r>
        <w:rPr>
          <w:rFonts w:hint="eastAsia"/>
          <w:sz w:val="30"/>
          <w:szCs w:val="30"/>
          <w:highlight w:val="none"/>
        </w:rPr>
        <w:t>2025年</w:t>
      </w:r>
      <w:r>
        <w:rPr>
          <w:rFonts w:hint="eastAsia"/>
          <w:sz w:val="30"/>
          <w:szCs w:val="30"/>
          <w:highlight w:val="none"/>
          <w:lang w:val="en-US" w:eastAsia="zh-CN"/>
        </w:rPr>
        <w:t>4</w:t>
      </w:r>
      <w:r>
        <w:rPr>
          <w:rFonts w:hint="eastAsia"/>
          <w:sz w:val="30"/>
          <w:szCs w:val="30"/>
          <w:highlight w:val="none"/>
        </w:rPr>
        <w:t>月</w:t>
      </w:r>
      <w:r>
        <w:rPr>
          <w:rFonts w:hint="eastAsia"/>
          <w:sz w:val="30"/>
          <w:szCs w:val="30"/>
          <w:highlight w:val="none"/>
          <w:lang w:val="en-US" w:eastAsia="zh-CN"/>
        </w:rPr>
        <w:t>28</w:t>
      </w:r>
      <w:r>
        <w:rPr>
          <w:rFonts w:hint="eastAsia"/>
          <w:sz w:val="30"/>
          <w:szCs w:val="30"/>
          <w:highlight w:val="none"/>
        </w:rPr>
        <w:t>日</w:t>
      </w:r>
    </w:p>
    <w:p>
      <w:pPr>
        <w:pStyle w:val="13"/>
        <w:rPr>
          <w:rFonts w:hint="eastAsia" w:ascii="仿宋" w:hAnsi="仿宋" w:eastAsia="仿宋"/>
          <w:highlight w:val="none"/>
        </w:rPr>
      </w:pPr>
    </w:p>
    <w:p>
      <w:pPr>
        <w:pStyle w:val="24"/>
        <w:rPr>
          <w:rFonts w:hint="eastAsia"/>
          <w:highlight w:val="none"/>
        </w:rPr>
      </w:pPr>
    </w:p>
    <w:p>
      <w:pPr>
        <w:spacing w:line="360" w:lineRule="auto"/>
        <w:jc w:val="center"/>
        <w:rPr>
          <w:rFonts w:hint="eastAsia" w:ascii="仿宋" w:hAnsi="仿宋" w:eastAsia="仿宋"/>
          <w:b/>
          <w:sz w:val="44"/>
          <w:szCs w:val="44"/>
          <w:highlight w:val="none"/>
        </w:rPr>
      </w:pPr>
      <w:r>
        <w:rPr>
          <w:rFonts w:hint="eastAsia" w:ascii="仿宋" w:hAnsi="仿宋" w:eastAsia="仿宋"/>
          <w:b/>
          <w:sz w:val="44"/>
          <w:szCs w:val="44"/>
          <w:highlight w:val="none"/>
        </w:rPr>
        <w:t>目  录</w:t>
      </w:r>
    </w:p>
    <w:p>
      <w:pPr>
        <w:pStyle w:val="32"/>
        <w:spacing w:line="360" w:lineRule="auto"/>
        <w:ind w:firstLine="320"/>
        <w:rPr>
          <w:rFonts w:hint="eastAsia" w:ascii="仿宋" w:hAnsi="仿宋" w:eastAsia="仿宋"/>
          <w:b w:val="0"/>
          <w:sz w:val="32"/>
          <w:szCs w:val="32"/>
          <w:highlight w:val="none"/>
        </w:rPr>
      </w:pP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rPr>
      </w:pPr>
      <w:r>
        <w:rPr>
          <w:rFonts w:ascii="仿宋" w:hAnsi="仿宋" w:eastAsia="仿宋"/>
          <w:b w:val="0"/>
          <w:sz w:val="36"/>
          <w:szCs w:val="36"/>
          <w:highlight w:val="none"/>
        </w:rPr>
        <w:fldChar w:fldCharType="begin"/>
      </w:r>
      <w:r>
        <w:rPr>
          <w:rFonts w:ascii="仿宋" w:hAnsi="仿宋" w:eastAsia="仿宋"/>
          <w:b w:val="0"/>
          <w:sz w:val="36"/>
          <w:szCs w:val="36"/>
          <w:highlight w:val="none"/>
        </w:rPr>
        <w:instrText xml:space="preserve"> </w:instrText>
      </w:r>
      <w:r>
        <w:rPr>
          <w:rFonts w:hint="eastAsia" w:ascii="仿宋" w:hAnsi="仿宋" w:eastAsia="仿宋"/>
          <w:b w:val="0"/>
          <w:sz w:val="36"/>
          <w:szCs w:val="36"/>
          <w:highlight w:val="none"/>
        </w:rPr>
        <w:instrText xml:space="preserve">TOC \o "1-2" \h \z \u</w:instrText>
      </w:r>
      <w:r>
        <w:rPr>
          <w:rFonts w:ascii="仿宋" w:hAnsi="仿宋" w:eastAsia="仿宋"/>
          <w:b w:val="0"/>
          <w:sz w:val="36"/>
          <w:szCs w:val="36"/>
          <w:highlight w:val="none"/>
        </w:rPr>
        <w:instrText xml:space="preserve"> </w:instrText>
      </w:r>
      <w:r>
        <w:rPr>
          <w:rFonts w:ascii="仿宋" w:hAnsi="仿宋" w:eastAsia="仿宋"/>
          <w:b w:val="0"/>
          <w:sz w:val="36"/>
          <w:szCs w:val="36"/>
          <w:highlight w:val="none"/>
        </w:rPr>
        <w:fldChar w:fldCharType="separate"/>
      </w:r>
      <w:r>
        <w:rPr>
          <w:highlight w:val="none"/>
        </w:rPr>
        <w:fldChar w:fldCharType="begin"/>
      </w:r>
      <w:r>
        <w:rPr>
          <w:highlight w:val="none"/>
        </w:rPr>
        <w:instrText xml:space="preserve"> HYPERLINK \l "_Toc74320800" </w:instrText>
      </w:r>
      <w:r>
        <w:rPr>
          <w:highlight w:val="none"/>
        </w:rPr>
        <w:fldChar w:fldCharType="separate"/>
      </w:r>
      <w:r>
        <w:rPr>
          <w:rStyle w:val="48"/>
          <w:rFonts w:hint="eastAsia" w:ascii="仿宋" w:hAnsi="仿宋" w:eastAsia="仿宋"/>
          <w:b w:val="0"/>
          <w:color w:val="auto"/>
          <w:sz w:val="36"/>
          <w:szCs w:val="36"/>
          <w:highlight w:val="none"/>
        </w:rPr>
        <w:t>第一章</w:t>
      </w:r>
      <w:r>
        <w:rPr>
          <w:rStyle w:val="48"/>
          <w:rFonts w:ascii="仿宋" w:hAnsi="仿宋" w:eastAsia="仿宋"/>
          <w:b w:val="0"/>
          <w:color w:val="auto"/>
          <w:sz w:val="36"/>
          <w:szCs w:val="36"/>
          <w:highlight w:val="none"/>
        </w:rPr>
        <w:t xml:space="preserve"> </w:t>
      </w:r>
      <w:r>
        <w:rPr>
          <w:rStyle w:val="48"/>
          <w:rFonts w:hint="eastAsia" w:ascii="仿宋" w:hAnsi="仿宋" w:eastAsia="仿宋"/>
          <w:b w:val="0"/>
          <w:color w:val="auto"/>
          <w:sz w:val="36"/>
          <w:szCs w:val="36"/>
          <w:highlight w:val="none"/>
        </w:rPr>
        <w:t xml:space="preserve"> 招标公告</w:t>
      </w:r>
      <w:r>
        <w:rPr>
          <w:rFonts w:ascii="仿宋" w:hAnsi="仿宋" w:eastAsia="仿宋"/>
          <w:b w:val="0"/>
          <w:sz w:val="36"/>
          <w:szCs w:val="36"/>
          <w:highlight w:val="none"/>
        </w:rPr>
        <w:tab/>
      </w:r>
      <w:r>
        <w:rPr>
          <w:rFonts w:ascii="仿宋" w:hAnsi="仿宋" w:eastAsia="仿宋"/>
          <w:b w:val="0"/>
          <w:sz w:val="36"/>
          <w:szCs w:val="36"/>
          <w:highlight w:val="none"/>
        </w:rPr>
        <w:t>2</w:t>
      </w:r>
      <w:r>
        <w:rPr>
          <w:rFonts w:ascii="仿宋" w:hAnsi="仿宋" w:eastAsia="仿宋"/>
          <w:b w:val="0"/>
          <w:sz w:val="36"/>
          <w:szCs w:val="36"/>
          <w:highlight w:val="none"/>
        </w:rPr>
        <w:fldChar w:fldCharType="end"/>
      </w: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lang w:val="en-US" w:eastAsia="zh-CN"/>
        </w:rPr>
      </w:pPr>
      <w:r>
        <w:rPr>
          <w:highlight w:val="none"/>
        </w:rPr>
        <w:fldChar w:fldCharType="begin"/>
      </w:r>
      <w:r>
        <w:rPr>
          <w:highlight w:val="none"/>
        </w:rPr>
        <w:instrText xml:space="preserve"> HYPERLINK \l "_Toc74320801" </w:instrText>
      </w:r>
      <w:r>
        <w:rPr>
          <w:highlight w:val="none"/>
        </w:rPr>
        <w:fldChar w:fldCharType="separate"/>
      </w:r>
      <w:r>
        <w:rPr>
          <w:rStyle w:val="48"/>
          <w:rFonts w:hint="eastAsia" w:ascii="仿宋" w:hAnsi="仿宋" w:eastAsia="仿宋"/>
          <w:b w:val="0"/>
          <w:color w:val="auto"/>
          <w:sz w:val="36"/>
          <w:szCs w:val="36"/>
          <w:highlight w:val="none"/>
        </w:rPr>
        <w:t>第二章</w:t>
      </w:r>
      <w:r>
        <w:rPr>
          <w:rStyle w:val="48"/>
          <w:rFonts w:ascii="仿宋" w:hAnsi="仿宋" w:eastAsia="仿宋"/>
          <w:b w:val="0"/>
          <w:color w:val="auto"/>
          <w:sz w:val="36"/>
          <w:szCs w:val="36"/>
          <w:highlight w:val="none"/>
        </w:rPr>
        <w:t xml:space="preserve">  </w:t>
      </w:r>
      <w:r>
        <w:rPr>
          <w:rStyle w:val="48"/>
          <w:rFonts w:hint="eastAsia" w:ascii="仿宋" w:hAnsi="仿宋" w:eastAsia="仿宋"/>
          <w:b w:val="0"/>
          <w:color w:val="auto"/>
          <w:sz w:val="36"/>
          <w:szCs w:val="36"/>
          <w:highlight w:val="none"/>
        </w:rPr>
        <w:t>采购需求</w:t>
      </w:r>
      <w:bookmarkStart w:id="2" w:name="_Hlt115102512"/>
      <w:bookmarkStart w:id="3" w:name="_Hlt113479581"/>
      <w:bookmarkStart w:id="4" w:name="_Hlt112372227"/>
      <w:bookmarkStart w:id="5" w:name="_Hlt113479582"/>
      <w:bookmarkStart w:id="6" w:name="_Hlt112295812"/>
      <w:r>
        <w:rPr>
          <w:rFonts w:ascii="仿宋" w:hAnsi="仿宋" w:eastAsia="仿宋"/>
          <w:b w:val="0"/>
          <w:sz w:val="36"/>
          <w:szCs w:val="36"/>
          <w:highlight w:val="none"/>
        </w:rPr>
        <w:tab/>
      </w:r>
      <w:bookmarkEnd w:id="2"/>
      <w:bookmarkEnd w:id="3"/>
      <w:bookmarkEnd w:id="4"/>
      <w:bookmarkEnd w:id="5"/>
      <w:bookmarkEnd w:id="6"/>
      <w:r>
        <w:rPr>
          <w:rFonts w:hint="eastAsia" w:ascii="仿宋" w:hAnsi="仿宋" w:eastAsia="仿宋"/>
          <w:b w:val="0"/>
          <w:sz w:val="36"/>
          <w:szCs w:val="36"/>
          <w:highlight w:val="none"/>
        </w:rPr>
        <w:fldChar w:fldCharType="end"/>
      </w:r>
      <w:r>
        <w:rPr>
          <w:rFonts w:hint="eastAsia" w:ascii="仿宋" w:hAnsi="仿宋" w:eastAsia="仿宋"/>
          <w:b w:val="0"/>
          <w:sz w:val="36"/>
          <w:szCs w:val="36"/>
          <w:highlight w:val="none"/>
          <w:lang w:val="en-US" w:eastAsia="zh-CN"/>
        </w:rPr>
        <w:t>6</w:t>
      </w: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lang w:val="en-US" w:eastAsia="zh-CN"/>
        </w:rPr>
      </w:pPr>
      <w:r>
        <w:rPr>
          <w:highlight w:val="none"/>
        </w:rPr>
        <w:fldChar w:fldCharType="begin"/>
      </w:r>
      <w:r>
        <w:rPr>
          <w:highlight w:val="none"/>
        </w:rPr>
        <w:instrText xml:space="preserve"> HYPERLINK \l "_Toc74320802" </w:instrText>
      </w:r>
      <w:r>
        <w:rPr>
          <w:highlight w:val="none"/>
        </w:rPr>
        <w:fldChar w:fldCharType="separate"/>
      </w:r>
      <w:r>
        <w:rPr>
          <w:rStyle w:val="48"/>
          <w:rFonts w:hint="eastAsia" w:ascii="仿宋" w:hAnsi="仿宋" w:eastAsia="仿宋"/>
          <w:b w:val="0"/>
          <w:color w:val="auto"/>
          <w:sz w:val="36"/>
          <w:szCs w:val="36"/>
          <w:highlight w:val="none"/>
        </w:rPr>
        <w:t>第三章</w:t>
      </w:r>
      <w:r>
        <w:rPr>
          <w:rStyle w:val="48"/>
          <w:rFonts w:ascii="仿宋" w:hAnsi="仿宋" w:eastAsia="仿宋"/>
          <w:b w:val="0"/>
          <w:color w:val="auto"/>
          <w:sz w:val="36"/>
          <w:szCs w:val="36"/>
          <w:highlight w:val="none"/>
        </w:rPr>
        <w:t xml:space="preserve">  </w:t>
      </w:r>
      <w:r>
        <w:rPr>
          <w:rStyle w:val="48"/>
          <w:rFonts w:hint="eastAsia" w:ascii="仿宋" w:hAnsi="仿宋" w:eastAsia="仿宋"/>
          <w:b w:val="0"/>
          <w:color w:val="auto"/>
          <w:sz w:val="36"/>
          <w:szCs w:val="36"/>
          <w:highlight w:val="none"/>
        </w:rPr>
        <w:t>投标人须</w:t>
      </w:r>
      <w:bookmarkStart w:id="7" w:name="_Hlt79572744"/>
      <w:bookmarkStart w:id="8" w:name="_Hlt79572745"/>
      <w:r>
        <w:rPr>
          <w:rStyle w:val="48"/>
          <w:rFonts w:hint="eastAsia" w:ascii="仿宋" w:hAnsi="仿宋" w:eastAsia="仿宋"/>
          <w:b w:val="0"/>
          <w:color w:val="auto"/>
          <w:sz w:val="36"/>
          <w:szCs w:val="36"/>
          <w:highlight w:val="none"/>
        </w:rPr>
        <w:t>知</w:t>
      </w:r>
      <w:bookmarkEnd w:id="7"/>
      <w:bookmarkEnd w:id="8"/>
      <w:bookmarkStart w:id="9" w:name="_Hlt112290080"/>
      <w:bookmarkStart w:id="10" w:name="_Hlt112290079"/>
      <w:bookmarkStart w:id="11" w:name="_Hlt112295571"/>
      <w:bookmarkStart w:id="12" w:name="_Hlt115102046"/>
      <w:bookmarkStart w:id="13" w:name="_Hlt115102045"/>
      <w:bookmarkStart w:id="14" w:name="_Hlt112372199"/>
      <w:r>
        <w:rPr>
          <w:rFonts w:ascii="仿宋" w:hAnsi="仿宋" w:eastAsia="仿宋"/>
          <w:b w:val="0"/>
          <w:sz w:val="36"/>
          <w:szCs w:val="36"/>
          <w:highlight w:val="none"/>
        </w:rPr>
        <w:tab/>
      </w:r>
      <w:bookmarkEnd w:id="9"/>
      <w:bookmarkEnd w:id="10"/>
      <w:bookmarkEnd w:id="11"/>
      <w:bookmarkEnd w:id="12"/>
      <w:bookmarkEnd w:id="13"/>
      <w:bookmarkEnd w:id="14"/>
      <w:r>
        <w:rPr>
          <w:rFonts w:ascii="仿宋" w:hAnsi="仿宋" w:eastAsia="仿宋"/>
          <w:b w:val="0"/>
          <w:sz w:val="36"/>
          <w:szCs w:val="36"/>
          <w:highlight w:val="none"/>
        </w:rPr>
        <w:fldChar w:fldCharType="end"/>
      </w:r>
      <w:r>
        <w:rPr>
          <w:rFonts w:hint="eastAsia" w:ascii="仿宋" w:hAnsi="仿宋" w:eastAsia="仿宋"/>
          <w:b w:val="0"/>
          <w:sz w:val="36"/>
          <w:szCs w:val="36"/>
          <w:highlight w:val="none"/>
          <w:lang w:val="en-US" w:eastAsia="zh-CN"/>
        </w:rPr>
        <w:t>24</w:t>
      </w: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lang w:val="en-US" w:eastAsia="zh-CN"/>
        </w:rPr>
      </w:pPr>
      <w:r>
        <w:rPr>
          <w:highlight w:val="none"/>
        </w:rPr>
        <w:fldChar w:fldCharType="begin"/>
      </w:r>
      <w:r>
        <w:rPr>
          <w:highlight w:val="none"/>
        </w:rPr>
        <w:instrText xml:space="preserve"> HYPERLINK \l "_Toc74320803" </w:instrText>
      </w:r>
      <w:r>
        <w:rPr>
          <w:highlight w:val="none"/>
        </w:rPr>
        <w:fldChar w:fldCharType="separate"/>
      </w:r>
      <w:r>
        <w:rPr>
          <w:rStyle w:val="48"/>
          <w:rFonts w:hint="eastAsia" w:ascii="仿宋" w:hAnsi="仿宋" w:eastAsia="仿宋"/>
          <w:b w:val="0"/>
          <w:color w:val="auto"/>
          <w:sz w:val="36"/>
          <w:szCs w:val="36"/>
          <w:highlight w:val="none"/>
        </w:rPr>
        <w:t>第四章</w:t>
      </w:r>
      <w:r>
        <w:rPr>
          <w:rStyle w:val="48"/>
          <w:rFonts w:ascii="仿宋" w:hAnsi="仿宋" w:eastAsia="仿宋"/>
          <w:b w:val="0"/>
          <w:color w:val="auto"/>
          <w:sz w:val="36"/>
          <w:szCs w:val="36"/>
          <w:highlight w:val="none"/>
        </w:rPr>
        <w:t xml:space="preserve">  </w:t>
      </w:r>
      <w:r>
        <w:rPr>
          <w:rStyle w:val="48"/>
          <w:rFonts w:hint="eastAsia" w:ascii="仿宋" w:hAnsi="仿宋" w:eastAsia="仿宋"/>
          <w:b w:val="0"/>
          <w:color w:val="auto"/>
          <w:sz w:val="36"/>
          <w:szCs w:val="36"/>
          <w:highlight w:val="none"/>
        </w:rPr>
        <w:t>评标方</w:t>
      </w:r>
      <w:bookmarkStart w:id="15" w:name="_Hlt82186273"/>
      <w:bookmarkStart w:id="16" w:name="_Hlt82186274"/>
      <w:r>
        <w:rPr>
          <w:rStyle w:val="48"/>
          <w:rFonts w:hint="eastAsia" w:ascii="仿宋" w:hAnsi="仿宋" w:eastAsia="仿宋"/>
          <w:b w:val="0"/>
          <w:color w:val="auto"/>
          <w:sz w:val="36"/>
          <w:szCs w:val="36"/>
          <w:highlight w:val="none"/>
        </w:rPr>
        <w:t>法</w:t>
      </w:r>
      <w:bookmarkEnd w:id="15"/>
      <w:bookmarkEnd w:id="16"/>
      <w:r>
        <w:rPr>
          <w:rStyle w:val="48"/>
          <w:rFonts w:hint="eastAsia" w:ascii="仿宋" w:hAnsi="仿宋" w:eastAsia="仿宋"/>
          <w:b w:val="0"/>
          <w:color w:val="auto"/>
          <w:sz w:val="36"/>
          <w:szCs w:val="36"/>
          <w:highlight w:val="none"/>
        </w:rPr>
        <w:t>及</w:t>
      </w:r>
      <w:bookmarkStart w:id="17" w:name="_Hlt115102681"/>
      <w:bookmarkStart w:id="18" w:name="_Hlt115102492"/>
      <w:r>
        <w:rPr>
          <w:rStyle w:val="48"/>
          <w:rFonts w:hint="eastAsia" w:ascii="仿宋" w:hAnsi="仿宋" w:eastAsia="仿宋"/>
          <w:b w:val="0"/>
          <w:color w:val="auto"/>
          <w:sz w:val="36"/>
          <w:szCs w:val="36"/>
          <w:highlight w:val="none"/>
        </w:rPr>
        <w:t>评</w:t>
      </w:r>
      <w:bookmarkEnd w:id="17"/>
      <w:bookmarkEnd w:id="18"/>
      <w:bookmarkStart w:id="19" w:name="_Hlt112801462"/>
      <w:r>
        <w:rPr>
          <w:rStyle w:val="48"/>
          <w:rFonts w:hint="eastAsia" w:ascii="仿宋" w:hAnsi="仿宋" w:eastAsia="仿宋"/>
          <w:b w:val="0"/>
          <w:color w:val="auto"/>
          <w:sz w:val="36"/>
          <w:szCs w:val="36"/>
          <w:highlight w:val="none"/>
        </w:rPr>
        <w:t>标</w:t>
      </w:r>
      <w:bookmarkEnd w:id="19"/>
      <w:r>
        <w:rPr>
          <w:rStyle w:val="48"/>
          <w:rFonts w:hint="eastAsia" w:ascii="仿宋" w:hAnsi="仿宋" w:eastAsia="仿宋"/>
          <w:b w:val="0"/>
          <w:color w:val="auto"/>
          <w:sz w:val="36"/>
          <w:szCs w:val="36"/>
          <w:highlight w:val="none"/>
        </w:rPr>
        <w:t>标准</w:t>
      </w:r>
      <w:bookmarkStart w:id="20" w:name="_Hlt112801593"/>
      <w:r>
        <w:rPr>
          <w:rFonts w:ascii="仿宋" w:hAnsi="仿宋" w:eastAsia="仿宋"/>
          <w:b w:val="0"/>
          <w:sz w:val="36"/>
          <w:szCs w:val="36"/>
          <w:highlight w:val="none"/>
        </w:rPr>
        <w:tab/>
      </w:r>
      <w:bookmarkEnd w:id="20"/>
      <w:r>
        <w:rPr>
          <w:rFonts w:ascii="仿宋" w:hAnsi="仿宋" w:eastAsia="仿宋"/>
          <w:b w:val="0"/>
          <w:sz w:val="36"/>
          <w:szCs w:val="36"/>
          <w:highlight w:val="none"/>
        </w:rPr>
        <w:fldChar w:fldCharType="end"/>
      </w:r>
      <w:r>
        <w:rPr>
          <w:rFonts w:hint="eastAsia" w:ascii="仿宋" w:hAnsi="仿宋" w:eastAsia="仿宋"/>
          <w:b w:val="0"/>
          <w:sz w:val="36"/>
          <w:szCs w:val="36"/>
          <w:highlight w:val="none"/>
          <w:lang w:val="en-US" w:eastAsia="zh-CN"/>
        </w:rPr>
        <w:t>47</w:t>
      </w: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rPr>
      </w:pPr>
      <w:r>
        <w:rPr>
          <w:highlight w:val="none"/>
        </w:rPr>
        <w:fldChar w:fldCharType="begin"/>
      </w:r>
      <w:r>
        <w:rPr>
          <w:highlight w:val="none"/>
        </w:rPr>
        <w:instrText xml:space="preserve"> HYPERLINK \l "_Toc74320804" </w:instrText>
      </w:r>
      <w:r>
        <w:rPr>
          <w:highlight w:val="none"/>
        </w:rPr>
        <w:fldChar w:fldCharType="separate"/>
      </w:r>
      <w:r>
        <w:rPr>
          <w:rStyle w:val="48"/>
          <w:rFonts w:hint="eastAsia" w:ascii="仿宋" w:hAnsi="仿宋" w:eastAsia="仿宋"/>
          <w:b w:val="0"/>
          <w:color w:val="auto"/>
          <w:sz w:val="36"/>
          <w:szCs w:val="36"/>
          <w:highlight w:val="none"/>
        </w:rPr>
        <w:t>第五章</w:t>
      </w:r>
      <w:r>
        <w:rPr>
          <w:rStyle w:val="48"/>
          <w:rFonts w:ascii="仿宋" w:hAnsi="仿宋" w:eastAsia="仿宋"/>
          <w:b w:val="0"/>
          <w:color w:val="auto"/>
          <w:sz w:val="36"/>
          <w:szCs w:val="36"/>
          <w:highlight w:val="none"/>
        </w:rPr>
        <w:t xml:space="preserve">  </w:t>
      </w:r>
      <w:r>
        <w:rPr>
          <w:rStyle w:val="48"/>
          <w:rFonts w:hint="eastAsia" w:ascii="仿宋" w:hAnsi="仿宋" w:eastAsia="仿宋"/>
          <w:b w:val="0"/>
          <w:color w:val="auto"/>
          <w:sz w:val="36"/>
          <w:szCs w:val="36"/>
          <w:highlight w:val="none"/>
        </w:rPr>
        <w:t>拟签订的合同文本</w:t>
      </w:r>
      <w:r>
        <w:rPr>
          <w:rFonts w:ascii="仿宋" w:hAnsi="仿宋" w:eastAsia="仿宋"/>
          <w:b w:val="0"/>
          <w:sz w:val="36"/>
          <w:szCs w:val="36"/>
          <w:highlight w:val="none"/>
        </w:rPr>
        <w:tab/>
      </w:r>
      <w:r>
        <w:rPr>
          <w:rFonts w:ascii="仿宋" w:hAnsi="仿宋" w:eastAsia="仿宋"/>
          <w:b w:val="0"/>
          <w:sz w:val="36"/>
          <w:szCs w:val="36"/>
          <w:highlight w:val="none"/>
        </w:rPr>
        <w:fldChar w:fldCharType="end"/>
      </w:r>
      <w:r>
        <w:rPr>
          <w:rFonts w:hint="eastAsia" w:ascii="仿宋" w:hAnsi="仿宋" w:eastAsia="仿宋"/>
          <w:b w:val="0"/>
          <w:sz w:val="36"/>
          <w:szCs w:val="36"/>
          <w:highlight w:val="none"/>
          <w:lang w:val="en-US" w:eastAsia="zh-CN"/>
        </w:rPr>
        <w:t>5</w:t>
      </w:r>
      <w:r>
        <w:rPr>
          <w:rFonts w:hint="eastAsia" w:ascii="仿宋" w:hAnsi="仿宋" w:eastAsia="仿宋"/>
          <w:b w:val="0"/>
          <w:sz w:val="36"/>
          <w:szCs w:val="36"/>
          <w:highlight w:val="none"/>
        </w:rPr>
        <w:t>5</w:t>
      </w: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lang w:val="en-US" w:eastAsia="zh-CN"/>
        </w:rPr>
      </w:pPr>
      <w:r>
        <w:rPr>
          <w:highlight w:val="none"/>
        </w:rPr>
        <w:fldChar w:fldCharType="begin"/>
      </w:r>
      <w:r>
        <w:rPr>
          <w:highlight w:val="none"/>
        </w:rPr>
        <w:instrText xml:space="preserve"> HYPERLINK \l "_Toc74320805" </w:instrText>
      </w:r>
      <w:r>
        <w:rPr>
          <w:highlight w:val="none"/>
        </w:rPr>
        <w:fldChar w:fldCharType="separate"/>
      </w:r>
      <w:r>
        <w:rPr>
          <w:rStyle w:val="48"/>
          <w:rFonts w:hint="eastAsia" w:ascii="仿宋" w:hAnsi="仿宋" w:eastAsia="仿宋"/>
          <w:b w:val="0"/>
          <w:color w:val="auto"/>
          <w:sz w:val="36"/>
          <w:szCs w:val="36"/>
          <w:highlight w:val="none"/>
        </w:rPr>
        <w:t>第六章　投标文件格式</w:t>
      </w:r>
      <w:bookmarkStart w:id="21" w:name="_Hlt112372474"/>
      <w:r>
        <w:rPr>
          <w:rFonts w:ascii="仿宋" w:hAnsi="仿宋" w:eastAsia="仿宋"/>
          <w:b w:val="0"/>
          <w:sz w:val="36"/>
          <w:szCs w:val="36"/>
          <w:highlight w:val="none"/>
        </w:rPr>
        <w:tab/>
      </w:r>
      <w:bookmarkEnd w:id="21"/>
      <w:r>
        <w:rPr>
          <w:rFonts w:ascii="仿宋" w:hAnsi="仿宋" w:eastAsia="仿宋"/>
          <w:b w:val="0"/>
          <w:sz w:val="36"/>
          <w:szCs w:val="36"/>
          <w:highlight w:val="none"/>
        </w:rPr>
        <w:fldChar w:fldCharType="end"/>
      </w:r>
      <w:r>
        <w:rPr>
          <w:rFonts w:hint="eastAsia" w:ascii="仿宋" w:hAnsi="仿宋" w:eastAsia="仿宋"/>
          <w:b w:val="0"/>
          <w:sz w:val="36"/>
          <w:szCs w:val="36"/>
          <w:highlight w:val="none"/>
          <w:lang w:val="en-US" w:eastAsia="zh-CN"/>
        </w:rPr>
        <w:t>68</w:t>
      </w:r>
    </w:p>
    <w:p>
      <w:pPr>
        <w:spacing w:line="480" w:lineRule="auto"/>
        <w:jc w:val="center"/>
        <w:rPr>
          <w:rFonts w:hint="eastAsia" w:ascii="仿宋" w:hAnsi="仿宋" w:eastAsia="仿宋"/>
          <w:sz w:val="24"/>
          <w:highlight w:val="none"/>
        </w:rPr>
      </w:pPr>
      <w:r>
        <w:rPr>
          <w:rFonts w:ascii="仿宋" w:hAnsi="仿宋" w:eastAsia="仿宋"/>
          <w:sz w:val="36"/>
          <w:szCs w:val="36"/>
          <w:highlight w:val="none"/>
        </w:rPr>
        <w:fldChar w:fldCharType="end"/>
      </w:r>
    </w:p>
    <w:p>
      <w:pPr>
        <w:spacing w:before="120" w:beforeLines="50" w:line="480" w:lineRule="exact"/>
        <w:rPr>
          <w:rFonts w:hint="eastAsia" w:ascii="仿宋" w:hAnsi="仿宋" w:eastAsia="仿宋"/>
          <w:sz w:val="30"/>
          <w:highlight w:val="none"/>
        </w:rPr>
      </w:pPr>
    </w:p>
    <w:p>
      <w:pPr>
        <w:pStyle w:val="13"/>
        <w:rPr>
          <w:rFonts w:hint="eastAsia" w:ascii="仿宋" w:hAnsi="仿宋" w:eastAsia="仿宋" w:cs="宋体"/>
          <w:b/>
          <w:bCs/>
          <w:highlight w:val="none"/>
        </w:rPr>
      </w:pPr>
      <w:bookmarkStart w:id="22" w:name="_Toc254970489"/>
      <w:bookmarkStart w:id="23" w:name="_Toc254970630"/>
    </w:p>
    <w:p>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cs="宋体"/>
          <w:b w:val="0"/>
          <w:bCs w:val="0"/>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highlight w:val="none"/>
        </w:rPr>
      </w:pPr>
      <w:r>
        <w:rPr>
          <w:highlight w:val="none"/>
        </w:rPr>
        <w:br w:type="page"/>
      </w:r>
      <w:bookmarkStart w:id="24" w:name="_Toc74320800"/>
      <w:r>
        <w:rPr>
          <w:rFonts w:hint="eastAsia" w:ascii="仿宋" w:hAnsi="仿宋" w:eastAsia="仿宋"/>
          <w:highlight w:val="none"/>
        </w:rPr>
        <w:t>第一章</w:t>
      </w:r>
      <w:bookmarkEnd w:id="22"/>
      <w:bookmarkEnd w:id="23"/>
      <w:bookmarkStart w:id="25" w:name="_Toc35393789"/>
      <w:bookmarkStart w:id="26" w:name="_Toc28359001"/>
      <w:r>
        <w:rPr>
          <w:rFonts w:hint="eastAsia" w:ascii="仿宋" w:hAnsi="仿宋" w:eastAsia="仿宋"/>
          <w:highlight w:val="none"/>
        </w:rPr>
        <w:t xml:space="preserve"> 招标公告</w:t>
      </w:r>
      <w:bookmarkEnd w:id="24"/>
      <w:bookmarkEnd w:id="25"/>
      <w:bookmarkEnd w:id="26"/>
    </w:p>
    <w:p>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bCs w:val="0"/>
          <w:kern w:val="2"/>
          <w:sz w:val="30"/>
          <w:szCs w:val="30"/>
          <w:highlight w:val="none"/>
        </w:rPr>
      </w:pPr>
      <w:bookmarkStart w:id="207" w:name="_GoBack"/>
      <w:bookmarkStart w:id="27" w:name="OLE_LINK12"/>
      <w:bookmarkStart w:id="28" w:name="OLE_LINK38"/>
      <w:r>
        <w:rPr>
          <w:rFonts w:hint="eastAsia" w:ascii="仿宋" w:hAnsi="仿宋" w:eastAsia="仿宋"/>
          <w:sz w:val="30"/>
          <w:szCs w:val="30"/>
          <w:highlight w:val="none"/>
          <w:lang w:eastAsia="zh-CN"/>
        </w:rPr>
        <w:t>2024年广西重大公共卫生服务艾滋病防治项目（重）</w:t>
      </w:r>
      <w:r>
        <w:rPr>
          <w:rFonts w:hint="eastAsia" w:ascii="仿宋" w:hAnsi="仿宋" w:eastAsia="仿宋"/>
          <w:bCs w:val="0"/>
          <w:kern w:val="2"/>
          <w:sz w:val="30"/>
          <w:szCs w:val="30"/>
          <w:highlight w:val="none"/>
        </w:rPr>
        <w:t>（</w:t>
      </w:r>
      <w:r>
        <w:rPr>
          <w:rFonts w:hint="eastAsia" w:ascii="仿宋" w:hAnsi="仿宋" w:eastAsia="仿宋"/>
          <w:bCs w:val="0"/>
          <w:kern w:val="2"/>
          <w:sz w:val="30"/>
          <w:szCs w:val="30"/>
          <w:highlight w:val="none"/>
          <w:lang w:eastAsia="zh-CN"/>
        </w:rPr>
        <w:t>GLZC2025-G1-250023-KWZB</w:t>
      </w:r>
      <w:r>
        <w:rPr>
          <w:rFonts w:hint="eastAsia" w:ascii="仿宋" w:hAnsi="仿宋" w:eastAsia="仿宋"/>
          <w:bCs w:val="0"/>
          <w:kern w:val="2"/>
          <w:sz w:val="30"/>
          <w:szCs w:val="30"/>
          <w:highlight w:val="none"/>
        </w:rPr>
        <w:t>）招标</w:t>
      </w:r>
      <w:r>
        <w:rPr>
          <w:rFonts w:hint="eastAsia" w:ascii="仿宋" w:hAnsi="仿宋" w:eastAsia="仿宋"/>
          <w:sz w:val="30"/>
          <w:szCs w:val="30"/>
          <w:highlight w:val="none"/>
        </w:rPr>
        <w:t>公告</w:t>
      </w:r>
    </w:p>
    <w:p>
      <w:pPr>
        <w:pBdr>
          <w:top w:val="single" w:color="auto" w:sz="4" w:space="1"/>
          <w:left w:val="single" w:color="auto" w:sz="4" w:space="4"/>
          <w:bottom w:val="single" w:color="auto" w:sz="4" w:space="1"/>
          <w:right w:val="single" w:color="auto" w:sz="4" w:space="4"/>
        </w:pBdr>
        <w:spacing w:line="400" w:lineRule="exact"/>
        <w:rPr>
          <w:rFonts w:hint="eastAsia" w:ascii="仿宋" w:hAnsi="仿宋" w:eastAsia="仿宋"/>
          <w:sz w:val="24"/>
          <w:highlight w:val="none"/>
        </w:rPr>
      </w:pPr>
      <w:r>
        <w:rPr>
          <w:rFonts w:hint="eastAsia" w:ascii="仿宋" w:hAnsi="仿宋" w:eastAsia="仿宋"/>
          <w:sz w:val="24"/>
          <w:highlight w:val="none"/>
        </w:rPr>
        <w:t>项目概况</w:t>
      </w:r>
    </w:p>
    <w:p>
      <w:pPr>
        <w:pBdr>
          <w:top w:val="single" w:color="auto" w:sz="4" w:space="1"/>
          <w:left w:val="single" w:color="auto" w:sz="4" w:space="4"/>
          <w:bottom w:val="single" w:color="auto" w:sz="4" w:space="1"/>
          <w:right w:val="single" w:color="auto" w:sz="4" w:space="4"/>
        </w:pBdr>
        <w:wordWrap w:val="0"/>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u w:val="single"/>
          <w:lang w:eastAsia="zh-CN"/>
        </w:rPr>
        <w:t>2024年广西重大公共卫生服务艾滋病防治项目（重）</w:t>
      </w:r>
      <w:r>
        <w:rPr>
          <w:rFonts w:hint="eastAsia" w:ascii="仿宋" w:hAnsi="仿宋" w:eastAsia="仿宋"/>
          <w:sz w:val="24"/>
          <w:highlight w:val="none"/>
        </w:rPr>
        <w:t>招标项目的潜在投标人应在</w:t>
      </w:r>
      <w:r>
        <w:rPr>
          <w:rFonts w:hint="eastAsia" w:ascii="仿宋" w:hAnsi="仿宋" w:eastAsia="仿宋"/>
          <w:sz w:val="24"/>
          <w:highlight w:val="none"/>
          <w:u w:val="single"/>
        </w:rPr>
        <w:t>“广西政府采购云平台”（</w:t>
      </w:r>
      <w:r>
        <w:rPr>
          <w:highlight w:val="none"/>
        </w:rPr>
        <w:fldChar w:fldCharType="begin"/>
      </w:r>
      <w:r>
        <w:rPr>
          <w:highlight w:val="none"/>
        </w:rPr>
        <w:instrText xml:space="preserve"> HYPERLINK "%20https://www.gcy.zfcg.gxzf.gov.cn/）获取招标文件，并于2024年12月" </w:instrText>
      </w:r>
      <w:r>
        <w:rPr>
          <w:highlight w:val="none"/>
        </w:rPr>
        <w:fldChar w:fldCharType="separate"/>
      </w:r>
      <w:r>
        <w:rPr>
          <w:rStyle w:val="48"/>
          <w:color w:val="auto"/>
          <w:highlight w:val="none"/>
          <w:u w:val="single"/>
        </w:rPr>
        <w:t xml:space="preserve"> </w:t>
      </w:r>
      <w:r>
        <w:rPr>
          <w:rStyle w:val="48"/>
          <w:rFonts w:ascii="仿宋" w:hAnsi="仿宋" w:eastAsia="仿宋"/>
          <w:color w:val="auto"/>
          <w:sz w:val="24"/>
          <w:highlight w:val="none"/>
          <w:u w:val="single"/>
        </w:rPr>
        <w:t>https://www.gcy.zfcg.gxzf.gov.cn/</w:t>
      </w:r>
      <w:r>
        <w:rPr>
          <w:rStyle w:val="48"/>
          <w:rFonts w:hint="eastAsia" w:ascii="仿宋" w:hAnsi="仿宋" w:eastAsia="仿宋"/>
          <w:color w:val="auto"/>
          <w:sz w:val="24"/>
          <w:highlight w:val="none"/>
          <w:u w:val="single"/>
        </w:rPr>
        <w:t>）</w:t>
      </w:r>
      <w:r>
        <w:rPr>
          <w:rStyle w:val="48"/>
          <w:rFonts w:hint="eastAsia" w:ascii="仿宋" w:hAnsi="仿宋" w:eastAsia="仿宋"/>
          <w:color w:val="auto"/>
          <w:sz w:val="24"/>
          <w:highlight w:val="none"/>
        </w:rPr>
        <w:t>获</w:t>
      </w:r>
      <w:bookmarkStart w:id="29" w:name="_Hlt121492101"/>
      <w:bookmarkStart w:id="30" w:name="_Hlt121492100"/>
      <w:r>
        <w:rPr>
          <w:rStyle w:val="48"/>
          <w:rFonts w:hint="eastAsia" w:ascii="仿宋" w:hAnsi="仿宋" w:eastAsia="仿宋"/>
          <w:color w:val="auto"/>
          <w:sz w:val="24"/>
          <w:highlight w:val="none"/>
        </w:rPr>
        <w:t>取</w:t>
      </w:r>
      <w:bookmarkEnd w:id="29"/>
      <w:bookmarkEnd w:id="30"/>
      <w:r>
        <w:rPr>
          <w:rStyle w:val="48"/>
          <w:rFonts w:hint="eastAsia" w:ascii="仿宋" w:hAnsi="仿宋" w:eastAsia="仿宋"/>
          <w:color w:val="auto"/>
          <w:sz w:val="24"/>
          <w:highlight w:val="none"/>
        </w:rPr>
        <w:t>招标文件，并于</w:t>
      </w:r>
      <w:r>
        <w:rPr>
          <w:rStyle w:val="48"/>
          <w:rFonts w:ascii="仿宋" w:hAnsi="仿宋" w:eastAsia="仿宋"/>
          <w:color w:val="auto"/>
          <w:sz w:val="24"/>
          <w:highlight w:val="none"/>
        </w:rPr>
        <w:t>202</w:t>
      </w:r>
      <w:r>
        <w:rPr>
          <w:rStyle w:val="48"/>
          <w:rFonts w:hint="eastAsia" w:ascii="仿宋" w:hAnsi="仿宋" w:eastAsia="仿宋"/>
          <w:color w:val="auto"/>
          <w:sz w:val="24"/>
          <w:highlight w:val="none"/>
        </w:rPr>
        <w:t>5年</w:t>
      </w:r>
      <w:r>
        <w:rPr>
          <w:rStyle w:val="48"/>
          <w:rFonts w:hint="eastAsia" w:ascii="仿宋" w:hAnsi="仿宋" w:eastAsia="仿宋"/>
          <w:color w:val="auto"/>
          <w:sz w:val="24"/>
          <w:highlight w:val="none"/>
          <w:lang w:val="en-US" w:eastAsia="zh-CN"/>
        </w:rPr>
        <w:t>5</w:t>
      </w:r>
      <w:r>
        <w:rPr>
          <w:rStyle w:val="48"/>
          <w:rFonts w:hint="eastAsia" w:ascii="仿宋" w:hAnsi="仿宋" w:eastAsia="仿宋"/>
          <w:color w:val="auto"/>
          <w:sz w:val="24"/>
          <w:highlight w:val="none"/>
        </w:rPr>
        <w:t>月</w:t>
      </w:r>
      <w:r>
        <w:rPr>
          <w:rStyle w:val="48"/>
          <w:rFonts w:hint="eastAsia" w:ascii="仿宋" w:hAnsi="仿宋" w:eastAsia="仿宋"/>
          <w:color w:val="auto"/>
          <w:sz w:val="24"/>
          <w:highlight w:val="none"/>
        </w:rPr>
        <w:fldChar w:fldCharType="end"/>
      </w:r>
      <w:r>
        <w:rPr>
          <w:rFonts w:hint="eastAsia" w:ascii="仿宋" w:hAnsi="仿宋" w:eastAsia="仿宋"/>
          <w:sz w:val="24"/>
          <w:highlight w:val="none"/>
          <w:lang w:val="en-US" w:eastAsia="zh-CN"/>
        </w:rPr>
        <w:t>19</w:t>
      </w:r>
      <w:r>
        <w:rPr>
          <w:rFonts w:hint="eastAsia" w:ascii="仿宋" w:hAnsi="仿宋" w:eastAsia="仿宋"/>
          <w:sz w:val="24"/>
          <w:highlight w:val="none"/>
        </w:rPr>
        <w:t>日</w:t>
      </w:r>
      <w:r>
        <w:rPr>
          <w:rFonts w:ascii="仿宋" w:hAnsi="仿宋" w:eastAsia="仿宋"/>
          <w:sz w:val="24"/>
          <w:highlight w:val="none"/>
        </w:rPr>
        <w:t>9</w:t>
      </w:r>
      <w:r>
        <w:rPr>
          <w:rFonts w:hint="eastAsia" w:ascii="仿宋" w:hAnsi="仿宋" w:eastAsia="仿宋"/>
          <w:sz w:val="24"/>
          <w:highlight w:val="none"/>
        </w:rPr>
        <w:t>：</w:t>
      </w:r>
      <w:r>
        <w:rPr>
          <w:rFonts w:ascii="仿宋" w:hAnsi="仿宋" w:eastAsia="仿宋"/>
          <w:sz w:val="24"/>
          <w:highlight w:val="none"/>
        </w:rPr>
        <w:t>30</w:t>
      </w:r>
      <w:r>
        <w:rPr>
          <w:rFonts w:hint="eastAsia" w:ascii="仿宋" w:hAnsi="仿宋" w:eastAsia="仿宋"/>
          <w:sz w:val="24"/>
          <w:highlight w:val="none"/>
        </w:rPr>
        <w:t>（北京时间）前递交投标</w:t>
      </w:r>
      <w:r>
        <w:rPr>
          <w:rFonts w:ascii="仿宋" w:hAnsi="仿宋" w:eastAsia="仿宋"/>
          <w:sz w:val="24"/>
          <w:highlight w:val="none"/>
        </w:rPr>
        <w:t>文件</w:t>
      </w:r>
      <w:r>
        <w:rPr>
          <w:rFonts w:hint="eastAsia" w:ascii="仿宋" w:hAnsi="仿宋" w:eastAsia="仿宋"/>
          <w:sz w:val="24"/>
          <w:highlight w:val="none"/>
        </w:rPr>
        <w:t>。</w:t>
      </w:r>
    </w:p>
    <w:p>
      <w:pPr>
        <w:spacing w:line="400" w:lineRule="exact"/>
        <w:rPr>
          <w:rFonts w:hint="eastAsia" w:ascii="仿宋" w:hAnsi="仿宋" w:eastAsia="仿宋"/>
          <w:b/>
          <w:bCs/>
          <w:sz w:val="24"/>
          <w:highlight w:val="none"/>
        </w:rPr>
      </w:pPr>
      <w:bookmarkStart w:id="31" w:name="_Toc35393621"/>
      <w:bookmarkStart w:id="32" w:name="_Toc28359079"/>
      <w:bookmarkStart w:id="33" w:name="_Toc28359002"/>
      <w:bookmarkStart w:id="34" w:name="_Toc35393790"/>
      <w:bookmarkStart w:id="35" w:name="_Hlk24379207"/>
      <w:r>
        <w:rPr>
          <w:rFonts w:hint="eastAsia" w:ascii="仿宋" w:hAnsi="仿宋" w:eastAsia="仿宋"/>
          <w:b/>
          <w:bCs/>
          <w:sz w:val="24"/>
          <w:highlight w:val="none"/>
        </w:rPr>
        <w:t>一、项目基本情况</w:t>
      </w:r>
      <w:bookmarkEnd w:id="31"/>
      <w:bookmarkEnd w:id="32"/>
      <w:bookmarkEnd w:id="33"/>
      <w:bookmarkEnd w:id="34"/>
    </w:p>
    <w:p>
      <w:pPr>
        <w:spacing w:line="400" w:lineRule="exact"/>
        <w:ind w:firstLine="480" w:firstLineChars="200"/>
        <w:rPr>
          <w:rFonts w:hint="eastAsia" w:ascii="仿宋" w:hAnsi="仿宋" w:eastAsia="仿宋"/>
          <w:sz w:val="24"/>
          <w:highlight w:val="none"/>
          <w:lang w:eastAsia="zh-CN"/>
        </w:rPr>
      </w:pPr>
      <w:r>
        <w:rPr>
          <w:rFonts w:hint="eastAsia" w:ascii="仿宋" w:hAnsi="仿宋" w:eastAsia="仿宋"/>
          <w:sz w:val="24"/>
          <w:highlight w:val="none"/>
        </w:rPr>
        <w:t>项目编号：</w:t>
      </w:r>
      <w:r>
        <w:rPr>
          <w:rFonts w:hint="eastAsia" w:ascii="仿宋" w:hAnsi="仿宋" w:eastAsia="仿宋"/>
          <w:sz w:val="24"/>
          <w:highlight w:val="none"/>
          <w:lang w:eastAsia="zh-CN"/>
        </w:rPr>
        <w:t>GLZC2025-G1-250023-KWZB</w:t>
      </w:r>
    </w:p>
    <w:p>
      <w:pPr>
        <w:spacing w:line="400" w:lineRule="exact"/>
        <w:ind w:firstLine="480" w:firstLineChars="200"/>
        <w:rPr>
          <w:rFonts w:hint="eastAsia" w:ascii="仿宋" w:hAnsi="仿宋" w:eastAsia="仿宋"/>
          <w:sz w:val="24"/>
          <w:highlight w:val="none"/>
          <w:lang w:eastAsia="zh-CN"/>
        </w:rPr>
      </w:pPr>
      <w:r>
        <w:rPr>
          <w:rFonts w:hint="eastAsia" w:ascii="仿宋" w:hAnsi="仿宋" w:eastAsia="仿宋"/>
          <w:sz w:val="24"/>
          <w:highlight w:val="none"/>
        </w:rPr>
        <w:t>项目名称：</w:t>
      </w:r>
      <w:r>
        <w:rPr>
          <w:rFonts w:hint="eastAsia" w:ascii="仿宋" w:hAnsi="仿宋" w:eastAsia="仿宋" w:cs="Arial"/>
          <w:bCs/>
          <w:sz w:val="24"/>
          <w:highlight w:val="none"/>
          <w:lang w:eastAsia="zh-CN"/>
        </w:rPr>
        <w:t>2024年广西重大公共卫生服务艾滋病防治项目（重）</w:t>
      </w:r>
    </w:p>
    <w:bookmarkEnd w:id="35"/>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预算总金额（元）：</w:t>
      </w:r>
      <w:bookmarkStart w:id="36" w:name="OLE_LINK11"/>
      <w:r>
        <w:rPr>
          <w:rFonts w:hint="eastAsia" w:ascii="仿宋" w:hAnsi="仿宋" w:eastAsia="仿宋"/>
          <w:iCs/>
          <w:sz w:val="24"/>
          <w:highlight w:val="none"/>
        </w:rPr>
        <w:t>2100000</w:t>
      </w:r>
      <w:bookmarkEnd w:id="36"/>
      <w:r>
        <w:rPr>
          <w:rFonts w:ascii="仿宋" w:hAnsi="仿宋" w:eastAsia="仿宋"/>
          <w:iCs/>
          <w:sz w:val="24"/>
          <w:highlight w:val="none"/>
        </w:rPr>
        <w:t>.00</w:t>
      </w:r>
      <w:r>
        <w:rPr>
          <w:rFonts w:hint="eastAsia" w:ascii="仿宋" w:hAnsi="仿宋" w:eastAsia="仿宋"/>
          <w:sz w:val="24"/>
          <w:highlight w:val="none"/>
        </w:rPr>
        <w:t>元</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采购需求：</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标项名称</w:t>
      </w:r>
      <w:r>
        <w:rPr>
          <w:rFonts w:ascii="仿宋" w:hAnsi="仿宋" w:eastAsia="仿宋"/>
          <w:sz w:val="24"/>
          <w:highlight w:val="none"/>
        </w:rPr>
        <w:t>：</w:t>
      </w:r>
      <w:r>
        <w:rPr>
          <w:rFonts w:hint="eastAsia" w:ascii="仿宋" w:hAnsi="仿宋" w:eastAsia="仿宋" w:cs="Arial"/>
          <w:bCs/>
          <w:sz w:val="24"/>
          <w:highlight w:val="none"/>
        </w:rPr>
        <w:t>兴安县人民医院HIV实验室医疗设备</w:t>
      </w:r>
    </w:p>
    <w:p>
      <w:pPr>
        <w:spacing w:line="400" w:lineRule="exact"/>
        <w:ind w:firstLine="480" w:firstLineChars="200"/>
        <w:rPr>
          <w:rFonts w:hint="eastAsia" w:ascii="仿宋" w:hAnsi="仿宋" w:eastAsia="仿宋"/>
          <w:sz w:val="24"/>
          <w:highlight w:val="none"/>
          <w:lang w:val="en-US" w:eastAsia="zh-CN"/>
        </w:rPr>
      </w:pPr>
      <w:r>
        <w:rPr>
          <w:rFonts w:hint="eastAsia" w:ascii="仿宋" w:hAnsi="仿宋" w:eastAsia="仿宋"/>
          <w:sz w:val="24"/>
          <w:highlight w:val="none"/>
        </w:rPr>
        <w:t>数量</w:t>
      </w:r>
      <w:r>
        <w:rPr>
          <w:rFonts w:ascii="仿宋" w:hAnsi="仿宋" w:eastAsia="仿宋"/>
          <w:sz w:val="24"/>
          <w:highlight w:val="none"/>
        </w:rPr>
        <w:t>：</w:t>
      </w:r>
      <w:r>
        <w:rPr>
          <w:rFonts w:hint="eastAsia" w:ascii="仿宋" w:hAnsi="仿宋" w:eastAsia="仿宋"/>
          <w:sz w:val="24"/>
          <w:highlight w:val="none"/>
          <w:lang w:val="en-US" w:eastAsia="zh-CN"/>
        </w:rPr>
        <w:t>1批</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预算</w:t>
      </w:r>
      <w:r>
        <w:rPr>
          <w:rFonts w:ascii="仿宋" w:hAnsi="仿宋" w:eastAsia="仿宋"/>
          <w:sz w:val="24"/>
          <w:highlight w:val="none"/>
        </w:rPr>
        <w:t>金额（</w:t>
      </w:r>
      <w:r>
        <w:rPr>
          <w:rFonts w:hint="eastAsia" w:ascii="仿宋" w:hAnsi="仿宋" w:eastAsia="仿宋"/>
          <w:sz w:val="24"/>
          <w:highlight w:val="none"/>
        </w:rPr>
        <w:t>元</w:t>
      </w:r>
      <w:r>
        <w:rPr>
          <w:rFonts w:ascii="仿宋" w:hAnsi="仿宋" w:eastAsia="仿宋"/>
          <w:sz w:val="24"/>
          <w:highlight w:val="none"/>
        </w:rPr>
        <w:t>）</w:t>
      </w:r>
      <w:r>
        <w:rPr>
          <w:rFonts w:hint="eastAsia" w:ascii="仿宋" w:hAnsi="仿宋" w:eastAsia="仿宋"/>
          <w:sz w:val="24"/>
          <w:highlight w:val="none"/>
        </w:rPr>
        <w:t>：</w:t>
      </w:r>
      <w:bookmarkStart w:id="37" w:name="OLE_LINK1"/>
      <w:r>
        <w:rPr>
          <w:rFonts w:hint="eastAsia" w:ascii="仿宋" w:hAnsi="仿宋" w:eastAsia="仿宋"/>
          <w:iCs/>
          <w:sz w:val="24"/>
          <w:highlight w:val="none"/>
        </w:rPr>
        <w:t>2100000</w:t>
      </w:r>
      <w:r>
        <w:rPr>
          <w:rFonts w:ascii="仿宋" w:hAnsi="仿宋" w:eastAsia="仿宋"/>
          <w:iCs/>
          <w:sz w:val="24"/>
          <w:highlight w:val="none"/>
        </w:rPr>
        <w:t>.00</w:t>
      </w:r>
      <w:bookmarkEnd w:id="37"/>
      <w:r>
        <w:rPr>
          <w:rFonts w:hint="eastAsia" w:ascii="仿宋" w:hAnsi="仿宋" w:eastAsia="仿宋"/>
          <w:sz w:val="24"/>
          <w:highlight w:val="none"/>
        </w:rPr>
        <w:t>元</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简要规格</w:t>
      </w:r>
      <w:r>
        <w:rPr>
          <w:rFonts w:ascii="仿宋" w:hAnsi="仿宋" w:eastAsia="仿宋"/>
          <w:sz w:val="24"/>
          <w:highlight w:val="none"/>
        </w:rPr>
        <w:t>描述或项目基本概况介绍、用途：</w:t>
      </w:r>
      <w:r>
        <w:rPr>
          <w:rFonts w:hint="eastAsia" w:ascii="仿宋" w:hAnsi="仿宋" w:eastAsia="仿宋"/>
          <w:sz w:val="24"/>
          <w:highlight w:val="none"/>
        </w:rPr>
        <w:t>用于</w:t>
      </w:r>
      <w:r>
        <w:rPr>
          <w:rFonts w:hint="eastAsia" w:ascii="仿宋" w:hAnsi="仿宋" w:eastAsia="仿宋" w:cs="宋体"/>
          <w:color w:val="000000"/>
          <w:sz w:val="24"/>
          <w:highlight w:val="none"/>
        </w:rPr>
        <w:t>艾滋病防治工作</w:t>
      </w:r>
      <w:r>
        <w:rPr>
          <w:rFonts w:hint="eastAsia" w:ascii="仿宋" w:hAnsi="仿宋" w:eastAsia="仿宋"/>
          <w:sz w:val="24"/>
          <w:highlight w:val="none"/>
        </w:rPr>
        <w:t>。全自动蛋白印迹仪1套、全自动核酸提取及荧光PCR检测系统1套、生物安全柜</w:t>
      </w:r>
      <w:bookmarkStart w:id="38" w:name="OLE_LINK17"/>
      <w:r>
        <w:rPr>
          <w:rFonts w:hint="eastAsia" w:ascii="仿宋" w:hAnsi="仿宋" w:eastAsia="仿宋"/>
          <w:sz w:val="24"/>
          <w:highlight w:val="none"/>
        </w:rPr>
        <w:t>1台</w:t>
      </w:r>
      <w:bookmarkEnd w:id="38"/>
      <w:r>
        <w:rPr>
          <w:rFonts w:hint="eastAsia" w:ascii="仿宋" w:hAnsi="仿宋" w:eastAsia="仿宋"/>
          <w:sz w:val="24"/>
          <w:highlight w:val="none"/>
        </w:rPr>
        <w:t>、医用冷藏冷冻箱2台、流式细胞仪1台、裂解仪1台，规格</w:t>
      </w:r>
      <w:r>
        <w:rPr>
          <w:rFonts w:ascii="仿宋" w:hAnsi="仿宋" w:eastAsia="仿宋"/>
          <w:sz w:val="24"/>
          <w:highlight w:val="none"/>
        </w:rPr>
        <w:t>描述</w:t>
      </w:r>
      <w:r>
        <w:rPr>
          <w:rFonts w:hint="eastAsia" w:ascii="仿宋" w:hAnsi="仿宋" w:eastAsia="仿宋"/>
          <w:sz w:val="24"/>
          <w:highlight w:val="none"/>
        </w:rPr>
        <w:t>、技术要求等具体内容详见招标文件。</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最高限价（如有）：</w:t>
      </w:r>
      <w:r>
        <w:rPr>
          <w:rFonts w:hint="eastAsia" w:ascii="仿宋" w:hAnsi="仿宋" w:eastAsia="仿宋"/>
          <w:iCs/>
          <w:sz w:val="24"/>
          <w:highlight w:val="none"/>
        </w:rPr>
        <w:t>2100000</w:t>
      </w:r>
      <w:r>
        <w:rPr>
          <w:rFonts w:ascii="仿宋" w:hAnsi="仿宋" w:eastAsia="仿宋"/>
          <w:iCs/>
          <w:sz w:val="24"/>
          <w:highlight w:val="none"/>
        </w:rPr>
        <w:t>.00</w:t>
      </w:r>
      <w:r>
        <w:rPr>
          <w:rFonts w:hint="eastAsia" w:ascii="仿宋" w:hAnsi="仿宋" w:eastAsia="仿宋"/>
          <w:sz w:val="24"/>
          <w:highlight w:val="none"/>
        </w:rPr>
        <w:t>元</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合同履行期限：</w:t>
      </w:r>
      <w:r>
        <w:rPr>
          <w:rFonts w:hint="eastAsia" w:ascii="仿宋" w:hAnsi="仿宋" w:eastAsia="仿宋" w:cs="仿宋"/>
          <w:kern w:val="0"/>
          <w:sz w:val="24"/>
          <w:highlight w:val="none"/>
        </w:rPr>
        <w:t>自签订合同之日起</w:t>
      </w:r>
      <w:r>
        <w:rPr>
          <w:rFonts w:hint="eastAsia" w:ascii="仿宋" w:hAnsi="仿宋" w:eastAsia="仿宋" w:cs="仿宋"/>
          <w:kern w:val="0"/>
          <w:sz w:val="24"/>
          <w:highlight w:val="none"/>
          <w:u w:val="single"/>
        </w:rPr>
        <w:t xml:space="preserve"> 90 </w:t>
      </w:r>
      <w:r>
        <w:rPr>
          <w:rFonts w:hint="eastAsia" w:ascii="仿宋" w:hAnsi="仿宋" w:eastAsia="仿宋" w:cs="仿宋"/>
          <w:kern w:val="0"/>
          <w:sz w:val="24"/>
          <w:highlight w:val="none"/>
        </w:rPr>
        <w:t>个日历日内，安装调试完毕并交付使用。</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本项目（</w:t>
      </w:r>
      <w:r>
        <w:rPr>
          <w:rFonts w:ascii="仿宋" w:hAnsi="仿宋" w:eastAsia="仿宋"/>
          <w:sz w:val="24"/>
          <w:highlight w:val="none"/>
        </w:rPr>
        <w:t>否</w:t>
      </w:r>
      <w:r>
        <w:rPr>
          <w:rFonts w:hint="eastAsia" w:ascii="仿宋" w:hAnsi="仿宋" w:eastAsia="仿宋"/>
          <w:sz w:val="24"/>
          <w:highlight w:val="none"/>
        </w:rPr>
        <w:t>）接受联合体投标。</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备注：/</w:t>
      </w:r>
    </w:p>
    <w:p>
      <w:pPr>
        <w:pStyle w:val="2"/>
        <w:rPr>
          <w:rFonts w:hint="eastAsia"/>
          <w:highlight w:val="none"/>
        </w:rPr>
      </w:pPr>
    </w:p>
    <w:p>
      <w:pPr>
        <w:spacing w:line="400" w:lineRule="exact"/>
        <w:rPr>
          <w:rFonts w:hint="eastAsia" w:ascii="仿宋" w:hAnsi="仿宋" w:eastAsia="仿宋"/>
          <w:b/>
          <w:bCs/>
          <w:sz w:val="24"/>
          <w:highlight w:val="none"/>
        </w:rPr>
      </w:pPr>
      <w:bookmarkStart w:id="39" w:name="_Toc35393791"/>
      <w:bookmarkStart w:id="40" w:name="_Toc35393622"/>
      <w:bookmarkStart w:id="41" w:name="_Toc28359003"/>
      <w:bookmarkStart w:id="42" w:name="_Toc28359080"/>
      <w:r>
        <w:rPr>
          <w:rFonts w:hint="eastAsia" w:ascii="仿宋" w:hAnsi="仿宋" w:eastAsia="仿宋"/>
          <w:b/>
          <w:bCs/>
          <w:sz w:val="24"/>
          <w:highlight w:val="none"/>
        </w:rPr>
        <w:t>二、申请人的资格要求：</w:t>
      </w:r>
      <w:bookmarkEnd w:id="39"/>
      <w:bookmarkEnd w:id="40"/>
      <w:bookmarkEnd w:id="41"/>
      <w:bookmarkEnd w:id="42"/>
    </w:p>
    <w:p>
      <w:pPr>
        <w:spacing w:line="400" w:lineRule="exact"/>
        <w:ind w:firstLine="480" w:firstLineChars="200"/>
        <w:rPr>
          <w:rFonts w:hint="eastAsia" w:ascii="仿宋" w:hAnsi="仿宋" w:eastAsia="仿宋"/>
          <w:sz w:val="24"/>
          <w:highlight w:val="none"/>
        </w:rPr>
      </w:pPr>
      <w:bookmarkStart w:id="43" w:name="_Hlk51746371"/>
      <w:bookmarkStart w:id="44" w:name="_Toc28359004"/>
      <w:bookmarkStart w:id="45" w:name="_Toc28359081"/>
      <w:r>
        <w:rPr>
          <w:rFonts w:hint="eastAsia" w:ascii="仿宋" w:hAnsi="仿宋" w:eastAsia="仿宋"/>
          <w:sz w:val="24"/>
          <w:highlight w:val="none"/>
        </w:rPr>
        <w:t>1、满足《中华人民共和国政府采购法》第二十二条规定；</w:t>
      </w:r>
    </w:p>
    <w:p>
      <w:pPr>
        <w:spacing w:line="400" w:lineRule="exact"/>
        <w:ind w:firstLine="480" w:firstLineChars="200"/>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、落实政府采购政策需满足的资格要求：分标1：无</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3、本项目的特定资格要求：供应商按《医疗器械监督管理条例》（国务院令第739号）医疗器械分类管理要求，具备涵盖本次医疗器械采购标的且有效的医疗器械经营备案凭证或者经营许可证[符合《医疗器械监督管理条例》第四十一条第二款规定的除外]，或者投标人具有《医疗器械监督管理条例》第四十三条规定的注册人凭证。</w:t>
      </w:r>
    </w:p>
    <w:bookmarkEnd w:id="43"/>
    <w:p>
      <w:pPr>
        <w:spacing w:line="400" w:lineRule="exact"/>
        <w:rPr>
          <w:rFonts w:hint="eastAsia" w:ascii="仿宋" w:hAnsi="仿宋" w:eastAsia="仿宋"/>
          <w:b/>
          <w:bCs/>
          <w:sz w:val="24"/>
          <w:highlight w:val="none"/>
        </w:rPr>
      </w:pPr>
      <w:bookmarkStart w:id="46" w:name="_Toc35393623"/>
      <w:bookmarkStart w:id="47" w:name="_Toc35393792"/>
      <w:r>
        <w:rPr>
          <w:rFonts w:hint="eastAsia" w:ascii="仿宋" w:hAnsi="仿宋" w:eastAsia="仿宋"/>
          <w:b/>
          <w:bCs/>
          <w:sz w:val="24"/>
          <w:highlight w:val="none"/>
        </w:rPr>
        <w:t>三、</w:t>
      </w:r>
      <w:bookmarkStart w:id="48" w:name="OLE_LINK15"/>
      <w:r>
        <w:rPr>
          <w:rFonts w:hint="eastAsia" w:ascii="仿宋" w:hAnsi="仿宋" w:eastAsia="仿宋"/>
          <w:b/>
          <w:bCs/>
          <w:sz w:val="24"/>
          <w:highlight w:val="none"/>
        </w:rPr>
        <w:t>获取招标文件</w:t>
      </w:r>
      <w:bookmarkEnd w:id="44"/>
      <w:bookmarkEnd w:id="45"/>
      <w:bookmarkEnd w:id="46"/>
      <w:bookmarkEnd w:id="47"/>
      <w:bookmarkEnd w:id="48"/>
    </w:p>
    <w:p>
      <w:pPr>
        <w:spacing w:line="400" w:lineRule="exact"/>
        <w:ind w:firstLine="480" w:firstLineChars="200"/>
        <w:rPr>
          <w:rFonts w:hint="eastAsia" w:ascii="仿宋" w:hAnsi="仿宋" w:eastAsia="仿宋" w:cs="宋体"/>
          <w:bCs/>
          <w:kern w:val="0"/>
          <w:sz w:val="24"/>
          <w:highlight w:val="none"/>
        </w:rPr>
      </w:pPr>
      <w:r>
        <w:rPr>
          <w:rFonts w:hint="eastAsia" w:ascii="仿宋" w:hAnsi="仿宋" w:eastAsia="仿宋" w:cs="宋体"/>
          <w:bCs/>
          <w:kern w:val="0"/>
          <w:sz w:val="24"/>
          <w:highlight w:val="none"/>
        </w:rPr>
        <w:t>时间：</w:t>
      </w:r>
      <w:r>
        <w:rPr>
          <w:rFonts w:ascii="仿宋" w:hAnsi="仿宋" w:eastAsia="仿宋" w:cs="Arial"/>
          <w:sz w:val="24"/>
          <w:highlight w:val="none"/>
        </w:rPr>
        <w:t>/</w:t>
      </w:r>
      <w:r>
        <w:rPr>
          <w:rFonts w:hint="eastAsia" w:ascii="仿宋" w:hAnsi="仿宋" w:eastAsia="仿宋" w:cs="Arial"/>
          <w:sz w:val="24"/>
          <w:highlight w:val="none"/>
        </w:rPr>
        <w:t>至</w:t>
      </w:r>
      <w:bookmarkStart w:id="49" w:name="OLE_LINK8"/>
      <w:r>
        <w:rPr>
          <w:rFonts w:hint="eastAsia" w:ascii="仿宋" w:hAnsi="仿宋" w:eastAsia="仿宋" w:cs="Arial"/>
          <w:sz w:val="24"/>
          <w:highlight w:val="none"/>
        </w:rPr>
        <w:t>2025年</w:t>
      </w:r>
      <w:bookmarkEnd w:id="49"/>
      <w:r>
        <w:rPr>
          <w:rFonts w:hint="eastAsia" w:ascii="仿宋" w:hAnsi="仿宋" w:eastAsia="仿宋" w:cs="Arial"/>
          <w:sz w:val="24"/>
          <w:highlight w:val="none"/>
          <w:lang w:val="en-US" w:eastAsia="zh-CN"/>
        </w:rPr>
        <w:t>5月19日</w:t>
      </w:r>
      <w:r>
        <w:rPr>
          <w:rFonts w:hint="eastAsia" w:ascii="仿宋" w:hAnsi="仿宋" w:eastAsia="仿宋" w:cs="Arial"/>
          <w:sz w:val="24"/>
          <w:highlight w:val="none"/>
        </w:rPr>
        <w:t>，每天上午00:00至</w:t>
      </w:r>
      <w:r>
        <w:rPr>
          <w:rFonts w:ascii="仿宋" w:hAnsi="仿宋" w:eastAsia="仿宋" w:cs="Arial"/>
          <w:sz w:val="24"/>
          <w:highlight w:val="none"/>
        </w:rPr>
        <w:t>12</w:t>
      </w:r>
      <w:r>
        <w:rPr>
          <w:rFonts w:hint="eastAsia" w:ascii="仿宋" w:hAnsi="仿宋" w:eastAsia="仿宋" w:cs="Arial"/>
          <w:sz w:val="24"/>
          <w:highlight w:val="none"/>
        </w:rPr>
        <w:t>:</w:t>
      </w:r>
      <w:r>
        <w:rPr>
          <w:rFonts w:ascii="仿宋" w:hAnsi="仿宋" w:eastAsia="仿宋" w:cs="Arial"/>
          <w:sz w:val="24"/>
          <w:highlight w:val="none"/>
        </w:rPr>
        <w:t>00</w:t>
      </w:r>
      <w:r>
        <w:rPr>
          <w:rFonts w:hint="eastAsia" w:ascii="仿宋" w:hAnsi="仿宋" w:eastAsia="仿宋" w:cs="Arial"/>
          <w:sz w:val="24"/>
          <w:highlight w:val="none"/>
        </w:rPr>
        <w:t>；下午12:0</w:t>
      </w:r>
      <w:r>
        <w:rPr>
          <w:rFonts w:ascii="仿宋" w:hAnsi="仿宋" w:eastAsia="仿宋" w:cs="Arial"/>
          <w:sz w:val="24"/>
          <w:highlight w:val="none"/>
        </w:rPr>
        <w:t>1</w:t>
      </w:r>
      <w:r>
        <w:rPr>
          <w:rFonts w:hint="eastAsia" w:ascii="仿宋" w:hAnsi="仿宋" w:eastAsia="仿宋" w:cs="Arial"/>
          <w:sz w:val="24"/>
          <w:highlight w:val="none"/>
        </w:rPr>
        <w:t>-23:59（北京时间，</w:t>
      </w:r>
      <w:r>
        <w:rPr>
          <w:rFonts w:ascii="仿宋" w:hAnsi="仿宋" w:eastAsia="仿宋" w:cs="Arial"/>
          <w:sz w:val="24"/>
          <w:highlight w:val="none"/>
        </w:rPr>
        <w:t>法定节假日</w:t>
      </w:r>
      <w:r>
        <w:rPr>
          <w:rFonts w:hint="eastAsia" w:ascii="仿宋" w:hAnsi="仿宋" w:eastAsia="仿宋" w:cs="Arial"/>
          <w:sz w:val="24"/>
          <w:highlight w:val="none"/>
        </w:rPr>
        <w:t>除外）</w:t>
      </w:r>
    </w:p>
    <w:p>
      <w:pPr>
        <w:spacing w:line="400" w:lineRule="exact"/>
        <w:ind w:firstLine="480" w:firstLineChars="200"/>
        <w:rPr>
          <w:rFonts w:hint="eastAsia" w:ascii="仿宋" w:hAnsi="仿宋" w:eastAsia="仿宋" w:cs="宋体"/>
          <w:bCs/>
          <w:kern w:val="0"/>
          <w:sz w:val="24"/>
          <w:highlight w:val="none"/>
        </w:rPr>
      </w:pPr>
      <w:r>
        <w:rPr>
          <w:rFonts w:hint="eastAsia" w:ascii="仿宋" w:hAnsi="仿宋" w:eastAsia="仿宋" w:cs="宋体"/>
          <w:bCs/>
          <w:kern w:val="0"/>
          <w:sz w:val="24"/>
          <w:highlight w:val="none"/>
        </w:rPr>
        <w:t>地点（网址）：广西政府采购云平台（</w:t>
      </w:r>
      <w:r>
        <w:rPr>
          <w:rFonts w:ascii="仿宋" w:hAnsi="仿宋" w:eastAsia="仿宋" w:cs="宋体"/>
          <w:bCs/>
          <w:kern w:val="0"/>
          <w:sz w:val="24"/>
          <w:highlight w:val="none"/>
        </w:rPr>
        <w:t>https://www.gcy.zfcg.gxzf.gov.cn/</w:t>
      </w:r>
      <w:r>
        <w:rPr>
          <w:rFonts w:hint="eastAsia" w:ascii="仿宋" w:hAnsi="仿宋" w:eastAsia="仿宋" w:cs="宋体"/>
          <w:bCs/>
          <w:kern w:val="0"/>
          <w:sz w:val="24"/>
          <w:highlight w:val="none"/>
        </w:rPr>
        <w:t>）</w:t>
      </w:r>
    </w:p>
    <w:p>
      <w:pPr>
        <w:wordWrap w:val="0"/>
        <w:spacing w:line="400" w:lineRule="exact"/>
        <w:ind w:firstLine="480" w:firstLineChars="200"/>
        <w:rPr>
          <w:rFonts w:hint="eastAsia" w:ascii="仿宋" w:hAnsi="仿宋" w:eastAsia="仿宋" w:cs="宋体"/>
          <w:bCs/>
          <w:kern w:val="0"/>
          <w:sz w:val="24"/>
          <w:highlight w:val="none"/>
        </w:rPr>
      </w:pPr>
      <w:r>
        <w:rPr>
          <w:rFonts w:hint="eastAsia" w:ascii="仿宋" w:hAnsi="仿宋" w:eastAsia="仿宋" w:cs="宋体"/>
          <w:bCs/>
          <w:kern w:val="0"/>
          <w:sz w:val="24"/>
          <w:highlight w:val="none"/>
        </w:rPr>
        <w:t>方式：网上下载。供应商应自行登陆</w:t>
      </w:r>
      <w:r>
        <w:rPr>
          <w:highlight w:val="none"/>
        </w:rPr>
        <w:fldChar w:fldCharType="begin"/>
      </w:r>
      <w:r>
        <w:rPr>
          <w:highlight w:val="none"/>
        </w:rPr>
        <w:instrText xml:space="preserve"> HYPERLINK </w:instrText>
      </w:r>
      <w:r>
        <w:rPr>
          <w:highlight w:val="none"/>
        </w:rPr>
        <w:fldChar w:fldCharType="separate"/>
      </w:r>
      <w:r>
        <w:rPr>
          <w:highlight w:val="none"/>
        </w:rPr>
        <w:fldChar w:fldCharType="end"/>
      </w:r>
      <w:r>
        <w:rPr>
          <w:rFonts w:hint="eastAsia" w:ascii="仿宋" w:hAnsi="仿宋" w:eastAsia="仿宋" w:cs="宋体"/>
          <w:bCs/>
          <w:kern w:val="0"/>
          <w:sz w:val="24"/>
          <w:highlight w:val="none"/>
        </w:rPr>
        <w:t>广西政府采购云平台（</w:t>
      </w:r>
      <w:r>
        <w:rPr>
          <w:rFonts w:ascii="仿宋" w:hAnsi="仿宋" w:eastAsia="仿宋" w:cs="宋体"/>
          <w:bCs/>
          <w:kern w:val="0"/>
          <w:sz w:val="24"/>
          <w:highlight w:val="none"/>
        </w:rPr>
        <w:t>https://www.gcy.zfcg.gxzf.gov.cn/</w:t>
      </w:r>
      <w:r>
        <w:rPr>
          <w:rFonts w:hint="eastAsia" w:ascii="仿宋" w:hAnsi="仿宋" w:eastAsia="仿宋" w:cs="宋体"/>
          <w:bCs/>
          <w:kern w:val="0"/>
          <w:sz w:val="24"/>
          <w:highlight w:val="none"/>
        </w:rPr>
        <w:t>）下载招标文件（操作路径：登录广西政府采购云平台-项目采购-获取采购文件-找到本项目-点击“申请获取采购文件”），电子投标文件制作需要基于“广西政府采购云平台”获取的招标文件编。</w:t>
      </w:r>
    </w:p>
    <w:p>
      <w:pPr>
        <w:spacing w:line="400" w:lineRule="exact"/>
        <w:ind w:firstLine="480" w:firstLineChars="200"/>
        <w:rPr>
          <w:rFonts w:hint="eastAsia" w:ascii="仿宋" w:hAnsi="仿宋" w:eastAsia="仿宋" w:cs="宋体"/>
          <w:sz w:val="24"/>
          <w:highlight w:val="none"/>
        </w:rPr>
      </w:pPr>
      <w:r>
        <w:rPr>
          <w:rFonts w:hint="eastAsia" w:ascii="仿宋" w:hAnsi="仿宋" w:eastAsia="仿宋" w:cs="宋体"/>
          <w:bCs/>
          <w:kern w:val="0"/>
          <w:sz w:val="24"/>
          <w:highlight w:val="none"/>
        </w:rPr>
        <w:t>售价：0元</w:t>
      </w:r>
    </w:p>
    <w:p>
      <w:pPr>
        <w:spacing w:line="400" w:lineRule="exact"/>
        <w:rPr>
          <w:rFonts w:hint="eastAsia" w:ascii="仿宋" w:hAnsi="仿宋" w:eastAsia="仿宋"/>
          <w:b/>
          <w:bCs/>
          <w:sz w:val="24"/>
          <w:highlight w:val="none"/>
        </w:rPr>
      </w:pPr>
      <w:bookmarkStart w:id="50" w:name="_Toc28359082"/>
      <w:bookmarkStart w:id="51" w:name="_Toc28359005"/>
      <w:bookmarkStart w:id="52" w:name="_Toc35393793"/>
      <w:bookmarkStart w:id="53" w:name="_Toc35393624"/>
      <w:r>
        <w:rPr>
          <w:rFonts w:hint="eastAsia" w:ascii="仿宋" w:hAnsi="仿宋" w:eastAsia="仿宋"/>
          <w:b/>
          <w:bCs/>
          <w:sz w:val="24"/>
          <w:highlight w:val="none"/>
        </w:rPr>
        <w:t>四、提交投标文件</w:t>
      </w:r>
      <w:bookmarkEnd w:id="50"/>
      <w:bookmarkEnd w:id="51"/>
      <w:r>
        <w:rPr>
          <w:rFonts w:hint="eastAsia" w:ascii="仿宋" w:hAnsi="仿宋" w:eastAsia="仿宋"/>
          <w:b/>
          <w:bCs/>
          <w:sz w:val="24"/>
          <w:highlight w:val="none"/>
        </w:rPr>
        <w:t>截止时间、开标时间和地点</w:t>
      </w:r>
      <w:bookmarkEnd w:id="52"/>
      <w:bookmarkEnd w:id="53"/>
    </w:p>
    <w:p>
      <w:pPr>
        <w:spacing w:line="400" w:lineRule="exact"/>
        <w:ind w:firstLine="480" w:firstLineChars="200"/>
        <w:rPr>
          <w:rFonts w:hint="eastAsia" w:ascii="仿宋" w:hAnsi="仿宋" w:eastAsia="仿宋"/>
          <w:sz w:val="24"/>
          <w:highlight w:val="none"/>
        </w:rPr>
      </w:pPr>
      <w:bookmarkStart w:id="54" w:name="_Toc28359007"/>
      <w:bookmarkStart w:id="55" w:name="_Toc35393625"/>
      <w:bookmarkStart w:id="56" w:name="_Toc35393794"/>
      <w:bookmarkStart w:id="57" w:name="_Toc28359084"/>
      <w:r>
        <w:rPr>
          <w:rFonts w:hint="eastAsia" w:ascii="仿宋" w:hAnsi="仿宋" w:eastAsia="仿宋"/>
          <w:sz w:val="24"/>
          <w:highlight w:val="none"/>
        </w:rPr>
        <w:t>1、提交</w:t>
      </w:r>
      <w:r>
        <w:rPr>
          <w:rFonts w:ascii="仿宋" w:hAnsi="仿宋" w:eastAsia="仿宋"/>
          <w:sz w:val="24"/>
          <w:highlight w:val="none"/>
        </w:rPr>
        <w:t>投标文件</w:t>
      </w:r>
      <w:r>
        <w:rPr>
          <w:rFonts w:hint="eastAsia" w:ascii="仿宋" w:hAnsi="仿宋" w:eastAsia="仿宋" w:cs="宋体"/>
          <w:sz w:val="24"/>
          <w:highlight w:val="none"/>
          <w:lang w:bidi="ar"/>
        </w:rPr>
        <w:t>截止时间</w:t>
      </w:r>
      <w:r>
        <w:rPr>
          <w:rFonts w:hint="eastAsia" w:ascii="仿宋" w:hAnsi="仿宋" w:eastAsia="仿宋"/>
          <w:sz w:val="24"/>
          <w:highlight w:val="none"/>
        </w:rPr>
        <w:t>：</w:t>
      </w:r>
      <w:bookmarkStart w:id="58" w:name="OLE_LINK16"/>
      <w:r>
        <w:rPr>
          <w:rFonts w:hint="eastAsia" w:ascii="仿宋" w:hAnsi="仿宋" w:eastAsia="仿宋" w:cs="Arial"/>
          <w:sz w:val="24"/>
          <w:highlight w:val="none"/>
          <w:lang w:eastAsia="zh-CN"/>
        </w:rPr>
        <w:t>2025年5月19日</w:t>
      </w:r>
      <w:r>
        <w:rPr>
          <w:rFonts w:hint="eastAsia" w:ascii="仿宋" w:hAnsi="仿宋" w:eastAsia="仿宋" w:cs="Arial"/>
          <w:sz w:val="24"/>
          <w:highlight w:val="none"/>
        </w:rPr>
        <w:t>0</w:t>
      </w:r>
      <w:r>
        <w:rPr>
          <w:rFonts w:ascii="仿宋" w:hAnsi="仿宋" w:eastAsia="仿宋"/>
          <w:sz w:val="24"/>
          <w:highlight w:val="none"/>
        </w:rPr>
        <w:t>9</w:t>
      </w:r>
      <w:r>
        <w:rPr>
          <w:rFonts w:hint="eastAsia" w:ascii="仿宋" w:hAnsi="仿宋" w:eastAsia="仿宋"/>
          <w:sz w:val="24"/>
          <w:highlight w:val="none"/>
        </w:rPr>
        <w:t>：30</w:t>
      </w:r>
      <w:bookmarkEnd w:id="58"/>
      <w:r>
        <w:rPr>
          <w:rFonts w:hint="eastAsia" w:ascii="仿宋" w:hAnsi="仿宋" w:eastAsia="仿宋"/>
          <w:sz w:val="24"/>
          <w:highlight w:val="none"/>
        </w:rPr>
        <w:t>（北京时间）</w:t>
      </w:r>
    </w:p>
    <w:p>
      <w:pPr>
        <w:spacing w:line="400" w:lineRule="exact"/>
        <w:ind w:firstLine="480" w:firstLineChars="200"/>
        <w:rPr>
          <w:rFonts w:hint="eastAsia" w:ascii="仿宋" w:hAnsi="仿宋" w:eastAsia="仿宋" w:cs="宋体"/>
          <w:sz w:val="24"/>
          <w:highlight w:val="none"/>
          <w:lang w:bidi="ar"/>
        </w:rPr>
      </w:pPr>
      <w:r>
        <w:rPr>
          <w:rFonts w:hint="eastAsia" w:ascii="仿宋" w:hAnsi="仿宋" w:eastAsia="仿宋"/>
          <w:sz w:val="24"/>
          <w:highlight w:val="none"/>
        </w:rPr>
        <w:t>2、投标地点（网址）：</w:t>
      </w:r>
      <w:r>
        <w:rPr>
          <w:rFonts w:hint="eastAsia" w:ascii="仿宋" w:hAnsi="仿宋" w:eastAsia="仿宋" w:cs="宋体"/>
          <w:sz w:val="24"/>
          <w:highlight w:val="none"/>
          <w:lang w:bidi="ar"/>
        </w:rPr>
        <w:t>通过“广西政府采购云平台”在线提交投标文件</w:t>
      </w:r>
    </w:p>
    <w:p>
      <w:pPr>
        <w:spacing w:line="400" w:lineRule="exact"/>
        <w:ind w:firstLine="480" w:firstLineChars="200"/>
        <w:rPr>
          <w:rFonts w:hint="eastAsia" w:ascii="仿宋" w:hAnsi="仿宋" w:eastAsia="仿宋" w:cs="宋体"/>
          <w:sz w:val="24"/>
          <w:highlight w:val="none"/>
          <w:lang w:bidi="ar"/>
        </w:rPr>
      </w:pPr>
      <w:r>
        <w:rPr>
          <w:rFonts w:hint="eastAsia" w:ascii="仿宋" w:hAnsi="仿宋" w:eastAsia="仿宋" w:cs="宋体"/>
          <w:sz w:val="24"/>
          <w:highlight w:val="none"/>
          <w:lang w:bidi="ar"/>
        </w:rPr>
        <w:t>3、</w:t>
      </w:r>
      <w:r>
        <w:rPr>
          <w:rFonts w:ascii="仿宋" w:hAnsi="仿宋" w:eastAsia="仿宋" w:cs="宋体"/>
          <w:sz w:val="24"/>
          <w:highlight w:val="none"/>
          <w:lang w:bidi="ar"/>
        </w:rPr>
        <w:t>开标时间：</w:t>
      </w:r>
      <w:r>
        <w:rPr>
          <w:rFonts w:hint="eastAsia" w:ascii="仿宋" w:hAnsi="仿宋" w:eastAsia="仿宋" w:cs="宋体"/>
          <w:sz w:val="24"/>
          <w:highlight w:val="none"/>
          <w:lang w:eastAsia="zh-CN" w:bidi="ar"/>
        </w:rPr>
        <w:t>2025年5月19日</w:t>
      </w:r>
      <w:r>
        <w:rPr>
          <w:rFonts w:hint="eastAsia" w:ascii="仿宋" w:hAnsi="仿宋" w:eastAsia="仿宋" w:cs="宋体"/>
          <w:sz w:val="24"/>
          <w:highlight w:val="none"/>
          <w:lang w:bidi="ar"/>
        </w:rPr>
        <w:t>09：30</w:t>
      </w:r>
    </w:p>
    <w:p>
      <w:pPr>
        <w:spacing w:line="400" w:lineRule="exact"/>
        <w:ind w:firstLine="480" w:firstLineChars="200"/>
        <w:rPr>
          <w:rFonts w:hint="eastAsia" w:ascii="仿宋" w:hAnsi="仿宋" w:eastAsia="仿宋" w:cs="宋体"/>
          <w:sz w:val="24"/>
          <w:highlight w:val="none"/>
          <w:lang w:bidi="ar"/>
        </w:rPr>
      </w:pPr>
      <w:r>
        <w:rPr>
          <w:rFonts w:ascii="仿宋" w:hAnsi="仿宋" w:eastAsia="仿宋" w:cs="宋体"/>
          <w:sz w:val="24"/>
          <w:highlight w:val="none"/>
          <w:lang w:bidi="ar"/>
        </w:rPr>
        <w:t>4</w:t>
      </w:r>
      <w:r>
        <w:rPr>
          <w:rFonts w:hint="eastAsia" w:ascii="仿宋" w:hAnsi="仿宋" w:eastAsia="仿宋" w:cs="宋体"/>
          <w:sz w:val="24"/>
          <w:highlight w:val="none"/>
          <w:lang w:bidi="ar"/>
        </w:rPr>
        <w:t>、开标地点：通过“</w:t>
      </w:r>
      <w:r>
        <w:rPr>
          <w:rFonts w:hint="eastAsia" w:ascii="仿宋" w:hAnsi="仿宋" w:eastAsia="仿宋" w:cs="宋体"/>
          <w:bCs/>
          <w:kern w:val="0"/>
          <w:sz w:val="24"/>
          <w:highlight w:val="none"/>
        </w:rPr>
        <w:t>广西政府采购云平台</w:t>
      </w:r>
      <w:r>
        <w:rPr>
          <w:rFonts w:hint="eastAsia" w:ascii="仿宋" w:hAnsi="仿宋" w:eastAsia="仿宋" w:cs="宋体"/>
          <w:sz w:val="24"/>
          <w:highlight w:val="none"/>
          <w:lang w:bidi="ar"/>
        </w:rPr>
        <w:t>”在线开启</w:t>
      </w:r>
      <w:r>
        <w:rPr>
          <w:rFonts w:ascii="仿宋" w:hAnsi="仿宋" w:eastAsia="仿宋" w:cs="宋体"/>
          <w:sz w:val="24"/>
          <w:highlight w:val="none"/>
          <w:lang w:bidi="ar"/>
        </w:rPr>
        <w:t>投标文件</w:t>
      </w:r>
    </w:p>
    <w:p>
      <w:pPr>
        <w:spacing w:line="400" w:lineRule="exact"/>
        <w:rPr>
          <w:rFonts w:hint="eastAsia" w:ascii="仿宋" w:hAnsi="仿宋" w:eastAsia="仿宋"/>
          <w:b/>
          <w:bCs/>
          <w:sz w:val="24"/>
          <w:highlight w:val="none"/>
        </w:rPr>
      </w:pPr>
      <w:r>
        <w:rPr>
          <w:rFonts w:hint="eastAsia" w:ascii="仿宋" w:hAnsi="仿宋" w:eastAsia="仿宋"/>
          <w:b/>
          <w:bCs/>
          <w:sz w:val="24"/>
          <w:highlight w:val="none"/>
        </w:rPr>
        <w:t>五、公告期限</w:t>
      </w:r>
      <w:bookmarkEnd w:id="54"/>
      <w:bookmarkEnd w:id="55"/>
      <w:bookmarkEnd w:id="56"/>
      <w:bookmarkEnd w:id="57"/>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自本公告发布之日起5个工作日。</w:t>
      </w:r>
    </w:p>
    <w:p>
      <w:pPr>
        <w:spacing w:line="400" w:lineRule="exact"/>
        <w:rPr>
          <w:rFonts w:hint="eastAsia" w:ascii="仿宋" w:hAnsi="仿宋" w:eastAsia="仿宋"/>
          <w:b/>
          <w:bCs/>
          <w:sz w:val="24"/>
          <w:highlight w:val="none"/>
        </w:rPr>
      </w:pPr>
      <w:bookmarkStart w:id="59" w:name="_Toc35393626"/>
      <w:bookmarkStart w:id="60" w:name="_Toc35393795"/>
      <w:r>
        <w:rPr>
          <w:rFonts w:hint="eastAsia" w:ascii="仿宋" w:hAnsi="仿宋" w:eastAsia="仿宋"/>
          <w:b/>
          <w:bCs/>
          <w:sz w:val="24"/>
          <w:highlight w:val="none"/>
        </w:rPr>
        <w:t>六、其他补充事宜</w:t>
      </w:r>
      <w:bookmarkEnd w:id="59"/>
      <w:bookmarkEnd w:id="60"/>
    </w:p>
    <w:p>
      <w:pPr>
        <w:spacing w:line="400" w:lineRule="exact"/>
        <w:ind w:firstLine="480" w:firstLineChars="200"/>
        <w:rPr>
          <w:rFonts w:hint="eastAsia" w:ascii="仿宋" w:hAnsi="仿宋" w:eastAsia="仿宋" w:cs="宋体"/>
          <w:kern w:val="0"/>
          <w:sz w:val="24"/>
          <w:highlight w:val="none"/>
        </w:rPr>
      </w:pPr>
      <w:bookmarkStart w:id="61" w:name="_Hlk37429674"/>
      <w:bookmarkStart w:id="62" w:name="OLE_LINK19"/>
      <w:r>
        <w:rPr>
          <w:rFonts w:hint="eastAsia" w:ascii="仿宋" w:hAnsi="仿宋" w:eastAsia="仿宋" w:cs="宋体"/>
          <w:kern w:val="0"/>
          <w:sz w:val="24"/>
          <w:highlight w:val="none"/>
        </w:rPr>
        <w:t>1、投标保证金（人民币）：本项目</w:t>
      </w:r>
      <w:r>
        <w:rPr>
          <w:rFonts w:ascii="仿宋" w:hAnsi="仿宋" w:eastAsia="仿宋" w:cs="宋体"/>
          <w:kern w:val="0"/>
          <w:sz w:val="24"/>
          <w:highlight w:val="none"/>
        </w:rPr>
        <w:t>无需缴纳投标</w:t>
      </w:r>
      <w:r>
        <w:rPr>
          <w:rFonts w:hint="eastAsia" w:ascii="仿宋" w:hAnsi="仿宋" w:eastAsia="仿宋" w:cs="宋体"/>
          <w:kern w:val="0"/>
          <w:sz w:val="24"/>
          <w:highlight w:val="none"/>
        </w:rPr>
        <w:t>保证</w:t>
      </w:r>
      <w:r>
        <w:rPr>
          <w:rFonts w:ascii="仿宋" w:hAnsi="仿宋" w:eastAsia="仿宋" w:cs="宋体"/>
          <w:kern w:val="0"/>
          <w:sz w:val="24"/>
          <w:highlight w:val="none"/>
        </w:rPr>
        <w:t>金</w:t>
      </w:r>
      <w:r>
        <w:rPr>
          <w:rFonts w:hint="eastAsia" w:ascii="仿宋" w:hAnsi="仿宋" w:eastAsia="仿宋" w:cs="宋体"/>
          <w:kern w:val="0"/>
          <w:sz w:val="24"/>
          <w:highlight w:val="none"/>
        </w:rPr>
        <w:t>。</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wordWrap w:val="0"/>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wordWrap w:val="0"/>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4、网上查询地址：中国政府采购网（www.ccgp.gov.cn）、广西政府采购网（zfcg.gxzf.gov.cn）、桂林市政府采购网（zfcg.czj.guilin.gov.cn/）。</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5、本项目需要落实的政府采购政策：</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（1）政府采购促进中小企业发展政策。</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（2）政府采购支持采用本国产品的政策。</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（3）强制采购节能产品；优先采购节能产品、环境标志产品。</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（4）政府采购促进残疾人就业政策。</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（5）政府采购支持监狱企业发展政策。</w:t>
      </w:r>
    </w:p>
    <w:p>
      <w:pPr>
        <w:widowControl/>
        <w:spacing w:line="400" w:lineRule="exact"/>
        <w:ind w:firstLine="480" w:firstLineChars="200"/>
        <w:rPr>
          <w:rFonts w:hint="eastAsia" w:ascii="仿宋" w:hAnsi="仿宋" w:eastAsia="仿宋" w:cs="宋体"/>
          <w:sz w:val="24"/>
          <w:highlight w:val="none"/>
          <w:lang w:bidi="ar"/>
        </w:rPr>
      </w:pPr>
      <w:r>
        <w:rPr>
          <w:rFonts w:hint="eastAsia" w:ascii="仿宋" w:hAnsi="仿宋" w:eastAsia="仿宋" w:cs="宋体"/>
          <w:sz w:val="24"/>
          <w:highlight w:val="none"/>
          <w:lang w:bidi="ar"/>
        </w:rPr>
        <w:t>6、投标注意事项：</w:t>
      </w:r>
      <w:bookmarkEnd w:id="61"/>
      <w:bookmarkStart w:id="63" w:name="_Toc35393627"/>
      <w:bookmarkStart w:id="64" w:name="_Toc28359085"/>
      <w:bookmarkStart w:id="65" w:name="_Toc28359008"/>
      <w:bookmarkStart w:id="66" w:name="_Toc35393796"/>
    </w:p>
    <w:p>
      <w:pPr>
        <w:widowControl/>
        <w:spacing w:line="400" w:lineRule="exact"/>
        <w:ind w:firstLine="480" w:firstLineChars="200"/>
        <w:rPr>
          <w:rFonts w:hint="eastAsia" w:ascii="仿宋" w:hAnsi="仿宋" w:eastAsia="仿宋" w:cs="宋体"/>
          <w:sz w:val="24"/>
          <w:highlight w:val="none"/>
          <w:lang w:bidi="ar"/>
        </w:rPr>
      </w:pPr>
      <w:r>
        <w:rPr>
          <w:rFonts w:hint="eastAsia" w:ascii="仿宋" w:hAnsi="仿宋" w:eastAsia="仿宋" w:cs="宋体"/>
          <w:sz w:val="24"/>
          <w:highlight w:val="none"/>
          <w:lang w:bidi="ar"/>
        </w:rPr>
        <w:t>（1）本项目实行全流程电子化采购，投标人通过“广西政府采购云平台”平台参与电子投标，并应做好以下相关准备工作：①在“广西政府采购云平台”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分标目管理系统--供应商客户端”（操作方法详见广西壮族自治区政府采购网—办事服务—下载专区，以下称“广西政府采购云平台电子投标客户端”）并安装成功，投标人应当在提交投标文件截止时间前在“广西政府采购云平台”平台完成的身份认证，确保能够对相关数据电文进行加密和使用电子签章；④自备计算机和网络设备并确保能接入互联网（费用由投标人自行承担，设备确保可进行视频通话和读取广西政府采购云平台CA证书）。因投标人未做好相关准备工作等自身原因导致无法参加本项目电子投标或投标失败的，造成的一切后果，由投标人自行承担。</w:t>
      </w:r>
    </w:p>
    <w:p>
      <w:pPr>
        <w:widowControl/>
        <w:spacing w:line="400" w:lineRule="exact"/>
        <w:ind w:firstLine="480" w:firstLineChars="200"/>
        <w:rPr>
          <w:rFonts w:hint="eastAsia" w:ascii="仿宋" w:hAnsi="仿宋" w:eastAsia="仿宋" w:cs="宋体"/>
          <w:sz w:val="24"/>
          <w:highlight w:val="none"/>
          <w:lang w:bidi="ar"/>
        </w:rPr>
      </w:pPr>
      <w:r>
        <w:rPr>
          <w:rFonts w:hint="eastAsia" w:ascii="仿宋" w:hAnsi="仿宋" w:eastAsia="仿宋" w:cs="宋体"/>
          <w:sz w:val="24"/>
          <w:highlight w:val="none"/>
          <w:lang w:bidi="ar"/>
        </w:rPr>
        <w:t>（2）电子投标具体操作流程参考《政府采购项目电子交易管理操作指南-供应商》（详见桂林市政府采购网—采购资讯—重要通知）；如遇平台技术问题详询95763。</w:t>
      </w:r>
    </w:p>
    <w:p>
      <w:pPr>
        <w:widowControl/>
        <w:spacing w:line="400" w:lineRule="exact"/>
        <w:ind w:firstLine="480" w:firstLineChars="200"/>
        <w:rPr>
          <w:rFonts w:hint="eastAsia" w:ascii="仿宋" w:hAnsi="仿宋" w:eastAsia="仿宋" w:cs="宋体"/>
          <w:sz w:val="24"/>
          <w:highlight w:val="none"/>
          <w:lang w:bidi="ar"/>
        </w:rPr>
      </w:pPr>
      <w:r>
        <w:rPr>
          <w:rFonts w:hint="eastAsia" w:ascii="仿宋" w:hAnsi="仿宋" w:eastAsia="仿宋" w:cs="宋体"/>
          <w:sz w:val="24"/>
          <w:highlight w:val="none"/>
          <w:lang w:bidi="ar"/>
        </w:rPr>
        <w:t>（3）电子投标文件的制作、加密、提交、解密等相关事宜详见第二章 “投标人须知”。</w:t>
      </w:r>
    </w:p>
    <w:bookmarkEnd w:id="62"/>
    <w:p>
      <w:pPr>
        <w:spacing w:line="400" w:lineRule="exact"/>
        <w:rPr>
          <w:rFonts w:hint="eastAsia" w:ascii="仿宋" w:hAnsi="仿宋" w:eastAsia="仿宋"/>
          <w:b/>
          <w:bCs/>
          <w:sz w:val="24"/>
          <w:highlight w:val="none"/>
        </w:rPr>
      </w:pPr>
      <w:r>
        <w:rPr>
          <w:rFonts w:hint="eastAsia" w:ascii="仿宋" w:hAnsi="仿宋" w:eastAsia="仿宋"/>
          <w:b/>
          <w:bCs/>
          <w:sz w:val="24"/>
          <w:highlight w:val="none"/>
        </w:rPr>
        <w:t>七、对本次招标提出询问，请按</w:t>
      </w:r>
      <w:r>
        <w:rPr>
          <w:rFonts w:ascii="仿宋" w:hAnsi="仿宋" w:eastAsia="仿宋"/>
          <w:b/>
          <w:bCs/>
          <w:sz w:val="24"/>
          <w:highlight w:val="none"/>
        </w:rPr>
        <w:t>以下方式</w:t>
      </w:r>
      <w:r>
        <w:rPr>
          <w:rFonts w:hint="eastAsia" w:ascii="仿宋" w:hAnsi="仿宋" w:eastAsia="仿宋"/>
          <w:b/>
          <w:bCs/>
          <w:sz w:val="24"/>
          <w:highlight w:val="none"/>
        </w:rPr>
        <w:t>联系。</w:t>
      </w:r>
      <w:bookmarkEnd w:id="63"/>
      <w:bookmarkEnd w:id="64"/>
      <w:bookmarkEnd w:id="65"/>
      <w:bookmarkEnd w:id="66"/>
    </w:p>
    <w:p>
      <w:pPr>
        <w:spacing w:line="400" w:lineRule="exact"/>
        <w:ind w:firstLine="648" w:firstLineChars="270"/>
        <w:jc w:val="left"/>
        <w:rPr>
          <w:rFonts w:hint="eastAsia" w:ascii="仿宋" w:hAnsi="仿宋" w:eastAsia="仿宋" w:cs="宋体"/>
          <w:sz w:val="24"/>
          <w:highlight w:val="none"/>
        </w:rPr>
      </w:pPr>
      <w:r>
        <w:rPr>
          <w:rFonts w:hint="eastAsia" w:ascii="仿宋" w:hAnsi="仿宋" w:eastAsia="仿宋" w:cs="宋体"/>
          <w:sz w:val="24"/>
          <w:highlight w:val="none"/>
        </w:rPr>
        <w:t>1.采购人信息</w:t>
      </w:r>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名 称：兴安县人民医院</w:t>
      </w:r>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地址：</w:t>
      </w:r>
      <w:r>
        <w:rPr>
          <w:rFonts w:hint="eastAsia" w:ascii="仿宋" w:hAnsi="仿宋" w:eastAsia="仿宋" w:cs="宋体"/>
          <w:sz w:val="24"/>
          <w:highlight w:val="none"/>
        </w:rPr>
        <w:t>兴安县兴安镇康宁街78号</w:t>
      </w:r>
    </w:p>
    <w:p>
      <w:pPr>
        <w:spacing w:line="400" w:lineRule="exact"/>
        <w:ind w:firstLine="648" w:firstLineChars="270"/>
        <w:jc w:val="left"/>
        <w:rPr>
          <w:rFonts w:hint="eastAsia" w:ascii="仿宋" w:hAnsi="仿宋" w:eastAsia="仿宋"/>
          <w:sz w:val="24"/>
          <w:highlight w:val="none"/>
        </w:rPr>
      </w:pPr>
      <w:bookmarkStart w:id="67" w:name="_Toc28359086"/>
      <w:bookmarkStart w:id="68" w:name="_Toc28359009"/>
      <w:r>
        <w:rPr>
          <w:rFonts w:hint="eastAsia" w:ascii="仿宋" w:hAnsi="仿宋" w:eastAsia="仿宋"/>
          <w:sz w:val="24"/>
          <w:highlight w:val="none"/>
        </w:rPr>
        <w:t>项目联系人：</w:t>
      </w:r>
      <w:bookmarkStart w:id="69" w:name="OLE_LINK37"/>
      <w:r>
        <w:rPr>
          <w:rFonts w:hint="eastAsia" w:ascii="仿宋" w:hAnsi="仿宋" w:eastAsia="仿宋"/>
          <w:sz w:val="24"/>
          <w:highlight w:val="none"/>
          <w:lang w:val="en-US" w:eastAsia="zh-CN"/>
        </w:rPr>
        <w:t>刘</w:t>
      </w:r>
      <w:r>
        <w:rPr>
          <w:rFonts w:hint="eastAsia" w:ascii="仿宋" w:hAnsi="仿宋" w:eastAsia="仿宋"/>
          <w:sz w:val="24"/>
          <w:highlight w:val="none"/>
        </w:rPr>
        <w:t>科长</w:t>
      </w:r>
      <w:bookmarkEnd w:id="69"/>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项目联系方式：0773-6222121</w:t>
      </w:r>
    </w:p>
    <w:p>
      <w:pPr>
        <w:spacing w:line="400" w:lineRule="exact"/>
        <w:ind w:firstLine="648" w:firstLineChars="270"/>
        <w:jc w:val="left"/>
        <w:rPr>
          <w:rFonts w:hint="eastAsia" w:ascii="仿宋" w:hAnsi="仿宋" w:eastAsia="仿宋"/>
          <w:sz w:val="24"/>
          <w:highlight w:val="none"/>
        </w:rPr>
      </w:pPr>
      <w:r>
        <w:rPr>
          <w:rFonts w:hint="eastAsia" w:ascii="仿宋" w:hAnsi="仿宋" w:eastAsia="仿宋" w:cs="宋体"/>
          <w:sz w:val="24"/>
          <w:highlight w:val="none"/>
        </w:rPr>
        <w:t>2.采购代理机构信息</w:t>
      </w:r>
      <w:bookmarkEnd w:id="67"/>
      <w:bookmarkEnd w:id="68"/>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名  称：广西科文</w:t>
      </w:r>
      <w:r>
        <w:rPr>
          <w:rFonts w:ascii="仿宋" w:hAnsi="仿宋" w:eastAsia="仿宋"/>
          <w:sz w:val="24"/>
          <w:highlight w:val="none"/>
        </w:rPr>
        <w:t>招标有限公司</w:t>
      </w:r>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地　址：</w:t>
      </w:r>
      <w:bookmarkStart w:id="70" w:name="OLE_LINK21"/>
      <w:r>
        <w:rPr>
          <w:rFonts w:hint="eastAsia" w:ascii="仿宋" w:hAnsi="仿宋" w:eastAsia="仿宋"/>
          <w:sz w:val="24"/>
          <w:highlight w:val="none"/>
        </w:rPr>
        <w:t>桂林市七星区穿山东路41号彰泰</w:t>
      </w:r>
      <w:r>
        <w:rPr>
          <w:rFonts w:hint="eastAsia" w:ascii="微软雅黑" w:hAnsi="微软雅黑" w:eastAsia="微软雅黑" w:cs="微软雅黑"/>
          <w:sz w:val="24"/>
          <w:highlight w:val="none"/>
        </w:rPr>
        <w:t>•</w:t>
      </w:r>
      <w:r>
        <w:rPr>
          <w:rFonts w:hint="eastAsia" w:ascii="仿宋" w:hAnsi="仿宋" w:eastAsia="仿宋"/>
          <w:sz w:val="24"/>
          <w:highlight w:val="none"/>
        </w:rPr>
        <w:t>天街V+国际中心1#楼八层802号</w:t>
      </w:r>
      <w:bookmarkEnd w:id="70"/>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项目联系人：李冰华</w:t>
      </w:r>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电　话：</w:t>
      </w:r>
      <w:bookmarkStart w:id="71" w:name="OLE_LINK4"/>
      <w:r>
        <w:rPr>
          <w:rFonts w:hint="eastAsia" w:ascii="仿宋" w:hAnsi="仿宋" w:eastAsia="仿宋"/>
          <w:sz w:val="24"/>
          <w:highlight w:val="none"/>
        </w:rPr>
        <w:t>0773-7593227</w:t>
      </w:r>
      <w:bookmarkEnd w:id="27"/>
      <w:bookmarkEnd w:id="71"/>
      <w:bookmarkEnd w:id="207"/>
    </w:p>
    <w:bookmarkEnd w:id="28"/>
    <w:p>
      <w:pPr>
        <w:wordWrap w:val="0"/>
        <w:spacing w:line="400" w:lineRule="exact"/>
        <w:jc w:val="right"/>
        <w:rPr>
          <w:rFonts w:hint="eastAsia" w:ascii="仿宋" w:hAnsi="仿宋" w:eastAsia="仿宋"/>
          <w:sz w:val="24"/>
          <w:highlight w:val="none"/>
        </w:rPr>
      </w:pPr>
      <w:r>
        <w:rPr>
          <w:rFonts w:hint="eastAsia" w:ascii="仿宋" w:hAnsi="仿宋" w:eastAsia="仿宋" w:cs="Arial"/>
          <w:sz w:val="24"/>
          <w:highlight w:val="none"/>
        </w:rPr>
        <w:t xml:space="preserve"> </w:t>
      </w:r>
    </w:p>
    <w:p>
      <w:pPr>
        <w:pStyle w:val="3"/>
        <w:keepNext w:val="0"/>
        <w:keepLines w:val="0"/>
        <w:pageBreakBefore/>
        <w:spacing w:before="0" w:after="0" w:line="500" w:lineRule="exact"/>
        <w:jc w:val="center"/>
        <w:rPr>
          <w:rFonts w:hint="eastAsia" w:ascii="仿宋" w:hAnsi="仿宋" w:eastAsia="仿宋"/>
          <w:highlight w:val="none"/>
        </w:rPr>
      </w:pPr>
      <w:bookmarkStart w:id="72" w:name="_Toc74320801"/>
      <w:r>
        <w:rPr>
          <w:rFonts w:hint="eastAsia" w:ascii="仿宋" w:hAnsi="仿宋" w:eastAsia="仿宋"/>
          <w:highlight w:val="none"/>
        </w:rPr>
        <w:t>第二章  采购需求</w:t>
      </w:r>
      <w:bookmarkEnd w:id="72"/>
    </w:p>
    <w:p>
      <w:pPr>
        <w:spacing w:line="400" w:lineRule="exact"/>
        <w:jc w:val="left"/>
        <w:rPr>
          <w:rFonts w:hint="eastAsia" w:ascii="仿宋" w:hAnsi="仿宋" w:eastAsia="仿宋" w:cs="宋体"/>
          <w:b/>
          <w:sz w:val="24"/>
          <w:highlight w:val="none"/>
        </w:rPr>
      </w:pPr>
      <w:bookmarkStart w:id="73" w:name="_Toc254970490"/>
      <w:bookmarkStart w:id="74" w:name="_Toc254970631"/>
      <w:r>
        <w:rPr>
          <w:rFonts w:hint="eastAsia" w:ascii="仿宋" w:hAnsi="仿宋" w:eastAsia="仿宋" w:cs="宋体"/>
          <w:b/>
          <w:sz w:val="24"/>
          <w:highlight w:val="none"/>
        </w:rPr>
        <w:t>说明：</w:t>
      </w:r>
    </w:p>
    <w:p>
      <w:pPr>
        <w:spacing w:line="400" w:lineRule="exact"/>
        <w:ind w:firstLine="482" w:firstLineChars="200"/>
        <w:jc w:val="left"/>
        <w:rPr>
          <w:rFonts w:hint="eastAsia" w:ascii="仿宋" w:hAnsi="仿宋" w:eastAsia="仿宋" w:cs="宋体"/>
          <w:b/>
          <w:sz w:val="24"/>
          <w:highlight w:val="none"/>
        </w:rPr>
      </w:pPr>
      <w:r>
        <w:rPr>
          <w:rFonts w:hint="eastAsia" w:ascii="仿宋" w:hAnsi="仿宋" w:eastAsia="仿宋"/>
          <w:b/>
          <w:bCs/>
          <w:sz w:val="24"/>
          <w:highlight w:val="none"/>
        </w:rPr>
        <w:t>1、采购需求中如出现品牌、型号或者生产厂家等均仅起参考作用，不属于指定品牌、型号或者生产厂家的情形，投标人可参照或者选用其他相当的品牌、型号或者生产厂家替代。但投标人的产品实质上应相当于或优于本需求</w:t>
      </w:r>
      <w:r>
        <w:rPr>
          <w:rFonts w:ascii="仿宋" w:hAnsi="仿宋" w:eastAsia="仿宋"/>
          <w:b/>
          <w:bCs/>
          <w:sz w:val="24"/>
          <w:highlight w:val="none"/>
        </w:rPr>
        <w:t>中</w:t>
      </w:r>
      <w:r>
        <w:rPr>
          <w:rFonts w:hint="eastAsia" w:ascii="仿宋" w:hAnsi="仿宋" w:eastAsia="仿宋"/>
          <w:b/>
          <w:bCs/>
          <w:sz w:val="24"/>
          <w:highlight w:val="none"/>
        </w:rPr>
        <w:t>的技术要求。</w:t>
      </w:r>
    </w:p>
    <w:p>
      <w:pPr>
        <w:spacing w:line="400" w:lineRule="exact"/>
        <w:ind w:firstLine="482" w:firstLineChars="200"/>
        <w:jc w:val="left"/>
        <w:rPr>
          <w:rFonts w:hint="eastAsia" w:ascii="仿宋" w:hAnsi="仿宋" w:eastAsia="仿宋" w:cs="宋体"/>
          <w:b/>
          <w:sz w:val="24"/>
          <w:highlight w:val="none"/>
        </w:rPr>
      </w:pPr>
      <w:r>
        <w:rPr>
          <w:rFonts w:hint="eastAsia" w:ascii="仿宋" w:hAnsi="仿宋" w:eastAsia="仿宋"/>
          <w:b/>
          <w:bCs/>
          <w:sz w:val="24"/>
          <w:highlight w:val="none"/>
        </w:rPr>
        <w:t>2、</w:t>
      </w:r>
      <w:r>
        <w:rPr>
          <w:rFonts w:ascii="仿宋" w:hAnsi="仿宋" w:eastAsia="仿宋"/>
          <w:b/>
          <w:bCs/>
          <w:sz w:val="24"/>
          <w:highlight w:val="none"/>
        </w:rPr>
        <w:t>根据《财政部 发展改革委 生态环境部 市场监管总局关于调整优化节能产品、环境标志产品政府采购执行机制的通知》（财库〔2019〕9号）和《关于印发节能产品政府采购品目清单的通知》（财库〔2019〕19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w:t>
      </w:r>
      <w:r>
        <w:rPr>
          <w:rFonts w:hint="eastAsia" w:ascii="仿宋" w:hAnsi="仿宋" w:eastAsia="仿宋"/>
          <w:b/>
          <w:bCs/>
          <w:sz w:val="24"/>
          <w:highlight w:val="none"/>
        </w:rPr>
        <w:t>，投标文件中必须提供国家有关行政部门认可的认证机构出具的、处于有效期之内的节能产品认证证书复印件</w:t>
      </w:r>
      <w:r>
        <w:rPr>
          <w:rFonts w:ascii="仿宋" w:hAnsi="仿宋" w:eastAsia="仿宋"/>
          <w:b/>
          <w:bCs/>
          <w:sz w:val="24"/>
          <w:highlight w:val="none"/>
        </w:rPr>
        <w:t>，否则投标文件作无效处理。</w:t>
      </w:r>
    </w:p>
    <w:p>
      <w:pPr>
        <w:spacing w:line="400" w:lineRule="exact"/>
        <w:ind w:firstLine="482" w:firstLineChars="200"/>
        <w:jc w:val="left"/>
        <w:rPr>
          <w:rFonts w:hint="eastAsia" w:ascii="仿宋" w:hAnsi="仿宋" w:eastAsia="仿宋" w:cs="宋体"/>
          <w:b/>
          <w:sz w:val="24"/>
          <w:highlight w:val="none"/>
        </w:rPr>
      </w:pPr>
      <w:r>
        <w:rPr>
          <w:rFonts w:ascii="仿宋" w:hAnsi="仿宋" w:eastAsia="仿宋"/>
          <w:b/>
          <w:bCs/>
          <w:sz w:val="24"/>
          <w:highlight w:val="none"/>
        </w:rPr>
        <w:t>3</w:t>
      </w:r>
      <w:r>
        <w:rPr>
          <w:rFonts w:hint="eastAsia" w:ascii="仿宋" w:hAnsi="仿宋" w:eastAsia="仿宋"/>
          <w:b/>
          <w:bCs/>
          <w:sz w:val="24"/>
          <w:highlight w:val="none"/>
        </w:rPr>
        <w:t>、如投标人投标产品存在侵犯他人的知识产权或者专利成果行为的，由投标人自行承担相应法律责任。</w:t>
      </w:r>
    </w:p>
    <w:p>
      <w:pPr>
        <w:spacing w:line="400" w:lineRule="exact"/>
        <w:ind w:firstLine="482" w:firstLineChars="200"/>
        <w:jc w:val="left"/>
        <w:rPr>
          <w:rFonts w:hint="eastAsia" w:ascii="仿宋" w:hAnsi="仿宋" w:eastAsia="仿宋"/>
          <w:b/>
          <w:bCs/>
          <w:sz w:val="24"/>
          <w:highlight w:val="none"/>
        </w:rPr>
      </w:pPr>
      <w:r>
        <w:rPr>
          <w:rFonts w:ascii="仿宋" w:hAnsi="仿宋" w:eastAsia="仿宋"/>
          <w:b/>
          <w:bCs/>
          <w:sz w:val="24"/>
          <w:highlight w:val="none"/>
        </w:rPr>
        <w:t>5</w:t>
      </w:r>
      <w:r>
        <w:rPr>
          <w:rFonts w:hint="eastAsia" w:ascii="仿宋" w:hAnsi="仿宋" w:eastAsia="仿宋"/>
          <w:b/>
          <w:bCs/>
          <w:sz w:val="24"/>
          <w:highlight w:val="none"/>
        </w:rPr>
        <w:t>、“实质性要求”是指招标文件中已经指明不满足则投标无效的条款，或者不能负偏离的条款，或者采购需求中标注“</w:t>
      </w:r>
      <w:r>
        <w:rPr>
          <w:rFonts w:hint="eastAsia" w:ascii="仿宋" w:hAnsi="仿宋" w:eastAsia="仿宋" w:cs="仿宋"/>
          <w:sz w:val="24"/>
          <w:highlight w:val="none"/>
        </w:rPr>
        <w:t>★</w:t>
      </w:r>
      <w:r>
        <w:rPr>
          <w:rFonts w:hint="eastAsia" w:ascii="仿宋" w:hAnsi="仿宋" w:eastAsia="仿宋"/>
          <w:b/>
          <w:bCs/>
          <w:sz w:val="24"/>
          <w:highlight w:val="none"/>
        </w:rPr>
        <w:t>”号的条款。</w:t>
      </w:r>
    </w:p>
    <w:p>
      <w:pPr>
        <w:spacing w:line="400" w:lineRule="exact"/>
        <w:ind w:firstLine="482" w:firstLineChars="200"/>
        <w:jc w:val="left"/>
        <w:rPr>
          <w:rFonts w:hint="eastAsia" w:ascii="仿宋" w:hAnsi="仿宋" w:eastAsia="仿宋" w:cs="宋体"/>
          <w:b/>
          <w:bCs/>
          <w:sz w:val="24"/>
          <w:highlight w:val="none"/>
        </w:rPr>
      </w:pPr>
      <w:r>
        <w:rPr>
          <w:rFonts w:ascii="仿宋" w:hAnsi="仿宋" w:eastAsia="仿宋"/>
          <w:b/>
          <w:bCs/>
          <w:sz w:val="24"/>
          <w:highlight w:val="none"/>
        </w:rPr>
        <w:t>6</w:t>
      </w:r>
      <w:r>
        <w:rPr>
          <w:rFonts w:hint="eastAsia" w:ascii="仿宋" w:hAnsi="仿宋" w:eastAsia="仿宋"/>
          <w:b/>
          <w:bCs/>
          <w:sz w:val="24"/>
          <w:highlight w:val="none"/>
        </w:rPr>
        <w:t>、</w:t>
      </w:r>
      <w:bookmarkStart w:id="75" w:name="OLE_LINK2"/>
      <w:r>
        <w:rPr>
          <w:rFonts w:hint="eastAsia" w:ascii="仿宋" w:hAnsi="仿宋" w:eastAsia="仿宋"/>
          <w:b/>
          <w:bCs/>
          <w:sz w:val="24"/>
          <w:highlight w:val="none"/>
        </w:rPr>
        <w:t>本项目</w:t>
      </w:r>
      <w:bookmarkEnd w:id="75"/>
      <w:r>
        <w:rPr>
          <w:rFonts w:hint="eastAsia" w:ascii="仿宋" w:hAnsi="仿宋" w:eastAsia="仿宋" w:cs="宋体"/>
          <w:b/>
          <w:bCs/>
          <w:sz w:val="24"/>
          <w:highlight w:val="none"/>
        </w:rPr>
        <w:t>中小企业划分标准所属行业名称（行业名称及划分见本章附件</w:t>
      </w:r>
      <w:r>
        <w:rPr>
          <w:rFonts w:ascii="仿宋" w:hAnsi="仿宋" w:eastAsia="仿宋" w:cs="宋体"/>
          <w:b/>
          <w:bCs/>
          <w:sz w:val="24"/>
          <w:highlight w:val="none"/>
        </w:rPr>
        <w:t>2</w:t>
      </w:r>
      <w:r>
        <w:rPr>
          <w:rFonts w:hint="eastAsia" w:ascii="仿宋" w:hAnsi="仿宋" w:eastAsia="仿宋" w:cs="宋体"/>
          <w:b/>
          <w:bCs/>
          <w:sz w:val="24"/>
          <w:highlight w:val="none"/>
        </w:rPr>
        <w:t>）：详见下表。</w:t>
      </w:r>
    </w:p>
    <w:p>
      <w:pPr>
        <w:spacing w:line="400" w:lineRule="exact"/>
        <w:ind w:firstLine="482" w:firstLineChars="200"/>
        <w:jc w:val="left"/>
        <w:rPr>
          <w:rFonts w:hint="eastAsia" w:ascii="仿宋" w:hAnsi="仿宋" w:eastAsia="仿宋" w:cs="宋体"/>
          <w:b/>
          <w:bCs/>
          <w:sz w:val="24"/>
          <w:highlight w:val="none"/>
        </w:rPr>
      </w:pPr>
      <w:r>
        <w:rPr>
          <w:rFonts w:hint="eastAsia" w:ascii="仿宋" w:hAnsi="仿宋" w:eastAsia="仿宋" w:cs="宋体"/>
          <w:b/>
          <w:bCs/>
          <w:sz w:val="24"/>
          <w:highlight w:val="none"/>
        </w:rPr>
        <w:t>7、</w:t>
      </w:r>
      <w:r>
        <w:rPr>
          <w:rFonts w:hint="eastAsia" w:ascii="仿宋" w:hAnsi="仿宋" w:eastAsia="仿宋"/>
          <w:b/>
          <w:bCs/>
          <w:sz w:val="24"/>
          <w:highlight w:val="none"/>
        </w:rPr>
        <w:t>本项目</w:t>
      </w:r>
      <w:r>
        <w:rPr>
          <w:rFonts w:hint="eastAsia" w:ascii="仿宋" w:hAnsi="仿宋" w:eastAsia="仿宋" w:cs="宋体"/>
          <w:b/>
          <w:bCs/>
          <w:sz w:val="24"/>
          <w:highlight w:val="none"/>
        </w:rPr>
        <w:t>第1分项货物“全自动蛋白印迹仪”、第2分项</w:t>
      </w:r>
      <w:r>
        <w:rPr>
          <w:rFonts w:hint="eastAsia" w:ascii="仿宋" w:hAnsi="仿宋" w:eastAsia="仿宋" w:cs="宋体"/>
          <w:b/>
          <w:bCs/>
          <w:sz w:val="24"/>
          <w:highlight w:val="none"/>
          <w:lang w:eastAsia="zh-CN"/>
        </w:rPr>
        <w:t>货物“全自动病毒载量检测系统”</w:t>
      </w:r>
      <w:r>
        <w:rPr>
          <w:rFonts w:hint="eastAsia" w:ascii="仿宋" w:hAnsi="仿宋" w:eastAsia="仿宋" w:cs="宋体"/>
          <w:b/>
          <w:bCs/>
          <w:sz w:val="24"/>
          <w:highlight w:val="none"/>
        </w:rPr>
        <w:t>接受进口产品（即通过中国海关报关验放进入中国境内且产自关境外的产品）投标，其余标的货物不接受进口产品（即通过中国海关报关验放进入中国境内且产自关境外的产品）参与投标，如有进口产品参与投标的按无效投标处理。</w:t>
      </w:r>
    </w:p>
    <w:tbl>
      <w:tblPr>
        <w:tblStyle w:val="51"/>
        <w:tblW w:w="10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92"/>
        <w:gridCol w:w="331"/>
        <w:gridCol w:w="519"/>
        <w:gridCol w:w="4960"/>
        <w:gridCol w:w="569"/>
        <w:gridCol w:w="753"/>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0100"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一、采购内容及技术要求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项号</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标的的名称</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标的所属行业</w:t>
            </w:r>
          </w:p>
        </w:tc>
        <w:tc>
          <w:tcPr>
            <w:tcW w:w="49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技术要求</w:t>
            </w:r>
          </w:p>
        </w:tc>
        <w:tc>
          <w:tcPr>
            <w:tcW w:w="5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单位</w:t>
            </w:r>
          </w:p>
        </w:tc>
        <w:tc>
          <w:tcPr>
            <w:tcW w:w="1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参考总价</w:t>
            </w:r>
          </w:p>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1</w:t>
            </w:r>
          </w:p>
        </w:tc>
        <w:tc>
          <w:tcPr>
            <w:tcW w:w="99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bookmarkStart w:id="76" w:name="OLE_LINK3"/>
            <w:r>
              <w:rPr>
                <w:rFonts w:hint="eastAsia" w:ascii="仿宋" w:hAnsi="仿宋" w:eastAsia="仿宋" w:cs="仿宋"/>
                <w:bCs/>
                <w:color w:val="auto"/>
                <w:sz w:val="24"/>
                <w:highlight w:val="none"/>
              </w:rPr>
              <w:t>全自动蛋白印迹仪</w:t>
            </w:r>
            <w:bookmarkEnd w:id="76"/>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主要用途：HIV确证检测（免疫印迹法检测HIV抗体）</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 检测样本数量（样本槽）：≥48个测试/批次，可以自由设置孵育板起始位置，样本槽抗静电处理。</w:t>
            </w:r>
          </w:p>
          <w:p>
            <w:pPr>
              <w:rPr>
                <w:rFonts w:hint="eastAsia" w:ascii="仿宋" w:hAnsi="仿宋" w:eastAsia="仿宋" w:cs="仿宋"/>
                <w:color w:val="auto"/>
                <w:sz w:val="24"/>
                <w:highlight w:val="none"/>
              </w:rPr>
            </w:pPr>
            <w:bookmarkStart w:id="77" w:name="OLE_LINK5"/>
            <w:r>
              <w:rPr>
                <w:rFonts w:hint="eastAsia" w:ascii="仿宋" w:hAnsi="仿宋" w:eastAsia="仿宋" w:cs="仿宋"/>
                <w:color w:val="auto"/>
                <w:sz w:val="24"/>
                <w:highlight w:val="none"/>
              </w:rPr>
              <w:t>★</w:t>
            </w:r>
            <w:bookmarkEnd w:id="77"/>
            <w:r>
              <w:rPr>
                <w:rFonts w:hint="eastAsia" w:ascii="仿宋" w:hAnsi="仿宋" w:eastAsia="仿宋" w:cs="仿宋"/>
                <w:color w:val="auto"/>
                <w:sz w:val="24"/>
                <w:highlight w:val="none"/>
              </w:rPr>
              <w:t>2. 平行处理样品量：≥3个。</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 液体通道：支持6种试剂和10个试剂加液通道。</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 清洗速度：48个样本用时≤4min。</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 节省试剂功能：加样系统可自动回收管道中残留的试剂、避免试剂浪费。</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 自定义编写及存储程序数：≥20个程序，单程序可编辑步骤：≥59个步骤。</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 具有用户程序密码保护功能。</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 孵育时间设定：1-999min任意时间设定，增量一分钟；有持续模式。</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 试剂兼容性：系统开放，适用于所有国内外试剂。</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 设备运行中，具备外盖开盖报警功能。</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 摇床速度至少有5种速度可选。</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 加样、清洗方式：专业全自动蠕动泵加液，实验前后无需人对泵体进行任何处理，无需人工对管道进行灌注。</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 清洗方式：一键操作自动清洗。</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 专业蠕动泵排液（非真空泵）可同时处理不少于3个样本。</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 蠕动泵具备自校准功能，确保加样准确。</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16. 试剂瓶、泵、管道内相应系统设置同一色码标签、防止误操作。</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17. 计算机接口：同时具备RS232和USB接口、支持远程控制、方便数据传输。</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18.配置清单：</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（1）全自动蛋白印迹仪主机1台；</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 设备手册 1本；</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（3）电源线 1根。</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（4）高速离心机1台</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（5）迷你离心机2台</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（6）漩涡混合器2台</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（7）移液器套装2套</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（8）电脑及扫码器1套</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（9）空气消毒机1台</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（10）空调1台</w:t>
            </w:r>
          </w:p>
        </w:tc>
        <w:tc>
          <w:tcPr>
            <w:tcW w:w="5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1</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台</w:t>
            </w:r>
          </w:p>
        </w:tc>
        <w:tc>
          <w:tcPr>
            <w:tcW w:w="1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2</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bookmarkStart w:id="78" w:name="OLE_LINK18"/>
            <w:r>
              <w:rPr>
                <w:rFonts w:hint="eastAsia" w:ascii="仿宋" w:hAnsi="仿宋" w:eastAsia="仿宋" w:cs="仿宋"/>
                <w:color w:val="auto"/>
                <w:sz w:val="24"/>
                <w:highlight w:val="none"/>
              </w:rPr>
              <w:t>全自动病毒载量检测系统</w:t>
            </w:r>
            <w:bookmarkEnd w:id="78"/>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★1.检测原理：实时荧光PCR技术，全自动核酸提取、扩增和检测。</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★2.核酸提取以及扩增检测要求：核酸提取，PCR反应配制模块和扩增模块为一体机，使用同一张注册证。（提供设备三类注册证佐证）</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▲3.定量原理：采用具有核酸定量作用的内部标准品来进行病毒载量的定量，从而消除管间差异，精准定量；同时该内标也起到了监测整个样本前处理和PCR扩增步骤正常与否的作用，提供说明书佐证。</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★4.样本容量：单台设备可一次性上载≥128管样本。</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▲5.样本优先级：软件支持设置优先级载架与优先级检测项目（优先级高的样本将会在最早的批次被处理），系统自动识别。</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▲6.无人值守：全自动样本制备、核酸扩增和检测，完全无需人工干预〉=4批检测。</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样本条码类型：可兼容多种条码类型，支持多种来源的标本，应包括Codabar，Code 128，Code 39，Code 93，Code Interleaved 2 of 5，Code EAN-8，Code EAN-13（JAN code），Data matrix ECC 200，Aztec code。</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物料上载：样本、试剂与耗材均支持不停机上载，无需等待上一批检测结束后再进行上载。</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试剂效期：开瓶稳定期≥90天（2-8度保存），在机稳定期≥30天（在机保存）。</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PCR模块：拥有≥2个独立的PCR检测模块，可同时进行检测。</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▲11.具备LDT（实验室自建）功能；可用于实验室自主开发提取检测一体的标准化LDT项目。</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试剂监控：试剂配有RFID标签，可读写，实时追踪试剂使用及状态。</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双向LIS连接，自动报告结果。</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控制系统：内置服务器，最多可控制3套系统。</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试剂配置：即开即用，无需任何试剂配制操作，直接加载运行。</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维护保养：无需日维护、月维护；仅需周维护。</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17.配置要求:工作站两台。</w:t>
            </w:r>
          </w:p>
        </w:tc>
        <w:tc>
          <w:tcPr>
            <w:tcW w:w="56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theme="minorEastAsia"/>
                <w:bCs/>
                <w:color w:val="auto"/>
                <w:kern w:val="0"/>
                <w:sz w:val="24"/>
                <w:highlight w:val="none"/>
              </w:rPr>
              <w:t>套</w:t>
            </w: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3</w:t>
            </w:r>
          </w:p>
        </w:tc>
        <w:tc>
          <w:tcPr>
            <w:tcW w:w="99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生物安全柜</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numPr>
                <w:ilvl w:val="0"/>
                <w:numId w:val="3"/>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技术指标：</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1.气流模式：30%外排，70%循环；</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2.通过生物安全柜YY0569-2011 Ⅱ级生物安全柜认证和GB 41918-2022 生物安全柜认证；3.流入气流平均风速≥0.52m/s，下降气流平均风速≥0.32m/s；</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4.送风过滤器与排风过滤器均采用ULPA超高效空气过滤器，针对颗粒直径0.12um，过滤效率≥99.9995%；</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5.具有气流隔断技术，沿玻璃门上沿缝隙有负压气流阻断保护，防止工作区内外气体交互；6.洁净级别为10级的工作环境；</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7.LCD液晶屏彩色显示，触摸按键，可显示时钟、工作区温度与湿度、气流流速、送风以及排风过滤器压差、系统时间、过滤膜使用寿命、紫外使用时间、功能图标以及报警提示等参数；</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8.在线实时监测并条形码显示高效过滤器的使用寿命，具有过滤器失效声光报警功能；</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9.前窗采用电动升降方式，可一键上升或者下降到安全高度；</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10.紫外灯安装在工作区背面上部，确保操作区能完全覆盖照射杀菌，同时具有一键紫外灯预约30min功能，并可设定更改预约时长；</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11.照明灯安装在工作区前部，采用两根高亮度LED灯管，照度可达1000lx以上；</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12.前窗玻璃采用双层夹胶防爆安全玻璃，防护人员安全；</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13.前窗玻璃具有全幅可清洁功能,彻底解决安全柜玻璃内部无法清洗障碍， 扫除卫生死角；</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14.配备双路压力传感器，实时监测送风过滤器以及排风过滤器的压差,压力变化超限时自动声光报警；</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15.有断电记忆功能，恢复供电后，恢复断电前的运行状态并有报警提示；</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16.有关门监测功能，未关严门有声光报警提示；</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17.有开门高度警示功能，开门超高或过低均有声光报警提示；</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18.有监测气流波动功能，气流波动超过20%有声光报警提示；</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19.报警代码显示提醒设计；</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20.前窗关闭双重触发信号，在紫外灯杀菌消毒一路线路故障时，可以继续正常开启紫外杀菌功能；</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21.负压风道设有过滤格栅，防止纸屑等杂物进入后部负压腔体；</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22.高效过滤器与风机的维修、更换，均可在柜体前侧进行，并且可实现单人更换，维修保养快捷；</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23.一体式搁手板大平面设计，与胳膊的接触面积更大，人员操作更舒适；</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24.上柜体底部结构的可搬抬结构设计，便于叉车搬运及人工搬抬放置上柜体，安全方便；25.柜内电源：双防水插座设计，插座位于安全柜操作区后部的左右两侧，操作区两侧取电方便；</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26.具有水阀、气阀孔交错设计，位于正视安全柜方向的左侧；</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27.柜体底座下方没有横撑横杆设计，全敞开空间方便放置或移动物品及方便座椅推进；28.脚轮与支架一体化设计，柜体可实现万向移动，也可以调节支脚高度来固定柜体和调平工作台平面；</w:t>
            </w:r>
          </w:p>
          <w:p>
            <w:pPr>
              <w:numPr>
                <w:ilvl w:val="0"/>
                <w:numId w:val="0"/>
              </w:num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29.外部尺寸≤（L×D×H）1500mm×760mm×2250mm30.内部尺寸＞（L×D×H）1340mm ×580mm×650mm</w:t>
            </w:r>
            <w:r>
              <w:rPr>
                <w:rFonts w:hint="eastAsia" w:ascii="仿宋" w:hAnsi="仿宋" w:eastAsia="仿宋" w:cs="仿宋"/>
                <w:color w:val="auto"/>
                <w:sz w:val="24"/>
                <w:highlight w:val="none"/>
                <w:lang w:eastAsia="zh-CN"/>
              </w:rPr>
              <w:t>。</w:t>
            </w:r>
          </w:p>
          <w:p>
            <w:pPr>
              <w:numPr>
                <w:ilvl w:val="0"/>
                <w:numId w:val="0"/>
              </w:num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二、认证资质：国家食品药品监督管理局核发的生物安全柜产品注册证</w:t>
            </w:r>
            <w:r>
              <w:rPr>
                <w:rFonts w:hint="eastAsia" w:ascii="仿宋" w:hAnsi="仿宋" w:eastAsia="仿宋" w:cs="仿宋"/>
                <w:color w:val="auto"/>
                <w:sz w:val="24"/>
                <w:highlight w:val="none"/>
                <w:lang w:eastAsia="zh-CN"/>
              </w:rPr>
              <w:t>。</w:t>
            </w:r>
          </w:p>
        </w:tc>
        <w:tc>
          <w:tcPr>
            <w:tcW w:w="56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4</w:t>
            </w:r>
          </w:p>
        </w:tc>
        <w:tc>
          <w:tcPr>
            <w:tcW w:w="99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医用冷藏冷冻箱</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1、规格：立式，有效容积≥300升，其中冷藏室占总有效容积的60%以上。</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2、功率：额定功率≤260W。</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3、精确控温：微电脑控制，冷藏温度范围2～8℃，冷冻温度-10～-26℃可设定，显示精度1℃，温度可根据实际需求设定。</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4、▲保温材料：无CFC聚氨酯发泡，加厚保温层，保温效果好，冷藏发泡门体厚度达≥80mm；冷冻门体厚度达≥90mm，冷冻箱体发泡层厚度达到≥100mm。</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5、制冷系统：采用名牌压缩机及风机，双压缩机双系统，冷藏和冷冻室可独立控制运行，节能环保，制冷效果佳；冷藏室风冷，冷冻室直冷。</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6、温度显示：高清晰LCD数字温度显示，运行状态一目了然，可根据需求设定高低温报警温度点。冷藏温度和冷冻温度同时显示，冷藏室、冷冻室可分别单独关闭。</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7、保护功能：具有开机延时、停机间隔、断电保护等保护功能，确保运行可靠。</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8、▲箱体配置：冷藏室内≥3层钢丝搁架，间距可调节，满足不同物品置放，易于清擦；冷冻室配置≥3个ABS抽屉，方便物品分类存放。</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9、安全防护：门体带暗锁设计，可加配锁扣增加外挂锁。</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10、报警功能：具有高低温报警、传感故障报警等多种报警功能。</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11、测试孔：冷藏室冷冻室各标配≥1个测试孔，方便用户测试使用。</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12、服务保障：省内有维修网点，维修响应时间为2小时内，市区24小时抵达到单位排除故障。</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13、注册要求：产品具有医疗器械注册证。</w:t>
            </w:r>
          </w:p>
        </w:tc>
        <w:tc>
          <w:tcPr>
            <w:tcW w:w="56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流式细胞仪</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一、主要用途及用途：通过对标记在细胞上的荧光基团的检测，能够获得该荧光基团所指示的一系列细胞的物理、化学、生物特性，从而可以开展一系列的医学检验，以及科学研究。</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二、主要技术参数：</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★1.激光器及滤光片标准配置：双激光（488nm、638nm）半导体激光器，激光器功率≥40mW，带TEC温控，6色8通道（6个荧光通道+2个散射光通道）。</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2.荧光通道：488nm、45mW蓝激光器：530nmBP FITC, 585nmBP PE，700nmBP PerCP-Cy5.5/PE-Cy5，785nmBP PE-Cy7；638nm、40mW红激光器：660nmBP APC, 785nmBP APC-Cy7。</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3.荧光灵敏度：&lt;60 MESF for FITC；&lt;55 MESF for PE；&lt;30 MESF for APC。</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4.荧光分辨率：8峰彩虹微球，在 FITC, PE, PerCP-Cy5.5 /PE-Cy5, APC, APC-Cy7通道均可明显分辨8峰（标准荧光微球）。</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5.仪器分辨率：FSC≤2% ，FITC≤2% ，PE≤2%</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▲6.光子探测器：灵敏度超过PMT的APD雪崩光电探测器。</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▲7.光路：采用荧光空间耦合技术，使不同激光器通道之间无串扰，简化补偿调节。（提供产品彩页或省级以上第三方出具的证明材料）</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8.检测灵敏度：前向灵敏度1.0μm，侧向灵敏度0.2μm。</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9.可检测粒度范围：0.2-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0μm。</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10.测量动态范围：&gt;6 logs。</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11.分析速度：最大检测速度45,000 events/second；96孔/30min。</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12.仪器具备自动进样系统，进样系统模块在机身内部，具有生物安全性保护。进样盘孔位：40孔盘和96孔板。</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13.支持试管：标准流式管（12x75mm，5mL），离心管（1.5mL，锥底）,96孔板（平底、U型、V型）。</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14.混匀方式：整盘，单管，间隔混匀自由设置。</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15.绝对计数功能：支持微球法、体积法绝对计数。</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16.最小样品量：10μL</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17.样本流速：低速：15μL /min，中速：33μL /min，高速：60μL /min；15-235μL/min</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18.推荐鞘液：厂家推荐鞘液</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19.液瓶容量：废液桶6L、鞘液桶6L、清洗液桶1L，更换便捷，可全时运行12小时。</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20.交叉污染率：≤0.1%</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21.自动清洗系统：多种液路系统自动维护程序，一键自动操作。</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22.配套电脑工作站。软件：默认系统集成或根据要求定制其中模块，兼容 FCS2.0 和 3.0/3.1 行业标准数据格式。</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23.支持中/英文操作界面,支持双向LIS数据图文传输；</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24.荧光补偿：可在线/离线补偿,补偿方式为矩阵补偿、快速补偿、自动补偿；</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25.模板支持一键设置多个样本，多个样本或实验一键同步设置，批量数据导入/导出功能，操作便捷；</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26.有同品牌的试剂：有原厂配套的三类注册证的三色、四色、六色淋巴细胞亚群试剂、二类注册证的绝对计数管试剂，二类注册证的14因子试剂，可提供中华人民共和国医疗器械注册证，且能与仪器配套使用。</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 单台配置要求：</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27.1. 流式细胞仪一台；</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27.2. 流式细胞仪配件一套；</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27.3. CytoSYS 3.0 操作软件一套；</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27.4. 仪器说明书一本；</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27.5. 专用分析工作站一套（电脑主机+显示器）。</w:t>
            </w:r>
          </w:p>
        </w:tc>
        <w:tc>
          <w:tcPr>
            <w:tcW w:w="5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53" w:type="dxa"/>
            <w:tcBorders>
              <w:top w:val="single" w:color="auto" w:sz="4" w:space="0"/>
              <w:left w:val="single" w:color="auto" w:sz="4" w:space="0"/>
              <w:bottom w:val="single" w:color="auto" w:sz="4" w:space="0"/>
              <w:right w:val="single" w:color="auto" w:sz="4" w:space="0"/>
            </w:tcBorders>
            <w:vAlign w:val="center"/>
          </w:tcPr>
          <w:p>
            <w:pPr>
              <w:jc w:val="center"/>
              <w:rPr>
                <w:color w:val="auto"/>
                <w:highlight w:val="none"/>
              </w:rPr>
            </w:pPr>
            <w:r>
              <w:rPr>
                <w:rFonts w:hint="eastAsia" w:ascii="仿宋" w:hAnsi="仿宋" w:eastAsia="仿宋" w:cs="仿宋"/>
                <w:color w:val="auto"/>
                <w:sz w:val="24"/>
                <w:highlight w:val="none"/>
              </w:rPr>
              <w:t>台</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cs="仿宋"/>
                <w:color w:val="auto"/>
                <w:sz w:val="24"/>
                <w:highlight w:val="none"/>
              </w:rPr>
            </w:pPr>
            <w:r>
              <w:rPr>
                <w:rFonts w:hint="eastAsia"/>
                <w:color w:val="auto"/>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6</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裂解仪</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1.产品组成：裂解仪主机和液流系统组成。</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2.应用：对T/B/NK临床检测的全血样本进行自动化处理。</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3.支持试管：全血试管：3ml真空采血管；流式管：12x75流式管。</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4.处理规格：一次最大处理量：40样本；处理时间：小于1小时；处理功能：无需拔盖封闭穿刺取血，全血自动混匀，抗体和溶血素采用电容针自动定量加样、无需Tip头，全自动溶血和孵育。</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5.血样要求：新鲜全血；体积大于1ml。</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▲6.定量精度：血样精度：小于5%；重复性CV：小于2%；抗体精度：小于3%；重复性CV：小于2%；溶血素精度：小于1%；重复性CV：小于0.5%。</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7.携带污染率：小于0.1%。</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▲8.自动功能：自动全血混匀，自动条码扫描，自动封闭穿刺取血，自动加样，自动孵育，自动剩余血样、抗体液量检测，取样和取试剂时自动液位跟随检测，自动液量不足报警，自动故障报警。</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9.要求可与第5项号货物“流式细胞仪”配套使用。</w:t>
            </w:r>
          </w:p>
        </w:tc>
        <w:tc>
          <w:tcPr>
            <w:tcW w:w="56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auto"/>
                <w:highlight w:val="none"/>
              </w:rPr>
            </w:pPr>
            <w:r>
              <w:rPr>
                <w:rFonts w:hint="eastAsia" w:ascii="仿宋" w:hAnsi="仿宋" w:eastAsia="仿宋" w:cs="仿宋"/>
                <w:color w:val="auto"/>
                <w:sz w:val="24"/>
                <w:highlight w:val="none"/>
              </w:rPr>
              <w:t>台</w:t>
            </w: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cs="仿宋"/>
                <w:color w:val="auto"/>
                <w:sz w:val="24"/>
                <w:highlight w:val="none"/>
              </w:rPr>
            </w:pPr>
            <w:r>
              <w:rPr>
                <w:rFonts w:hint="eastAsia" w:ascii="仿宋" w:hAnsi="仿宋" w:eastAsia="仿宋" w:cs="仿宋"/>
                <w:color w:val="auto"/>
                <w:sz w:val="24"/>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0100"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lef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核心产品：本项目核心产品为第</w:t>
            </w:r>
            <w:r>
              <w:rPr>
                <w:rFonts w:hint="eastAsia" w:ascii="仿宋" w:hAnsi="仿宋" w:eastAsia="仿宋" w:cs="仿宋"/>
                <w:b/>
                <w:color w:val="auto"/>
                <w:sz w:val="24"/>
                <w:highlight w:val="none"/>
                <w:u w:val="single"/>
              </w:rPr>
              <w:t xml:space="preserve">  2  </w:t>
            </w:r>
            <w:r>
              <w:rPr>
                <w:rFonts w:hint="eastAsia" w:ascii="仿宋" w:hAnsi="仿宋" w:eastAsia="仿宋" w:cs="仿宋"/>
                <w:b/>
                <w:color w:val="auto"/>
                <w:sz w:val="24"/>
                <w:highlight w:val="none"/>
              </w:rPr>
              <w:t>项标的</w:t>
            </w:r>
            <w:r>
              <w:rPr>
                <w:rFonts w:hint="eastAsia" w:ascii="仿宋" w:hAnsi="仿宋" w:eastAsia="仿宋" w:cs="仿宋"/>
                <w:b/>
                <w:color w:val="auto"/>
                <w:sz w:val="24"/>
                <w:highlight w:val="none"/>
                <w:u w:val="single"/>
              </w:rPr>
              <w:t xml:space="preserve"> “全自动病毒载量检测系统” </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0100"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left"/>
              <w:textAlignment w:val="center"/>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免费保修期</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1、本项目全部标的设备的免费保修期自交货验收合格之日起不少于</w:t>
            </w:r>
            <w:r>
              <w:rPr>
                <w:rFonts w:hint="eastAsia" w:ascii="仿宋" w:hAnsi="仿宋" w:eastAsia="仿宋" w:cs="仿宋"/>
                <w:color w:val="auto"/>
                <w:kern w:val="0"/>
                <w:sz w:val="24"/>
                <w:highlight w:val="none"/>
                <w:u w:val="single"/>
              </w:rPr>
              <w:t xml:space="preserve"> 1 </w:t>
            </w:r>
            <w:r>
              <w:rPr>
                <w:rFonts w:hint="eastAsia" w:ascii="仿宋" w:hAnsi="仿宋" w:eastAsia="仿宋" w:cs="仿宋"/>
                <w:color w:val="auto"/>
                <w:kern w:val="0"/>
                <w:sz w:val="24"/>
                <w:highlight w:val="none"/>
              </w:rPr>
              <w:t>年，并按国家有关产品“三包”规定执行“三包”。产品在免费保修期内出现故障的，免费保修期时间相应顺延。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售后服务要求</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一、总体要求</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1、免费送货上门、免费安装调试合格，免费培训采购人相关工作人员能熟练使用，提供产品终身免费上门维修服务。</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2、在免费保修期内因产品本身的质量问题发生故障，中标供应商应负责免费修理和更换零部件。对达不到技术要求者，根据实际情况，经双方协商，可按以下办法处理：</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（1）更换：由中标供应商承担所有发生的全部费用。</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（2）贬值处理：由采购人、中标供应商双方合议定价。</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（3）退货处理：中标供应商应退还采购人支付的合同款，同时应承担该货物的直接费用（运输、保险、检验、贷款利息及银行手续费等）。</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3、免费保修期内定期上门保养、设备故障时提供上门维修。保修期内在使用过程中若产品发生质量问题或故障，在接到采购人通知后厂家工程师提供</w:t>
            </w:r>
            <w:r>
              <w:rPr>
                <w:rFonts w:hint="eastAsia" w:ascii="仿宋" w:hAnsi="仿宋" w:eastAsia="仿宋" w:cs="仿宋"/>
                <w:color w:val="auto"/>
                <w:kern w:val="0"/>
                <w:sz w:val="24"/>
                <w:highlight w:val="none"/>
                <w:u w:val="single"/>
              </w:rPr>
              <w:t xml:space="preserve">    24</w:t>
            </w:r>
            <w:r>
              <w:rPr>
                <w:rFonts w:hint="eastAsia" w:ascii="仿宋" w:hAnsi="仿宋" w:eastAsia="仿宋" w:cs="仿宋"/>
                <w:color w:val="auto"/>
                <w:kern w:val="0"/>
                <w:sz w:val="24"/>
                <w:highlight w:val="none"/>
              </w:rPr>
              <w:t>小时在线服务。如需更换配件，应当在</w:t>
            </w:r>
            <w:r>
              <w:rPr>
                <w:rFonts w:hint="eastAsia" w:ascii="仿宋" w:hAnsi="仿宋" w:eastAsia="仿宋" w:cs="仿宋"/>
                <w:color w:val="auto"/>
                <w:kern w:val="0"/>
                <w:sz w:val="24"/>
                <w:highlight w:val="none"/>
                <w:u w:val="single"/>
              </w:rPr>
              <w:t xml:space="preserve">  48  </w:t>
            </w:r>
            <w:r>
              <w:rPr>
                <w:rFonts w:hint="eastAsia" w:ascii="仿宋" w:hAnsi="仿宋" w:eastAsia="仿宋" w:cs="仿宋"/>
                <w:color w:val="auto"/>
                <w:kern w:val="0"/>
                <w:sz w:val="24"/>
                <w:highlight w:val="none"/>
              </w:rPr>
              <w:t>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4、若产品自带软件的，则须提供免费保修期内提供软件升级服务。</w:t>
            </w:r>
          </w:p>
          <w:p>
            <w:pPr>
              <w:spacing w:line="4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如将设备运离采购人处进行维修，须事先征得采购人同意，并办理书面移交手续。免费保修期内厂家应每年对设备进行不少于1次的巡回检修，并出具检修报告。由设备本身原因产生的事故、纠纷、安全事故等由中标供应商负责。</w:t>
            </w:r>
          </w:p>
          <w:p>
            <w:pPr>
              <w:pStyle w:val="2"/>
              <w:rPr>
                <w:rFonts w:hint="eastAsia"/>
                <w:color w:val="auto"/>
                <w:highlight w:val="none"/>
              </w:rPr>
            </w:pPr>
            <w:r>
              <w:rPr>
                <w:rFonts w:hint="eastAsia"/>
                <w:color w:val="auto"/>
                <w:highlight w:val="none"/>
              </w:rPr>
              <w:t>6、采购人实验室改造所涉及到的经费由中标供应商承担。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交付时间</w:t>
            </w:r>
          </w:p>
        </w:tc>
        <w:tc>
          <w:tcPr>
            <w:tcW w:w="8120" w:type="dxa"/>
            <w:gridSpan w:val="5"/>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自签订合同之日起</w:t>
            </w:r>
            <w:r>
              <w:rPr>
                <w:rFonts w:hint="eastAsia" w:ascii="仿宋" w:hAnsi="仿宋" w:eastAsia="仿宋" w:cs="仿宋"/>
                <w:color w:val="auto"/>
                <w:kern w:val="0"/>
                <w:sz w:val="24"/>
                <w:highlight w:val="none"/>
                <w:u w:val="single"/>
              </w:rPr>
              <w:t xml:space="preserve"> 90 </w:t>
            </w:r>
            <w:r>
              <w:rPr>
                <w:rFonts w:hint="eastAsia" w:ascii="仿宋" w:hAnsi="仿宋" w:eastAsia="仿宋" w:cs="仿宋"/>
                <w:color w:val="auto"/>
                <w:kern w:val="0"/>
                <w:sz w:val="24"/>
                <w:highlight w:val="none"/>
              </w:rPr>
              <w:t>个日历日内，安装调试完毕并交付使用。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交付地点</w:t>
            </w:r>
          </w:p>
        </w:tc>
        <w:tc>
          <w:tcPr>
            <w:tcW w:w="8120" w:type="dxa"/>
            <w:gridSpan w:val="5"/>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付款方式</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设备安装调试并经采购人验收合格后，中标供应商开具足额发票给采购人，采购人收到发票后，支付合同价款的90%，剩余合同价款的10%在采购人验收合格1年后支付（无息）。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包装和运输</w:t>
            </w:r>
          </w:p>
        </w:tc>
        <w:tc>
          <w:tcPr>
            <w:tcW w:w="8120" w:type="dxa"/>
            <w:gridSpan w:val="5"/>
            <w:vAlign w:val="center"/>
          </w:tcPr>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1.原厂原包装，包装完好完整、无破损、未开封。</w:t>
            </w:r>
          </w:p>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2.包装及运输方式应综合考虑运输距离、防潮、防震、防锈和防破损装卸等要求。</w:t>
            </w:r>
          </w:p>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3.国家对包装及运输有相关强制性标准或要求的，中标供应商应当执行。</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4.产品（含包装）运抵采购人指定交付地点前发生损坏、丢失等全部风险和责任均由中标供应商自行承担。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保险</w:t>
            </w:r>
          </w:p>
        </w:tc>
        <w:tc>
          <w:tcPr>
            <w:tcW w:w="8120" w:type="dxa"/>
            <w:gridSpan w:val="5"/>
            <w:vAlign w:val="center"/>
          </w:tcPr>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本项目执行中相关的一切税费、保险均由供应商自行负担。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验收标准</w:t>
            </w:r>
          </w:p>
        </w:tc>
        <w:tc>
          <w:tcPr>
            <w:tcW w:w="8120" w:type="dxa"/>
            <w:gridSpan w:val="5"/>
            <w:vAlign w:val="center"/>
          </w:tcPr>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1.投标人提供的产品必须符合国家强制执行的相关质量标准要求以及产品制造厂家合格产品的出厂质量标准。</w:t>
            </w:r>
          </w:p>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设备需全新、完好、无破损，产品到货后，采购人现场根据招标文件要求及投标文件承诺逐条对应进行核验，必要时，采购人有权邀请国家质量监督检验部门或国家认可的检测机构参与共同验收。如产品不满足招标文件要求、投标文件承诺或国家强制执行的相关质量标准要求以及产品制造厂家合格产品的出厂质量标准，采购人有权不予验收，由此造成采购人的经济损失由中标人承担全部赔偿责任。</w:t>
            </w:r>
          </w:p>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3.验收其他要求按合同条款以及政府采购相关法律法规规定执行。</w:t>
            </w:r>
          </w:p>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4.本项目所有设备在验收时，中标人须向采购人提供国家法定计量机构出具的检定证书，所产生的检定费用全部由中标人承担。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验收程序</w:t>
            </w:r>
          </w:p>
        </w:tc>
        <w:tc>
          <w:tcPr>
            <w:tcW w:w="8120" w:type="dxa"/>
            <w:gridSpan w:val="5"/>
            <w:shd w:val="clear" w:color="auto" w:fill="auto"/>
            <w:vAlign w:val="center"/>
          </w:tcPr>
          <w:p>
            <w:pPr>
              <w:adjustRightInd w:val="0"/>
              <w:snapToGrid w:val="0"/>
              <w:spacing w:line="460" w:lineRule="exact"/>
              <w:textAlignment w:val="center"/>
              <w:rPr>
                <w:rFonts w:hint="eastAsia" w:ascii="仿宋" w:hAnsi="仿宋" w:eastAsia="仿宋" w:cs="仿宋"/>
                <w:color w:val="auto"/>
                <w:kern w:val="0"/>
                <w:sz w:val="24"/>
                <w:highlight w:val="none"/>
                <w:shd w:val="clear" w:color="auto" w:fill="C6D9F0"/>
              </w:rPr>
            </w:pPr>
            <w:r>
              <w:rPr>
                <w:rFonts w:hint="eastAsia" w:ascii="仿宋" w:hAnsi="仿宋" w:eastAsia="仿宋" w:cs="仿宋"/>
                <w:color w:val="auto"/>
                <w:kern w:val="0"/>
                <w:sz w:val="24"/>
                <w:highlight w:val="none"/>
              </w:rPr>
              <w:t>货物送至采购人指定地点后，供应商与采购人共同对货物数量、外观等进行初步验收；货物安装调试完毕后7个工作日内，供应商与采购人根据采购合同相关要求对全部硬件和软件进行试运行1个月，试运行期间硬件和软件能够正常运行的，并交付采购人使用，采购人给予验收合格；对不符合质量要求的硬件和软件，供应商应在采购人要求时间内免费更换或调试直至合格，验收结果应由双方盖章、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履约保证金</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进口产品说明</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1、本项目第</w:t>
            </w:r>
            <w:r>
              <w:rPr>
                <w:rFonts w:hint="eastAsia"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rPr>
              <w:t>项“</w:t>
            </w:r>
            <w:r>
              <w:rPr>
                <w:rFonts w:hint="eastAsia" w:ascii="仿宋" w:hAnsi="仿宋" w:eastAsia="仿宋" w:cs="仿宋"/>
                <w:color w:val="auto"/>
                <w:kern w:val="0"/>
                <w:sz w:val="24"/>
                <w:highlight w:val="none"/>
                <w:u w:val="single"/>
              </w:rPr>
              <w:t>全自动蛋白印迹仪</w:t>
            </w:r>
            <w:r>
              <w:rPr>
                <w:rFonts w:hint="eastAsia" w:ascii="仿宋" w:hAnsi="仿宋" w:eastAsia="仿宋" w:cs="仿宋"/>
                <w:color w:val="auto"/>
                <w:kern w:val="0"/>
                <w:sz w:val="24"/>
                <w:highlight w:val="none"/>
              </w:rPr>
              <w:t>”、第</w:t>
            </w:r>
            <w:r>
              <w:rPr>
                <w:rFonts w:hint="eastAsia"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rPr>
              <w:t>项“</w:t>
            </w:r>
            <w:r>
              <w:rPr>
                <w:rFonts w:hint="eastAsia" w:ascii="仿宋" w:hAnsi="仿宋" w:eastAsia="仿宋" w:cs="仿宋"/>
                <w:color w:val="auto"/>
                <w:kern w:val="0"/>
                <w:sz w:val="24"/>
                <w:highlight w:val="none"/>
                <w:u w:val="single"/>
              </w:rPr>
              <w:t>全自动病毒载量检测系统</w:t>
            </w:r>
            <w:r>
              <w:rPr>
                <w:rFonts w:hint="eastAsia" w:ascii="仿宋" w:hAnsi="仿宋" w:eastAsia="仿宋" w:cs="仿宋"/>
                <w:color w:val="auto"/>
                <w:kern w:val="0"/>
                <w:sz w:val="24"/>
                <w:highlight w:val="none"/>
              </w:rPr>
              <w:t>”已按规定办理进口产品采购审批手续，投标产品可选用进口产品（即通过中国海关报关验放进入中国境内且产自关境外的产品）。</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2、除第</w:t>
            </w:r>
            <w:r>
              <w:rPr>
                <w:rFonts w:hint="eastAsia"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rPr>
              <w:t>项“</w:t>
            </w:r>
            <w:r>
              <w:rPr>
                <w:rFonts w:hint="eastAsia" w:ascii="仿宋" w:hAnsi="仿宋" w:eastAsia="仿宋" w:cs="仿宋"/>
                <w:color w:val="auto"/>
                <w:kern w:val="0"/>
                <w:sz w:val="24"/>
                <w:highlight w:val="none"/>
                <w:u w:val="single"/>
              </w:rPr>
              <w:t>全自动蛋白印迹仪</w:t>
            </w:r>
            <w:r>
              <w:rPr>
                <w:rFonts w:hint="eastAsia" w:ascii="仿宋" w:hAnsi="仿宋" w:eastAsia="仿宋" w:cs="仿宋"/>
                <w:color w:val="auto"/>
                <w:kern w:val="0"/>
                <w:sz w:val="24"/>
                <w:highlight w:val="none"/>
              </w:rPr>
              <w:t>”、第</w:t>
            </w:r>
            <w:r>
              <w:rPr>
                <w:rFonts w:hint="eastAsia"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rPr>
              <w:t>项“</w:t>
            </w:r>
            <w:r>
              <w:rPr>
                <w:rFonts w:hint="eastAsia" w:ascii="仿宋" w:hAnsi="仿宋" w:eastAsia="仿宋" w:cs="仿宋"/>
                <w:color w:val="auto"/>
                <w:kern w:val="0"/>
                <w:sz w:val="24"/>
                <w:highlight w:val="none"/>
                <w:u w:val="single"/>
              </w:rPr>
              <w:t>全自动病毒载量检测系统</w:t>
            </w:r>
            <w:r>
              <w:rPr>
                <w:rFonts w:hint="eastAsia" w:ascii="仿宋" w:hAnsi="仿宋" w:eastAsia="仿宋" w:cs="仿宋"/>
                <w:color w:val="auto"/>
                <w:kern w:val="0"/>
                <w:sz w:val="24"/>
                <w:highlight w:val="none"/>
              </w:rPr>
              <w:t>”外，其余采购标的不接受进口产品（即通过中国海关报关验放进入中国境内且产自关境外的产品）投标，如投标产品为进口产品的，投标无效。</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3、投标人必须负责办理进口产品所有相关手续并承担所有费用（包含税费）。</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4、优先采购向我国企业转让技术、与我国企业签订消化吸收再创新方案的供应商的进口产品。</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投标人如所投产品为进口产品时，投标人的投标报价必须为免税价，如项目执行期间遭遇国家相关政策因素加征关税，所产生的加征关税等费用由投标人承担，投标人自行将此项风险综合考虑到投标报价中，采购人不再另行支付涉及的任何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其他要求</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1、本项目“采购需求”中标注</w:t>
            </w:r>
            <w:bookmarkStart w:id="79" w:name="OLE_LINK6"/>
            <w:r>
              <w:rPr>
                <w:rFonts w:hint="eastAsia" w:ascii="仿宋" w:hAnsi="仿宋" w:eastAsia="仿宋" w:cs="仿宋"/>
                <w:color w:val="auto"/>
                <w:sz w:val="24"/>
                <w:highlight w:val="none"/>
              </w:rPr>
              <w:t>★</w:t>
            </w:r>
            <w:bookmarkEnd w:id="79"/>
            <w:r>
              <w:rPr>
                <w:rFonts w:hint="eastAsia" w:ascii="仿宋" w:hAnsi="仿宋" w:eastAsia="仿宋" w:cs="仿宋"/>
                <w:color w:val="auto"/>
                <w:kern w:val="0"/>
                <w:sz w:val="24"/>
                <w:highlight w:val="none"/>
              </w:rPr>
              <w:t>号项的条款为实质性要求，投标文件相应内容如不满足，按投标无效处理。</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2、本项目采购需求中标注▲</w:t>
            </w:r>
            <w:r>
              <w:rPr>
                <w:rFonts w:hint="eastAsia" w:ascii="仿宋" w:hAnsi="仿宋" w:eastAsia="仿宋" w:cs="仿宋"/>
                <w:color w:val="auto"/>
                <w:sz w:val="24"/>
                <w:highlight w:val="none"/>
              </w:rPr>
              <w:t>号项为重要技术要求。</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3、本项目“技术要求”的技术条款负偏离≤</w:t>
            </w:r>
            <w:r>
              <w:rPr>
                <w:rFonts w:hint="eastAsia" w:ascii="仿宋" w:hAnsi="仿宋" w:eastAsia="仿宋" w:cs="仿宋"/>
                <w:color w:val="auto"/>
                <w:kern w:val="0"/>
                <w:sz w:val="24"/>
                <w:highlight w:val="none"/>
                <w:u w:val="single"/>
              </w:rPr>
              <w:t xml:space="preserve"> 20 </w:t>
            </w:r>
            <w:r>
              <w:rPr>
                <w:rFonts w:hint="eastAsia" w:ascii="仿宋" w:hAnsi="仿宋" w:eastAsia="仿宋" w:cs="仿宋"/>
                <w:color w:val="auto"/>
                <w:kern w:val="0"/>
                <w:sz w:val="24"/>
                <w:highlight w:val="none"/>
              </w:rPr>
              <w:t>项（经评标委员会认定的负偏离），投标人所投产品技术参数超过规定的负偏离数量的，投标文件按无效处理。</w:t>
            </w:r>
          </w:p>
        </w:tc>
      </w:tr>
    </w:tbl>
    <w:p>
      <w:pPr>
        <w:spacing w:line="400" w:lineRule="exact"/>
        <w:jc w:val="left"/>
        <w:rPr>
          <w:rFonts w:hint="eastAsia" w:ascii="仿宋" w:hAnsi="仿宋" w:eastAsia="仿宋"/>
          <w:b/>
          <w:bCs/>
          <w:sz w:val="30"/>
          <w:szCs w:val="30"/>
          <w:highlight w:val="none"/>
        </w:rPr>
      </w:pPr>
    </w:p>
    <w:p>
      <w:pPr>
        <w:pageBreakBefore/>
        <w:spacing w:line="320" w:lineRule="exact"/>
        <w:rPr>
          <w:rFonts w:hint="eastAsia" w:ascii="仿宋" w:hAnsi="仿宋" w:eastAsia="仿宋" w:cs="宋体"/>
          <w:sz w:val="28"/>
          <w:szCs w:val="32"/>
          <w:highlight w:val="none"/>
        </w:rPr>
      </w:pPr>
      <w:r>
        <w:rPr>
          <w:rFonts w:hint="eastAsia" w:ascii="仿宋" w:hAnsi="仿宋" w:eastAsia="仿宋" w:cs="宋体"/>
          <w:sz w:val="28"/>
          <w:szCs w:val="32"/>
          <w:highlight w:val="none"/>
        </w:rPr>
        <w:t>附件1：</w:t>
      </w:r>
    </w:p>
    <w:p>
      <w:pPr>
        <w:spacing w:line="528" w:lineRule="exact"/>
        <w:jc w:val="center"/>
        <w:rPr>
          <w:rFonts w:hint="eastAsia" w:ascii="仿宋" w:hAnsi="仿宋" w:eastAsia="仿宋" w:cs="宋体"/>
          <w:sz w:val="28"/>
          <w:szCs w:val="28"/>
          <w:highlight w:val="none"/>
        </w:rPr>
      </w:pPr>
      <w:r>
        <w:rPr>
          <w:rFonts w:hint="eastAsia" w:ascii="仿宋" w:hAnsi="仿宋" w:eastAsia="仿宋" w:cs="宋体"/>
          <w:sz w:val="28"/>
          <w:szCs w:val="28"/>
          <w:highlight w:val="none"/>
        </w:rPr>
        <w:t>节能产品政府采购品目清单</w:t>
      </w:r>
    </w:p>
    <w:tbl>
      <w:tblPr>
        <w:tblStyle w:val="51"/>
        <w:tblW w:w="10205" w:type="dxa"/>
        <w:jc w:val="center"/>
        <w:tblInd w:w="0" w:type="dxa"/>
        <w:tblLayout w:type="fixed"/>
        <w:tblCellMar>
          <w:top w:w="0" w:type="dxa"/>
          <w:left w:w="0" w:type="dxa"/>
          <w:bottom w:w="0" w:type="dxa"/>
          <w:right w:w="0" w:type="dxa"/>
        </w:tblCellMar>
      </w:tblPr>
      <w:tblGrid>
        <w:gridCol w:w="715"/>
        <w:gridCol w:w="1589"/>
        <w:gridCol w:w="1986"/>
        <w:gridCol w:w="2007"/>
        <w:gridCol w:w="3908"/>
      </w:tblGrid>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品目序号</w:t>
            </w:r>
          </w:p>
        </w:tc>
        <w:tc>
          <w:tcPr>
            <w:tcW w:w="558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名称</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依据的标准</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A020101计算机设备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★A02010104台式计算机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4" w:line="283" w:lineRule="auto"/>
              <w:ind w:left="7"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★A02010105便携式计算机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64" w:line="283" w:lineRule="auto"/>
              <w:ind w:left="7" w:right="5"/>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★A02010107平板式微型计算机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6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2</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A020106输入输出设备</w:t>
            </w: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A02010601打印设备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A0201060101喷墨打</w:t>
            </w:r>
          </w:p>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★A0201060102激光</w:t>
            </w:r>
          </w:p>
          <w:p>
            <w:pPr>
              <w:pStyle w:val="104"/>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打印机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★A0201060104针式</w:t>
            </w:r>
          </w:p>
          <w:p>
            <w:pPr>
              <w:pStyle w:val="104"/>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打印机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A02010604显示设备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68"/>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★A0201060401液晶</w:t>
            </w:r>
          </w:p>
          <w:p>
            <w:pPr>
              <w:pStyle w:val="104"/>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显示器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68"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《计算机显示器能效限定值及能效等级》（GB21520）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83" w:lineRule="auto"/>
              <w:ind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A02010609图形图像输入设备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A0201060901扫描仪</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9"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参照《复印机、打印机和传真机能效限定值及能效等级》（GB21521</w:t>
            </w:r>
          </w:p>
          <w:p>
            <w:pPr>
              <w:pStyle w:val="104"/>
              <w:spacing w:before="12" w:line="283" w:lineRule="auto"/>
              <w:ind w:left="7" w:right="5"/>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中打印速度为15页/分的针式打印机相关要求</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3</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A020202投影仪</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《投影机能效限定值及能效等级</w:t>
            </w:r>
          </w:p>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（GB32028）</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4</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A020204多功能一体机</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5</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A020519泵</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A02051901离心泵</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《清水离心泵能效限定值及节能评价值》（GB19762）</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6</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A020523制冷空调设备</w:t>
            </w: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★A02052301制冷压缩机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冷水机组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《冷水机组能效限定值及能效等级》（GB19577），《低环境温度空气源热泵（冷水）机组能效限定值及能效等级》（GB37480）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水源热泵机组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《水（地）源热泵机组能效限定值及能效等级》（GB30721）</w:t>
            </w:r>
          </w:p>
        </w:tc>
      </w:tr>
      <w:tr>
        <w:tblPrEx>
          <w:tblLayout w:type="fixed"/>
          <w:tblCellMar>
            <w:top w:w="0" w:type="dxa"/>
            <w:left w:w="0" w:type="dxa"/>
            <w:bottom w:w="0" w:type="dxa"/>
            <w:right w:w="0" w:type="dxa"/>
          </w:tblCellMar>
        </w:tblPrEx>
        <w:trPr>
          <w:trHeight w:val="647" w:hRule="atLeast"/>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溴化锂吸收式冷水机组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《溴化锂吸收式冷水机组能效限定值及能效等级》（GB29540）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83" w:lineRule="auto"/>
              <w:ind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★A02052305空调机组</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多联式空调（热泵）机组(制冷量&gt;14000W)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60"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《多联式空调（热泵）机组能效限定值及能源效率等级》（GB21454</w:t>
            </w:r>
          </w:p>
        </w:tc>
      </w:tr>
      <w:tr>
        <w:tblPrEx>
          <w:tblLayout w:type="fixed"/>
          <w:tblCellMar>
            <w:top w:w="0" w:type="dxa"/>
            <w:left w:w="0" w:type="dxa"/>
            <w:bottom w:w="0" w:type="dxa"/>
            <w:right w:w="0" w:type="dxa"/>
          </w:tblCellMar>
        </w:tblPrEx>
        <w:trPr>
          <w:trHeight w:val="241" w:hRule="atLeast"/>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w:t>
            </w:r>
          </w:p>
          <w:p>
            <w:pPr>
              <w:pStyle w:val="104"/>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(制冷量&gt;14000W)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《单元式空气调节机能效限定值及能效等级》（GB19576）《风管送风式空调机组能效限定值及能效等级》（GB37479）</w:t>
            </w:r>
          </w:p>
        </w:tc>
      </w:tr>
      <w:tr>
        <w:tblPrEx>
          <w:tblLayout w:type="fixed"/>
          <w:tblCellMar>
            <w:top w:w="0" w:type="dxa"/>
            <w:left w:w="0" w:type="dxa"/>
            <w:bottom w:w="0" w:type="dxa"/>
            <w:right w:w="0" w:type="dxa"/>
          </w:tblCellMar>
        </w:tblPrEx>
        <w:trPr>
          <w:trHeight w:val="637" w:hRule="atLeast"/>
          <w:jc w:val="center"/>
        </w:trPr>
        <w:tc>
          <w:tcPr>
            <w:tcW w:w="715" w:type="dxa"/>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right w:val="single" w:color="auto" w:sz="4" w:space="0"/>
            </w:tcBorders>
            <w:shd w:val="clear" w:color="auto" w:fill="auto"/>
            <w:vAlign w:val="center"/>
          </w:tcPr>
          <w:p>
            <w:pPr>
              <w:pStyle w:val="104"/>
              <w:spacing w:before="8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★A02052309专用制冷、空调设备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机房空调</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8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《单元式空气调节机能效限定值及能效等级》（GB19576）</w:t>
            </w:r>
          </w:p>
        </w:tc>
      </w:tr>
      <w:tr>
        <w:tblPrEx>
          <w:tblLayout w:type="fixed"/>
          <w:tblCellMar>
            <w:top w:w="0" w:type="dxa"/>
            <w:left w:w="0" w:type="dxa"/>
            <w:bottom w:w="0" w:type="dxa"/>
            <w:right w:w="0" w:type="dxa"/>
          </w:tblCellMar>
        </w:tblPrEx>
        <w:trPr>
          <w:trHeight w:val="1070"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A02052399其他制冷空调设备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6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冷却塔</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《机械通风冷却塔第1部分：中小型开式冷却塔》（GB/T7190.1）</w:t>
            </w:r>
          </w:p>
          <w:p>
            <w:pPr>
              <w:pStyle w:val="104"/>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《机械通风冷却塔第2部分：大型开式冷却塔》（GB/T7190.2</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7</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A020601电机</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《中小型三相异步电动机能效限定值及能效等级》（GB18613）</w:t>
            </w:r>
          </w:p>
        </w:tc>
      </w:tr>
      <w:tr>
        <w:tblPrEx>
          <w:tblLayout w:type="fixed"/>
          <w:tblCellMar>
            <w:top w:w="0" w:type="dxa"/>
            <w:left w:w="0" w:type="dxa"/>
            <w:bottom w:w="0" w:type="dxa"/>
            <w:right w:w="0" w:type="dxa"/>
          </w:tblCellMar>
        </w:tblPrEx>
        <w:trPr>
          <w:trHeight w:val="558"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8</w:t>
            </w:r>
          </w:p>
        </w:tc>
        <w:tc>
          <w:tcPr>
            <w:tcW w:w="1589" w:type="dxa"/>
            <w:tcBorders>
              <w:top w:val="single" w:color="auto" w:sz="4" w:space="0"/>
              <w:left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A020602变压器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配电变压器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《三相配电变压器能效限定值及能效等级》（GB20052）</w:t>
            </w:r>
          </w:p>
        </w:tc>
      </w:tr>
      <w:tr>
        <w:tblPrEx>
          <w:tblLayout w:type="fixed"/>
          <w:tblCellMar>
            <w:top w:w="0" w:type="dxa"/>
            <w:left w:w="0" w:type="dxa"/>
            <w:bottom w:w="0" w:type="dxa"/>
            <w:right w:w="0" w:type="dxa"/>
          </w:tblCellMar>
        </w:tblPrEx>
        <w:trPr>
          <w:trHeight w:val="660"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9</w:t>
            </w:r>
          </w:p>
        </w:tc>
        <w:tc>
          <w:tcPr>
            <w:tcW w:w="1589" w:type="dxa"/>
            <w:tcBorders>
              <w:top w:val="single" w:color="auto" w:sz="4" w:space="0"/>
              <w:left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★A020609镇流器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管型荧光灯镇流器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《管形荧光灯镇流器能效限定值及能效等级》（GB17896）</w:t>
            </w:r>
          </w:p>
        </w:tc>
      </w:tr>
      <w:tr>
        <w:tblPrEx>
          <w:tblLayout w:type="fixed"/>
          <w:tblCellMar>
            <w:top w:w="0" w:type="dxa"/>
            <w:left w:w="0" w:type="dxa"/>
            <w:bottom w:w="0" w:type="dxa"/>
            <w:right w:w="0" w:type="dxa"/>
          </w:tblCellMar>
        </w:tblPrEx>
        <w:trPr>
          <w:trHeight w:val="562" w:hRule="atLeast"/>
          <w:jc w:val="center"/>
        </w:trPr>
        <w:tc>
          <w:tcPr>
            <w:tcW w:w="715" w:type="dxa"/>
            <w:vMerge w:val="restart"/>
            <w:tcBorders>
              <w:top w:val="single" w:color="auto" w:sz="4" w:space="0"/>
              <w:left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10</w:t>
            </w:r>
          </w:p>
        </w:tc>
        <w:tc>
          <w:tcPr>
            <w:tcW w:w="1589" w:type="dxa"/>
            <w:vMerge w:val="restart"/>
            <w:tcBorders>
              <w:top w:val="single" w:color="auto" w:sz="4" w:space="0"/>
              <w:left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A020618生活用电器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A0206180101电冰箱</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《家用电冰箱耗电量限定值及能效等级》（GB12021.2）</w:t>
            </w:r>
          </w:p>
        </w:tc>
      </w:tr>
      <w:tr>
        <w:tblPrEx>
          <w:tblLayout w:type="fixed"/>
          <w:tblCellMar>
            <w:top w:w="0" w:type="dxa"/>
            <w:left w:w="0" w:type="dxa"/>
            <w:bottom w:w="0" w:type="dxa"/>
            <w:right w:w="0" w:type="dxa"/>
          </w:tblCellMar>
        </w:tblPrEx>
        <w:trPr>
          <w:trHeight w:val="1496"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71"/>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★A0206180203空调</w:t>
            </w:r>
          </w:p>
          <w:p>
            <w:pPr>
              <w:pStyle w:val="104"/>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房间空气调节器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《转速可控型房间空气调节器能效限定值及能效等级》（GB21455-2013），待2019年修订发布后，按《房间空气调节器能效限定值及能效等级》（GB21455-2019）实施。</w:t>
            </w:r>
          </w:p>
        </w:tc>
      </w:tr>
      <w:tr>
        <w:tblPrEx>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多联式空调（热泵）机组（制冷量≤14000W）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60"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《多联式空调（热泵）机组能效限定值及能源效率等级》（GB21454</w:t>
            </w:r>
          </w:p>
        </w:tc>
      </w:tr>
      <w:tr>
        <w:tblPrEx>
          <w:tblLayout w:type="fixed"/>
          <w:tblCellMar>
            <w:top w:w="0" w:type="dxa"/>
            <w:left w:w="0" w:type="dxa"/>
            <w:bottom w:w="0" w:type="dxa"/>
            <w:right w:w="0" w:type="dxa"/>
          </w:tblCellMar>
        </w:tblPrEx>
        <w:trPr>
          <w:trHeight w:val="512"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单元式空气调节机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《单元式空气调节机能效限定值及能源效率等级》（GB19576）《风</w:t>
            </w:r>
          </w:p>
        </w:tc>
      </w:tr>
      <w:tr>
        <w:tblPrEx>
          <w:tblLayout w:type="fixed"/>
          <w:tblCellMar>
            <w:top w:w="0" w:type="dxa"/>
            <w:left w:w="0" w:type="dxa"/>
            <w:bottom w:w="0" w:type="dxa"/>
            <w:right w:w="0" w:type="dxa"/>
          </w:tblCellMar>
        </w:tblPrEx>
        <w:trPr>
          <w:trHeight w:val="492"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56" w:lineRule="exact"/>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(制冷量≤14000W)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管送风式空调机组能效限定值及能效等级》（GB37479）</w:t>
            </w:r>
          </w:p>
        </w:tc>
      </w:tr>
      <w:tr>
        <w:tblPrEx>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6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A0206180301洗衣机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6"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《电动洗衣机能效水效限定值及等级》（GB12021.4）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61"/>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A02061808热水器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★电热水器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tabs>
                <w:tab w:val="left" w:pos="1608"/>
              </w:tabs>
              <w:spacing w:before="52"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《储水式电热水器能效限定值及能效等级》（GB21519）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燃气热水器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《家用燃气快速热水器和燃气采暖热水炉能效限定值及能效等级》</w:t>
            </w:r>
          </w:p>
          <w:p>
            <w:pPr>
              <w:pStyle w:val="104"/>
              <w:spacing w:before="1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（GB20665）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热泵热水器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3"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《热泵热水机（器）能效限定值及能效等级》（GB29541）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太阳能热水系统</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《家用太阳能热水系统能效限定值及能效等级》（GB26969）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11</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A020619照明设备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★普通照明用双端荧光灯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《普通照明用双端荧光灯能效限定值及能效等级》（GB19043）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2" w:line="283" w:lineRule="auto"/>
              <w:ind w:left="7" w:right="2"/>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LED道路/隧道照明产品</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《道路和隧道照明用LED灯具能效限定值及能效等级》（GB37478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LED筒灯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83"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83" w:lineRule="auto"/>
              <w:ind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普通照明用非定向自镇流LED灯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83" w:lineRule="auto"/>
              <w:ind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12</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★A020910电视设备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A02091001普通电视设备（电视机）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《平板电视能效限定值及能效等级》（GB24850）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13</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★A020911视频设备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A02091107视频监控设备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监视器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14</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A031210饮食炊事机械</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商用燃气灶具</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《商用燃气灶具能效限定值及能效等级》（GB30531）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15</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★A060805便器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坐便器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《坐便器水效限定值及水效等级》</w:t>
            </w:r>
          </w:p>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（GB25502）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蹲便器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《蹲便器用水效率限定值及用水效率等级》（GB30717）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小便器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《小便器用水效率限定值及用水效率等级》（GB28377）</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16</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★A060806水嘴</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《水嘴用水效率限定值及用水效率等级》（GB 25501）</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17</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A060807便器冲洗阀</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《便器冲洗阀用水效率限定值及用水效率等级》（GB28379）</w:t>
            </w:r>
          </w:p>
        </w:tc>
      </w:tr>
      <w:tr>
        <w:tblPrEx>
          <w:tblLayout w:type="fixed"/>
          <w:tblCellMar>
            <w:top w:w="0" w:type="dxa"/>
            <w:left w:w="0" w:type="dxa"/>
            <w:bottom w:w="0" w:type="dxa"/>
            <w:right w:w="0" w:type="dxa"/>
          </w:tblCellMar>
        </w:tblPrEx>
        <w:trPr>
          <w:trHeight w:val="902" w:hRule="exac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18</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A060810淋浴器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《淋浴器用水效率限定值及用水效率等级》（GB28378）</w:t>
            </w:r>
          </w:p>
        </w:tc>
      </w:tr>
    </w:tbl>
    <w:p>
      <w:pPr>
        <w:pStyle w:val="2"/>
        <w:rPr>
          <w:rFonts w:hint="eastAsia"/>
          <w:highlight w:val="none"/>
        </w:rPr>
      </w:pPr>
      <w:r>
        <w:rPr>
          <w:rFonts w:hint="eastAsia"/>
          <w:highlight w:val="none"/>
        </w:rPr>
        <w:t>注：1.节能产品认证应依据相关国家标准的最新版本，依据国家标准中二级能效（水效）指标。</w:t>
      </w:r>
    </w:p>
    <w:p>
      <w:pPr>
        <w:pStyle w:val="2"/>
        <w:rPr>
          <w:rFonts w:hint="eastAsia"/>
          <w:highlight w:val="none"/>
        </w:rPr>
      </w:pPr>
      <w:r>
        <w:rPr>
          <w:rFonts w:hint="eastAsia"/>
          <w:highlight w:val="none"/>
        </w:rPr>
        <w:t xml:space="preserve">    2.本表</w:t>
      </w:r>
      <w:r>
        <w:rPr>
          <w:highlight w:val="none"/>
        </w:rPr>
        <w:t>中</w:t>
      </w:r>
      <w:r>
        <w:rPr>
          <w:rFonts w:hint="eastAsia"/>
          <w:highlight w:val="none"/>
        </w:rPr>
        <w:t>标注“</w:t>
      </w:r>
      <w:bookmarkStart w:id="80" w:name="OLE_LINK9"/>
      <w:r>
        <w:rPr>
          <w:rFonts w:hint="eastAsia"/>
          <w:highlight w:val="none"/>
        </w:rPr>
        <w:t>★</w:t>
      </w:r>
      <w:bookmarkEnd w:id="80"/>
      <w:r>
        <w:rPr>
          <w:rFonts w:hint="eastAsia"/>
          <w:highlight w:val="none"/>
        </w:rPr>
        <w:t>”号为政府强制采购的节能产品。</w:t>
      </w: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pStyle w:val="2"/>
        <w:rPr>
          <w:rFonts w:hint="eastAsia"/>
          <w:highlight w:val="none"/>
        </w:rPr>
      </w:pPr>
    </w:p>
    <w:p>
      <w:pPr>
        <w:spacing w:line="360" w:lineRule="auto"/>
        <w:jc w:val="left"/>
        <w:rPr>
          <w:rFonts w:hint="eastAsia" w:ascii="仿宋" w:hAnsi="仿宋" w:eastAsia="仿宋" w:cs="Arial"/>
          <w:b/>
          <w:bCs/>
          <w:sz w:val="24"/>
          <w:highlight w:val="none"/>
        </w:rPr>
      </w:pPr>
    </w:p>
    <w:p>
      <w:pPr>
        <w:spacing w:line="320" w:lineRule="exact"/>
        <w:rPr>
          <w:rFonts w:hint="eastAsia" w:ascii="仿宋" w:hAnsi="仿宋" w:eastAsia="仿宋" w:cs="Arial"/>
          <w:bCs/>
          <w:sz w:val="32"/>
          <w:szCs w:val="32"/>
          <w:highlight w:val="none"/>
        </w:rPr>
      </w:pPr>
    </w:p>
    <w:p>
      <w:pPr>
        <w:keepNext w:val="0"/>
        <w:keepLines w:val="0"/>
        <w:pageBreakBefore/>
        <w:widowControl w:val="0"/>
        <w:kinsoku/>
        <w:wordWrap/>
        <w:overflowPunct/>
        <w:topLinePunct w:val="0"/>
        <w:autoSpaceDE/>
        <w:autoSpaceDN/>
        <w:bidi w:val="0"/>
        <w:adjustRightInd/>
        <w:snapToGrid/>
        <w:spacing w:line="320" w:lineRule="exact"/>
        <w:textAlignment w:val="auto"/>
        <w:outlineLvl w:val="9"/>
        <w:rPr>
          <w:rFonts w:hint="eastAsia" w:ascii="仿宋" w:hAnsi="仿宋" w:eastAsia="仿宋" w:cs="Arial"/>
          <w:bCs/>
          <w:sz w:val="28"/>
          <w:szCs w:val="28"/>
          <w:highlight w:val="none"/>
        </w:rPr>
      </w:pPr>
      <w:r>
        <w:rPr>
          <w:rFonts w:hint="eastAsia" w:ascii="仿宋" w:hAnsi="仿宋" w:eastAsia="仿宋" w:cs="Arial"/>
          <w:bCs/>
          <w:sz w:val="28"/>
          <w:szCs w:val="28"/>
          <w:highlight w:val="none"/>
        </w:rPr>
        <w:t>附件2：</w:t>
      </w:r>
    </w:p>
    <w:bookmarkEnd w:id="73"/>
    <w:bookmarkEnd w:id="74"/>
    <w:p>
      <w:pPr>
        <w:keepNext w:val="0"/>
        <w:keepLines w:val="0"/>
        <w:widowControl w:val="0"/>
        <w:kinsoku/>
        <w:wordWrap/>
        <w:overflowPunct/>
        <w:topLinePunct w:val="0"/>
        <w:autoSpaceDE/>
        <w:autoSpaceDN/>
        <w:bidi w:val="0"/>
        <w:adjustRightInd/>
        <w:snapToGrid/>
        <w:spacing w:line="320" w:lineRule="exact"/>
        <w:jc w:val="center"/>
        <w:textAlignment w:val="auto"/>
        <w:outlineLvl w:val="9"/>
        <w:rPr>
          <w:rFonts w:hint="eastAsia" w:ascii="仿宋" w:hAnsi="仿宋" w:eastAsia="仿宋" w:cs="Arial Unicode MS"/>
          <w:sz w:val="24"/>
          <w:highlight w:val="none"/>
        </w:rPr>
      </w:pPr>
      <w:r>
        <w:rPr>
          <w:rFonts w:hint="eastAsia" w:ascii="仿宋" w:hAnsi="仿宋" w:eastAsia="仿宋" w:cs="Arial Unicode MS"/>
          <w:sz w:val="24"/>
          <w:highlight w:val="none"/>
        </w:rPr>
        <w:t>中小微企业划型标准</w:t>
      </w:r>
    </w:p>
    <w:tbl>
      <w:tblPr>
        <w:tblStyle w:val="51"/>
        <w:tblW w:w="103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1502"/>
        <w:gridCol w:w="778"/>
        <w:gridCol w:w="1234"/>
        <w:gridCol w:w="1867"/>
        <w:gridCol w:w="1686"/>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exact"/>
          <w:tblHeader/>
          <w:jc w:val="center"/>
        </w:trPr>
        <w:tc>
          <w:tcPr>
            <w:tcW w:w="2320"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行业名称</w:t>
            </w:r>
          </w:p>
        </w:tc>
        <w:tc>
          <w:tcPr>
            <w:tcW w:w="1502"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指标名称</w:t>
            </w:r>
          </w:p>
        </w:tc>
        <w:tc>
          <w:tcPr>
            <w:tcW w:w="778"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计量</w:t>
            </w:r>
            <w:r>
              <w:rPr>
                <w:rFonts w:ascii="仿宋" w:hAnsi="仿宋" w:eastAsia="仿宋"/>
                <w:b/>
                <w:bCs/>
                <w:kern w:val="0"/>
                <w:szCs w:val="21"/>
                <w:highlight w:val="none"/>
              </w:rPr>
              <w:br w:type="textWrapping"/>
            </w:r>
            <w:r>
              <w:rPr>
                <w:rFonts w:ascii="仿宋" w:hAnsi="仿宋" w:eastAsia="仿宋"/>
                <w:b/>
                <w:bCs/>
                <w:kern w:val="0"/>
                <w:szCs w:val="21"/>
                <w:highlight w:val="none"/>
              </w:rPr>
              <w:t>单位</w:t>
            </w:r>
          </w:p>
        </w:tc>
        <w:tc>
          <w:tcPr>
            <w:tcW w:w="1234"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大型</w:t>
            </w:r>
          </w:p>
        </w:tc>
        <w:tc>
          <w:tcPr>
            <w:tcW w:w="1867"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中型</w:t>
            </w:r>
          </w:p>
        </w:tc>
        <w:tc>
          <w:tcPr>
            <w:tcW w:w="1686"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小型</w:t>
            </w:r>
          </w:p>
        </w:tc>
        <w:tc>
          <w:tcPr>
            <w:tcW w:w="966"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农、林、牧、渔业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Y≥20000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500≤Y＜20000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50≤Y＜500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工业 *</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300≤X＜1000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20≤X＜300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Y≥40000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2000≤Y＜40000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300≤Y＜2000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建筑业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Y≥80000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6000≤Y＜80000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300≤Y＜6000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资产总额(Z)</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Z≥80000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5000≤Z＜80000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300≤Z＜5000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批发业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20≤X＜200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5≤X＜20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Y≥40000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5000≤Y＜40000</w:t>
            </w:r>
          </w:p>
        </w:tc>
        <w:tc>
          <w:tcPr>
            <w:tcW w:w="1686" w:type="dxa"/>
            <w:vAlign w:val="center"/>
          </w:tcPr>
          <w:p>
            <w:pPr>
              <w:widowControl/>
              <w:spacing w:line="240" w:lineRule="exact"/>
              <w:ind w:left="-1" w:leftChars="-1" w:hanging="1"/>
              <w:jc w:val="center"/>
              <w:rPr>
                <w:rFonts w:hint="eastAsia" w:ascii="仿宋" w:hAnsi="仿宋" w:eastAsia="仿宋"/>
                <w:kern w:val="0"/>
                <w:szCs w:val="21"/>
                <w:highlight w:val="none"/>
              </w:rPr>
            </w:pPr>
            <w:r>
              <w:rPr>
                <w:rFonts w:ascii="仿宋" w:hAnsi="仿宋" w:eastAsia="仿宋"/>
                <w:kern w:val="0"/>
                <w:szCs w:val="21"/>
                <w:highlight w:val="none"/>
              </w:rPr>
              <w:t>1000≤Y＜5000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零售业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50≤X＜300</w:t>
            </w:r>
          </w:p>
        </w:tc>
        <w:tc>
          <w:tcPr>
            <w:tcW w:w="1686" w:type="dxa"/>
            <w:vAlign w:val="center"/>
          </w:tcPr>
          <w:p>
            <w:pPr>
              <w:widowControl/>
              <w:spacing w:line="240" w:lineRule="exact"/>
              <w:ind w:left="-1" w:leftChars="-1" w:hanging="1"/>
              <w:jc w:val="center"/>
              <w:rPr>
                <w:rFonts w:hint="eastAsia" w:ascii="仿宋" w:hAnsi="仿宋" w:eastAsia="仿宋"/>
                <w:kern w:val="0"/>
                <w:szCs w:val="21"/>
                <w:highlight w:val="none"/>
              </w:rPr>
            </w:pPr>
            <w:r>
              <w:rPr>
                <w:rFonts w:ascii="仿宋" w:hAnsi="仿宋" w:eastAsia="仿宋"/>
                <w:kern w:val="0"/>
                <w:szCs w:val="21"/>
                <w:highlight w:val="none"/>
              </w:rPr>
              <w:t xml:space="preserve">10≤X＜50 </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Y≥20000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500≤Y＜20000</w:t>
            </w:r>
          </w:p>
        </w:tc>
        <w:tc>
          <w:tcPr>
            <w:tcW w:w="1686" w:type="dxa"/>
            <w:vAlign w:val="center"/>
          </w:tcPr>
          <w:p>
            <w:pPr>
              <w:widowControl/>
              <w:spacing w:line="240" w:lineRule="exact"/>
              <w:ind w:left="-1" w:leftChars="-1" w:hanging="1"/>
              <w:jc w:val="center"/>
              <w:rPr>
                <w:rFonts w:hint="eastAsia" w:ascii="仿宋" w:hAnsi="仿宋" w:eastAsia="仿宋"/>
                <w:kern w:val="0"/>
                <w:szCs w:val="21"/>
                <w:highlight w:val="none"/>
              </w:rPr>
            </w:pPr>
            <w:r>
              <w:rPr>
                <w:rFonts w:ascii="仿宋" w:hAnsi="仿宋" w:eastAsia="仿宋"/>
                <w:kern w:val="0"/>
                <w:szCs w:val="21"/>
                <w:highlight w:val="none"/>
              </w:rPr>
              <w:t>100≤Y＜500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交通运输业 *</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300≤X＜1000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20≤X＜300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Y≥30000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3000≤Y＜30000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200≤Y＜3000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仓储业*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100≤X＜200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Y≥30000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1000≤Y＜30000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100≤Y＜1000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邮政业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300≤X＜1000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20≤X＜300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Y≥30000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2000≤Y＜30000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100≤Y＜2000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住宿业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100≤X＜300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2000≤Y＜10000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100≤Y＜2000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餐饮业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 xml:space="preserve">100≤X＜300 </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2000≤Y＜10000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100≤Y＜2000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信息传输业 *</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100≤X＜2000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1000≤Y＜100000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100≤Y＜1000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spacing w:val="-12"/>
                <w:kern w:val="0"/>
                <w:szCs w:val="21"/>
                <w:highlight w:val="none"/>
              </w:rPr>
            </w:pPr>
            <w:r>
              <w:rPr>
                <w:rFonts w:ascii="仿宋" w:hAnsi="仿宋" w:eastAsia="仿宋"/>
                <w:spacing w:val="-12"/>
                <w:kern w:val="0"/>
                <w:szCs w:val="21"/>
                <w:highlight w:val="none"/>
              </w:rPr>
              <w:t>软件和信息技术服</w:t>
            </w:r>
            <w:r>
              <w:rPr>
                <w:rFonts w:ascii="仿宋" w:hAnsi="仿宋" w:eastAsia="仿宋"/>
                <w:kern w:val="0"/>
                <w:szCs w:val="21"/>
                <w:highlight w:val="none"/>
              </w:rPr>
              <w:t>务业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 xml:space="preserve">100≤X＜300 </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spacing w:val="-12"/>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1000≤Y＜10000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50≤Y＜1000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房地产开发经营</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Y≥200000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1000≤Y＜200000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100≤Y＜1000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资产总额(Z)</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Z≥10000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5000≤Z＜10000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2000≤Z＜</w:t>
            </w:r>
            <w:r>
              <w:rPr>
                <w:rFonts w:hint="eastAsia" w:ascii="仿宋" w:hAnsi="仿宋" w:eastAsia="仿宋"/>
                <w:kern w:val="0"/>
                <w:szCs w:val="21"/>
                <w:highlight w:val="none"/>
              </w:rPr>
              <w:t>5000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物业管理</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300≤X＜1000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100≤X＜300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Y≥5000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1000≤Y＜5000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500≤Y＜1000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租赁和商务服务业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100≤X＜300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资产总额(Z)</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Z≥120000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8000≤Z＜120000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100≤Z＜8000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其他未列明行业*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100≤X＜300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bl>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仿宋" w:hAnsi="仿宋" w:eastAsia="仿宋"/>
          <w:highlight w:val="none"/>
        </w:rPr>
      </w:pPr>
      <w:r>
        <w:rPr>
          <w:rFonts w:hint="eastAsia" w:ascii="仿宋" w:hAnsi="仿宋" w:eastAsia="仿宋" w:cs="宋体"/>
          <w:spacing w:val="8"/>
          <w:kern w:val="0"/>
          <w:szCs w:val="21"/>
          <w:highlight w:val="none"/>
        </w:rPr>
        <w:t>说明：</w:t>
      </w:r>
      <w:r>
        <w:rPr>
          <w:rFonts w:hint="eastAsia" w:ascii="仿宋" w:hAnsi="仿宋" w:eastAsia="仿宋" w:cs="宋体"/>
          <w:spacing w:val="8"/>
          <w:szCs w:val="21"/>
          <w:highlight w:val="none"/>
        </w:rPr>
        <w:t>1.大型、中型和小型企业须同时满足所列指标的下限，否则下划一档；微型企业只须满足所列指标中的一项即可。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hint="eastAsia" w:ascii="仿宋" w:hAnsi="仿宋" w:eastAsia="仿宋"/>
          <w:spacing w:val="8"/>
          <w:szCs w:val="21"/>
          <w:highlight w:val="none"/>
        </w:rPr>
        <w:t>3.</w:t>
      </w:r>
      <w:r>
        <w:rPr>
          <w:rFonts w:hint="eastAsia" w:ascii="仿宋" w:hAnsi="仿宋" w:eastAsia="仿宋" w:cs="宋体"/>
          <w:spacing w:val="8"/>
          <w:szCs w:val="21"/>
          <w:highlight w:val="none"/>
        </w:rPr>
        <w:t>企业划分指标以现行统计制度为准。（</w:t>
      </w:r>
      <w:r>
        <w:rPr>
          <w:rFonts w:hint="eastAsia" w:ascii="仿宋" w:hAnsi="仿宋" w:eastAsia="仿宋"/>
          <w:spacing w:val="8"/>
          <w:szCs w:val="21"/>
          <w:highlight w:val="none"/>
        </w:rPr>
        <w:t>1</w:t>
      </w:r>
      <w:r>
        <w:rPr>
          <w:rFonts w:hint="eastAsia" w:ascii="仿宋" w:hAnsi="仿宋" w:eastAsia="仿宋" w:cs="宋体"/>
          <w:spacing w:val="8"/>
          <w:szCs w:val="21"/>
          <w:highlight w:val="none"/>
        </w:rPr>
        <w:t>）从业人员，是指期末从业人员数，没有期末从业人员数的，采用全年平均人员数代替。（</w:t>
      </w:r>
      <w:r>
        <w:rPr>
          <w:rFonts w:hint="eastAsia" w:ascii="仿宋" w:hAnsi="仿宋" w:eastAsia="仿宋"/>
          <w:spacing w:val="8"/>
          <w:szCs w:val="21"/>
          <w:highlight w:val="none"/>
        </w:rPr>
        <w:t>2</w:t>
      </w:r>
      <w:r>
        <w:rPr>
          <w:rFonts w:hint="eastAsia" w:ascii="仿宋" w:hAnsi="仿宋" w:eastAsia="仿宋" w:cs="宋体"/>
          <w:spacing w:val="8"/>
          <w:szCs w:val="21"/>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spacing w:val="8"/>
          <w:szCs w:val="21"/>
          <w:highlight w:val="none"/>
        </w:rPr>
        <w:t>3</w:t>
      </w:r>
      <w:r>
        <w:rPr>
          <w:rFonts w:hint="eastAsia" w:ascii="仿宋" w:hAnsi="仿宋" w:eastAsia="仿宋" w:cs="宋体"/>
          <w:spacing w:val="8"/>
          <w:szCs w:val="21"/>
          <w:highlight w:val="none"/>
        </w:rPr>
        <w:t>）资产总额，采用资产总计代替。</w:t>
      </w:r>
    </w:p>
    <w:p>
      <w:pPr>
        <w:pageBreakBefore/>
        <w:spacing w:line="428" w:lineRule="exact"/>
        <w:jc w:val="center"/>
        <w:rPr>
          <w:rFonts w:hint="eastAsia" w:ascii="仿宋" w:hAnsi="仿宋" w:eastAsia="仿宋"/>
          <w:b/>
          <w:sz w:val="44"/>
          <w:szCs w:val="44"/>
          <w:highlight w:val="none"/>
        </w:rPr>
      </w:pPr>
      <w:bookmarkStart w:id="81" w:name="_Toc74320802"/>
      <w:r>
        <w:rPr>
          <w:rFonts w:hint="eastAsia" w:ascii="仿宋" w:hAnsi="仿宋" w:eastAsia="仿宋"/>
          <w:b/>
          <w:sz w:val="44"/>
          <w:szCs w:val="44"/>
          <w:highlight w:val="none"/>
        </w:rPr>
        <w:t>第三章  投标人须知</w:t>
      </w:r>
      <w:bookmarkEnd w:id="81"/>
    </w:p>
    <w:p>
      <w:pPr>
        <w:spacing w:before="120" w:beforeLines="50"/>
        <w:jc w:val="center"/>
        <w:rPr>
          <w:rFonts w:hint="eastAsia" w:ascii="仿宋" w:hAnsi="仿宋" w:eastAsia="仿宋"/>
          <w:b/>
          <w:sz w:val="24"/>
          <w:highlight w:val="none"/>
        </w:rPr>
      </w:pPr>
      <w:bookmarkStart w:id="82" w:name="_Toc254970526"/>
      <w:bookmarkStart w:id="83" w:name="_Toc254970667"/>
      <w:r>
        <w:rPr>
          <w:rFonts w:hint="eastAsia" w:ascii="仿宋" w:hAnsi="仿宋" w:eastAsia="仿宋"/>
          <w:b/>
          <w:sz w:val="24"/>
          <w:highlight w:val="none"/>
        </w:rPr>
        <w:t>投标人须知前附表</w:t>
      </w:r>
      <w:bookmarkEnd w:id="82"/>
      <w:bookmarkEnd w:id="83"/>
    </w:p>
    <w:tbl>
      <w:tblPr>
        <w:tblStyle w:val="51"/>
        <w:tblW w:w="1033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9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hint="eastAsia" w:ascii="仿宋" w:hAnsi="仿宋" w:eastAsia="仿宋"/>
                <w:sz w:val="24"/>
                <w:highlight w:val="none"/>
              </w:rPr>
              <w:t>条款号</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hint="eastAsia" w:ascii="仿宋" w:hAnsi="仿宋" w:eastAsia="仿宋"/>
                <w:sz w:val="24"/>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投标人的资格要求：详见招标公告。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4" w:name="_9.2"/>
            <w:bookmarkEnd w:id="84"/>
            <w:bookmarkStart w:id="85" w:name="_8.1"/>
            <w:bookmarkEnd w:id="85"/>
            <w:bookmarkStart w:id="86" w:name="_5"/>
            <w:bookmarkEnd w:id="86"/>
            <w:r>
              <w:rPr>
                <w:rFonts w:hint="eastAsia" w:ascii="仿宋" w:hAnsi="仿宋" w:eastAsia="仿宋"/>
                <w:sz w:val="24"/>
                <w:highlight w:val="none"/>
              </w:rPr>
              <w:t>6.1</w:t>
            </w:r>
          </w:p>
        </w:tc>
        <w:tc>
          <w:tcPr>
            <w:tcW w:w="9275" w:type="dxa"/>
            <w:tcBorders>
              <w:top w:val="single" w:color="auto" w:sz="4" w:space="0"/>
              <w:left w:val="single" w:color="auto" w:sz="4" w:space="0"/>
              <w:bottom w:val="single" w:color="auto" w:sz="4" w:space="0"/>
              <w:right w:val="single" w:color="auto" w:sz="4" w:space="0"/>
            </w:tcBorders>
            <w:vAlign w:val="center"/>
          </w:tcPr>
          <w:p>
            <w:pPr>
              <w:pStyle w:val="13"/>
              <w:spacing w:line="390" w:lineRule="exact"/>
              <w:rPr>
                <w:rFonts w:hint="eastAsia" w:ascii="仿宋" w:hAnsi="仿宋" w:eastAsia="仿宋"/>
                <w:sz w:val="24"/>
                <w:highlight w:val="none"/>
              </w:rPr>
            </w:pPr>
            <w:r>
              <w:rPr>
                <w:rFonts w:hint="eastAsia" w:ascii="仿宋" w:hAnsi="仿宋" w:eastAsia="仿宋"/>
                <w:sz w:val="24"/>
                <w:highlight w:val="none"/>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ascii="仿宋" w:hAnsi="仿宋" w:eastAsia="仿宋"/>
                <w:sz w:val="24"/>
                <w:highlight w:val="none"/>
              </w:rPr>
              <w:t>6.2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bookmarkStart w:id="87" w:name="_Hlk54105293"/>
            <w:r>
              <w:rPr>
                <w:rFonts w:hint="eastAsia" w:ascii="仿宋" w:hAnsi="仿宋" w:eastAsia="仿宋"/>
                <w:sz w:val="24"/>
                <w:highlight w:val="none"/>
              </w:rPr>
              <w:t>如接受联合体投标，</w:t>
            </w:r>
            <w:bookmarkEnd w:id="87"/>
            <w:r>
              <w:rPr>
                <w:rFonts w:hint="eastAsia" w:ascii="仿宋" w:hAnsi="仿宋" w:eastAsia="仿宋"/>
                <w:sz w:val="24"/>
                <w:highlight w:val="none"/>
              </w:rPr>
              <w:t>联合体投标要求如下：</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1、两个以上投标人可以组成一个投标联合体，以一个投标人的身份共同参加投标，联合体投标人的名称应统一按“XXX 公司与 XXX 公司的联合体”的规则填写。</w:t>
            </w:r>
            <w:r>
              <w:rPr>
                <w:rFonts w:hint="eastAsia" w:ascii="仿宋" w:hAnsi="仿宋" w:eastAsia="仿宋"/>
                <w:sz w:val="24"/>
                <w:highlight w:val="none"/>
              </w:rPr>
              <w:tab/>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3、本项目的特定资格要求”的要求。</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4、以联合体形式参加政府采购活动的，联合体各方不得再单独参加或者与其他投标人另外组成联合体参加同一合同项下的政府采购活动，否则与之相关的投标文件作废。</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5、联合体中有同类资质的投标人按照联合体分工承担相同工作的，应当按照资质等级较低的投标人确定资质等级。</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6、联合体投标业绩、履约能力按照联合体各方其中较高的一方认定并计算（招标文件另有规定的除外）。</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7、联合体各方均应按照招标文件的规定提交资格证明文件。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7.2</w:t>
            </w:r>
          </w:p>
        </w:tc>
        <w:tc>
          <w:tcPr>
            <w:tcW w:w="9275" w:type="dxa"/>
            <w:tcBorders>
              <w:top w:val="single" w:color="auto" w:sz="4" w:space="0"/>
              <w:left w:val="single" w:color="auto" w:sz="4" w:space="0"/>
              <w:bottom w:val="single" w:color="auto" w:sz="4" w:space="0"/>
              <w:right w:val="single" w:color="auto" w:sz="4" w:space="0"/>
            </w:tcBorders>
            <w:vAlign w:val="center"/>
          </w:tcPr>
          <w:p>
            <w:pPr>
              <w:pStyle w:val="13"/>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本项目不允许分包。</w:t>
            </w:r>
          </w:p>
          <w:p>
            <w:pPr>
              <w:pStyle w:val="13"/>
              <w:spacing w:line="390" w:lineRule="exact"/>
              <w:rPr>
                <w:rFonts w:hint="eastAsia" w:ascii="仿宋" w:hAnsi="仿宋" w:eastAsia="仿宋"/>
                <w:sz w:val="24"/>
                <w:highlight w:val="none"/>
              </w:rPr>
            </w:pPr>
            <w:r>
              <w:rPr>
                <w:rFonts w:hint="eastAsia" w:ascii="仿宋" w:hAnsi="仿宋" w:eastAsia="仿宋"/>
                <w:sz w:val="24"/>
                <w:highlight w:val="none"/>
              </w:rPr>
              <w:t>□本项目允许分包：</w:t>
            </w:r>
          </w:p>
          <w:p>
            <w:pPr>
              <w:pStyle w:val="13"/>
              <w:spacing w:line="390" w:lineRule="exact"/>
              <w:rPr>
                <w:rFonts w:hint="eastAsia" w:ascii="仿宋" w:hAnsi="仿宋" w:eastAsia="仿宋"/>
                <w:sz w:val="24"/>
                <w:highlight w:val="none"/>
                <w:u w:val="single"/>
              </w:rPr>
            </w:pPr>
            <w:r>
              <w:rPr>
                <w:rFonts w:hint="eastAsia" w:ascii="仿宋" w:hAnsi="仿宋" w:eastAsia="仿宋"/>
                <w:sz w:val="24"/>
                <w:highlight w:val="none"/>
              </w:rPr>
              <w:t>分包内容：</w:t>
            </w:r>
            <w:r>
              <w:rPr>
                <w:rFonts w:hint="eastAsia" w:ascii="仿宋" w:hAnsi="仿宋" w:eastAsia="仿宋"/>
                <w:sz w:val="24"/>
                <w:highlight w:val="none"/>
                <w:u w:val="single"/>
              </w:rPr>
              <w:t xml:space="preserve">     /     </w:t>
            </w:r>
            <w:r>
              <w:rPr>
                <w:rFonts w:hint="eastAsia" w:ascii="仿宋" w:hAnsi="仿宋" w:eastAsia="仿宋"/>
                <w:sz w:val="24"/>
                <w:highlight w:val="none"/>
              </w:rPr>
              <w:t>。</w:t>
            </w:r>
          </w:p>
          <w:p>
            <w:pPr>
              <w:pStyle w:val="13"/>
              <w:spacing w:line="390" w:lineRule="exact"/>
              <w:jc w:val="both"/>
              <w:rPr>
                <w:rFonts w:hint="eastAsia" w:ascii="仿宋" w:hAnsi="仿宋" w:eastAsia="仿宋"/>
                <w:sz w:val="24"/>
                <w:highlight w:val="none"/>
                <w:u w:val="single"/>
              </w:rPr>
            </w:pPr>
            <w:r>
              <w:rPr>
                <w:rFonts w:hint="eastAsia" w:ascii="仿宋" w:hAnsi="仿宋" w:eastAsia="仿宋"/>
                <w:sz w:val="24"/>
                <w:highlight w:val="none"/>
              </w:rPr>
              <w:t>分包金额或者比例：</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8.1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□1、采用最低评标价法的采购项目，提供相同品牌产品（非单一产品采购项目的，指核心产品）的不同投标人评标价相同时，按照下列方式确定一个投标人获得中标人推荐资格：评标委员会随机抽取/按</w:t>
            </w:r>
            <w:r>
              <w:rPr>
                <w:rFonts w:ascii="仿宋" w:hAnsi="仿宋" w:eastAsia="仿宋"/>
                <w:sz w:val="24"/>
                <w:highlight w:val="none"/>
              </w:rPr>
              <w:t>投标报价低</w:t>
            </w:r>
            <w:r>
              <w:rPr>
                <w:rFonts w:hint="eastAsia" w:ascii="仿宋" w:hAnsi="仿宋" w:eastAsia="仿宋"/>
                <w:sz w:val="24"/>
                <w:highlight w:val="none"/>
              </w:rPr>
              <w:t>的原则确定，</w:t>
            </w:r>
            <w:r>
              <w:rPr>
                <w:rFonts w:ascii="仿宋" w:hAnsi="仿宋" w:eastAsia="仿宋"/>
                <w:sz w:val="24"/>
                <w:highlight w:val="none"/>
              </w:rPr>
              <w:t>投标报价相同的</w:t>
            </w:r>
            <w:r>
              <w:rPr>
                <w:rFonts w:hint="eastAsia" w:ascii="仿宋" w:hAnsi="仿宋" w:eastAsia="仿宋" w:cs="宋体"/>
                <w:sz w:val="24"/>
                <w:highlight w:val="none"/>
              </w:rPr>
              <w:t>按</w:t>
            </w:r>
            <w:r>
              <w:rPr>
                <w:rFonts w:ascii="仿宋" w:hAnsi="仿宋" w:eastAsia="仿宋"/>
                <w:sz w:val="24"/>
                <w:highlight w:val="none"/>
              </w:rPr>
              <w:t>节能环保优先、技术指标高优先、质保期长优先、交货期短优先、故障响应时间短优先的</w:t>
            </w:r>
            <w:r>
              <w:rPr>
                <w:rFonts w:hint="eastAsia" w:ascii="仿宋" w:hAnsi="仿宋" w:eastAsia="仿宋" w:cs="宋体"/>
                <w:sz w:val="24"/>
                <w:highlight w:val="none"/>
              </w:rPr>
              <w:t>顺序依次确定。</w:t>
            </w:r>
          </w:p>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2、采用综合评分法的采购项目，提供相同品牌产品（非单一产品采购项目的，指核心产品）的不同投标人评审得分相同时，按照下列方式确定一个投标人获得中标人推荐资格：□评标委员会随机抽取/</w:t>
            </w: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按</w:t>
            </w:r>
            <w:r>
              <w:rPr>
                <w:rFonts w:ascii="仿宋" w:hAnsi="仿宋" w:eastAsia="仿宋"/>
                <w:sz w:val="24"/>
                <w:highlight w:val="none"/>
              </w:rPr>
              <w:t>投标报价低</w:t>
            </w:r>
            <w:r>
              <w:rPr>
                <w:rFonts w:hint="eastAsia" w:ascii="仿宋" w:hAnsi="仿宋" w:eastAsia="仿宋"/>
                <w:sz w:val="24"/>
                <w:highlight w:val="none"/>
              </w:rPr>
              <w:t>的原则确定，</w:t>
            </w:r>
            <w:r>
              <w:rPr>
                <w:rFonts w:ascii="仿宋" w:hAnsi="仿宋" w:eastAsia="仿宋"/>
                <w:sz w:val="24"/>
                <w:highlight w:val="none"/>
              </w:rPr>
              <w:t>投标报价相同的</w:t>
            </w:r>
            <w:r>
              <w:rPr>
                <w:rFonts w:hint="eastAsia" w:ascii="仿宋" w:hAnsi="仿宋" w:eastAsia="仿宋"/>
                <w:sz w:val="24"/>
                <w:highlight w:val="none"/>
              </w:rPr>
              <w:t>按技术、商务、政策功能得分高低依次确定。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2" w:hRule="atLeast"/>
          <w:jc w:val="center"/>
        </w:trPr>
        <w:tc>
          <w:tcPr>
            <w:tcW w:w="1056" w:type="dxa"/>
            <w:vMerge w:val="restart"/>
            <w:tcBorders>
              <w:top w:val="single" w:color="auto" w:sz="4" w:space="0"/>
              <w:left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1.</w:t>
            </w:r>
            <w:r>
              <w:rPr>
                <w:rFonts w:hint="eastAsia" w:ascii="仿宋" w:hAnsi="仿宋" w:eastAsia="仿宋"/>
                <w:sz w:val="24"/>
                <w:highlight w:val="none"/>
              </w:rPr>
              <w:t>5</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本项目不组织现场考察。</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□本项目组织现场考察：</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集中时间：</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p>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集中地点：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4" w:hRule="atLeast"/>
          <w:jc w:val="center"/>
        </w:trPr>
        <w:tc>
          <w:tcPr>
            <w:tcW w:w="1056" w:type="dxa"/>
            <w:vMerge w:val="continue"/>
            <w:tcBorders>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不组织召开开标前答疑会</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□组织召开开标前答疑会</w:t>
            </w:r>
          </w:p>
          <w:p>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会议开始时间：</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年</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月</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日</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时</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分，逾期后果自负。会议地点：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         </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联系人：</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         </w:t>
            </w:r>
            <w:r>
              <w:rPr>
                <w:rFonts w:hint="eastAsia" w:ascii="仿宋" w:hAnsi="仿宋" w:eastAsia="仿宋"/>
                <w:sz w:val="24"/>
                <w:highlight w:val="none"/>
              </w:rPr>
              <w:t>；联系电话：</w:t>
            </w:r>
            <w:r>
              <w:rPr>
                <w:rFonts w:ascii="仿宋" w:hAnsi="仿宋" w:eastAsia="仿宋"/>
                <w:sz w:val="24"/>
                <w:highlight w:val="none"/>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restart"/>
            <w:tcBorders>
              <w:top w:val="single" w:color="auto" w:sz="4" w:space="0"/>
              <w:left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8" w:name="_13.1"/>
            <w:bookmarkEnd w:id="88"/>
            <w:r>
              <w:rPr>
                <w:rFonts w:hint="eastAsia" w:ascii="仿宋" w:hAnsi="仿宋" w:eastAsia="仿宋"/>
                <w:sz w:val="24"/>
                <w:highlight w:val="none"/>
              </w:rPr>
              <w:t>13.</w:t>
            </w:r>
            <w:bookmarkStart w:id="89" w:name="_Hlt19632543"/>
            <w:r>
              <w:rPr>
                <w:rFonts w:hint="eastAsia" w:ascii="仿宋" w:hAnsi="仿宋" w:eastAsia="仿宋"/>
                <w:sz w:val="24"/>
                <w:highlight w:val="none"/>
              </w:rPr>
              <w:t>1</w:t>
            </w:r>
            <w:bookmarkEnd w:id="89"/>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报价文件: </w:t>
            </w:r>
          </w:p>
          <w:p>
            <w:pPr>
              <w:tabs>
                <w:tab w:val="left" w:pos="459"/>
              </w:tabs>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1、</w:t>
            </w:r>
            <w:bookmarkStart w:id="90" w:name="OLE_LINK23"/>
            <w:r>
              <w:rPr>
                <w:rFonts w:hint="eastAsia" w:ascii="仿宋" w:hAnsi="仿宋" w:eastAsia="仿宋"/>
                <w:sz w:val="24"/>
                <w:highlight w:val="none"/>
              </w:rPr>
              <w:t>投标函（格式后附）；</w:t>
            </w:r>
            <w:r>
              <w:rPr>
                <w:rFonts w:hint="eastAsia" w:ascii="仿宋" w:hAnsi="仿宋" w:eastAsia="仿宋"/>
                <w:b/>
                <w:sz w:val="24"/>
                <w:highlight w:val="none"/>
              </w:rPr>
              <w:t>（必须提供，否则投标</w:t>
            </w:r>
            <w:r>
              <w:rPr>
                <w:rFonts w:ascii="仿宋" w:hAnsi="仿宋" w:eastAsia="仿宋"/>
                <w:b/>
                <w:sz w:val="24"/>
                <w:highlight w:val="none"/>
              </w:rPr>
              <w:t>文件</w:t>
            </w:r>
            <w:r>
              <w:rPr>
                <w:rFonts w:hint="eastAsia" w:ascii="仿宋" w:hAnsi="仿宋" w:eastAsia="仿宋"/>
                <w:b/>
                <w:sz w:val="24"/>
                <w:highlight w:val="none"/>
              </w:rPr>
              <w:t>按无效投标处理）</w:t>
            </w:r>
          </w:p>
          <w:bookmarkEnd w:id="90"/>
          <w:p>
            <w:pPr>
              <w:tabs>
                <w:tab w:val="left" w:pos="459"/>
              </w:tabs>
              <w:snapToGrid w:val="0"/>
              <w:spacing w:line="390" w:lineRule="exact"/>
              <w:jc w:val="left"/>
              <w:rPr>
                <w:rFonts w:hint="eastAsia" w:ascii="仿宋" w:hAnsi="仿宋" w:eastAsia="仿宋"/>
                <w:sz w:val="24"/>
                <w:highlight w:val="none"/>
              </w:rPr>
            </w:pPr>
            <w:bookmarkStart w:id="91" w:name="_Hlk71299233"/>
            <w:r>
              <w:rPr>
                <w:rFonts w:hint="eastAsia" w:ascii="仿宋" w:hAnsi="仿宋" w:eastAsia="仿宋"/>
                <w:sz w:val="24"/>
                <w:highlight w:val="none"/>
              </w:rPr>
              <w:t>2、开标一览表</w:t>
            </w:r>
            <w:bookmarkEnd w:id="91"/>
            <w:r>
              <w:rPr>
                <w:rFonts w:hint="eastAsia" w:ascii="仿宋" w:hAnsi="仿宋" w:eastAsia="仿宋"/>
                <w:sz w:val="24"/>
                <w:highlight w:val="none"/>
              </w:rPr>
              <w:t>（格式后附）；</w:t>
            </w:r>
            <w:r>
              <w:rPr>
                <w:rFonts w:hint="eastAsia" w:ascii="仿宋" w:hAnsi="仿宋" w:eastAsia="仿宋"/>
                <w:b/>
                <w:sz w:val="24"/>
                <w:highlight w:val="none"/>
              </w:rPr>
              <w:t>（必须提供，否则投标</w:t>
            </w:r>
            <w:r>
              <w:rPr>
                <w:rFonts w:ascii="仿宋" w:hAnsi="仿宋" w:eastAsia="仿宋"/>
                <w:b/>
                <w:sz w:val="24"/>
                <w:highlight w:val="none"/>
              </w:rPr>
              <w:t>文件</w:t>
            </w:r>
            <w:r>
              <w:rPr>
                <w:rFonts w:hint="eastAsia" w:ascii="仿宋" w:hAnsi="仿宋" w:eastAsia="仿宋"/>
                <w:b/>
                <w:sz w:val="24"/>
                <w:highlight w:val="none"/>
              </w:rPr>
              <w:t>按无效投标处理）</w:t>
            </w:r>
          </w:p>
          <w:p>
            <w:pPr>
              <w:tabs>
                <w:tab w:val="left" w:pos="459"/>
              </w:tabs>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3、</w:t>
            </w:r>
            <w:bookmarkStart w:id="92" w:name="OLE_LINK24"/>
            <w:r>
              <w:rPr>
                <w:rFonts w:hint="eastAsia" w:ascii="仿宋" w:hAnsi="仿宋" w:eastAsia="仿宋"/>
                <w:sz w:val="24"/>
                <w:highlight w:val="none"/>
              </w:rPr>
              <w:t>投标人针对报价需要说明的其他文件和说明（格式自拟）。</w:t>
            </w:r>
            <w:bookmarkEnd w:id="92"/>
          </w:p>
          <w:p>
            <w:pPr>
              <w:snapToGrid w:val="0"/>
              <w:spacing w:line="390" w:lineRule="exact"/>
              <w:ind w:firstLine="482" w:firstLineChars="200"/>
              <w:jc w:val="left"/>
              <w:rPr>
                <w:rFonts w:hint="eastAsia" w:ascii="仿宋" w:hAnsi="仿宋" w:eastAsia="仿宋"/>
                <w:sz w:val="24"/>
                <w:highlight w:val="none"/>
              </w:rPr>
            </w:pPr>
            <w:r>
              <w:rPr>
                <w:rFonts w:hint="eastAsia" w:ascii="仿宋" w:hAnsi="仿宋" w:eastAsia="仿宋"/>
                <w:b/>
                <w:bCs/>
                <w:sz w:val="24"/>
                <w:highlight w:val="none"/>
              </w:rPr>
              <w:t>注：投标函、开标一览表必须由法定代表人或者委托代理人在规定签章处逐一签字并加盖投标人公章，否则按无效投标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pPr>
              <w:spacing w:line="390" w:lineRule="exact"/>
              <w:rPr>
                <w:rFonts w:hint="eastAsia" w:ascii="仿宋" w:hAnsi="仿宋" w:eastAsia="仿宋"/>
                <w:sz w:val="24"/>
                <w:highlight w:val="none"/>
              </w:rPr>
            </w:pPr>
            <w:bookmarkStart w:id="93" w:name="_13.2"/>
            <w:bookmarkEnd w:id="93"/>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资格证明文件：</w:t>
            </w:r>
          </w:p>
          <w:p>
            <w:pPr>
              <w:autoSpaceDE w:val="0"/>
              <w:autoSpaceDN w:val="0"/>
              <w:snapToGrid w:val="0"/>
              <w:spacing w:line="390" w:lineRule="exact"/>
              <w:textAlignment w:val="bottom"/>
              <w:rPr>
                <w:rFonts w:hint="eastAsia" w:ascii="仿宋" w:hAnsi="仿宋" w:eastAsia="仿宋"/>
                <w:b/>
                <w:sz w:val="24"/>
                <w:highlight w:val="none"/>
              </w:rPr>
            </w:pPr>
            <w:r>
              <w:rPr>
                <w:rFonts w:hint="eastAsia" w:ascii="仿宋" w:hAnsi="仿宋" w:eastAsia="仿宋" w:cs="宋体"/>
                <w:sz w:val="24"/>
                <w:highlight w:val="none"/>
              </w:rPr>
              <w:t>1、</w:t>
            </w:r>
            <w:bookmarkStart w:id="94" w:name="OLE_LINK22"/>
            <w:r>
              <w:rPr>
                <w:rFonts w:hint="eastAsia" w:ascii="仿宋" w:hAnsi="仿宋" w:eastAsia="仿宋" w:cs="宋体"/>
                <w:sz w:val="24"/>
                <w:highlight w:val="none"/>
              </w:rPr>
              <w:t>供应商为法人或者其他组织的，</w:t>
            </w:r>
            <w:r>
              <w:rPr>
                <w:rFonts w:hint="eastAsia" w:ascii="仿宋" w:hAnsi="仿宋" w:eastAsia="仿宋"/>
                <w:sz w:val="24"/>
                <w:highlight w:val="none"/>
              </w:rPr>
              <w:t>证明文件为其营业执照复印件（如营业执照或者事业单位法人证书或者执业许可证等）；供应商为自然人的，证明文件为其身份证复印件；</w:t>
            </w:r>
            <w:r>
              <w:rPr>
                <w:rFonts w:hint="eastAsia" w:ascii="仿宋" w:hAnsi="仿宋" w:eastAsia="仿宋"/>
                <w:b/>
                <w:sz w:val="24"/>
                <w:highlight w:val="none"/>
              </w:rPr>
              <w:t>（必须提供，否则投标文件按无效响应处理</w:t>
            </w:r>
            <w:r>
              <w:rPr>
                <w:rFonts w:ascii="仿宋" w:hAnsi="仿宋" w:eastAsia="仿宋"/>
                <w:b/>
                <w:sz w:val="24"/>
                <w:highlight w:val="none"/>
              </w:rPr>
              <w:t>）</w:t>
            </w:r>
          </w:p>
          <w:bookmarkEnd w:id="94"/>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rPr>
              <w:t>2、投标人依法缴纳税收的相关材料（202</w:t>
            </w:r>
            <w:r>
              <w:rPr>
                <w:rFonts w:ascii="仿宋" w:hAnsi="仿宋" w:eastAsia="仿宋" w:cs="宋体"/>
                <w:sz w:val="24"/>
                <w:highlight w:val="none"/>
              </w:rPr>
              <w:t>4</w:t>
            </w:r>
            <w:r>
              <w:rPr>
                <w:rFonts w:hint="eastAsia" w:ascii="仿宋" w:hAnsi="仿宋" w:eastAsia="仿宋" w:cs="宋体"/>
                <w:sz w:val="24"/>
                <w:highlight w:val="none"/>
              </w:rPr>
              <w:t>年至投标文件提交截止时间内任意一个月的依法缴纳税收的完税凭证复印件；依法免税的供应商，必须提供相应文件证明其依法免税。从</w:t>
            </w:r>
            <w:r>
              <w:rPr>
                <w:rFonts w:ascii="仿宋" w:hAnsi="仿宋" w:eastAsia="仿宋" w:cs="宋体"/>
                <w:sz w:val="24"/>
                <w:highlight w:val="none"/>
              </w:rPr>
              <w:t>成立</w:t>
            </w:r>
            <w:r>
              <w:rPr>
                <w:rFonts w:hint="eastAsia" w:ascii="仿宋" w:hAnsi="仿宋" w:eastAsia="仿宋" w:cs="宋体"/>
                <w:sz w:val="24"/>
                <w:highlight w:val="none"/>
              </w:rPr>
              <w:t>之日起到投标文件提交截止时间止不足要求月数的，只需提供从</w:t>
            </w:r>
            <w:r>
              <w:rPr>
                <w:rFonts w:ascii="仿宋" w:hAnsi="仿宋" w:eastAsia="仿宋" w:cs="宋体"/>
                <w:sz w:val="24"/>
                <w:highlight w:val="none"/>
              </w:rPr>
              <w:t>成立</w:t>
            </w:r>
            <w:r>
              <w:rPr>
                <w:rFonts w:hint="eastAsia" w:ascii="仿宋" w:hAnsi="仿宋" w:eastAsia="仿宋" w:cs="宋体"/>
                <w:sz w:val="24"/>
                <w:highlight w:val="none"/>
              </w:rPr>
              <w:t>之日起的依法缴纳税收相应证明文件）；</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rPr>
              <w:t>3、投标人依法缴纳社会保障资金的相关材料[2024年至投标文件提交截止时间内任意一个月的依法缴纳社会保障资金的缴费凭证复印件（缴费凭证指专用收据、完税证明或者社会保险缴纳清单）；依法不需要缴纳社会保障资金的供应商，必须提供相应文件证明不需要缴纳社会保障资金。从</w:t>
            </w:r>
            <w:r>
              <w:rPr>
                <w:rFonts w:ascii="仿宋" w:hAnsi="仿宋" w:eastAsia="仿宋" w:cs="宋体"/>
                <w:sz w:val="24"/>
                <w:highlight w:val="none"/>
              </w:rPr>
              <w:t>成立</w:t>
            </w:r>
            <w:r>
              <w:rPr>
                <w:rFonts w:hint="eastAsia" w:ascii="仿宋" w:hAnsi="仿宋" w:eastAsia="仿宋" w:cs="宋体"/>
                <w:sz w:val="24"/>
                <w:highlight w:val="none"/>
              </w:rPr>
              <w:t>之日起到投标文件提交截止时间止不足要求月数的只需提供从</w:t>
            </w:r>
            <w:r>
              <w:rPr>
                <w:rFonts w:ascii="仿宋" w:hAnsi="仿宋" w:eastAsia="仿宋" w:cs="宋体"/>
                <w:sz w:val="24"/>
                <w:highlight w:val="none"/>
              </w:rPr>
              <w:t>成立</w:t>
            </w:r>
            <w:r>
              <w:rPr>
                <w:rFonts w:hint="eastAsia" w:ascii="仿宋" w:hAnsi="仿宋" w:eastAsia="仿宋" w:cs="宋体"/>
                <w:sz w:val="24"/>
                <w:highlight w:val="none"/>
              </w:rPr>
              <w:t>之日起的依法缴纳社会保障资金的相应证明文件]；</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rPr>
              <w:t>4、投标人财务状况报告【202</w:t>
            </w:r>
            <w:r>
              <w:rPr>
                <w:rFonts w:ascii="仿宋" w:hAnsi="仿宋" w:eastAsia="仿宋" w:cs="宋体"/>
                <w:sz w:val="24"/>
                <w:highlight w:val="none"/>
              </w:rPr>
              <w:t>3</w:t>
            </w:r>
            <w:r>
              <w:rPr>
                <w:rFonts w:hint="eastAsia" w:ascii="仿宋" w:hAnsi="仿宋" w:eastAsia="仿宋" w:cs="宋体"/>
                <w:sz w:val="24"/>
                <w:highlight w:val="none"/>
              </w:rPr>
              <w:t>年度经审计的财务报告复印件（包括“四表一注”或“三表一注”）或者投标人自行编制的现金流量表、资产负债表、利润表或者银行出具的资信证明；投标人属于成立</w:t>
            </w:r>
            <w:r>
              <w:rPr>
                <w:rFonts w:ascii="仿宋" w:hAnsi="仿宋" w:eastAsia="仿宋" w:cs="宋体"/>
                <w:sz w:val="24"/>
                <w:highlight w:val="none"/>
              </w:rPr>
              <w:t>时间</w:t>
            </w:r>
            <w:r>
              <w:rPr>
                <w:rFonts w:hint="eastAsia" w:ascii="仿宋" w:hAnsi="仿宋" w:eastAsia="仿宋" w:cs="宋体"/>
                <w:sz w:val="24"/>
                <w:highlight w:val="none"/>
              </w:rPr>
              <w:t>在规定年度之后</w:t>
            </w:r>
            <w:r>
              <w:rPr>
                <w:rFonts w:ascii="仿宋" w:hAnsi="仿宋" w:eastAsia="仿宋" w:cs="宋体"/>
                <w:sz w:val="24"/>
                <w:highlight w:val="none"/>
              </w:rPr>
              <w:t>的</w:t>
            </w:r>
            <w:r>
              <w:rPr>
                <w:rFonts w:hint="eastAsia" w:ascii="仿宋" w:hAnsi="仿宋" w:eastAsia="仿宋" w:cs="宋体"/>
                <w:sz w:val="24"/>
                <w:highlight w:val="none"/>
              </w:rPr>
              <w:t>法人或其他组织</w:t>
            </w:r>
            <w:r>
              <w:rPr>
                <w:rFonts w:ascii="仿宋" w:hAnsi="仿宋" w:eastAsia="仿宋" w:cs="宋体"/>
                <w:sz w:val="24"/>
                <w:highlight w:val="none"/>
              </w:rPr>
              <w:t>，需提供成立</w:t>
            </w:r>
            <w:r>
              <w:rPr>
                <w:rFonts w:hint="eastAsia" w:ascii="仿宋" w:hAnsi="仿宋" w:eastAsia="仿宋" w:cs="宋体"/>
                <w:sz w:val="24"/>
                <w:highlight w:val="none"/>
              </w:rPr>
              <w:t>之日起至投标截止时间前</w:t>
            </w:r>
            <w:r>
              <w:rPr>
                <w:rFonts w:ascii="仿宋" w:hAnsi="仿宋" w:eastAsia="仿宋" w:cs="宋体"/>
                <w:sz w:val="24"/>
                <w:highlight w:val="none"/>
              </w:rPr>
              <w:t>的月报表</w:t>
            </w:r>
            <w:r>
              <w:rPr>
                <w:rFonts w:hint="eastAsia" w:ascii="仿宋" w:hAnsi="仿宋" w:eastAsia="仿宋" w:cs="宋体"/>
                <w:sz w:val="24"/>
                <w:highlight w:val="none"/>
              </w:rPr>
              <w:t>或银行出具的资信证明；资信证明应在有效期内，未注明有效期的，银行出具时间至投标截止时间不超过一年】；</w:t>
            </w:r>
            <w:r>
              <w:rPr>
                <w:rFonts w:hint="eastAsia" w:ascii="仿宋" w:hAnsi="仿宋" w:eastAsia="仿宋" w:cs="宋体"/>
                <w:b/>
                <w:sz w:val="24"/>
                <w:highlight w:val="none"/>
              </w:rPr>
              <w:t>（除自然人外必须提供，否则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rPr>
              <w:t>5、投标人直接控股、管理关系信息表（格式后附）；</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rPr>
              <w:t>6、投标声明（格式后附）；</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sz w:val="24"/>
                <w:highlight w:val="none"/>
              </w:rPr>
            </w:pPr>
            <w:bookmarkStart w:id="95" w:name="OLE_LINK7"/>
            <w:r>
              <w:rPr>
                <w:rFonts w:hint="eastAsia" w:ascii="仿宋" w:hAnsi="仿宋" w:eastAsia="仿宋" w:cs="宋体"/>
                <w:sz w:val="24"/>
                <w:highlight w:val="none"/>
              </w:rPr>
              <w:t>7、投标人提供的货物全部由符合政策要求中小企业制造，投标文件中提供《中小企业声明函》；属于监狱企业的，提供由省级以上监狱管理局、戒毒管理局(含新疆生产建设兵团)出具的属于监狱企业的证明文件</w:t>
            </w:r>
            <w:r>
              <w:rPr>
                <w:rFonts w:hint="eastAsia" w:ascii="仿宋" w:hAnsi="仿宋" w:eastAsia="仿宋" w:cs="宋体"/>
                <w:sz w:val="24"/>
                <w:highlight w:val="none"/>
                <w:lang w:eastAsia="zh-CN"/>
              </w:rPr>
              <w:t>；</w:t>
            </w:r>
            <w:r>
              <w:rPr>
                <w:rFonts w:hint="eastAsia" w:ascii="仿宋" w:hAnsi="仿宋" w:eastAsia="仿宋" w:cs="宋体"/>
                <w:b/>
                <w:sz w:val="24"/>
                <w:highlight w:val="none"/>
                <w:lang w:val="en-US" w:eastAsia="zh-CN"/>
              </w:rPr>
              <w:t>（如有，请提供）</w:t>
            </w:r>
          </w:p>
          <w:p>
            <w:pPr>
              <w:autoSpaceDE w:val="0"/>
              <w:autoSpaceDN w:val="0"/>
              <w:snapToGrid w:val="0"/>
              <w:spacing w:line="390" w:lineRule="exact"/>
              <w:textAlignment w:val="bottom"/>
              <w:rPr>
                <w:rFonts w:hint="eastAsia" w:ascii="仿宋" w:hAnsi="仿宋" w:eastAsia="仿宋" w:cs="宋体"/>
                <w:sz w:val="24"/>
                <w:highlight w:val="none"/>
              </w:rPr>
            </w:pPr>
            <w:r>
              <w:rPr>
                <w:rFonts w:hint="eastAsia" w:ascii="仿宋" w:hAnsi="仿宋" w:eastAsia="仿宋" w:cs="宋体"/>
                <w:sz w:val="24"/>
                <w:highlight w:val="none"/>
                <w:lang w:val="en-US" w:eastAsia="zh-CN"/>
              </w:rPr>
              <w:t>8、</w:t>
            </w:r>
            <w:r>
              <w:rPr>
                <w:rFonts w:hint="eastAsia" w:ascii="仿宋" w:hAnsi="仿宋" w:eastAsia="仿宋" w:cs="宋体"/>
                <w:sz w:val="24"/>
                <w:highlight w:val="none"/>
              </w:rPr>
              <w:t>符合条件的残疾人福利性单位在参加政府采购活动时，提供《残疾人福利性单位声明函》，并对声明的真实性负责（如有，请提供）；</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p>
            <w:pPr>
              <w:autoSpaceDE w:val="0"/>
              <w:autoSpaceDN w:val="0"/>
              <w:snapToGrid w:val="0"/>
              <w:spacing w:line="390" w:lineRule="exact"/>
              <w:textAlignment w:val="bottom"/>
              <w:rPr>
                <w:rFonts w:hint="eastAsia" w:ascii="仿宋" w:hAnsi="仿宋" w:eastAsia="仿宋" w:cs="宋体"/>
                <w:sz w:val="24"/>
                <w:highlight w:val="none"/>
              </w:rPr>
            </w:pPr>
            <w:r>
              <w:rPr>
                <w:rFonts w:hint="eastAsia" w:ascii="仿宋" w:hAnsi="仿宋" w:eastAsia="仿宋" w:cs="宋体"/>
                <w:sz w:val="24"/>
                <w:highlight w:val="none"/>
                <w:lang w:val="en-US" w:eastAsia="zh-CN"/>
              </w:rPr>
              <w:t>9</w:t>
            </w:r>
            <w:r>
              <w:rPr>
                <w:rFonts w:hint="eastAsia" w:ascii="仿宋" w:hAnsi="仿宋" w:eastAsia="仿宋" w:cs="宋体"/>
                <w:sz w:val="24"/>
                <w:highlight w:val="none"/>
              </w:rPr>
              <w:t>、除招标文件规定必须提供以外，投标人认为需要提供的其他证明材料。</w:t>
            </w:r>
          </w:p>
          <w:bookmarkEnd w:id="95"/>
          <w:p>
            <w:pPr>
              <w:snapToGrid w:val="0"/>
              <w:spacing w:line="390" w:lineRule="exact"/>
              <w:jc w:val="left"/>
              <w:rPr>
                <w:rFonts w:hint="eastAsia" w:ascii="仿宋" w:hAnsi="仿宋" w:eastAsia="仿宋"/>
                <w:b/>
                <w:bCs/>
                <w:sz w:val="24"/>
                <w:highlight w:val="none"/>
              </w:rPr>
            </w:pPr>
            <w:r>
              <w:rPr>
                <w:rFonts w:hint="eastAsia" w:ascii="仿宋" w:hAnsi="仿宋" w:eastAsia="仿宋"/>
                <w:b/>
                <w:bCs/>
                <w:sz w:val="24"/>
                <w:highlight w:val="none"/>
              </w:rPr>
              <w:t>注：</w:t>
            </w:r>
          </w:p>
          <w:p>
            <w:pPr>
              <w:snapToGrid w:val="0"/>
              <w:spacing w:line="390" w:lineRule="exact"/>
              <w:ind w:firstLine="482" w:firstLineChars="200"/>
              <w:jc w:val="left"/>
              <w:rPr>
                <w:rFonts w:hint="eastAsia" w:ascii="仿宋" w:hAnsi="仿宋" w:eastAsia="仿宋" w:cs="Courier New"/>
                <w:b/>
                <w:sz w:val="24"/>
                <w:highlight w:val="none"/>
              </w:rPr>
            </w:pPr>
            <w:r>
              <w:rPr>
                <w:rFonts w:hint="eastAsia" w:ascii="仿宋" w:hAnsi="仿宋" w:eastAsia="仿宋"/>
                <w:b/>
                <w:bCs/>
                <w:sz w:val="24"/>
                <w:highlight w:val="none"/>
              </w:rPr>
              <w:t>1、以上标明“必须提供”的材料属于复印件的，必须加盖投标人公章，否则按无效投标</w:t>
            </w:r>
            <w:r>
              <w:rPr>
                <w:rFonts w:hint="eastAsia" w:ascii="仿宋" w:hAnsi="仿宋" w:eastAsia="仿宋" w:cs="Courier New"/>
                <w:b/>
                <w:sz w:val="24"/>
                <w:highlight w:val="none"/>
              </w:rPr>
              <w:t>处理。</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cs="Courier New"/>
                <w:b/>
                <w:sz w:val="24"/>
                <w:highlight w:val="none"/>
              </w:rPr>
              <w:t>2、</w:t>
            </w:r>
            <w:r>
              <w:rPr>
                <w:rFonts w:hint="eastAsia" w:ascii="仿宋" w:hAnsi="仿宋" w:eastAsia="仿宋"/>
                <w:b/>
                <w:bCs/>
                <w:sz w:val="24"/>
                <w:highlight w:val="none"/>
              </w:rPr>
              <w:t>投标声明必须由法定代表人在规定签章处签字并加盖投标人公章，否则按无效投标处理。</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3、投标人直接控股、管理关系信息表必须由法定代表人或者委托代理人在规定签章处签字并加盖投标人公章，否则按无效投标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4、联合体投标时，第1-5项资格证明文件联合体各方均必须分别提供，联合体各方分别盖章和签字，否则按无效投标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5、分公司参加投标的，应当取得总公司授权，否则按无效投标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。（允许分公司参与的行业有银行、保险、石油石化、电力、电信等行业）。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pPr>
              <w:spacing w:line="390" w:lineRule="exact"/>
              <w:rPr>
                <w:rFonts w:hint="eastAsia" w:ascii="仿宋" w:hAnsi="仿宋" w:eastAsia="仿宋"/>
                <w:sz w:val="24"/>
                <w:highlight w:val="none"/>
              </w:rPr>
            </w:pPr>
            <w:bookmarkStart w:id="96" w:name="_13.3"/>
            <w:bookmarkEnd w:id="96"/>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商务文件： </w:t>
            </w:r>
          </w:p>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1、无串通投标行为的承诺函（格式后附）；（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、法定代表人身份证明及法定代表人有效身份证正反面复印件（格式后附）；（</w:t>
            </w:r>
            <w:r>
              <w:rPr>
                <w:rFonts w:hint="eastAsia" w:ascii="仿宋" w:hAnsi="仿宋" w:eastAsia="仿宋" w:cs="宋体"/>
                <w:b/>
                <w:bCs/>
                <w:sz w:val="24"/>
                <w:highlight w:val="none"/>
              </w:rPr>
              <w:t>除自然人投标外</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3</w:t>
            </w:r>
            <w:r>
              <w:rPr>
                <w:rFonts w:hint="eastAsia" w:ascii="仿宋" w:hAnsi="仿宋" w:eastAsia="仿宋"/>
                <w:sz w:val="24"/>
                <w:highlight w:val="none"/>
              </w:rPr>
              <w:t>、授权委托书及委托代理人有效身份证正反面复印件（格式后附）；（</w:t>
            </w:r>
            <w:r>
              <w:rPr>
                <w:rFonts w:hint="eastAsia" w:ascii="仿宋" w:hAnsi="仿宋" w:eastAsia="仿宋"/>
                <w:b/>
                <w:sz w:val="24"/>
                <w:highlight w:val="none"/>
              </w:rPr>
              <w:t>委托时必须提供，否则投标文件按无效投标处理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、商务要求偏离表（格式后附）；（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5</w:t>
            </w:r>
            <w:r>
              <w:rPr>
                <w:rFonts w:hint="eastAsia" w:ascii="仿宋" w:hAnsi="仿宋" w:eastAsia="仿宋"/>
                <w:sz w:val="24"/>
                <w:highlight w:val="none"/>
              </w:rPr>
              <w:t>、售后服务承诺（格式自拟）；（</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6、投标人业绩证明材料（格式后附）；</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7</w:t>
            </w:r>
            <w:r>
              <w:rPr>
                <w:rFonts w:hint="eastAsia" w:ascii="仿宋" w:hAnsi="仿宋" w:eastAsia="仿宋"/>
                <w:sz w:val="24"/>
                <w:highlight w:val="none"/>
              </w:rPr>
              <w:t>、除招标文件规定必须提供以外，投标人认为需要提供的其他证明材料（格式自拟）。（投标人根据“第二章 采购需求”及“第四章 评标方法及评标标准”提供有关证明材料）。</w:t>
            </w:r>
          </w:p>
          <w:p>
            <w:pPr>
              <w:snapToGrid w:val="0"/>
              <w:spacing w:line="390" w:lineRule="exact"/>
              <w:ind w:firstLine="482" w:firstLineChars="200"/>
              <w:jc w:val="left"/>
              <w:rPr>
                <w:rFonts w:hint="eastAsia" w:ascii="仿宋" w:hAnsi="仿宋" w:eastAsia="仿宋"/>
                <w:sz w:val="24"/>
                <w:highlight w:val="none"/>
              </w:rPr>
            </w:pPr>
            <w:r>
              <w:rPr>
                <w:rFonts w:hint="eastAsia" w:ascii="仿宋" w:hAnsi="仿宋" w:eastAsia="仿宋"/>
                <w:b/>
                <w:bCs/>
                <w:sz w:val="24"/>
                <w:highlight w:val="none"/>
              </w:rPr>
              <w:t>注：以上标明“必须提供”的材料属于复印件的，必须加盖投标人公章，否则按无效投标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bottom w:val="single" w:color="auto" w:sz="4" w:space="0"/>
              <w:right w:val="single" w:color="auto" w:sz="4" w:space="0"/>
            </w:tcBorders>
            <w:vAlign w:val="center"/>
          </w:tcPr>
          <w:p>
            <w:pPr>
              <w:spacing w:line="390" w:lineRule="exact"/>
              <w:rPr>
                <w:rFonts w:hint="eastAsia" w:ascii="仿宋" w:hAnsi="仿宋" w:eastAsia="仿宋"/>
                <w:sz w:val="24"/>
                <w:highlight w:val="none"/>
              </w:rPr>
            </w:pPr>
            <w:bookmarkStart w:id="97" w:name="_13.4"/>
            <w:bookmarkEnd w:id="97"/>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技术文件： </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、技术要求偏离表（格式后附）；（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w:t>
            </w:r>
            <w:bookmarkStart w:id="98" w:name="OLE_LINK25"/>
            <w:r>
              <w:rPr>
                <w:rFonts w:hint="eastAsia" w:ascii="仿宋" w:hAnsi="仿宋" w:eastAsia="仿宋"/>
                <w:sz w:val="24"/>
                <w:highlight w:val="none"/>
              </w:rPr>
              <w:t>招标文件第二章“采购需求”要求提供的技术证明材料（格式自拟）；</w:t>
            </w:r>
          </w:p>
          <w:bookmarkEnd w:id="98"/>
          <w:p>
            <w:pPr>
              <w:snapToGrid w:val="0"/>
              <w:spacing w:line="390" w:lineRule="exact"/>
              <w:jc w:val="left"/>
              <w:rPr>
                <w:rFonts w:hint="eastAsia" w:ascii="仿宋" w:hAnsi="仿宋" w:eastAsia="仿宋"/>
                <w:sz w:val="24"/>
                <w:highlight w:val="none"/>
              </w:rPr>
            </w:pPr>
            <w:r>
              <w:rPr>
                <w:rFonts w:ascii="仿宋" w:hAnsi="仿宋" w:eastAsia="仿宋"/>
                <w:sz w:val="24"/>
                <w:highlight w:val="none"/>
              </w:rPr>
              <w:t>3</w:t>
            </w:r>
            <w:r>
              <w:rPr>
                <w:rFonts w:hint="eastAsia" w:ascii="仿宋" w:hAnsi="仿宋" w:eastAsia="仿宋"/>
                <w:sz w:val="24"/>
                <w:highlight w:val="none"/>
              </w:rPr>
              <w:t>、</w:t>
            </w:r>
            <w:bookmarkStart w:id="99" w:name="OLE_LINK13"/>
            <w:bookmarkStart w:id="100" w:name="OLE_LINK26"/>
            <w:r>
              <w:rPr>
                <w:rFonts w:hint="eastAsia" w:ascii="仿宋" w:hAnsi="仿宋" w:eastAsia="仿宋"/>
                <w:sz w:val="24"/>
                <w:highlight w:val="none"/>
              </w:rPr>
              <w:t>项目实施方案（格式自拟）</w:t>
            </w:r>
            <w:bookmarkEnd w:id="99"/>
            <w:r>
              <w:rPr>
                <w:rFonts w:hint="eastAsia" w:ascii="仿宋" w:hAnsi="仿宋" w:eastAsia="仿宋"/>
                <w:sz w:val="24"/>
                <w:highlight w:val="none"/>
              </w:rPr>
              <w:t xml:space="preserve">； </w:t>
            </w:r>
          </w:p>
          <w:bookmarkEnd w:id="100"/>
          <w:p>
            <w:pPr>
              <w:snapToGrid w:val="0"/>
              <w:spacing w:line="390" w:lineRule="exact"/>
              <w:jc w:val="left"/>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、项目</w:t>
            </w:r>
            <w:r>
              <w:rPr>
                <w:rFonts w:ascii="仿宋" w:hAnsi="仿宋" w:eastAsia="仿宋"/>
                <w:sz w:val="24"/>
                <w:highlight w:val="none"/>
              </w:rPr>
              <w:t>实施人员一览表（</w:t>
            </w:r>
            <w:r>
              <w:rPr>
                <w:rFonts w:hint="eastAsia" w:ascii="仿宋" w:hAnsi="仿宋" w:eastAsia="仿宋"/>
                <w:sz w:val="24"/>
                <w:highlight w:val="none"/>
              </w:rPr>
              <w:t>格式</w:t>
            </w:r>
            <w:r>
              <w:rPr>
                <w:rFonts w:ascii="仿宋" w:hAnsi="仿宋" w:eastAsia="仿宋"/>
                <w:sz w:val="24"/>
                <w:highlight w:val="none"/>
              </w:rPr>
              <w:t>后附）</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5、</w:t>
            </w:r>
            <w:bookmarkStart w:id="101" w:name="OLE_LINK14"/>
            <w:bookmarkStart w:id="102" w:name="OLE_LINK27"/>
            <w:r>
              <w:rPr>
                <w:rFonts w:hint="eastAsia" w:ascii="仿宋" w:hAnsi="仿宋" w:eastAsia="仿宋"/>
                <w:sz w:val="24"/>
                <w:highlight w:val="none"/>
              </w:rPr>
              <w:t>配件、专用耗材价格表（格式</w:t>
            </w:r>
            <w:r>
              <w:rPr>
                <w:rFonts w:ascii="仿宋" w:hAnsi="仿宋" w:eastAsia="仿宋"/>
                <w:sz w:val="24"/>
                <w:highlight w:val="none"/>
              </w:rPr>
              <w:t>后附</w:t>
            </w:r>
            <w:r>
              <w:rPr>
                <w:rFonts w:hint="eastAsia" w:ascii="仿宋" w:hAnsi="仿宋" w:eastAsia="仿宋"/>
                <w:sz w:val="24"/>
                <w:highlight w:val="none"/>
              </w:rPr>
              <w:t>）</w:t>
            </w:r>
            <w:bookmarkEnd w:id="101"/>
            <w:r>
              <w:rPr>
                <w:rFonts w:hint="eastAsia" w:ascii="仿宋" w:hAnsi="仿宋" w:eastAsia="仿宋"/>
                <w:sz w:val="24"/>
                <w:highlight w:val="none"/>
              </w:rPr>
              <w:t>；（</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bookmarkEnd w:id="102"/>
          </w:p>
          <w:p>
            <w:pPr>
              <w:snapToGrid w:val="0"/>
              <w:spacing w:line="390" w:lineRule="exact"/>
              <w:jc w:val="left"/>
              <w:rPr>
                <w:rFonts w:hint="eastAsia" w:ascii="仿宋" w:hAnsi="仿宋" w:eastAsia="仿宋"/>
                <w:bCs/>
                <w:sz w:val="24"/>
                <w:highlight w:val="none"/>
              </w:rPr>
            </w:pPr>
            <w:r>
              <w:rPr>
                <w:rFonts w:ascii="仿宋" w:hAnsi="仿宋" w:eastAsia="仿宋"/>
                <w:sz w:val="24"/>
                <w:highlight w:val="none"/>
              </w:rPr>
              <w:t>6</w:t>
            </w:r>
            <w:r>
              <w:rPr>
                <w:rFonts w:hint="eastAsia" w:ascii="仿宋" w:hAnsi="仿宋" w:eastAsia="仿宋"/>
                <w:sz w:val="24"/>
                <w:highlight w:val="none"/>
              </w:rPr>
              <w:t>、除招标文件规定必须提供以外，投标人需要说明的其他文件和说明（格式自拟）。</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注：以上标明“必须提供”的材料属于复印件的，必须加盖投标人公章，否则按无效投标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03" w:name="_16.2"/>
            <w:bookmarkEnd w:id="103"/>
            <w:bookmarkStart w:id="104" w:name="_13.5"/>
            <w:bookmarkEnd w:id="104"/>
            <w:r>
              <w:rPr>
                <w:rFonts w:hint="eastAsia" w:ascii="仿宋" w:hAnsi="仿宋" w:eastAsia="仿宋"/>
                <w:sz w:val="24"/>
                <w:highlight w:val="none"/>
              </w:rPr>
              <w:t>16</w:t>
            </w:r>
            <w:bookmarkStart w:id="105" w:name="_Hlt19693759"/>
            <w:bookmarkStart w:id="106" w:name="_Hlt19693758"/>
            <w:bookmarkStart w:id="107" w:name="_Hlt19194066"/>
            <w:bookmarkStart w:id="108" w:name="_Hlt19194067"/>
            <w:r>
              <w:rPr>
                <w:rFonts w:hint="eastAsia" w:ascii="仿宋" w:hAnsi="仿宋" w:eastAsia="仿宋"/>
                <w:sz w:val="24"/>
                <w:highlight w:val="none"/>
              </w:rPr>
              <w:t>.</w:t>
            </w:r>
            <w:bookmarkEnd w:id="105"/>
            <w:bookmarkEnd w:id="106"/>
            <w:bookmarkEnd w:id="107"/>
            <w:bookmarkEnd w:id="108"/>
            <w:r>
              <w:rPr>
                <w:rFonts w:hint="eastAsia" w:ascii="仿宋" w:hAnsi="仿宋" w:eastAsia="仿宋"/>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b/>
                <w:sz w:val="24"/>
                <w:highlight w:val="none"/>
              </w:rPr>
            </w:pPr>
            <w:r>
              <w:rPr>
                <w:rFonts w:hint="eastAsia" w:ascii="仿宋" w:hAnsi="仿宋" w:eastAsia="仿宋"/>
                <w:sz w:val="24"/>
                <w:highlight w:val="none"/>
              </w:rPr>
              <w:t>投标报价是履行合同的含税价格，应包括货款、运至最终目的地运输、储存、搬运、保险以及伴随货物服务的有关一切费用（包括差旅、培训、其它相关服务等所有费用）。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09" w:name="_17.1"/>
            <w:bookmarkEnd w:id="109"/>
            <w:r>
              <w:rPr>
                <w:rFonts w:hint="eastAsia" w:ascii="仿宋" w:hAnsi="仿宋" w:eastAsia="仿宋"/>
                <w:sz w:val="24"/>
                <w:highlight w:val="none"/>
              </w:rPr>
              <w:t>17.</w:t>
            </w:r>
            <w:r>
              <w:rPr>
                <w:rFonts w:ascii="仿宋" w:hAnsi="仿宋" w:eastAsia="仿宋"/>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投标有效期：投标截止之日起</w:t>
            </w:r>
            <w:r>
              <w:rPr>
                <w:rFonts w:ascii="仿宋" w:hAnsi="仿宋" w:eastAsia="仿宋"/>
                <w:sz w:val="24"/>
                <w:highlight w:val="none"/>
              </w:rPr>
              <w:t>90</w:t>
            </w:r>
            <w:r>
              <w:rPr>
                <w:rFonts w:hint="eastAsia" w:ascii="仿宋" w:hAnsi="仿宋" w:eastAsia="仿宋"/>
                <w:sz w:val="24"/>
                <w:highlight w:val="none"/>
              </w:rPr>
              <w:t>天内。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0" w:name="_18"/>
            <w:bookmarkEnd w:id="110"/>
            <w:r>
              <w:rPr>
                <w:rFonts w:hint="eastAsia" w:ascii="仿宋" w:hAnsi="仿宋" w:eastAsia="仿宋"/>
                <w:sz w:val="24"/>
                <w:highlight w:val="none"/>
              </w:rPr>
              <w:t>18</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本项目不收取投标保证金。</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□本项目收取投标保证金，具体规定如下：</w:t>
            </w:r>
          </w:p>
          <w:p>
            <w:pPr>
              <w:snapToGrid w:val="0"/>
              <w:spacing w:line="390" w:lineRule="exact"/>
              <w:rPr>
                <w:rFonts w:hint="eastAsia" w:ascii="仿宋" w:hAnsi="仿宋" w:eastAsia="仿宋"/>
                <w:sz w:val="24"/>
                <w:highlight w:val="none"/>
              </w:rPr>
            </w:pPr>
            <w:r>
              <w:rPr>
                <w:rFonts w:hint="eastAsia" w:ascii="仿宋" w:hAnsi="仿宋" w:eastAsia="仿宋" w:cs="宋体"/>
                <w:kern w:val="0"/>
                <w:sz w:val="24"/>
                <w:highlight w:val="none"/>
              </w:rPr>
              <w:t>投标保证金人民币</w:t>
            </w:r>
            <w:r>
              <w:rPr>
                <w:rFonts w:ascii="仿宋" w:hAnsi="仿宋" w:eastAsia="仿宋"/>
                <w:sz w:val="24"/>
                <w:highlight w:val="none"/>
                <w:u w:val="single"/>
              </w:rPr>
              <w:t xml:space="preserve"> / </w:t>
            </w:r>
            <w:r>
              <w:rPr>
                <w:rFonts w:hint="eastAsia" w:ascii="仿宋" w:hAnsi="仿宋" w:eastAsia="仿宋"/>
                <w:sz w:val="24"/>
                <w:highlight w:val="none"/>
              </w:rPr>
              <w:t>万元；</w:t>
            </w:r>
          </w:p>
          <w:p>
            <w:pPr>
              <w:snapToGrid w:val="0"/>
              <w:spacing w:line="390" w:lineRule="exact"/>
              <w:rPr>
                <w:rFonts w:hint="eastAsia" w:ascii="仿宋" w:hAnsi="仿宋" w:eastAsia="仿宋"/>
                <w:sz w:val="24"/>
                <w:highlight w:val="none"/>
              </w:rPr>
            </w:pPr>
            <w:r>
              <w:rPr>
                <w:rFonts w:hint="eastAsia" w:ascii="仿宋" w:hAnsi="仿宋" w:eastAsia="仿宋" w:cs="宋体"/>
                <w:kern w:val="0"/>
                <w:sz w:val="24"/>
                <w:highlight w:val="none"/>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宋体"/>
                <w:sz w:val="24"/>
                <w:highlight w:val="none"/>
              </w:rPr>
              <w:t>开户名称：</w:t>
            </w:r>
            <w:r>
              <w:rPr>
                <w:rFonts w:hint="eastAsia" w:ascii="仿宋" w:hAnsi="仿宋" w:eastAsia="仿宋" w:cs="宋体"/>
                <w:sz w:val="24"/>
                <w:highlight w:val="none"/>
                <w:u w:val="single"/>
              </w:rPr>
              <w:t xml:space="preserve"> </w:t>
            </w:r>
            <w:r>
              <w:rPr>
                <w:rFonts w:ascii="仿宋" w:hAnsi="仿宋" w:eastAsia="仿宋" w:cs="宋体"/>
                <w:sz w:val="24"/>
                <w:highlight w:val="none"/>
                <w:u w:val="single"/>
              </w:rPr>
              <w:t xml:space="preserve">  /   </w:t>
            </w:r>
            <w:r>
              <w:rPr>
                <w:rFonts w:hint="eastAsia" w:ascii="仿宋" w:hAnsi="仿宋" w:eastAsia="仿宋" w:cs="宋体"/>
                <w:sz w:val="24"/>
                <w:highlight w:val="none"/>
              </w:rPr>
              <w:t>，开户银行：</w:t>
            </w:r>
            <w:r>
              <w:rPr>
                <w:rFonts w:hint="eastAsia" w:ascii="仿宋" w:hAnsi="仿宋" w:eastAsia="仿宋" w:cs="宋体"/>
                <w:sz w:val="24"/>
                <w:highlight w:val="none"/>
                <w:u w:val="single"/>
              </w:rPr>
              <w:t xml:space="preserve"> </w:t>
            </w:r>
            <w:r>
              <w:rPr>
                <w:rFonts w:ascii="仿宋" w:hAnsi="仿宋" w:eastAsia="仿宋" w:cs="宋体"/>
                <w:sz w:val="24"/>
                <w:highlight w:val="none"/>
                <w:u w:val="single"/>
              </w:rPr>
              <w:t xml:space="preserve">  /   </w:t>
            </w:r>
            <w:r>
              <w:rPr>
                <w:rFonts w:hint="eastAsia" w:ascii="仿宋" w:hAnsi="仿宋" w:eastAsia="仿宋" w:cs="宋体"/>
                <w:sz w:val="24"/>
                <w:highlight w:val="none"/>
              </w:rPr>
              <w:t>，银行账号：</w:t>
            </w:r>
            <w:r>
              <w:rPr>
                <w:rFonts w:ascii="仿宋" w:hAnsi="仿宋" w:eastAsia="仿宋" w:cs="宋体"/>
                <w:sz w:val="24"/>
                <w:highlight w:val="none"/>
                <w:u w:val="single"/>
              </w:rPr>
              <w:t xml:space="preserve">    /   </w:t>
            </w:r>
            <w:r>
              <w:rPr>
                <w:rFonts w:hint="eastAsia" w:ascii="仿宋" w:hAnsi="仿宋" w:eastAsia="仿宋" w:cs="宋体"/>
                <w:kern w:val="0"/>
                <w:sz w:val="24"/>
                <w:highlight w:val="none"/>
              </w:rPr>
              <w:t>）；采用支票、汇票、本票或者保函等方式的，在投标截止时间前，投标人必须递交支票、汇票、本票或者保函原件。否则视为无效投标保证金。</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相关要求：</w:t>
            </w:r>
          </w:p>
          <w:p>
            <w:pPr>
              <w:pStyle w:val="13"/>
              <w:spacing w:line="390" w:lineRule="exact"/>
              <w:rPr>
                <w:rFonts w:hint="eastAsia" w:ascii="仿宋" w:hAnsi="仿宋" w:eastAsia="仿宋"/>
                <w:sz w:val="24"/>
                <w:highlight w:val="none"/>
              </w:rPr>
            </w:pPr>
            <w:r>
              <w:rPr>
                <w:rFonts w:hint="eastAsia" w:ascii="仿宋" w:hAnsi="仿宋" w:eastAsia="仿宋"/>
                <w:sz w:val="24"/>
                <w:highlight w:val="none"/>
              </w:rPr>
              <w:t>1、投标保证金采用银行转账交纳方式的，在投标截止时间前交至指定账户并且到账，投标人应将银行转账底单的复印件作为投标保证金提交凭证，</w:t>
            </w:r>
            <w:r>
              <w:rPr>
                <w:rFonts w:ascii="仿宋" w:hAnsi="仿宋" w:eastAsia="仿宋"/>
                <w:sz w:val="24"/>
                <w:highlight w:val="none"/>
              </w:rPr>
              <w:t>放置于</w:t>
            </w:r>
            <w:r>
              <w:rPr>
                <w:rFonts w:hint="eastAsia" w:ascii="仿宋" w:hAnsi="仿宋" w:eastAsia="仿宋"/>
                <w:sz w:val="24"/>
                <w:highlight w:val="none"/>
              </w:rPr>
              <w:t>商务文件</w:t>
            </w:r>
            <w:r>
              <w:rPr>
                <w:rFonts w:ascii="仿宋" w:hAnsi="仿宋" w:eastAsia="仿宋"/>
                <w:sz w:val="24"/>
                <w:highlight w:val="none"/>
              </w:rPr>
              <w:t>中</w:t>
            </w:r>
            <w:r>
              <w:rPr>
                <w:rFonts w:hint="eastAsia" w:ascii="仿宋" w:hAnsi="仿宋" w:eastAsia="仿宋"/>
                <w:sz w:val="24"/>
                <w:highlight w:val="none"/>
              </w:rPr>
              <w:t>，</w:t>
            </w:r>
            <w:r>
              <w:rPr>
                <w:rFonts w:hint="eastAsia" w:ascii="仿宋" w:hAnsi="仿宋" w:eastAsia="仿宋"/>
                <w:b/>
                <w:sz w:val="24"/>
                <w:highlight w:val="none"/>
              </w:rPr>
              <w:t>否则投标无效</w:t>
            </w:r>
            <w:r>
              <w:rPr>
                <w:rFonts w:hint="eastAsia" w:ascii="仿宋" w:hAnsi="仿宋" w:eastAsia="仿宋"/>
                <w:sz w:val="24"/>
                <w:highlight w:val="none"/>
              </w:rPr>
              <w:t>。</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b/>
                <w:sz w:val="24"/>
                <w:highlight w:val="none"/>
              </w:rPr>
              <w:t>否则投标无效</w:t>
            </w:r>
            <w:r>
              <w:rPr>
                <w:rFonts w:hint="eastAsia" w:ascii="仿宋" w:hAnsi="仿宋" w:eastAsia="仿宋"/>
                <w:sz w:val="24"/>
                <w:highlight w:val="none"/>
              </w:rPr>
              <w:t>。</w:t>
            </w:r>
            <w:r>
              <w:rPr>
                <w:rFonts w:hint="eastAsia" w:ascii="仿宋" w:hAnsi="仿宋" w:eastAsia="仿宋"/>
                <w:b/>
                <w:sz w:val="24"/>
                <w:highlight w:val="none"/>
              </w:rPr>
              <w:t>投标人必须在投标截止时间前将支票、汇票、本票或者金融、担保机构出具的保函原件提交给采购代理机构，由采购代理机构向投标人出具回执，并妥善保管。</w:t>
            </w:r>
          </w:p>
          <w:p>
            <w:pPr>
              <w:snapToGrid w:val="0"/>
              <w:spacing w:line="390" w:lineRule="exact"/>
              <w:rPr>
                <w:rFonts w:hint="eastAsia" w:ascii="仿宋" w:hAnsi="仿宋" w:eastAsia="仿宋"/>
                <w:sz w:val="24"/>
                <w:highlight w:val="none"/>
              </w:rPr>
            </w:pPr>
            <w:r>
              <w:rPr>
                <w:rFonts w:hint="eastAsia" w:ascii="仿宋" w:hAnsi="仿宋" w:eastAsia="仿宋" w:cs="宋体"/>
                <w:sz w:val="24"/>
                <w:highlight w:val="none"/>
              </w:rPr>
              <w:t>3、投标人为联合体的，可以由联合体中的一方或者多方共同交纳投标保证金，其交纳的保证金对联合体各方均具有约束力。</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 xml:space="preserve">备注： </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1、投标保证金在投标截止时间后提交的，或者不按规定交纳方式交纳的，或者未足额交纳的（包含保函额度不足的），视为无效投标保证金。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2、投标人采用现钞方式或者从个人账户（自然人投标除外）转出的投标保证金，视为无效投标保证金。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3、支票、汇票或者本票出现无效或者背书情形的，视为无效投标保证金。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4、保函有效期低于投标有效期的，视为无效投标保证金。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5、采用金融、担保机构出具保函的，必须为无条件保函，否则视为无效投标保证金。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1" w:name="_19.2"/>
            <w:bookmarkEnd w:id="111"/>
            <w:r>
              <w:rPr>
                <w:rFonts w:hint="eastAsia" w:ascii="仿宋" w:hAnsi="仿宋" w:eastAsia="仿宋"/>
                <w:sz w:val="24"/>
                <w:highlight w:val="none"/>
              </w:rPr>
              <w:t>19.2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投标文件应按报价文件、资格证明文件、商务文件、技术文件分别编制，</w:t>
            </w:r>
            <w:r>
              <w:rPr>
                <w:rFonts w:hint="eastAsia" w:ascii="仿宋" w:hAnsi="仿宋" w:eastAsia="仿宋" w:cs="宋体"/>
                <w:sz w:val="24"/>
                <w:highlight w:val="none"/>
                <w:lang w:bidi="ar"/>
              </w:rPr>
              <w:t>并按“广西政府采购云平台”的要求编制、加密、上传。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20.1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电子投标文件应在制作完成后，投标人应按</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的要求进行加密，并在规定时间内解密，否则，由此产生的后果由投标人自行负责。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76"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2" w:name="_21.1"/>
            <w:bookmarkEnd w:id="112"/>
            <w:r>
              <w:rPr>
                <w:rFonts w:hint="eastAsia" w:ascii="仿宋" w:hAnsi="仿宋" w:eastAsia="仿宋"/>
                <w:sz w:val="24"/>
                <w:highlight w:val="none"/>
              </w:rPr>
              <w:t>21.1</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1、投标截止时间：详见招标公告</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3" w:name="_23"/>
            <w:bookmarkEnd w:id="113"/>
            <w:r>
              <w:rPr>
                <w:rFonts w:hint="eastAsia" w:ascii="仿宋" w:hAnsi="仿宋" w:eastAsia="仿宋"/>
                <w:sz w:val="24"/>
                <w:highlight w:val="none"/>
              </w:rPr>
              <w:t>23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1、开标时间：详见招标公告</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bCs/>
                <w:sz w:val="24"/>
                <w:highlight w:val="none"/>
              </w:rPr>
              <w:t>24.2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90" w:lineRule="exact"/>
              <w:rPr>
                <w:rFonts w:hint="eastAsia" w:ascii="仿宋" w:hAnsi="仿宋" w:eastAsia="仿宋"/>
                <w:sz w:val="24"/>
                <w:highlight w:val="none"/>
              </w:rPr>
            </w:pPr>
            <w:r>
              <w:rPr>
                <w:rFonts w:hint="eastAsia" w:ascii="仿宋" w:hAnsi="仿宋" w:eastAsia="仿宋"/>
                <w:bCs/>
                <w:sz w:val="24"/>
                <w:highlight w:val="none"/>
              </w:rPr>
              <w:t>“广西政府采购云平台”按开标时间自动提取所有投标文件。采购代理机构依托</w:t>
            </w:r>
            <w:r>
              <w:rPr>
                <w:rFonts w:hint="eastAsia" w:ascii="仿宋" w:hAnsi="仿宋" w:eastAsia="仿宋" w:cs="宋体"/>
                <w:sz w:val="24"/>
                <w:highlight w:val="none"/>
                <w:lang w:bidi="ar"/>
              </w:rPr>
              <w:t>“广西政府采购云平台”</w:t>
            </w:r>
            <w:r>
              <w:rPr>
                <w:rFonts w:hint="eastAsia" w:ascii="仿宋" w:hAnsi="仿宋" w:eastAsia="仿宋"/>
                <w:bCs/>
                <w:sz w:val="24"/>
                <w:highlight w:val="none"/>
              </w:rPr>
              <w:t>向各投标人发出电子加密投标文件【开始解密】通知，由投标人进行投标文件解密。</w:t>
            </w:r>
            <w:r>
              <w:rPr>
                <w:rFonts w:hint="eastAsia" w:ascii="仿宋" w:hAnsi="仿宋" w:eastAsia="仿宋"/>
                <w:b/>
                <w:bCs/>
                <w:sz w:val="24"/>
                <w:highlight w:val="none"/>
              </w:rPr>
              <w:t>投标人的法定代表人或其委托代理人须携带加密时所用的CA锁准时登录到“广西政府采购云平台”电子开标大厅签到</w:t>
            </w:r>
            <w:r>
              <w:rPr>
                <w:rFonts w:hint="eastAsia" w:ascii="仿宋" w:hAnsi="仿宋" w:eastAsia="仿宋" w:cs="宋体"/>
                <w:b/>
                <w:sz w:val="24"/>
                <w:highlight w:val="none"/>
              </w:rPr>
              <w:t>并在发起解密</w:t>
            </w:r>
            <w:r>
              <w:rPr>
                <w:rFonts w:hint="eastAsia" w:ascii="仿宋" w:hAnsi="仿宋" w:eastAsia="仿宋"/>
                <w:b/>
                <w:bCs/>
                <w:sz w:val="24"/>
                <w:highlight w:val="none"/>
              </w:rPr>
              <w:t>通知</w:t>
            </w:r>
            <w:r>
              <w:rPr>
                <w:rFonts w:hint="eastAsia" w:ascii="仿宋" w:hAnsi="仿宋" w:eastAsia="仿宋" w:cs="宋体"/>
                <w:b/>
                <w:sz w:val="24"/>
                <w:highlight w:val="none"/>
              </w:rPr>
              <w:t>之时起30分钟内完成</w:t>
            </w:r>
            <w:r>
              <w:rPr>
                <w:rFonts w:hint="eastAsia" w:ascii="仿宋" w:hAnsi="仿宋" w:eastAsia="仿宋"/>
                <w:b/>
                <w:bCs/>
                <w:sz w:val="24"/>
                <w:highlight w:val="none"/>
              </w:rPr>
              <w:t>对电子投标文件解密。投标文件未按时解密的，视为无效投标。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4" w:name="_25.3"/>
            <w:bookmarkEnd w:id="114"/>
            <w:r>
              <w:rPr>
                <w:rFonts w:hint="eastAsia" w:ascii="仿宋" w:hAnsi="仿宋" w:eastAsia="仿宋"/>
                <w:sz w:val="24"/>
                <w:highlight w:val="none"/>
              </w:rPr>
              <w:t>25.3（3）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采购人或者采购代理机构在资格审查结束前，对投标人进行信用查询。</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查询渠道：</w:t>
            </w:r>
            <w:r>
              <w:rPr>
                <w:rFonts w:ascii="仿宋" w:hAnsi="仿宋" w:eastAsia="仿宋"/>
                <w:sz w:val="24"/>
                <w:highlight w:val="none"/>
              </w:rPr>
              <w:t>“信用中国”网站（www.creditchina.gov.cn）、中国政府采购网（</w:t>
            </w:r>
            <w:r>
              <w:rPr>
                <w:highlight w:val="none"/>
              </w:rPr>
              <w:fldChar w:fldCharType="begin"/>
            </w:r>
            <w:r>
              <w:rPr>
                <w:highlight w:val="none"/>
              </w:rPr>
              <w:instrText xml:space="preserve"> HYPERLINK "http://www.ccgp.gov.cn" </w:instrText>
            </w:r>
            <w:r>
              <w:rPr>
                <w:highlight w:val="none"/>
              </w:rPr>
              <w:fldChar w:fldCharType="separate"/>
            </w:r>
            <w:r>
              <w:rPr>
                <w:rStyle w:val="48"/>
                <w:rFonts w:ascii="仿宋" w:hAnsi="仿宋" w:eastAsia="仿宋"/>
                <w:color w:val="auto"/>
                <w:sz w:val="24"/>
                <w:highlight w:val="none"/>
              </w:rPr>
              <w:t>www.ccgp.gov.cn</w:t>
            </w:r>
            <w:r>
              <w:rPr>
                <w:rStyle w:val="48"/>
                <w:rFonts w:ascii="仿宋" w:hAnsi="仿宋" w:eastAsia="仿宋"/>
                <w:color w:val="auto"/>
                <w:sz w:val="24"/>
                <w:highlight w:val="none"/>
              </w:rPr>
              <w:fldChar w:fldCharType="end"/>
            </w:r>
            <w:r>
              <w:rPr>
                <w:rFonts w:ascii="仿宋" w:hAnsi="仿宋" w:eastAsia="仿宋"/>
                <w:sz w:val="24"/>
                <w:highlight w:val="none"/>
              </w:rPr>
              <w:t>）</w:t>
            </w:r>
            <w:r>
              <w:rPr>
                <w:rFonts w:hint="eastAsia" w:ascii="仿宋" w:hAnsi="仿宋" w:eastAsia="仿宋"/>
                <w:sz w:val="24"/>
                <w:highlight w:val="none"/>
              </w:rPr>
              <w:t>。</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信用查询截止时点：</w:t>
            </w:r>
            <w:r>
              <w:rPr>
                <w:rFonts w:ascii="仿宋" w:hAnsi="仿宋" w:eastAsia="仿宋" w:cs="宋体"/>
                <w:sz w:val="24"/>
                <w:highlight w:val="none"/>
              </w:rPr>
              <w:t>资格审查结束前</w:t>
            </w:r>
            <w:r>
              <w:rPr>
                <w:rFonts w:hint="eastAsia" w:ascii="仿宋" w:hAnsi="仿宋" w:eastAsia="仿宋" w:cs="宋体"/>
                <w:sz w:val="24"/>
                <w:highlight w:val="none"/>
              </w:rPr>
              <w:t>。</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查询记录和证据留存方式：</w:t>
            </w:r>
            <w:r>
              <w:rPr>
                <w:rFonts w:hint="eastAsia" w:ascii="仿宋" w:hAnsi="仿宋" w:eastAsia="仿宋" w:cs="宋体"/>
                <w:sz w:val="24"/>
                <w:highlight w:val="none"/>
              </w:rPr>
              <w:t>将查询网站中的查询记录截图并作为评审资料保存。</w:t>
            </w:r>
          </w:p>
          <w:p>
            <w:pPr>
              <w:snapToGrid w:val="0"/>
              <w:spacing w:line="390" w:lineRule="exact"/>
              <w:rPr>
                <w:rFonts w:hint="eastAsia" w:ascii="仿宋" w:hAnsi="仿宋" w:eastAsia="仿宋"/>
                <w:b/>
                <w:sz w:val="24"/>
                <w:highlight w:val="none"/>
              </w:rPr>
            </w:pPr>
            <w:r>
              <w:rPr>
                <w:rFonts w:hint="eastAsia" w:ascii="仿宋" w:hAnsi="仿宋" w:eastAsia="仿宋"/>
                <w:sz w:val="24"/>
                <w:highlight w:val="none"/>
              </w:rPr>
              <w:t>信用信息使用规则：根据财政部《关于在政府采购活动中查询及使用信用记录有关问题的通知》（财库〔2016〕125号）的规定，</w:t>
            </w:r>
            <w:r>
              <w:rPr>
                <w:rFonts w:hint="eastAsia" w:ascii="仿宋" w:hAnsi="仿宋" w:eastAsia="仿宋" w:cs="宋体"/>
                <w:sz w:val="24"/>
                <w:highlight w:val="none"/>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5" w:name="_26"/>
            <w:bookmarkEnd w:id="115"/>
            <w:r>
              <w:rPr>
                <w:rFonts w:hint="eastAsia" w:ascii="仿宋" w:hAnsi="仿宋" w:eastAsia="仿宋"/>
                <w:sz w:val="24"/>
                <w:highlight w:val="none"/>
              </w:rPr>
              <w:t>26</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评标委员会的人数：5人，采购人代表1人，专家4人。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6" w:name="_28.3"/>
            <w:bookmarkEnd w:id="116"/>
            <w:r>
              <w:rPr>
                <w:rFonts w:ascii="仿宋" w:hAnsi="仿宋" w:eastAsia="仿宋"/>
                <w:sz w:val="24"/>
                <w:highlight w:val="none"/>
              </w:rPr>
              <w:t>29.1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评标方法：</w:t>
            </w: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综合评分法/□最低评标价法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7" w:name="_29.2.2（2）"/>
            <w:bookmarkEnd w:id="117"/>
            <w:r>
              <w:rPr>
                <w:rFonts w:hint="eastAsia" w:ascii="仿宋" w:hAnsi="仿宋" w:eastAsia="仿宋"/>
                <w:sz w:val="24"/>
                <w:highlight w:val="none"/>
              </w:rPr>
              <w:t>29.2</w:t>
            </w:r>
          </w:p>
        </w:tc>
        <w:tc>
          <w:tcPr>
            <w:tcW w:w="9275" w:type="dxa"/>
            <w:tcBorders>
              <w:top w:val="single" w:color="auto" w:sz="4" w:space="0"/>
              <w:left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ascii="仿宋" w:hAnsi="仿宋" w:eastAsia="仿宋"/>
                <w:sz w:val="24"/>
                <w:highlight w:val="none"/>
              </w:rPr>
              <w:t>中标候选人推荐数量</w:t>
            </w:r>
            <w:r>
              <w:rPr>
                <w:rFonts w:hint="eastAsia" w:ascii="仿宋" w:hAnsi="仿宋" w:eastAsia="仿宋"/>
                <w:sz w:val="24"/>
                <w:highlight w:val="none"/>
              </w:rPr>
              <w:t>：3家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30</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采用综合评分法的采购项目，采购人确定中标人时，出现中标候选人并列的情形，采购人按以下的方式确定中标人：按综合评分中技术、商务、政策功能得分高低依次确定。</w:t>
            </w:r>
          </w:p>
          <w:p>
            <w:pPr>
              <w:autoSpaceDE w:val="0"/>
              <w:autoSpaceDN w:val="0"/>
              <w:snapToGrid w:val="0"/>
              <w:spacing w:line="390" w:lineRule="exact"/>
              <w:textAlignment w:val="bottom"/>
              <w:rPr>
                <w:rFonts w:hint="eastAsia" w:ascii="仿宋" w:hAnsi="仿宋" w:eastAsia="仿宋"/>
                <w:sz w:val="24"/>
                <w:highlight w:val="none"/>
              </w:rPr>
            </w:pPr>
            <w:bookmarkStart w:id="118" w:name="OLE_LINK10"/>
            <w:r>
              <w:rPr>
                <w:rFonts w:hint="eastAsia" w:ascii="仿宋" w:hAnsi="仿宋" w:eastAsia="仿宋"/>
                <w:sz w:val="24"/>
                <w:highlight w:val="none"/>
              </w:rPr>
              <w:t>□</w:t>
            </w:r>
            <w:bookmarkEnd w:id="118"/>
            <w:r>
              <w:rPr>
                <w:rFonts w:hint="eastAsia" w:ascii="仿宋" w:hAnsi="仿宋" w:eastAsia="仿宋"/>
                <w:sz w:val="24"/>
                <w:highlight w:val="none"/>
              </w:rPr>
              <w:t>采用最低评标价法的采购项目，采购人确定中标人时，出现中标候选人并列的情形，采购人按以下的方式确定中标人：</w:t>
            </w:r>
            <w:r>
              <w:rPr>
                <w:rFonts w:hint="eastAsia" w:ascii="仿宋" w:hAnsi="仿宋" w:eastAsia="仿宋" w:cs="宋体"/>
                <w:sz w:val="24"/>
                <w:highlight w:val="none"/>
              </w:rPr>
              <w:t>按</w:t>
            </w:r>
            <w:r>
              <w:rPr>
                <w:rFonts w:ascii="仿宋" w:hAnsi="仿宋" w:eastAsia="仿宋"/>
                <w:sz w:val="24"/>
                <w:highlight w:val="none"/>
              </w:rPr>
              <w:t>节能环保优先、技术指标高优先、质保期长优先、交货期短优先、故障响应时间短优先的</w:t>
            </w:r>
            <w:r>
              <w:rPr>
                <w:rFonts w:hint="eastAsia" w:ascii="仿宋" w:hAnsi="仿宋" w:eastAsia="仿宋" w:cs="宋体"/>
                <w:sz w:val="24"/>
                <w:highlight w:val="none"/>
              </w:rPr>
              <w:t>顺序依次确定。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9" w:name="_39.1"/>
            <w:bookmarkEnd w:id="119"/>
            <w:r>
              <w:rPr>
                <w:rFonts w:hint="eastAsia" w:ascii="仿宋" w:hAnsi="仿宋" w:eastAsia="仿宋"/>
                <w:sz w:val="24"/>
                <w:highlight w:val="none"/>
              </w:rPr>
              <w:t>35</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□本项目不收取履约保证金。</w:t>
            </w:r>
          </w:p>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本项目收取履约保证金，具体规定如下：</w:t>
            </w:r>
          </w:p>
          <w:p>
            <w:pPr>
              <w:spacing w:line="390" w:lineRule="exact"/>
              <w:jc w:val="left"/>
              <w:rPr>
                <w:rFonts w:hint="eastAsia" w:ascii="仿宋" w:hAnsi="仿宋" w:eastAsia="仿宋" w:cs="宋体"/>
                <w:kern w:val="0"/>
                <w:sz w:val="24"/>
                <w:highlight w:val="none"/>
              </w:rPr>
            </w:pPr>
            <w:r>
              <w:rPr>
                <w:rFonts w:hint="eastAsia" w:ascii="仿宋" w:hAnsi="仿宋" w:eastAsia="仿宋"/>
                <w:sz w:val="24"/>
                <w:highlight w:val="none"/>
              </w:rPr>
              <w:t>履约保证金金额：</w:t>
            </w:r>
            <w:r>
              <w:rPr>
                <w:rFonts w:hint="eastAsia" w:ascii="仿宋" w:hAnsi="仿宋" w:eastAsia="仿宋" w:cs="仿宋"/>
                <w:kern w:val="0"/>
                <w:sz w:val="24"/>
                <w:highlight w:val="none"/>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20" w:name="_40.1"/>
            <w:bookmarkEnd w:id="120"/>
            <w:r>
              <w:rPr>
                <w:rFonts w:hint="eastAsia" w:ascii="仿宋" w:hAnsi="仿宋" w:eastAsia="仿宋"/>
                <w:sz w:val="24"/>
                <w:highlight w:val="none"/>
              </w:rPr>
              <w:t>36.1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 xml:space="preserve">签订合同携带的证明材料： </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1、委托代理人负责签订合同的，须携带授权委托书及委托代理人身份证原件等其他资格证件。</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2、法定代表人负责签订合同的，须携带法定代表人</w:t>
            </w:r>
            <w:r>
              <w:rPr>
                <w:rFonts w:ascii="仿宋" w:hAnsi="仿宋" w:eastAsia="仿宋"/>
                <w:sz w:val="24"/>
                <w:highlight w:val="none"/>
              </w:rPr>
              <w:t>身份证明原件</w:t>
            </w:r>
            <w:r>
              <w:rPr>
                <w:rFonts w:hint="eastAsia" w:ascii="仿宋" w:hAnsi="仿宋" w:eastAsia="仿宋"/>
                <w:sz w:val="24"/>
                <w:highlight w:val="none"/>
              </w:rPr>
              <w:t>及</w:t>
            </w:r>
            <w:r>
              <w:rPr>
                <w:rFonts w:ascii="仿宋" w:hAnsi="仿宋" w:eastAsia="仿宋"/>
                <w:sz w:val="24"/>
                <w:highlight w:val="none"/>
              </w:rPr>
              <w:t>身份证原件</w:t>
            </w:r>
            <w:r>
              <w:rPr>
                <w:rFonts w:hint="eastAsia" w:ascii="仿宋" w:hAnsi="仿宋" w:eastAsia="仿宋"/>
                <w:sz w:val="24"/>
                <w:highlight w:val="none"/>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36.2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签订</w:t>
            </w:r>
            <w:r>
              <w:rPr>
                <w:rFonts w:ascii="仿宋" w:hAnsi="仿宋" w:eastAsia="仿宋"/>
                <w:sz w:val="24"/>
                <w:highlight w:val="none"/>
              </w:rPr>
              <w:t>合同时间：</w:t>
            </w:r>
            <w:r>
              <w:rPr>
                <w:rFonts w:hint="eastAsia" w:ascii="仿宋" w:hAnsi="仿宋" w:eastAsia="仿宋"/>
                <w:sz w:val="24"/>
                <w:highlight w:val="none"/>
              </w:rPr>
              <w:t>中标通知书（中标</w:t>
            </w:r>
            <w:r>
              <w:rPr>
                <w:rFonts w:ascii="仿宋" w:hAnsi="仿宋" w:eastAsia="仿宋"/>
                <w:sz w:val="24"/>
                <w:highlight w:val="none"/>
              </w:rPr>
              <w:t>公告</w:t>
            </w:r>
            <w:r>
              <w:rPr>
                <w:rFonts w:hint="eastAsia" w:ascii="仿宋" w:hAnsi="仿宋" w:eastAsia="仿宋"/>
                <w:sz w:val="24"/>
                <w:highlight w:val="none"/>
              </w:rPr>
              <w:t>）发出之日起</w:t>
            </w:r>
            <w:r>
              <w:rPr>
                <w:rFonts w:ascii="仿宋" w:hAnsi="仿宋" w:eastAsia="仿宋"/>
                <w:sz w:val="24"/>
                <w:highlight w:val="none"/>
              </w:rPr>
              <w:t>8</w:t>
            </w:r>
            <w:r>
              <w:rPr>
                <w:rFonts w:hint="eastAsia" w:ascii="仿宋" w:hAnsi="仿宋" w:eastAsia="仿宋"/>
                <w:sz w:val="24"/>
                <w:highlight w:val="none"/>
              </w:rPr>
              <w:t>个工作日内。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8.2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接收质疑函方式：以纸质书面形式。</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质疑联系部门及联系方式： 广西科文招标有限公司桂林</w:t>
            </w:r>
            <w:r>
              <w:rPr>
                <w:rFonts w:ascii="仿宋" w:hAnsi="仿宋" w:eastAsia="仿宋"/>
                <w:sz w:val="24"/>
                <w:highlight w:val="none"/>
              </w:rPr>
              <w:t>分公司</w:t>
            </w:r>
            <w:r>
              <w:rPr>
                <w:rFonts w:hint="eastAsia" w:ascii="仿宋" w:hAnsi="仿宋" w:eastAsia="仿宋"/>
                <w:sz w:val="24"/>
                <w:highlight w:val="none"/>
              </w:rPr>
              <w:t>，质疑联系人：胡涛</w:t>
            </w:r>
            <w:r>
              <w:rPr>
                <w:rFonts w:ascii="仿宋" w:hAnsi="仿宋" w:eastAsia="仿宋"/>
                <w:sz w:val="24"/>
                <w:highlight w:val="none"/>
              </w:rPr>
              <w:t>、</w:t>
            </w:r>
            <w:r>
              <w:rPr>
                <w:rFonts w:hint="eastAsia" w:ascii="仿宋" w:hAnsi="仿宋" w:eastAsia="仿宋"/>
                <w:sz w:val="24"/>
                <w:highlight w:val="none"/>
              </w:rPr>
              <w:t>李冰华，联系电话：0773-7593227 ，</w:t>
            </w:r>
            <w:r>
              <w:rPr>
                <w:rFonts w:ascii="仿宋" w:hAnsi="仿宋" w:eastAsia="仿宋"/>
                <w:sz w:val="24"/>
                <w:highlight w:val="none"/>
              </w:rPr>
              <w:t>通讯地址</w:t>
            </w:r>
            <w:r>
              <w:rPr>
                <w:rFonts w:hint="eastAsia" w:ascii="仿宋" w:hAnsi="仿宋" w:eastAsia="仿宋" w:cs="Helvetica"/>
                <w:sz w:val="24"/>
                <w:highlight w:val="none"/>
              </w:rPr>
              <w:t>：</w:t>
            </w:r>
            <w:r>
              <w:rPr>
                <w:rFonts w:hint="eastAsia" w:ascii="仿宋" w:hAnsi="仿宋" w:eastAsia="仿宋"/>
                <w:sz w:val="24"/>
                <w:highlight w:val="none"/>
              </w:rPr>
              <w:t>桂林市七星区穿山东路41号彰泰</w:t>
            </w:r>
            <w:r>
              <w:rPr>
                <w:rFonts w:hint="eastAsia" w:ascii="微软雅黑" w:hAnsi="微软雅黑" w:eastAsia="微软雅黑" w:cs="微软雅黑"/>
                <w:sz w:val="24"/>
                <w:highlight w:val="none"/>
              </w:rPr>
              <w:t>•</w:t>
            </w:r>
            <w:r>
              <w:rPr>
                <w:rFonts w:hint="eastAsia" w:ascii="仿宋" w:hAnsi="仿宋" w:eastAsia="仿宋" w:cs="仿宋"/>
                <w:sz w:val="24"/>
                <w:highlight w:val="none"/>
              </w:rPr>
              <w:t>天街</w:t>
            </w:r>
            <w:r>
              <w:rPr>
                <w:rFonts w:hint="eastAsia" w:ascii="仿宋" w:hAnsi="仿宋" w:eastAsia="仿宋"/>
                <w:sz w:val="24"/>
                <w:highlight w:val="none"/>
              </w:rPr>
              <w:t>V+国际中心1#楼八层802号。</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现场提交质疑办理业务时间：工作日，</w:t>
            </w:r>
            <w:r>
              <w:rPr>
                <w:rFonts w:hint="eastAsia" w:ascii="仿宋" w:hAnsi="仿宋" w:eastAsia="仿宋" w:cs="Arial"/>
                <w:sz w:val="24"/>
                <w:highlight w:val="none"/>
              </w:rPr>
              <w:t>上午8:00-12:00；下午15:00-18:00（北京时间）。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832"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21" w:name="_41"/>
            <w:bookmarkEnd w:id="121"/>
            <w:bookmarkStart w:id="122" w:name="_42"/>
            <w:bookmarkEnd w:id="122"/>
            <w:bookmarkStart w:id="123" w:name="_Hlt17709148"/>
            <w:r>
              <w:rPr>
                <w:rFonts w:hint="eastAsia" w:ascii="仿宋" w:hAnsi="仿宋" w:eastAsia="仿宋"/>
                <w:sz w:val="24"/>
                <w:highlight w:val="none"/>
              </w:rPr>
              <w:t>3</w:t>
            </w:r>
            <w:bookmarkEnd w:id="123"/>
            <w:r>
              <w:rPr>
                <w:rFonts w:ascii="仿宋" w:hAnsi="仿宋" w:eastAsia="仿宋"/>
                <w:sz w:val="24"/>
                <w:highlight w:val="none"/>
              </w:rPr>
              <w:t>9</w:t>
            </w:r>
          </w:p>
        </w:tc>
        <w:tc>
          <w:tcPr>
            <w:tcW w:w="9275" w:type="dxa"/>
            <w:tcBorders>
              <w:top w:val="single" w:color="auto" w:sz="4" w:space="0"/>
              <w:left w:val="single" w:color="auto" w:sz="4" w:space="0"/>
              <w:bottom w:val="single" w:color="auto" w:sz="4" w:space="0"/>
              <w:right w:val="single" w:color="auto" w:sz="4" w:space="0"/>
            </w:tcBorders>
            <w:vAlign w:val="center"/>
          </w:tcPr>
          <w:p>
            <w:pPr>
              <w:pStyle w:val="24"/>
              <w:spacing w:before="0" w:after="0" w:line="400" w:lineRule="exact"/>
              <w:rPr>
                <w:rFonts w:hint="eastAsia"/>
                <w:highlight w:val="none"/>
              </w:rPr>
            </w:pPr>
            <w:r>
              <w:rPr>
                <w:rFonts w:hint="eastAsia"/>
                <w:highlight w:val="none"/>
              </w:rPr>
              <w:t>1、代理服务费支付方式：本项目的招标代理服务费按以下收费标准向中标人收取，领取中标通知书时，中标人应向采购代理机构一次付清招标代理服务费，否则采购代理机构有权不予以办理。</w:t>
            </w:r>
          </w:p>
          <w:p>
            <w:pPr>
              <w:pStyle w:val="24"/>
              <w:spacing w:before="0" w:after="0" w:line="400" w:lineRule="exact"/>
              <w:rPr>
                <w:rFonts w:hint="eastAsia"/>
                <w:highlight w:val="none"/>
              </w:rPr>
            </w:pPr>
            <w:r>
              <w:rPr>
                <w:rFonts w:hint="eastAsia"/>
                <w:highlight w:val="none"/>
              </w:rPr>
              <w:t>2、代理服务费收取标准：</w:t>
            </w:r>
          </w:p>
          <w:p>
            <w:pPr>
              <w:pStyle w:val="24"/>
              <w:spacing w:before="0" w:after="0" w:line="400" w:lineRule="exact"/>
              <w:rPr>
                <w:rFonts w:hint="eastAsia"/>
                <w:highlight w:val="none"/>
              </w:rPr>
            </w:pPr>
            <w:r>
              <w:rPr>
                <w:highlight w:val="none"/>
              </w:rPr>
              <w:fldChar w:fldCharType="begin"/>
            </w:r>
            <w:r>
              <w:rPr>
                <w:highlight w:val="none"/>
              </w:rPr>
              <w:instrText xml:space="preserve"> </w:instrText>
            </w:r>
            <w:r>
              <w:rPr>
                <w:rFonts w:hint="eastAsia"/>
                <w:highlight w:val="none"/>
              </w:rPr>
              <w:instrText xml:space="preserve">eq \o\ac(□,</w:instrText>
            </w:r>
            <w:r>
              <w:rPr>
                <w:rFonts w:hint="eastAsia"/>
                <w:position w:val="2"/>
                <w:highlight w:val="none"/>
              </w:rPr>
              <w:instrText xml:space="preserve">√</w:instrText>
            </w:r>
            <w:r>
              <w:rPr>
                <w:rFonts w:hint="eastAsia"/>
                <w:highlight w:val="none"/>
              </w:rPr>
              <w:instrText xml:space="preserve">)</w:instrText>
            </w:r>
            <w:r>
              <w:rPr>
                <w:highlight w:val="none"/>
              </w:rPr>
              <w:fldChar w:fldCharType="end"/>
            </w:r>
            <w:bookmarkStart w:id="124" w:name="OLE_LINK20"/>
            <w:r>
              <w:rPr>
                <w:rFonts w:hint="eastAsia"/>
                <w:highlight w:val="none"/>
              </w:rPr>
              <w:t>以标项（</w:t>
            </w:r>
            <w:r>
              <w:rPr>
                <w:rFonts w:ascii="Segoe UI Symbol" w:hAnsi="Segoe UI Symbol" w:cs="Segoe UI Symbol"/>
                <w:highlight w:val="none"/>
              </w:rPr>
              <w:t>☑</w:t>
            </w:r>
            <w:r>
              <w:rPr>
                <w:rFonts w:hint="eastAsia"/>
                <w:highlight w:val="none"/>
              </w:rPr>
              <w:t>中标金额/□采购预算/）为计费额，按本须知正文第</w:t>
            </w:r>
            <w:r>
              <w:rPr>
                <w:highlight w:val="none"/>
              </w:rPr>
              <w:t>39</w:t>
            </w:r>
            <w:r>
              <w:rPr>
                <w:rFonts w:hint="eastAsia"/>
                <w:highlight w:val="none"/>
              </w:rPr>
              <w:t>.</w:t>
            </w:r>
            <w:r>
              <w:rPr>
                <w:highlight w:val="none"/>
              </w:rPr>
              <w:t>2</w:t>
            </w:r>
            <w:r>
              <w:rPr>
                <w:rFonts w:hint="eastAsia"/>
                <w:highlight w:val="none"/>
              </w:rPr>
              <w:t>条规定的收费计算标准（</w:t>
            </w:r>
            <w:r>
              <w:rPr>
                <w:rFonts w:ascii="Segoe UI Symbol" w:hAnsi="Segoe UI Symbol" w:cs="Segoe UI Symbol"/>
                <w:highlight w:val="none"/>
              </w:rPr>
              <w:t>☑</w:t>
            </w:r>
            <w:r>
              <w:rPr>
                <w:rFonts w:hint="eastAsia"/>
                <w:highlight w:val="none"/>
              </w:rPr>
              <w:t>货物招标/□服务招标/□工程招标）采用差额定率累进法计算出收费基准价格，采购代理服务费收费以（□收费基准价格/</w:t>
            </w:r>
            <w:r>
              <w:rPr>
                <w:rFonts w:ascii="Segoe UI Symbol" w:hAnsi="Segoe UI Symbol" w:cs="Segoe UI Symbol"/>
                <w:highlight w:val="none"/>
              </w:rPr>
              <w:t>☑</w:t>
            </w:r>
            <w:r>
              <w:rPr>
                <w:rFonts w:hint="eastAsia"/>
                <w:highlight w:val="none"/>
              </w:rPr>
              <w:t>收费基准价格下浮</w:t>
            </w:r>
            <w:r>
              <w:rPr>
                <w:rFonts w:hint="eastAsia"/>
                <w:highlight w:val="none"/>
                <w:u w:val="single"/>
              </w:rPr>
              <w:t xml:space="preserve"> </w:t>
            </w:r>
            <w:r>
              <w:rPr>
                <w:highlight w:val="none"/>
                <w:u w:val="single"/>
              </w:rPr>
              <w:t>20</w:t>
            </w:r>
            <w:r>
              <w:rPr>
                <w:rFonts w:hint="eastAsia"/>
                <w:highlight w:val="none"/>
                <w:u w:val="single"/>
              </w:rPr>
              <w:t>%</w:t>
            </w:r>
            <w:r>
              <w:rPr>
                <w:highlight w:val="none"/>
                <w:u w:val="single"/>
              </w:rPr>
              <w:t xml:space="preserve"> </w:t>
            </w:r>
            <w:r>
              <w:rPr>
                <w:highlight w:val="none"/>
              </w:rPr>
              <w:t>/</w:t>
            </w:r>
            <w:r>
              <w:rPr>
                <w:rFonts w:hint="eastAsia"/>
                <w:highlight w:val="none"/>
              </w:rPr>
              <w:t>□收费基准价格上浮</w:t>
            </w:r>
            <w:r>
              <w:rPr>
                <w:rFonts w:hint="eastAsia"/>
                <w:highlight w:val="none"/>
                <w:u w:val="single"/>
              </w:rPr>
              <w:t xml:space="preserve"> </w:t>
            </w:r>
            <w:r>
              <w:rPr>
                <w:highlight w:val="none"/>
                <w:u w:val="single"/>
              </w:rPr>
              <w:t xml:space="preserve"> / </w:t>
            </w:r>
            <w:r>
              <w:rPr>
                <w:rFonts w:hint="eastAsia"/>
                <w:highlight w:val="none"/>
              </w:rPr>
              <w:t>%）收取。</w:t>
            </w:r>
            <w:bookmarkEnd w:id="124"/>
          </w:p>
          <w:p>
            <w:pPr>
              <w:pStyle w:val="24"/>
              <w:spacing w:before="0" w:after="0" w:line="400" w:lineRule="exact"/>
              <w:rPr>
                <w:rFonts w:hint="eastAsia"/>
                <w:highlight w:val="none"/>
              </w:rPr>
            </w:pPr>
            <w:r>
              <w:rPr>
                <w:rFonts w:hint="eastAsia"/>
                <w:highlight w:val="none"/>
              </w:rPr>
              <w:t>□固定采购代理收费：</w:t>
            </w:r>
            <w:r>
              <w:rPr>
                <w:rFonts w:hint="eastAsia"/>
                <w:highlight w:val="none"/>
                <w:u w:val="single"/>
              </w:rPr>
              <w:t xml:space="preserve"> </w:t>
            </w:r>
            <w:r>
              <w:rPr>
                <w:highlight w:val="none"/>
                <w:u w:val="single"/>
              </w:rPr>
              <w:t xml:space="preserve">   </w:t>
            </w:r>
            <w:r>
              <w:rPr>
                <w:rFonts w:hint="eastAsia"/>
                <w:highlight w:val="none"/>
                <w:u w:val="single"/>
              </w:rPr>
              <w:t>无</w:t>
            </w:r>
            <w:r>
              <w:rPr>
                <w:highlight w:val="none"/>
                <w:u w:val="single"/>
              </w:rPr>
              <w:t xml:space="preserve">     </w:t>
            </w:r>
          </w:p>
          <w:p>
            <w:pPr>
              <w:pStyle w:val="24"/>
              <w:spacing w:before="0" w:after="0" w:line="400" w:lineRule="exact"/>
              <w:rPr>
                <w:rFonts w:hint="eastAsia"/>
                <w:highlight w:val="none"/>
              </w:rPr>
            </w:pPr>
            <w:r>
              <w:rPr>
                <w:rFonts w:hint="eastAsia"/>
                <w:highlight w:val="none"/>
              </w:rPr>
              <w:t>3、代理服务费交纳账户信息</w:t>
            </w:r>
          </w:p>
          <w:p>
            <w:pPr>
              <w:pStyle w:val="24"/>
              <w:spacing w:before="0" w:after="0" w:line="400" w:lineRule="exact"/>
              <w:rPr>
                <w:rFonts w:hint="eastAsia"/>
                <w:highlight w:val="none"/>
              </w:rPr>
            </w:pPr>
            <w:r>
              <w:rPr>
                <w:rFonts w:hint="eastAsia"/>
                <w:highlight w:val="none"/>
              </w:rPr>
              <w:t>开户名称：广西科文招标有限公司桂林分公司</w:t>
            </w:r>
          </w:p>
          <w:p>
            <w:pPr>
              <w:pStyle w:val="24"/>
              <w:spacing w:before="0" w:after="0" w:line="400" w:lineRule="exact"/>
              <w:rPr>
                <w:rFonts w:hint="eastAsia"/>
                <w:highlight w:val="none"/>
              </w:rPr>
            </w:pPr>
            <w:r>
              <w:rPr>
                <w:rFonts w:hint="eastAsia"/>
                <w:highlight w:val="none"/>
              </w:rPr>
              <w:t>开户银行：中国工商银行桂林市桂湖支行</w:t>
            </w:r>
          </w:p>
          <w:p>
            <w:pPr>
              <w:pStyle w:val="24"/>
              <w:spacing w:before="0" w:after="0" w:line="400" w:lineRule="exact"/>
              <w:rPr>
                <w:rFonts w:hint="eastAsia"/>
                <w:highlight w:val="none"/>
              </w:rPr>
            </w:pPr>
            <w:r>
              <w:rPr>
                <w:rFonts w:hint="eastAsia"/>
                <w:highlight w:val="none"/>
              </w:rPr>
              <w:t>银行账号：210 3200 2093 0000 2088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ascii="仿宋" w:hAnsi="仿宋" w:eastAsia="仿宋"/>
                <w:sz w:val="24"/>
                <w:highlight w:val="none"/>
              </w:rPr>
              <w:t>40.1</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解释：</w:t>
            </w:r>
            <w:r>
              <w:rPr>
                <w:rFonts w:ascii="仿宋" w:hAnsi="仿宋" w:eastAsia="仿宋"/>
                <w:sz w:val="24"/>
                <w:highlight w:val="none"/>
              </w:rPr>
              <w:t>构成本招标文件的各个组成文件应互为解释，互为说明；除招标文件中有特别规定外，仅适用于招标投标阶段的规定，按</w:t>
            </w:r>
            <w:r>
              <w:rPr>
                <w:rFonts w:hint="eastAsia" w:ascii="仿宋" w:hAnsi="仿宋" w:eastAsia="仿宋"/>
                <w:sz w:val="24"/>
                <w:highlight w:val="none"/>
              </w:rPr>
              <w:t>更正公告（澄清公告）</w:t>
            </w:r>
            <w:r>
              <w:rPr>
                <w:rFonts w:ascii="仿宋" w:hAnsi="仿宋" w:eastAsia="仿宋"/>
                <w:sz w:val="24"/>
                <w:highlight w:val="none"/>
              </w:rPr>
              <w:t>、招标公告、</w:t>
            </w:r>
            <w:r>
              <w:rPr>
                <w:rFonts w:hint="eastAsia" w:ascii="仿宋" w:hAnsi="仿宋" w:eastAsia="仿宋"/>
                <w:sz w:val="24"/>
                <w:highlight w:val="none"/>
              </w:rPr>
              <w:t>采购需求、</w:t>
            </w:r>
            <w:r>
              <w:rPr>
                <w:rFonts w:ascii="仿宋" w:hAnsi="仿宋" w:eastAsia="仿宋"/>
                <w:sz w:val="24"/>
                <w:highlight w:val="none"/>
              </w:rPr>
              <w:t>投标人须知、</w:t>
            </w:r>
            <w:r>
              <w:rPr>
                <w:rFonts w:hint="eastAsia" w:ascii="仿宋" w:hAnsi="仿宋" w:eastAsia="仿宋"/>
                <w:sz w:val="24"/>
                <w:highlight w:val="none"/>
              </w:rPr>
              <w:t>评标方法及评标标准</w:t>
            </w:r>
            <w:r>
              <w:rPr>
                <w:rFonts w:ascii="仿宋" w:hAnsi="仿宋" w:eastAsia="仿宋"/>
                <w:sz w:val="24"/>
                <w:highlight w:val="none"/>
              </w:rPr>
              <w:t>、</w:t>
            </w:r>
            <w:r>
              <w:rPr>
                <w:rFonts w:hint="eastAsia" w:ascii="仿宋" w:hAnsi="仿宋" w:eastAsia="仿宋"/>
                <w:sz w:val="24"/>
                <w:highlight w:val="none"/>
              </w:rPr>
              <w:t>拟签订的合同文本、</w:t>
            </w:r>
            <w:r>
              <w:rPr>
                <w:rFonts w:ascii="仿宋" w:hAnsi="仿宋" w:eastAsia="仿宋"/>
                <w:sz w:val="24"/>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仿宋" w:hAnsi="仿宋" w:eastAsia="仿宋"/>
                <w:sz w:val="24"/>
                <w:highlight w:val="none"/>
              </w:rPr>
              <w:t>更正公告（澄清公告）</w:t>
            </w:r>
            <w:r>
              <w:rPr>
                <w:rFonts w:ascii="仿宋" w:hAnsi="仿宋" w:eastAsia="仿宋"/>
                <w:sz w:val="24"/>
                <w:highlight w:val="none"/>
              </w:rPr>
              <w:t>与同步更新的招标文件不一致时以</w:t>
            </w:r>
            <w:r>
              <w:rPr>
                <w:rFonts w:hint="eastAsia" w:ascii="仿宋" w:hAnsi="仿宋" w:eastAsia="仿宋"/>
                <w:sz w:val="24"/>
                <w:highlight w:val="none"/>
              </w:rPr>
              <w:t>更正公告（澄清公告）</w:t>
            </w:r>
            <w:r>
              <w:rPr>
                <w:rFonts w:ascii="仿宋" w:hAnsi="仿宋" w:eastAsia="仿宋"/>
                <w:sz w:val="24"/>
                <w:highlight w:val="none"/>
              </w:rPr>
              <w:t>为准。按本款前述规定仍不能形成结论的，由</w:t>
            </w:r>
            <w:r>
              <w:rPr>
                <w:rFonts w:hint="eastAsia" w:ascii="仿宋" w:hAnsi="仿宋" w:eastAsia="仿宋"/>
                <w:sz w:val="24"/>
                <w:highlight w:val="none"/>
              </w:rPr>
              <w:t>采购</w:t>
            </w:r>
            <w:r>
              <w:rPr>
                <w:rFonts w:ascii="仿宋" w:hAnsi="仿宋" w:eastAsia="仿宋"/>
                <w:sz w:val="24"/>
                <w:highlight w:val="none"/>
              </w:rPr>
              <w:t>人</w:t>
            </w:r>
            <w:r>
              <w:rPr>
                <w:rFonts w:hint="eastAsia" w:ascii="仿宋" w:hAnsi="仿宋" w:eastAsia="仿宋"/>
                <w:sz w:val="24"/>
                <w:highlight w:val="none"/>
              </w:rPr>
              <w:t>或者采购代理机构</w:t>
            </w:r>
            <w:r>
              <w:rPr>
                <w:rFonts w:ascii="仿宋" w:hAnsi="仿宋" w:eastAsia="仿宋"/>
                <w:sz w:val="24"/>
                <w:highlight w:val="none"/>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4"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ascii="仿宋" w:hAnsi="仿宋" w:eastAsia="仿宋"/>
                <w:sz w:val="24"/>
                <w:highlight w:val="none"/>
              </w:rPr>
              <w:t>40.2</w:t>
            </w:r>
          </w:p>
        </w:tc>
        <w:tc>
          <w:tcPr>
            <w:tcW w:w="9275" w:type="dxa"/>
            <w:tcBorders>
              <w:top w:val="single" w:color="auto" w:sz="4" w:space="0"/>
              <w:left w:val="single" w:color="auto" w:sz="4" w:space="0"/>
              <w:bottom w:val="single" w:color="auto" w:sz="4" w:space="0"/>
              <w:right w:val="single" w:color="auto" w:sz="4" w:space="0"/>
            </w:tcBorders>
            <w:vAlign w:val="center"/>
          </w:tcPr>
          <w:p>
            <w:pPr>
              <w:pStyle w:val="24"/>
              <w:spacing w:before="0" w:after="0" w:line="380" w:lineRule="exact"/>
              <w:rPr>
                <w:rFonts w:hint="eastAsia"/>
                <w:highlight w:val="none"/>
              </w:rPr>
            </w:pPr>
            <w:r>
              <w:rPr>
                <w:rFonts w:hint="eastAsia"/>
                <w:highlight w:val="none"/>
              </w:rPr>
              <w:t>1、本招标文件中描述投标人的“公章”是指根据我国对公章的管理规定，用投标人法定主体行为名称制作的印章（含电子印章），除本招标文件有特殊规定外，投标人的财务章、部门章、分公司章、工会章、合同章、投标专用章、业务专用章及银行的转账章、现金收讫章、现金付讫章等其他形式印章均不能代替公章。</w:t>
            </w:r>
          </w:p>
          <w:p>
            <w:pPr>
              <w:pStyle w:val="24"/>
              <w:spacing w:before="0" w:after="0" w:line="380" w:lineRule="exact"/>
              <w:rPr>
                <w:rFonts w:hint="eastAsia"/>
                <w:highlight w:val="none"/>
              </w:rPr>
            </w:pPr>
            <w:r>
              <w:rPr>
                <w:rFonts w:hint="eastAsia"/>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24"/>
              <w:spacing w:before="0" w:after="0" w:line="380" w:lineRule="exact"/>
              <w:rPr>
                <w:rFonts w:hint="eastAsia"/>
                <w:highlight w:val="none"/>
              </w:rPr>
            </w:pPr>
            <w:r>
              <w:rPr>
                <w:rFonts w:hint="eastAsia"/>
                <w:highlight w:val="none"/>
              </w:rPr>
              <w:t>3、本招标文件中描述投标人的“签字”是指投标人的法定代表人或者委托代理人在文件规定签署处签名（含电子签名）的行为，私章、印鉴等其他形式均不能代替签字。</w:t>
            </w:r>
          </w:p>
          <w:p>
            <w:pPr>
              <w:pStyle w:val="24"/>
              <w:spacing w:before="0" w:after="0" w:line="380" w:lineRule="exact"/>
              <w:rPr>
                <w:rFonts w:hint="eastAsia"/>
                <w:highlight w:val="none"/>
              </w:rPr>
            </w:pPr>
            <w:r>
              <w:rPr>
                <w:rFonts w:hint="eastAsia"/>
                <w:highlight w:val="none"/>
              </w:rPr>
              <w:t>4、自然人投标的，招标文件规定盖公章处由自然人摁手指指印。</w:t>
            </w:r>
          </w:p>
          <w:p>
            <w:pPr>
              <w:pStyle w:val="24"/>
              <w:spacing w:before="0" w:after="0" w:line="380" w:lineRule="exact"/>
              <w:rPr>
                <w:rFonts w:hint="eastAsia"/>
                <w:highlight w:val="none"/>
              </w:rPr>
            </w:pPr>
            <w:r>
              <w:rPr>
                <w:rFonts w:hint="eastAsia"/>
                <w:highlight w:val="none"/>
              </w:rPr>
              <w:t>5、本招标文件所称的“以上”“以下”“以内”“届满”，包括本数；所称的“不满”“超过”“以外”，不包括本数。</w:t>
            </w:r>
          </w:p>
        </w:tc>
      </w:tr>
    </w:tbl>
    <w:p>
      <w:pPr>
        <w:pStyle w:val="5"/>
        <w:keepNext w:val="0"/>
        <w:keepLines w:val="0"/>
        <w:pageBreakBefore/>
        <w:spacing w:before="0" w:after="0" w:line="415" w:lineRule="auto"/>
        <w:jc w:val="center"/>
        <w:rPr>
          <w:rFonts w:hint="eastAsia" w:ascii="仿宋" w:hAnsi="仿宋" w:eastAsia="仿宋"/>
          <w:highlight w:val="none"/>
        </w:rPr>
      </w:pPr>
      <w:r>
        <w:rPr>
          <w:rFonts w:hint="eastAsia" w:ascii="仿宋" w:hAnsi="仿宋" w:eastAsia="仿宋"/>
          <w:highlight w:val="none"/>
        </w:rPr>
        <w:t>投标人须知正文</w:t>
      </w:r>
    </w:p>
    <w:p>
      <w:pPr>
        <w:pStyle w:val="5"/>
        <w:keepNext w:val="0"/>
        <w:keepLines w:val="0"/>
        <w:spacing w:before="0" w:after="0" w:line="415" w:lineRule="auto"/>
        <w:jc w:val="center"/>
        <w:rPr>
          <w:rFonts w:hint="eastAsia" w:ascii="仿宋" w:hAnsi="仿宋" w:eastAsia="仿宋"/>
          <w:highlight w:val="none"/>
        </w:rPr>
      </w:pPr>
      <w:r>
        <w:rPr>
          <w:rFonts w:hint="eastAsia" w:ascii="仿宋" w:hAnsi="仿宋" w:eastAsia="仿宋"/>
          <w:highlight w:val="none"/>
        </w:rPr>
        <w:t>一、总  则</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25" w:name="_Toc254970527"/>
      <w:bookmarkStart w:id="126" w:name="_Toc254970668"/>
      <w:r>
        <w:rPr>
          <w:rFonts w:hint="eastAsia" w:ascii="仿宋" w:hAnsi="仿宋" w:eastAsia="仿宋"/>
          <w:sz w:val="24"/>
          <w:highlight w:val="none"/>
        </w:rPr>
        <w:t>1.适用范围</w:t>
      </w:r>
      <w:bookmarkEnd w:id="125"/>
      <w:bookmarkEnd w:id="126"/>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1.2本招标文件</w:t>
      </w:r>
      <w:r>
        <w:rPr>
          <w:rFonts w:hint="eastAsia" w:ascii="仿宋" w:hAnsi="仿宋" w:eastAsia="仿宋" w:cs="宋体"/>
          <w:spacing w:val="-6"/>
          <w:sz w:val="24"/>
          <w:highlight w:val="none"/>
        </w:rPr>
        <w:t>适用于本项目的所有采购程序和环节（法律、法规另有规定的，从其规定）。</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27" w:name="_Toc254970528"/>
      <w:bookmarkStart w:id="128" w:name="_Toc254970669"/>
      <w:r>
        <w:rPr>
          <w:rFonts w:hint="eastAsia" w:ascii="仿宋" w:hAnsi="仿宋" w:eastAsia="仿宋"/>
          <w:sz w:val="24"/>
          <w:highlight w:val="none"/>
        </w:rPr>
        <w:t>2.定义</w:t>
      </w:r>
      <w:bookmarkEnd w:id="127"/>
      <w:bookmarkEnd w:id="128"/>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2.1“采购人”是指依法进行政府采购的国家机关、事业单位、团体组织。</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2.2“采购代理机构”是指政府采购集中采购机构和集中采购机构以外的采购代理机构。</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2.3“供应商”是指向采购人提供货物、工程或者服务的法人、其他组织或者自然人。</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2.4“投标人”是指响应招标、参加投标竞争的法人、其他组织或者自然人。</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2.5“货物”是指各种形态和种类的物品，包括原材料、燃料、设备、产品等。</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2.6“售后服务” 是指商品出售以后所提供的各种服务，包含但不限于投标人须承担的备品备件、包装、运输、装卸、保险、货到就位以及安装、调试、培训、保修以及其他各种服务.</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2.7“书面形式”是指合同书、信件和数据电文（包括电报、电传、传真、电子数据交换和电子邮件）等可以有形地表现所载内容的形式。</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2.8“实质性要求”是指招标文件中已经指明不满足则投标无效的条款，或者不能负偏离的条款，或者采购需求中带“</w:t>
      </w:r>
      <w:r>
        <w:rPr>
          <w:rFonts w:hint="eastAsia"/>
          <w:highlight w:val="none"/>
        </w:rPr>
        <w:t>★</w:t>
      </w:r>
      <w:r>
        <w:rPr>
          <w:rFonts w:hint="eastAsia" w:ascii="仿宋" w:hAnsi="仿宋" w:eastAsia="仿宋"/>
          <w:b w:val="0"/>
          <w:sz w:val="24"/>
          <w:highlight w:val="none"/>
        </w:rPr>
        <w:t>”的条款。</w:t>
      </w:r>
    </w:p>
    <w:p>
      <w:pPr>
        <w:snapToGrid w:val="0"/>
        <w:spacing w:line="360" w:lineRule="auto"/>
        <w:ind w:firstLine="480" w:firstLineChars="200"/>
        <w:jc w:val="left"/>
        <w:rPr>
          <w:rFonts w:hint="eastAsia" w:ascii="仿宋" w:hAnsi="仿宋" w:eastAsia="仿宋" w:cs="宋体"/>
          <w:sz w:val="24"/>
          <w:highlight w:val="none"/>
        </w:rPr>
      </w:pPr>
      <w:r>
        <w:rPr>
          <w:rFonts w:hint="eastAsia" w:ascii="仿宋" w:hAnsi="仿宋" w:eastAsia="仿宋"/>
          <w:sz w:val="24"/>
          <w:highlight w:val="none"/>
        </w:rPr>
        <w:t xml:space="preserve">2.9 </w:t>
      </w:r>
      <w:r>
        <w:rPr>
          <w:rFonts w:hint="eastAsia" w:ascii="仿宋" w:hAnsi="仿宋" w:eastAsia="仿宋" w:cs="宋体"/>
          <w:sz w:val="24"/>
          <w:highlight w:val="none"/>
        </w:rPr>
        <w:t>“正偏离”，是指投标文件对招标文件“采购需求”中有关条款作出的响应优于条款要求并有利于采购人的情形。</w:t>
      </w:r>
    </w:p>
    <w:p>
      <w:pPr>
        <w:snapToGrid w:val="0"/>
        <w:spacing w:line="360" w:lineRule="auto"/>
        <w:ind w:firstLine="480" w:firstLineChars="200"/>
        <w:jc w:val="left"/>
        <w:rPr>
          <w:rFonts w:hint="eastAsia" w:ascii="仿宋" w:hAnsi="仿宋" w:eastAsia="仿宋" w:cs="宋体"/>
          <w:sz w:val="24"/>
          <w:highlight w:val="none"/>
        </w:rPr>
      </w:pPr>
      <w:r>
        <w:rPr>
          <w:rFonts w:ascii="仿宋" w:hAnsi="仿宋" w:eastAsia="仿宋" w:cs="宋体"/>
          <w:sz w:val="24"/>
          <w:highlight w:val="none"/>
        </w:rPr>
        <w:t>2.10</w:t>
      </w:r>
      <w:r>
        <w:rPr>
          <w:rFonts w:hint="eastAsia" w:ascii="仿宋" w:hAnsi="仿宋" w:eastAsia="仿宋" w:cs="宋体"/>
          <w:sz w:val="24"/>
          <w:highlight w:val="none"/>
        </w:rPr>
        <w:t>“负偏离”，是指投标文件对招标文件“采购需求”中有关条款作出的响应不满足条款要求，导致采购人要求不能得到满足的情形。</w:t>
      </w:r>
    </w:p>
    <w:p>
      <w:pPr>
        <w:snapToGrid w:val="0"/>
        <w:spacing w:line="360" w:lineRule="auto"/>
        <w:ind w:firstLine="480" w:firstLineChars="200"/>
        <w:jc w:val="left"/>
        <w:rPr>
          <w:rFonts w:hint="eastAsia" w:ascii="仿宋" w:hAnsi="仿宋" w:eastAsia="仿宋" w:cs="宋体"/>
          <w:sz w:val="24"/>
          <w:highlight w:val="none"/>
        </w:rPr>
      </w:pPr>
      <w:r>
        <w:rPr>
          <w:rFonts w:hint="eastAsia" w:ascii="仿宋" w:hAnsi="仿宋" w:eastAsia="仿宋"/>
          <w:sz w:val="24"/>
          <w:highlight w:val="none"/>
        </w:rPr>
        <w:t>2.1</w:t>
      </w:r>
      <w:r>
        <w:rPr>
          <w:rFonts w:ascii="仿宋" w:hAnsi="仿宋" w:eastAsia="仿宋"/>
          <w:sz w:val="24"/>
          <w:highlight w:val="none"/>
        </w:rPr>
        <w:t>1</w:t>
      </w:r>
      <w:r>
        <w:rPr>
          <w:rFonts w:hint="eastAsia" w:ascii="仿宋" w:hAnsi="仿宋" w:eastAsia="仿宋" w:cs="宋体"/>
          <w:sz w:val="24"/>
          <w:highlight w:val="none"/>
        </w:rPr>
        <w:t>“允许负偏离的条款”是指采购需求中的不属于“实质性要求”的条款。</w:t>
      </w:r>
      <w:bookmarkStart w:id="129" w:name="_Toc254970529"/>
      <w:bookmarkStart w:id="130" w:name="_Toc254970670"/>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w:t>
      </w:r>
      <w:bookmarkEnd w:id="129"/>
      <w:bookmarkEnd w:id="130"/>
      <w:r>
        <w:rPr>
          <w:rFonts w:hint="eastAsia" w:ascii="仿宋" w:hAnsi="仿宋" w:eastAsia="仿宋"/>
          <w:sz w:val="24"/>
          <w:highlight w:val="none"/>
        </w:rPr>
        <w:t>投标人的资格要求</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投标人的资格要求详见“投标人须知前附表”。</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31" w:name="_Toc254970530"/>
      <w:bookmarkStart w:id="132" w:name="_Toc254970671"/>
      <w:r>
        <w:rPr>
          <w:rFonts w:hint="eastAsia" w:ascii="仿宋" w:hAnsi="仿宋" w:eastAsia="仿宋"/>
          <w:sz w:val="24"/>
          <w:highlight w:val="none"/>
        </w:rPr>
        <w:t>4.投标委托</w:t>
      </w:r>
      <w:bookmarkEnd w:id="131"/>
      <w:bookmarkEnd w:id="132"/>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投标人代表参加投标活动过程中必须携带个人有效身份证件。如投标人代表不是法定代表人，须持有授权委托书（按第六章要求格式填写）。</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33" w:name="_5.投标费用"/>
      <w:bookmarkEnd w:id="133"/>
      <w:bookmarkStart w:id="134" w:name="_Toc254970672"/>
      <w:bookmarkStart w:id="135" w:name="_Toc254970531"/>
      <w:r>
        <w:rPr>
          <w:rFonts w:hint="eastAsia" w:ascii="仿宋" w:hAnsi="仿宋" w:eastAsia="仿宋"/>
          <w:sz w:val="24"/>
          <w:highlight w:val="none"/>
        </w:rPr>
        <w:t>5.投标费用</w:t>
      </w:r>
      <w:bookmarkEnd w:id="134"/>
      <w:bookmarkEnd w:id="135"/>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投标费用：投标人应承担参与本次采购活动有关的所有费用，包括但不限于获取招标文件、勘查现场、编制和提交投标文件、参加澄清说明、签订合同等，不论投标结果如何，均应自行承担。</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6.联合体投标</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6.1本项目是否接受联合体投标，详见“投标人须知前附表”。</w:t>
      </w:r>
    </w:p>
    <w:p>
      <w:pPr>
        <w:snapToGrid w:val="0"/>
        <w:spacing w:line="360" w:lineRule="auto"/>
        <w:ind w:firstLine="480" w:firstLineChars="200"/>
        <w:jc w:val="left"/>
        <w:rPr>
          <w:rFonts w:hint="eastAsia" w:ascii="仿宋" w:hAnsi="仿宋" w:eastAsia="仿宋"/>
          <w:bCs/>
          <w:sz w:val="24"/>
          <w:highlight w:val="none"/>
        </w:rPr>
      </w:pPr>
      <w:r>
        <w:rPr>
          <w:rFonts w:hint="eastAsia" w:ascii="仿宋" w:hAnsi="仿宋" w:eastAsia="仿宋"/>
          <w:bCs/>
          <w:sz w:val="24"/>
          <w:highlight w:val="none"/>
        </w:rPr>
        <w:t>6.2如接受联合体投标，联合体投标要求详见“投标人须知前附表”。</w:t>
      </w:r>
    </w:p>
    <w:p>
      <w:pPr>
        <w:pStyle w:val="6"/>
        <w:keepNext w:val="0"/>
        <w:keepLines w:val="0"/>
        <w:spacing w:before="0" w:after="0" w:line="360" w:lineRule="auto"/>
        <w:ind w:firstLine="484" w:firstLineChars="202"/>
        <w:rPr>
          <w:rFonts w:hint="eastAsia" w:ascii="仿宋" w:hAnsi="仿宋" w:eastAsia="仿宋"/>
          <w:sz w:val="24"/>
          <w:highlight w:val="none"/>
        </w:rPr>
      </w:pPr>
      <w:r>
        <w:rPr>
          <w:rFonts w:hint="eastAsia" w:ascii="仿宋" w:hAnsi="仿宋" w:eastAsia="仿宋"/>
          <w:b w:val="0"/>
          <w:bCs/>
          <w:sz w:val="24"/>
          <w:highlight w:val="none"/>
        </w:rPr>
        <w:t>6.3</w:t>
      </w:r>
      <w:r>
        <w:rPr>
          <w:rFonts w:ascii="仿宋" w:hAnsi="仿宋" w:eastAsia="仿宋"/>
          <w:b w:val="0"/>
          <w:bCs/>
          <w:sz w:val="24"/>
          <w:highlight w:val="none"/>
        </w:rPr>
        <w:t xml:space="preserve"> </w:t>
      </w:r>
      <w:bookmarkStart w:id="136" w:name="_Hlk65857072"/>
      <w:r>
        <w:rPr>
          <w:rFonts w:hint="eastAsia" w:ascii="仿宋" w:hAnsi="仿宋" w:eastAsia="仿宋"/>
          <w:b w:val="0"/>
          <w:bCs/>
          <w:sz w:val="24"/>
          <w:highlight w:val="none"/>
        </w:rPr>
        <w:t>根据《政府采购促进中小企业发展管理办法》（财库〔2020〕46号）、财政部《关于进一步加大政府采购支持中小企业力度的通知》（财库〔2022〕19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ascii="仿宋" w:hAnsi="仿宋" w:eastAsia="仿宋"/>
          <w:b w:val="0"/>
          <w:bCs/>
          <w:sz w:val="24"/>
          <w:highlight w:val="none"/>
        </w:rPr>
        <w:t>10</w:t>
      </w:r>
      <w:r>
        <w:rPr>
          <w:rFonts w:hint="eastAsia" w:ascii="仿宋" w:hAnsi="仿宋" w:eastAsia="仿宋"/>
          <w:b w:val="0"/>
          <w:bCs/>
          <w:sz w:val="24"/>
          <w:highlight w:val="none"/>
        </w:rPr>
        <w:t>%的扣除，用扣除后的价格参加评审。</w:t>
      </w:r>
      <w:bookmarkEnd w:id="136"/>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 xml:space="preserve">7.转包与分包             </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7.1本项目不允许转包。</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37" w:name="_Toc254970532"/>
      <w:bookmarkStart w:id="138" w:name="_Toc254970673"/>
      <w:r>
        <w:rPr>
          <w:rFonts w:hint="eastAsia" w:ascii="仿宋" w:hAnsi="仿宋" w:eastAsia="仿宋"/>
          <w:sz w:val="24"/>
          <w:highlight w:val="none"/>
        </w:rPr>
        <w:t>8.特别说明</w:t>
      </w:r>
      <w:bookmarkEnd w:id="137"/>
      <w:bookmarkEnd w:id="138"/>
    </w:p>
    <w:p>
      <w:pPr>
        <w:pStyle w:val="6"/>
        <w:keepNext w:val="0"/>
        <w:keepLines w:val="0"/>
        <w:spacing w:before="0" w:after="0" w:line="360" w:lineRule="auto"/>
        <w:ind w:firstLine="480" w:firstLineChars="200"/>
        <w:rPr>
          <w:rFonts w:hint="eastAsia" w:ascii="仿宋" w:hAnsi="仿宋" w:eastAsia="仿宋"/>
          <w:b w:val="0"/>
          <w:sz w:val="24"/>
          <w:highlight w:val="none"/>
        </w:rPr>
      </w:pPr>
      <w:bookmarkStart w:id="139" w:name="_8.1提供相同品牌产品且通过资格审查、符合性审查的不同投标人参加同一合"/>
      <w:bookmarkEnd w:id="139"/>
      <w:r>
        <w:rPr>
          <w:rFonts w:ascii="仿宋" w:hAnsi="仿宋" w:eastAsia="仿宋"/>
          <w:b w:val="0"/>
          <w:sz w:val="24"/>
          <w:highlight w:val="none"/>
        </w:rPr>
        <w:fldChar w:fldCharType="begin"/>
      </w:r>
      <w:r>
        <w:rPr>
          <w:rFonts w:ascii="仿宋" w:hAnsi="仿宋" w:eastAsia="仿宋"/>
          <w:b w:val="0"/>
          <w:sz w:val="24"/>
          <w:highlight w:val="none"/>
        </w:rPr>
        <w:instrText xml:space="preserve"> HYPERLINK  \l "_8.1" </w:instrText>
      </w:r>
      <w:r>
        <w:rPr>
          <w:rFonts w:ascii="仿宋" w:hAnsi="仿宋" w:eastAsia="仿宋"/>
          <w:b w:val="0"/>
          <w:sz w:val="24"/>
          <w:highlight w:val="none"/>
        </w:rPr>
        <w:fldChar w:fldCharType="separate"/>
      </w:r>
      <w:r>
        <w:rPr>
          <w:rFonts w:hint="eastAsia" w:ascii="仿宋" w:hAnsi="仿宋" w:eastAsia="仿宋"/>
          <w:b w:val="0"/>
          <w:sz w:val="24"/>
          <w:highlight w:val="none"/>
        </w:rPr>
        <w:t>8.1</w:t>
      </w:r>
      <w:r>
        <w:rPr>
          <w:rFonts w:ascii="仿宋" w:hAnsi="仿宋" w:eastAsia="仿宋"/>
          <w:b w:val="0"/>
          <w:sz w:val="24"/>
          <w:highlight w:val="none"/>
        </w:rPr>
        <w:fldChar w:fldCharType="end"/>
      </w:r>
      <w:r>
        <w:rPr>
          <w:rFonts w:hint="eastAsia" w:ascii="仿宋" w:hAnsi="仿宋" w:eastAsia="仿宋"/>
          <w:b w:val="0"/>
          <w:sz w:val="24"/>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其他投标无效。</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pPr>
        <w:pStyle w:val="24"/>
        <w:rPr>
          <w:rFonts w:hint="eastAsia"/>
          <w:highlight w:val="none"/>
        </w:rPr>
      </w:pPr>
      <w:r>
        <w:rPr>
          <w:rFonts w:hint="eastAsia"/>
          <w:highlight w:val="none"/>
        </w:rPr>
        <w:t>非单一产品采购项目，多家投标人提供的核心产品品牌相同的，按前两款规定处理。</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8.2如果本招标文件要求提供投标人或制造商的资格、信誉、荣誉、业绩与企业认证等材料的，资格、信誉、荣誉、业绩与企业认证等必须为投标人或者制造商所拥有或自身获得 。</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8.3投标人应仔细阅读招标文件的所有内容，按照招标文件的要求提交投标文件，并对所提供的全部资料的真实性承担法律责任。</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8.4投标人在投标活动中提供任何虚假材料，将报监管部门查处；中标后发现的，中标人须依法赔偿采购人，且民事赔偿并不免除违法投标人的行政与刑事责任。</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9.</w:t>
      </w:r>
      <w:r>
        <w:rPr>
          <w:rFonts w:hint="eastAsia" w:ascii="仿宋" w:hAnsi="仿宋" w:eastAsia="仿宋"/>
          <w:sz w:val="24"/>
          <w:highlight w:val="none"/>
        </w:rPr>
        <w:t>回避与串通投标</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9</w:t>
      </w:r>
      <w:r>
        <w:rPr>
          <w:rFonts w:ascii="仿宋" w:hAnsi="仿宋" w:eastAsia="仿宋"/>
          <w:b w:val="0"/>
          <w:sz w:val="24"/>
          <w:highlight w:val="none"/>
        </w:rPr>
        <w:t>.1在政府采购活动中，采购人员及相关人员与</w:t>
      </w:r>
      <w:r>
        <w:rPr>
          <w:rFonts w:hint="eastAsia" w:ascii="仿宋" w:hAnsi="仿宋" w:eastAsia="仿宋"/>
          <w:b w:val="0"/>
          <w:sz w:val="24"/>
          <w:highlight w:val="none"/>
        </w:rPr>
        <w:t>供应商</w:t>
      </w:r>
      <w:r>
        <w:rPr>
          <w:rFonts w:ascii="仿宋" w:hAnsi="仿宋" w:eastAsia="仿宋"/>
          <w:b w:val="0"/>
          <w:sz w:val="24"/>
          <w:highlight w:val="none"/>
        </w:rPr>
        <w:t>有下列利害关系之一的，应当回避：</w:t>
      </w:r>
    </w:p>
    <w:p>
      <w:pPr>
        <w:pStyle w:val="24"/>
        <w:rPr>
          <w:rFonts w:hint="eastAsia"/>
          <w:highlight w:val="none"/>
        </w:rPr>
      </w:pPr>
      <w:r>
        <w:rPr>
          <w:highlight w:val="none"/>
        </w:rPr>
        <w:t>（</w:t>
      </w:r>
      <w:r>
        <w:rPr>
          <w:rFonts w:hint="eastAsia"/>
          <w:highlight w:val="none"/>
        </w:rPr>
        <w:t>1</w:t>
      </w:r>
      <w:r>
        <w:rPr>
          <w:highlight w:val="none"/>
        </w:rPr>
        <w:t>）参加采购活动前3年内与</w:t>
      </w:r>
      <w:r>
        <w:rPr>
          <w:rFonts w:hint="eastAsia"/>
          <w:highlight w:val="none"/>
        </w:rPr>
        <w:t>供应商</w:t>
      </w:r>
      <w:r>
        <w:rPr>
          <w:highlight w:val="none"/>
        </w:rPr>
        <w:t>存在劳动关系；</w:t>
      </w:r>
    </w:p>
    <w:p>
      <w:pPr>
        <w:pStyle w:val="24"/>
        <w:rPr>
          <w:rFonts w:hint="eastAsia"/>
          <w:highlight w:val="none"/>
        </w:rPr>
      </w:pPr>
      <w:r>
        <w:rPr>
          <w:highlight w:val="none"/>
        </w:rPr>
        <w:t>（</w:t>
      </w:r>
      <w:r>
        <w:rPr>
          <w:rFonts w:hint="eastAsia"/>
          <w:highlight w:val="none"/>
        </w:rPr>
        <w:t>2</w:t>
      </w:r>
      <w:r>
        <w:rPr>
          <w:highlight w:val="none"/>
        </w:rPr>
        <w:t>）参加采购活动前3年内担任</w:t>
      </w:r>
      <w:r>
        <w:rPr>
          <w:rFonts w:hint="eastAsia"/>
          <w:highlight w:val="none"/>
        </w:rPr>
        <w:t>供应商</w:t>
      </w:r>
      <w:r>
        <w:rPr>
          <w:highlight w:val="none"/>
        </w:rPr>
        <w:t>的董事、监事；</w:t>
      </w:r>
    </w:p>
    <w:p>
      <w:pPr>
        <w:pStyle w:val="24"/>
        <w:rPr>
          <w:rFonts w:hint="eastAsia"/>
          <w:highlight w:val="none"/>
        </w:rPr>
      </w:pPr>
      <w:r>
        <w:rPr>
          <w:highlight w:val="none"/>
        </w:rPr>
        <w:t>（</w:t>
      </w:r>
      <w:r>
        <w:rPr>
          <w:rFonts w:hint="eastAsia"/>
          <w:highlight w:val="none"/>
        </w:rPr>
        <w:t>3</w:t>
      </w:r>
      <w:r>
        <w:rPr>
          <w:highlight w:val="none"/>
        </w:rPr>
        <w:t>）参加采购活动前3年内是</w:t>
      </w:r>
      <w:r>
        <w:rPr>
          <w:rFonts w:hint="eastAsia"/>
          <w:highlight w:val="none"/>
        </w:rPr>
        <w:t>供应商</w:t>
      </w:r>
      <w:r>
        <w:rPr>
          <w:highlight w:val="none"/>
        </w:rPr>
        <w:t>的控股股东或者实际控制人；</w:t>
      </w:r>
    </w:p>
    <w:p>
      <w:pPr>
        <w:pStyle w:val="24"/>
        <w:rPr>
          <w:rFonts w:hint="eastAsia"/>
          <w:highlight w:val="none"/>
        </w:rPr>
      </w:pPr>
      <w:r>
        <w:rPr>
          <w:highlight w:val="none"/>
        </w:rPr>
        <w:t>（</w:t>
      </w:r>
      <w:r>
        <w:rPr>
          <w:rFonts w:hint="eastAsia"/>
          <w:highlight w:val="none"/>
        </w:rPr>
        <w:t>4</w:t>
      </w:r>
      <w:r>
        <w:rPr>
          <w:highlight w:val="none"/>
        </w:rPr>
        <w:t>）与</w:t>
      </w:r>
      <w:r>
        <w:rPr>
          <w:rFonts w:hint="eastAsia"/>
          <w:highlight w:val="none"/>
        </w:rPr>
        <w:t>供应商</w:t>
      </w:r>
      <w:r>
        <w:rPr>
          <w:highlight w:val="none"/>
        </w:rPr>
        <w:t>的法定代表人或者负责人有夫妻、直系血亲、三代以内旁系血亲或者近姻亲关系；</w:t>
      </w:r>
    </w:p>
    <w:p>
      <w:pPr>
        <w:pStyle w:val="24"/>
        <w:rPr>
          <w:rFonts w:hint="eastAsia"/>
          <w:highlight w:val="none"/>
        </w:rPr>
      </w:pPr>
      <w:r>
        <w:rPr>
          <w:highlight w:val="none"/>
        </w:rPr>
        <w:t>（</w:t>
      </w:r>
      <w:r>
        <w:rPr>
          <w:rFonts w:hint="eastAsia"/>
          <w:highlight w:val="none"/>
        </w:rPr>
        <w:t>5</w:t>
      </w:r>
      <w:r>
        <w:rPr>
          <w:highlight w:val="none"/>
        </w:rPr>
        <w:t>）与</w:t>
      </w:r>
      <w:r>
        <w:rPr>
          <w:rFonts w:hint="eastAsia"/>
          <w:highlight w:val="none"/>
        </w:rPr>
        <w:t>供应商</w:t>
      </w:r>
      <w:r>
        <w:rPr>
          <w:highlight w:val="none"/>
        </w:rPr>
        <w:t>有其他可能影响政府采购活动公平、公正进行的关系。</w:t>
      </w:r>
    </w:p>
    <w:p>
      <w:pPr>
        <w:pStyle w:val="24"/>
        <w:rPr>
          <w:rFonts w:hint="eastAsia"/>
          <w:highlight w:val="none"/>
        </w:rPr>
      </w:pPr>
      <w:r>
        <w:rPr>
          <w:rFonts w:hint="eastAsia"/>
          <w:highlight w:val="none"/>
        </w:rPr>
        <w:t>供应商</w:t>
      </w:r>
      <w:r>
        <w:rPr>
          <w:highlight w:val="none"/>
        </w:rPr>
        <w:t>认为采购人员及相关人员与其他</w:t>
      </w:r>
      <w:r>
        <w:rPr>
          <w:rFonts w:hint="eastAsia"/>
          <w:highlight w:val="none"/>
        </w:rPr>
        <w:t>供应商</w:t>
      </w:r>
      <w:r>
        <w:rPr>
          <w:highlight w:val="none"/>
        </w:rPr>
        <w:t>有利害关系的，可以向采购人或者采购代理机构书面提出回避申请，并说明理由。采购人或者采购代理机构应当及时询问被申请回避人员，有利害关系的被申请回避人员应当回避。</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9.2</w:t>
      </w:r>
      <w:r>
        <w:rPr>
          <w:rFonts w:hint="eastAsia" w:ascii="仿宋" w:hAnsi="仿宋" w:eastAsia="仿宋"/>
          <w:sz w:val="24"/>
          <w:highlight w:val="none"/>
        </w:rPr>
        <w:t>有下列情形之一的视为投标人相互串通投标，投标文件将被视为无效：</w:t>
      </w:r>
    </w:p>
    <w:p>
      <w:pPr>
        <w:pStyle w:val="24"/>
        <w:rPr>
          <w:rFonts w:hint="eastAsia"/>
          <w:highlight w:val="none"/>
        </w:rPr>
      </w:pPr>
      <w:r>
        <w:rPr>
          <w:rFonts w:hint="eastAsia"/>
          <w:highlight w:val="none"/>
        </w:rPr>
        <w:t xml:space="preserve">（1）不同投标人的投标文件由同一单位或者个人编制； </w:t>
      </w:r>
    </w:p>
    <w:p>
      <w:pPr>
        <w:pStyle w:val="24"/>
        <w:rPr>
          <w:rFonts w:hint="eastAsia"/>
          <w:highlight w:val="none"/>
        </w:rPr>
      </w:pPr>
      <w:r>
        <w:rPr>
          <w:rFonts w:hint="eastAsia"/>
          <w:highlight w:val="none"/>
        </w:rPr>
        <w:t>（2）不同投标人委托同一单位或者个人办理投标事宜；</w:t>
      </w:r>
    </w:p>
    <w:p>
      <w:pPr>
        <w:pStyle w:val="24"/>
        <w:rPr>
          <w:rFonts w:hint="eastAsia"/>
          <w:highlight w:val="none"/>
        </w:rPr>
      </w:pPr>
      <w:r>
        <w:rPr>
          <w:rFonts w:hint="eastAsia"/>
          <w:highlight w:val="none"/>
        </w:rPr>
        <w:t>（3）不同的投标人的投标文件载明的项目管理员为同一个人；</w:t>
      </w:r>
    </w:p>
    <w:p>
      <w:pPr>
        <w:pStyle w:val="24"/>
        <w:rPr>
          <w:rFonts w:hint="eastAsia"/>
          <w:highlight w:val="none"/>
        </w:rPr>
      </w:pPr>
      <w:r>
        <w:rPr>
          <w:rFonts w:hint="eastAsia"/>
          <w:highlight w:val="none"/>
        </w:rPr>
        <w:t>（4）不同投标人的投标文件异常一致或者投标报价呈规律性差异；</w:t>
      </w:r>
    </w:p>
    <w:p>
      <w:pPr>
        <w:pStyle w:val="24"/>
        <w:rPr>
          <w:rFonts w:hint="eastAsia"/>
          <w:highlight w:val="none"/>
        </w:rPr>
      </w:pPr>
      <w:r>
        <w:rPr>
          <w:rFonts w:hint="eastAsia"/>
          <w:highlight w:val="none"/>
        </w:rPr>
        <w:t>（5）不同投标人的投标文件相互混装；</w:t>
      </w:r>
    </w:p>
    <w:p>
      <w:pPr>
        <w:pStyle w:val="24"/>
        <w:rPr>
          <w:rFonts w:hint="eastAsia"/>
          <w:highlight w:val="none"/>
        </w:rPr>
      </w:pPr>
      <w:r>
        <w:rPr>
          <w:rFonts w:hint="eastAsia"/>
          <w:highlight w:val="none"/>
        </w:rPr>
        <w:t>（6）不同投标人的投标保证金从同一单位或者个人账户转出。</w:t>
      </w:r>
    </w:p>
    <w:p>
      <w:pPr>
        <w:pStyle w:val="6"/>
        <w:keepNext w:val="0"/>
        <w:keepLines w:val="0"/>
        <w:spacing w:before="0" w:after="0" w:line="360" w:lineRule="auto"/>
        <w:ind w:left="420" w:leftChars="200"/>
        <w:rPr>
          <w:rFonts w:hint="eastAsia" w:ascii="仿宋" w:hAnsi="仿宋" w:eastAsia="仿宋"/>
          <w:b w:val="0"/>
          <w:sz w:val="24"/>
          <w:highlight w:val="none"/>
        </w:rPr>
      </w:pPr>
      <w:r>
        <w:rPr>
          <w:rFonts w:ascii="仿宋" w:hAnsi="仿宋" w:eastAsia="仿宋"/>
          <w:b w:val="0"/>
          <w:sz w:val="24"/>
          <w:highlight w:val="none"/>
        </w:rPr>
        <w:t>9.3</w:t>
      </w:r>
      <w:r>
        <w:rPr>
          <w:rFonts w:hint="eastAsia" w:ascii="仿宋" w:hAnsi="仿宋" w:eastAsia="仿宋"/>
          <w:b w:val="0"/>
          <w:sz w:val="24"/>
          <w:highlight w:val="none"/>
        </w:rPr>
        <w:t>供应商有下列情形之一的，属于恶意串通行为，将报同级监督管理部门：</w:t>
      </w:r>
    </w:p>
    <w:p>
      <w:pPr>
        <w:pStyle w:val="24"/>
        <w:rPr>
          <w:rFonts w:hint="eastAsia"/>
          <w:highlight w:val="none"/>
        </w:rPr>
      </w:pPr>
      <w:r>
        <w:rPr>
          <w:rFonts w:hint="eastAsia"/>
          <w:highlight w:val="none"/>
        </w:rPr>
        <w:t>（1）供应商直接或者间接从采购人或者采购代理机构处获得其他供应商的相关信息并修改其投标文件或者响应文件；</w:t>
      </w:r>
    </w:p>
    <w:p>
      <w:pPr>
        <w:pStyle w:val="24"/>
        <w:rPr>
          <w:rFonts w:hint="eastAsia"/>
          <w:highlight w:val="none"/>
        </w:rPr>
      </w:pPr>
      <w:r>
        <w:rPr>
          <w:rFonts w:hint="eastAsia"/>
          <w:highlight w:val="none"/>
        </w:rPr>
        <w:t>（2）供应商按照采购人或者采购代理机构的授意撤换、修改投标文件或者响应文件；</w:t>
      </w:r>
    </w:p>
    <w:p>
      <w:pPr>
        <w:pStyle w:val="24"/>
        <w:rPr>
          <w:rFonts w:hint="eastAsia"/>
          <w:highlight w:val="none"/>
        </w:rPr>
      </w:pPr>
      <w:r>
        <w:rPr>
          <w:rFonts w:hint="eastAsia"/>
          <w:highlight w:val="none"/>
        </w:rPr>
        <w:t>（3）供应商之间协商报价、技术方案等投标文件或者响应文件的实质性内容；</w:t>
      </w:r>
    </w:p>
    <w:p>
      <w:pPr>
        <w:pStyle w:val="24"/>
        <w:rPr>
          <w:rFonts w:hint="eastAsia"/>
          <w:highlight w:val="none"/>
        </w:rPr>
      </w:pPr>
      <w:r>
        <w:rPr>
          <w:rFonts w:hint="eastAsia"/>
          <w:highlight w:val="none"/>
        </w:rPr>
        <w:t>（4）属于同一集团、协会、商会等组织成员的供应商按照该组织要求协同参加政府采购活动；</w:t>
      </w:r>
    </w:p>
    <w:p>
      <w:pPr>
        <w:pStyle w:val="24"/>
        <w:rPr>
          <w:rFonts w:hint="eastAsia"/>
          <w:highlight w:val="none"/>
        </w:rPr>
      </w:pPr>
      <w:r>
        <w:rPr>
          <w:rFonts w:hint="eastAsia"/>
          <w:highlight w:val="none"/>
        </w:rPr>
        <w:t>（5）供应商之间事先约定一致抬高或者压低投标报价，或者在招标项目中事先约定轮流以高价位或者低价位中标，或者事先约定由某一特定供应商中标，然后再参加投标；</w:t>
      </w:r>
    </w:p>
    <w:p>
      <w:pPr>
        <w:pStyle w:val="24"/>
        <w:rPr>
          <w:rFonts w:hint="eastAsia"/>
          <w:highlight w:val="none"/>
        </w:rPr>
      </w:pPr>
      <w:r>
        <w:rPr>
          <w:rFonts w:hint="eastAsia"/>
          <w:highlight w:val="none"/>
        </w:rPr>
        <w:t>（6）供应商之间商定部分供应商放弃参加政府采购活动或者放弃中标；</w:t>
      </w:r>
    </w:p>
    <w:p>
      <w:pPr>
        <w:pStyle w:val="24"/>
        <w:rPr>
          <w:rFonts w:hint="eastAsia"/>
          <w:highlight w:val="none"/>
        </w:rPr>
      </w:pPr>
      <w:r>
        <w:rPr>
          <w:rFonts w:hint="eastAsia"/>
          <w:highlight w:val="none"/>
        </w:rPr>
        <w:t>（7）供应商与采购人或者采购代理机构之间、供应商相互之间，为谋求特定供应商中标或者排斥其他供应商的其他串通行为。</w:t>
      </w:r>
    </w:p>
    <w:p>
      <w:pPr>
        <w:pStyle w:val="5"/>
        <w:keepNext w:val="0"/>
        <w:keepLines w:val="0"/>
        <w:jc w:val="center"/>
        <w:rPr>
          <w:rFonts w:hint="eastAsia" w:ascii="仿宋" w:hAnsi="仿宋" w:eastAsia="仿宋"/>
          <w:highlight w:val="none"/>
        </w:rPr>
      </w:pPr>
      <w:bookmarkStart w:id="140" w:name="_Toc254970534"/>
      <w:bookmarkStart w:id="141" w:name="_Toc254970675"/>
      <w:r>
        <w:rPr>
          <w:rFonts w:hint="eastAsia" w:ascii="仿宋" w:hAnsi="仿宋" w:eastAsia="仿宋"/>
          <w:highlight w:val="none"/>
        </w:rPr>
        <w:t>二、招标文件</w:t>
      </w:r>
      <w:bookmarkEnd w:id="140"/>
      <w:bookmarkEnd w:id="141"/>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10.招标文件的组成</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（1）招标公告；</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 xml:space="preserve">（2）采购需求； </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（3）投标人须知；</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（4）评标方法及评标标准；</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（5）拟签订的合同文本；</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（6）投标文件格式。</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11.招标文件的澄清、修改 、现场考察和答疑会</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pPr>
        <w:pStyle w:val="6"/>
        <w:keepNext w:val="0"/>
        <w:keepLines w:val="0"/>
        <w:numPr>
          <w:ilvl w:val="0"/>
          <w:numId w:val="0"/>
        </w:numPr>
        <w:spacing w:before="0" w:after="0" w:line="360" w:lineRule="auto"/>
        <w:ind w:firstLine="480" w:firstLineChars="200"/>
        <w:rPr>
          <w:rFonts w:hint="eastAsia" w:ascii="仿宋" w:hAnsi="仿宋" w:eastAsia="仿宋"/>
          <w:sz w:val="24"/>
          <w:highlight w:val="none"/>
        </w:rPr>
      </w:pPr>
      <w:r>
        <w:rPr>
          <w:rFonts w:hint="eastAsia" w:ascii="仿宋" w:hAnsi="仿宋" w:eastAsia="仿宋"/>
          <w:b w:val="0"/>
          <w:sz w:val="24"/>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11.3采购人和采购代理机构可以视采购具体情况，变更投标截止时间和开标时间，并在原公告发布媒体上发布更正公告。</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11.4招标文件澄清、答复、修改、补充的内容为招标文件的组成部分。</w:t>
      </w:r>
      <w:r>
        <w:rPr>
          <w:rFonts w:hint="eastAsia" w:ascii="仿宋" w:hAnsi="仿宋" w:eastAsia="仿宋"/>
          <w:b/>
          <w:sz w:val="24"/>
          <w:highlight w:val="none"/>
        </w:rPr>
        <w:t>当招标文件与招标文件的澄清、答复、修改、补充通知就同一内容的表述不一致时，以最后发出的文件为准。</w:t>
      </w:r>
    </w:p>
    <w:p>
      <w:pPr>
        <w:pStyle w:val="24"/>
        <w:rPr>
          <w:rFonts w:hint="eastAsia"/>
          <w:highlight w:val="none"/>
        </w:rPr>
      </w:pPr>
      <w:r>
        <w:rPr>
          <w:rFonts w:hint="eastAsia"/>
          <w:highlight w:val="none"/>
        </w:rPr>
        <w:t>1</w:t>
      </w:r>
      <w:r>
        <w:rPr>
          <w:highlight w:val="none"/>
        </w:rPr>
        <w:t>1.</w:t>
      </w:r>
      <w:bookmarkStart w:id="142" w:name="_Hlk53134511"/>
      <w:r>
        <w:rPr>
          <w:rFonts w:hint="eastAsia"/>
          <w:highlight w:val="none"/>
        </w:rPr>
        <w:t>5采购人或者采购代理机构可以在招标文件提供期限截止后，组织已获取招标文件的潜在投标人现场考察或者召开开标前答疑会，具体详见“投标人须知前附表”。</w:t>
      </w:r>
    </w:p>
    <w:bookmarkEnd w:id="142"/>
    <w:p>
      <w:pPr>
        <w:pStyle w:val="5"/>
        <w:keepNext w:val="0"/>
        <w:keepLines w:val="0"/>
        <w:jc w:val="center"/>
        <w:rPr>
          <w:rFonts w:hint="eastAsia" w:ascii="仿宋" w:hAnsi="仿宋" w:eastAsia="仿宋"/>
          <w:highlight w:val="none"/>
        </w:rPr>
      </w:pPr>
      <w:bookmarkStart w:id="143" w:name="_Toc254970535"/>
      <w:bookmarkStart w:id="144" w:name="_Toc254970676"/>
      <w:r>
        <w:rPr>
          <w:rFonts w:hint="eastAsia" w:ascii="仿宋" w:hAnsi="仿宋" w:eastAsia="仿宋"/>
          <w:highlight w:val="none"/>
        </w:rPr>
        <w:t>三、投标文件的编制</w:t>
      </w:r>
      <w:bookmarkEnd w:id="143"/>
      <w:bookmarkEnd w:id="144"/>
    </w:p>
    <w:p>
      <w:pPr>
        <w:pStyle w:val="6"/>
        <w:keepNext w:val="0"/>
        <w:keepLines w:val="0"/>
        <w:spacing w:before="0" w:after="0" w:line="360" w:lineRule="auto"/>
        <w:ind w:left="420" w:leftChars="200" w:firstLine="480"/>
        <w:rPr>
          <w:rFonts w:hint="eastAsia" w:ascii="仿宋" w:hAnsi="仿宋" w:eastAsia="仿宋"/>
          <w:sz w:val="24"/>
          <w:highlight w:val="none"/>
        </w:rPr>
      </w:pPr>
      <w:bookmarkStart w:id="145" w:name="_Toc254970677"/>
      <w:bookmarkStart w:id="146" w:name="_Toc254970536"/>
      <w:r>
        <w:rPr>
          <w:rFonts w:hint="eastAsia" w:ascii="仿宋" w:hAnsi="仿宋" w:eastAsia="仿宋"/>
          <w:sz w:val="24"/>
          <w:highlight w:val="none"/>
        </w:rPr>
        <w:t>12.投标文件的编制原则</w:t>
      </w:r>
    </w:p>
    <w:p>
      <w:pPr>
        <w:snapToGrid w:val="0"/>
        <w:spacing w:line="360" w:lineRule="auto"/>
        <w:ind w:firstLine="420"/>
        <w:jc w:val="left"/>
        <w:rPr>
          <w:rFonts w:hint="eastAsia" w:ascii="仿宋" w:hAnsi="仿宋" w:eastAsia="仿宋" w:cs="Courier New"/>
          <w:sz w:val="24"/>
          <w:highlight w:val="none"/>
        </w:rPr>
      </w:pPr>
      <w:r>
        <w:rPr>
          <w:rFonts w:ascii="仿宋" w:hAnsi="仿宋" w:eastAsia="仿宋"/>
          <w:sz w:val="24"/>
          <w:highlight w:val="none"/>
        </w:rPr>
        <w:t>投标人必须按照招标文件的要求编制投标文件。投标文件必须对招标文件提出的要求和条件作出明确响应。</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13.投标文件的组成</w:t>
      </w:r>
      <w:bookmarkEnd w:id="145"/>
      <w:bookmarkEnd w:id="146"/>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3.1</w:t>
      </w:r>
      <w:r>
        <w:rPr>
          <w:rFonts w:hint="eastAsia" w:ascii="仿宋" w:hAnsi="仿宋" w:eastAsia="仿宋"/>
          <w:sz w:val="24"/>
          <w:highlight w:val="none"/>
        </w:rPr>
        <w:t>投标文件由报价文件、资格证明文件、商务文件、技术文件四部分组成。</w:t>
      </w:r>
    </w:p>
    <w:p>
      <w:pPr>
        <w:pStyle w:val="6"/>
        <w:keepNext w:val="0"/>
        <w:keepLines w:val="0"/>
        <w:spacing w:before="0" w:after="0" w:line="360" w:lineRule="auto"/>
        <w:ind w:left="420" w:leftChars="200"/>
        <w:rPr>
          <w:rFonts w:hint="eastAsia" w:ascii="仿宋" w:hAnsi="仿宋" w:eastAsia="仿宋"/>
          <w:b w:val="0"/>
          <w:sz w:val="24"/>
          <w:highlight w:val="none"/>
        </w:rPr>
      </w:pPr>
      <w:bookmarkStart w:id="147" w:name="_13.1报价文件:_具体材料见“投标人须知前附表”。"/>
      <w:bookmarkEnd w:id="147"/>
      <w:r>
        <w:rPr>
          <w:rFonts w:hint="eastAsia" w:ascii="仿宋" w:hAnsi="仿宋" w:eastAsia="仿宋"/>
          <w:b w:val="0"/>
          <w:sz w:val="24"/>
          <w:highlight w:val="none"/>
        </w:rPr>
        <w:t>（1）报价文件：</w:t>
      </w:r>
      <w:r>
        <w:rPr>
          <w:rFonts w:ascii="仿宋" w:hAnsi="仿宋" w:eastAsia="仿宋"/>
          <w:b w:val="0"/>
          <w:sz w:val="24"/>
          <w:highlight w:val="none"/>
        </w:rPr>
        <w:t xml:space="preserve"> 具体材料见“投标人须知前附表”</w:t>
      </w:r>
      <w:r>
        <w:rPr>
          <w:rFonts w:hint="eastAsia" w:ascii="仿宋" w:hAnsi="仿宋" w:eastAsia="仿宋"/>
          <w:b w:val="0"/>
          <w:sz w:val="24"/>
          <w:highlight w:val="none"/>
        </w:rPr>
        <w:t>。</w:t>
      </w:r>
    </w:p>
    <w:p>
      <w:pPr>
        <w:pStyle w:val="6"/>
        <w:keepNext w:val="0"/>
        <w:keepLines w:val="0"/>
        <w:spacing w:before="0" w:after="0" w:line="360" w:lineRule="auto"/>
        <w:ind w:left="420" w:leftChars="200"/>
        <w:rPr>
          <w:rFonts w:hint="eastAsia" w:ascii="仿宋" w:hAnsi="仿宋" w:eastAsia="仿宋"/>
          <w:b w:val="0"/>
          <w:sz w:val="24"/>
          <w:highlight w:val="none"/>
        </w:rPr>
      </w:pPr>
      <w:bookmarkStart w:id="148" w:name="_13.2资格证明文件：具体材料见“投标人须知前附表”。"/>
      <w:bookmarkEnd w:id="148"/>
      <w:r>
        <w:rPr>
          <w:rFonts w:hint="eastAsia" w:ascii="仿宋" w:hAnsi="仿宋" w:eastAsia="仿宋"/>
          <w:b w:val="0"/>
          <w:sz w:val="24"/>
          <w:highlight w:val="none"/>
        </w:rPr>
        <w:t>（</w:t>
      </w:r>
      <w:r>
        <w:rPr>
          <w:rFonts w:ascii="仿宋" w:hAnsi="仿宋" w:eastAsia="仿宋"/>
          <w:b w:val="0"/>
          <w:sz w:val="24"/>
          <w:highlight w:val="none"/>
        </w:rPr>
        <w:t>2</w:t>
      </w:r>
      <w:r>
        <w:rPr>
          <w:rFonts w:hint="eastAsia" w:ascii="仿宋" w:hAnsi="仿宋" w:eastAsia="仿宋"/>
          <w:b w:val="0"/>
          <w:sz w:val="24"/>
          <w:highlight w:val="none"/>
        </w:rPr>
        <w:t>）资格证明文件：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p>
    <w:p>
      <w:pPr>
        <w:pStyle w:val="6"/>
        <w:keepNext w:val="0"/>
        <w:keepLines w:val="0"/>
        <w:spacing w:before="0" w:after="0" w:line="360" w:lineRule="auto"/>
        <w:ind w:left="420" w:leftChars="200"/>
        <w:rPr>
          <w:rFonts w:hint="eastAsia" w:ascii="仿宋" w:hAnsi="仿宋" w:eastAsia="仿宋"/>
          <w:b w:val="0"/>
          <w:sz w:val="24"/>
          <w:highlight w:val="none"/>
        </w:rPr>
      </w:pPr>
      <w:bookmarkStart w:id="149" w:name="_13.3商务文件:_具体材料见“投标人须知前附表”。"/>
      <w:bookmarkEnd w:id="149"/>
      <w:r>
        <w:rPr>
          <w:rFonts w:hint="eastAsia" w:ascii="仿宋" w:hAnsi="仿宋" w:eastAsia="仿宋"/>
          <w:b w:val="0"/>
          <w:sz w:val="24"/>
          <w:highlight w:val="none"/>
        </w:rPr>
        <w:t>（</w:t>
      </w:r>
      <w:r>
        <w:rPr>
          <w:rFonts w:ascii="仿宋" w:hAnsi="仿宋" w:eastAsia="仿宋"/>
          <w:b w:val="0"/>
          <w:sz w:val="24"/>
          <w:highlight w:val="none"/>
        </w:rPr>
        <w:t>3</w:t>
      </w:r>
      <w:r>
        <w:rPr>
          <w:rFonts w:hint="eastAsia" w:ascii="仿宋" w:hAnsi="仿宋" w:eastAsia="仿宋"/>
          <w:b w:val="0"/>
          <w:sz w:val="24"/>
          <w:highlight w:val="none"/>
        </w:rPr>
        <w:t>）商务文件：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p>
    <w:p>
      <w:pPr>
        <w:pStyle w:val="6"/>
        <w:keepNext w:val="0"/>
        <w:keepLines w:val="0"/>
        <w:spacing w:before="0" w:after="0" w:line="360" w:lineRule="auto"/>
        <w:ind w:left="420" w:leftChars="200"/>
        <w:rPr>
          <w:rFonts w:hint="eastAsia" w:ascii="仿宋" w:hAnsi="仿宋" w:eastAsia="仿宋"/>
          <w:b w:val="0"/>
          <w:sz w:val="24"/>
          <w:highlight w:val="none"/>
        </w:rPr>
      </w:pPr>
      <w:bookmarkStart w:id="150" w:name="_13.4技术文件：具体材料见“投标人须知前附表”。"/>
      <w:bookmarkEnd w:id="150"/>
      <w:r>
        <w:rPr>
          <w:rFonts w:hint="eastAsia" w:ascii="仿宋" w:hAnsi="仿宋" w:eastAsia="仿宋"/>
          <w:b w:val="0"/>
          <w:sz w:val="24"/>
          <w:highlight w:val="none"/>
        </w:rPr>
        <w:t>（</w:t>
      </w:r>
      <w:r>
        <w:rPr>
          <w:rFonts w:ascii="仿宋" w:hAnsi="仿宋" w:eastAsia="仿宋"/>
          <w:b w:val="0"/>
          <w:sz w:val="24"/>
          <w:highlight w:val="none"/>
        </w:rPr>
        <w:t>4</w:t>
      </w:r>
      <w:r>
        <w:rPr>
          <w:rFonts w:hint="eastAsia" w:ascii="仿宋" w:hAnsi="仿宋" w:eastAsia="仿宋"/>
          <w:b w:val="0"/>
          <w:sz w:val="24"/>
          <w:highlight w:val="none"/>
        </w:rPr>
        <w:t>）技术文件：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bookmarkStart w:id="151" w:name="_13.5投标文件电子版：具体材料见“投标人须知前附表”。"/>
      <w:bookmarkEnd w:id="151"/>
    </w:p>
    <w:p>
      <w:pPr>
        <w:pStyle w:val="6"/>
        <w:keepNext w:val="0"/>
        <w:keepLines w:val="0"/>
        <w:spacing w:before="0" w:after="0" w:line="360" w:lineRule="auto"/>
        <w:ind w:left="420" w:leftChars="200" w:firstLine="480"/>
        <w:rPr>
          <w:rFonts w:hint="eastAsia" w:ascii="仿宋" w:hAnsi="仿宋" w:eastAsia="仿宋"/>
          <w:sz w:val="24"/>
          <w:highlight w:val="none"/>
        </w:rPr>
      </w:pPr>
      <w:bookmarkStart w:id="152" w:name="_Toc254970678"/>
      <w:bookmarkStart w:id="153" w:name="_Toc254970537"/>
      <w:r>
        <w:rPr>
          <w:rFonts w:hint="eastAsia" w:ascii="仿宋" w:hAnsi="仿宋" w:eastAsia="仿宋"/>
          <w:sz w:val="24"/>
          <w:highlight w:val="none"/>
        </w:rPr>
        <w:t>14.投标文件的语言及计量</w:t>
      </w:r>
      <w:bookmarkEnd w:id="152"/>
      <w:bookmarkEnd w:id="153"/>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14.1语言文字</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14.2投标计量单位</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招标文件已有明确规定的，使用招标文件规定的计量单位；招标文件没有规定的，应采用中华人民共和国法定计量单位，货币种类为人民币，否则视同未响应。</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15.投标的风险</w:t>
      </w:r>
    </w:p>
    <w:p>
      <w:pPr>
        <w:pStyle w:val="24"/>
        <w:rPr>
          <w:rFonts w:hint="eastAsia"/>
          <w:highlight w:val="none"/>
        </w:rPr>
      </w:pPr>
      <w:r>
        <w:rPr>
          <w:rFonts w:hint="eastAsia"/>
          <w:highlight w:val="none"/>
        </w:rPr>
        <w:t>投标人没有按照招标文件要求提供全部资料，或者投标人没有对招标文件作出实质性响应是投标人的风险，并可能导致其投标被拒绝。</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54" w:name="_Toc254970679"/>
      <w:bookmarkStart w:id="155" w:name="_Toc254970538"/>
      <w:r>
        <w:rPr>
          <w:rFonts w:hint="eastAsia" w:ascii="仿宋" w:hAnsi="仿宋" w:eastAsia="仿宋"/>
          <w:sz w:val="24"/>
          <w:highlight w:val="none"/>
        </w:rPr>
        <w:t>16.投标报价</w:t>
      </w:r>
      <w:bookmarkEnd w:id="154"/>
      <w:bookmarkEnd w:id="155"/>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16.1投标报价应按“第六章　投标文件格式”中“开标一览表”格式填写。</w:t>
      </w:r>
    </w:p>
    <w:p>
      <w:pPr>
        <w:pStyle w:val="6"/>
        <w:keepNext w:val="0"/>
        <w:keepLines w:val="0"/>
        <w:spacing w:before="0" w:after="0" w:line="360" w:lineRule="auto"/>
        <w:ind w:left="420" w:leftChars="200"/>
        <w:rPr>
          <w:rFonts w:hint="eastAsia" w:ascii="仿宋" w:hAnsi="仿宋" w:eastAsia="仿宋"/>
          <w:b w:val="0"/>
          <w:sz w:val="24"/>
          <w:highlight w:val="none"/>
        </w:rPr>
      </w:pPr>
      <w:bookmarkStart w:id="156" w:name="_16.2投标报价具体定义见投标人须知前附表。"/>
      <w:bookmarkEnd w:id="156"/>
      <w:r>
        <w:rPr>
          <w:rFonts w:hint="eastAsia" w:ascii="仿宋" w:hAnsi="仿宋" w:eastAsia="仿宋"/>
          <w:b w:val="0"/>
          <w:sz w:val="24"/>
          <w:highlight w:val="none"/>
        </w:rPr>
        <w:t>16.2投标报价具体包括内容详见“投标人须知前附表”。</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16.3投标人必须就所投每个标项的全部内容分别作完整唯一总价报价，不得存在漏项报价；投标人必须就所投标项的单项内容作唯一报价。</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17.投标有效期</w:t>
      </w:r>
      <w:bookmarkStart w:id="157" w:name="_17.1投标有效期应按“投标人须知中的前附表”规定的期限。"/>
      <w:bookmarkEnd w:id="157"/>
    </w:p>
    <w:p>
      <w:pPr>
        <w:pStyle w:val="6"/>
        <w:keepNext w:val="0"/>
        <w:keepLines w:val="0"/>
        <w:spacing w:before="0" w:after="0" w:line="360" w:lineRule="auto"/>
        <w:ind w:left="420" w:leftChars="200"/>
        <w:rPr>
          <w:rFonts w:hint="eastAsia" w:ascii="仿宋" w:hAnsi="仿宋" w:eastAsia="仿宋"/>
          <w:sz w:val="24"/>
          <w:highlight w:val="none"/>
        </w:rPr>
      </w:pPr>
      <w:r>
        <w:rPr>
          <w:rFonts w:hint="eastAsia" w:ascii="仿宋" w:hAnsi="仿宋" w:eastAsia="仿宋"/>
          <w:b w:val="0"/>
          <w:sz w:val="24"/>
          <w:highlight w:val="none"/>
        </w:rPr>
        <w:t>17.1投标有效期是指为保证采购人有足够的时间在开标后完成评标、定标、合同签订等工作而要求投标人提交的投标文件在一定时间内保持有效的期限。</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17.2</w:t>
      </w:r>
      <w:bookmarkStart w:id="158" w:name="_Toc254970681"/>
      <w:bookmarkStart w:id="159" w:name="_Toc254970540"/>
      <w:r>
        <w:rPr>
          <w:rFonts w:hint="eastAsia" w:ascii="仿宋" w:hAnsi="仿宋" w:eastAsia="仿宋"/>
          <w:b w:val="0"/>
          <w:sz w:val="24"/>
          <w:highlight w:val="none"/>
        </w:rPr>
        <w:t xml:space="preserve"> 投标有效期应按规定的期限作出承诺，具体详见“投标人须知前附表”。</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17.3投标人的投标文件在投标有效期内均保持有效。</w:t>
      </w:r>
      <w:bookmarkEnd w:id="158"/>
      <w:bookmarkEnd w:id="159"/>
    </w:p>
    <w:p>
      <w:pPr>
        <w:pStyle w:val="6"/>
        <w:keepNext w:val="0"/>
        <w:keepLines w:val="0"/>
        <w:spacing w:before="0" w:after="0" w:line="360" w:lineRule="auto"/>
        <w:ind w:left="420" w:leftChars="200" w:firstLine="480"/>
        <w:rPr>
          <w:rFonts w:hint="eastAsia" w:ascii="仿宋" w:hAnsi="仿宋" w:eastAsia="仿宋"/>
          <w:sz w:val="24"/>
          <w:highlight w:val="none"/>
        </w:rPr>
      </w:pPr>
      <w:bookmarkStart w:id="160" w:name="_18.投标保证金"/>
      <w:bookmarkEnd w:id="160"/>
      <w:bookmarkStart w:id="161" w:name="_Toc254970541"/>
      <w:bookmarkStart w:id="162" w:name="_Toc254970682"/>
      <w:r>
        <w:rPr>
          <w:rFonts w:hint="eastAsia" w:ascii="仿宋" w:hAnsi="仿宋" w:eastAsia="仿宋"/>
          <w:sz w:val="24"/>
          <w:highlight w:val="none"/>
        </w:rPr>
        <w:t>18.投标保证金</w:t>
      </w:r>
      <w:bookmarkEnd w:id="161"/>
      <w:bookmarkEnd w:id="162"/>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18.1投标人须按“投标人须知前附表” 的规定提交投标保证金。</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18.2投标保证金的退还</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 xml:space="preserve">未中标人的投标保证金自中标通知书发出之日起4个工作日内退还；中标人的投标保证金自政府采购合同签订之日起4个工作日内退还。 </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18.3除逾期退还投标保证金和终止招标的情形以外，投标保证金不计息。</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 xml:space="preserve">18.4投标人有下列情形之一的，投标保证金将不予退还： </w:t>
      </w:r>
    </w:p>
    <w:p>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（1）投标人在投标有效期内撤销投标文件的；</w:t>
      </w:r>
    </w:p>
    <w:p>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（2）未按规定提交履约保证金的；</w:t>
      </w:r>
    </w:p>
    <w:p>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（3）投标人在投标过程中弄虚作假，提供虚假材料的；</w:t>
      </w:r>
    </w:p>
    <w:p>
      <w:pPr>
        <w:snapToGrid w:val="0"/>
        <w:spacing w:line="360" w:lineRule="auto"/>
        <w:ind w:firstLine="470" w:firstLineChars="196"/>
        <w:rPr>
          <w:rFonts w:hint="eastAsia" w:ascii="仿宋" w:hAnsi="仿宋" w:eastAsia="仿宋"/>
          <w:sz w:val="24"/>
          <w:highlight w:val="none"/>
        </w:rPr>
      </w:pPr>
      <w:r>
        <w:rPr>
          <w:rFonts w:hint="eastAsia" w:ascii="仿宋" w:hAnsi="仿宋" w:eastAsia="仿宋"/>
          <w:sz w:val="24"/>
          <w:highlight w:val="none"/>
        </w:rPr>
        <w:t>（4）中标人无正当理由不与采购人签订合同的；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（5）投标人出现本章第9.2、9.3情形的；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w:t>
      </w:r>
      <w:r>
        <w:rPr>
          <w:rFonts w:hint="eastAsia" w:ascii="仿宋" w:hAnsi="仿宋" w:eastAsia="仿宋" w:cs="宋体"/>
          <w:sz w:val="24"/>
          <w:highlight w:val="none"/>
        </w:rPr>
        <w:t>法律法规规定的其他情形</w:t>
      </w:r>
      <w:r>
        <w:rPr>
          <w:rFonts w:hint="eastAsia" w:ascii="仿宋" w:hAnsi="仿宋" w:eastAsia="仿宋"/>
          <w:sz w:val="24"/>
          <w:highlight w:val="none"/>
        </w:rPr>
        <w:t>。</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63" w:name="_Toc254970683"/>
      <w:bookmarkStart w:id="164" w:name="_Toc254970542"/>
      <w:r>
        <w:rPr>
          <w:rFonts w:hint="eastAsia" w:ascii="仿宋" w:hAnsi="仿宋" w:eastAsia="仿宋"/>
          <w:sz w:val="24"/>
          <w:highlight w:val="none"/>
        </w:rPr>
        <w:t>19.投标文件的</w:t>
      </w:r>
      <w:bookmarkEnd w:id="163"/>
      <w:bookmarkEnd w:id="164"/>
      <w:r>
        <w:rPr>
          <w:rFonts w:hint="eastAsia" w:ascii="仿宋" w:hAnsi="仿宋" w:eastAsia="仿宋"/>
          <w:sz w:val="24"/>
          <w:highlight w:val="none"/>
        </w:rPr>
        <w:t>编制</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bookmarkStart w:id="165" w:name="_19.2投标文件应按报价文件、资格证明文件、商务文件、技术文件分别编制"/>
      <w:bookmarkEnd w:id="165"/>
      <w:r>
        <w:rPr>
          <w:rFonts w:hint="eastAsia" w:ascii="仿宋" w:hAnsi="仿宋" w:eastAsia="仿宋"/>
          <w:b w:val="0"/>
          <w:sz w:val="24"/>
          <w:highlight w:val="none"/>
        </w:rPr>
        <w:t>19.2投标文件应按报价文件、资格证明文件、商务文件、技术文件分别编制电子文件，并按“广西政府采购云平台”的要求编制、加密、上传。</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19.</w:t>
      </w:r>
      <w:bookmarkStart w:id="166" w:name="_Hlk65832616"/>
      <w:r>
        <w:rPr>
          <w:rFonts w:hint="eastAsia" w:ascii="仿宋" w:hAnsi="仿宋" w:eastAsia="仿宋"/>
          <w:b w:val="0"/>
          <w:sz w:val="24"/>
          <w:highlight w:val="none"/>
        </w:rPr>
        <w:t>3投标文件须由投标人在规定位置盖公章并签字</w:t>
      </w:r>
      <w:bookmarkStart w:id="167" w:name="_Hlk65832569"/>
      <w:r>
        <w:rPr>
          <w:rFonts w:hint="eastAsia" w:ascii="仿宋" w:hAnsi="仿宋" w:eastAsia="仿宋"/>
          <w:b w:val="0"/>
          <w:sz w:val="24"/>
          <w:highlight w:val="none"/>
        </w:rPr>
        <w:t>（具体以投标人须知前附表或投标文件格式规定为准）</w:t>
      </w:r>
      <w:bookmarkEnd w:id="166"/>
      <w:bookmarkEnd w:id="167"/>
      <w:r>
        <w:rPr>
          <w:rFonts w:hint="eastAsia" w:ascii="仿宋" w:hAnsi="仿宋" w:eastAsia="仿宋"/>
          <w:b w:val="0"/>
          <w:sz w:val="24"/>
          <w:highlight w:val="none"/>
        </w:rPr>
        <w:t>，</w:t>
      </w:r>
      <w:r>
        <w:rPr>
          <w:rFonts w:hint="eastAsia" w:ascii="仿宋" w:hAnsi="仿宋" w:eastAsia="仿宋"/>
          <w:bCs/>
          <w:sz w:val="24"/>
          <w:highlight w:val="none"/>
        </w:rPr>
        <w:t>否则按无效投标处理</w:t>
      </w:r>
      <w:r>
        <w:rPr>
          <w:rFonts w:hint="eastAsia" w:ascii="仿宋" w:hAnsi="仿宋" w:eastAsia="仿宋"/>
          <w:b w:val="0"/>
          <w:sz w:val="24"/>
          <w:highlight w:val="none"/>
        </w:rPr>
        <w:t>。</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19.4投标文件中标注的投标人名称应与主体资格证明（如营业执照、事业单位法人证书、执业许可证、自然人身份证等）及公章一致，</w:t>
      </w:r>
      <w:r>
        <w:rPr>
          <w:rFonts w:hint="eastAsia" w:ascii="仿宋" w:hAnsi="仿宋" w:eastAsia="仿宋"/>
          <w:sz w:val="24"/>
          <w:highlight w:val="none"/>
        </w:rPr>
        <w:t>否则按无效投标处理</w:t>
      </w:r>
      <w:r>
        <w:rPr>
          <w:rFonts w:hint="eastAsia" w:ascii="仿宋" w:hAnsi="仿宋" w:eastAsia="仿宋"/>
          <w:b w:val="0"/>
          <w:sz w:val="24"/>
          <w:highlight w:val="none"/>
        </w:rPr>
        <w:t>。</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20.投标文件的加密、解密</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20.1电子投标文件编制完成后，投标人应按“广西政府采购云平台”的要求进行加密，并在规定时间内解密，否则，由此产生的后果由投标人自行负责。</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21.投标文件的提交</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bookmarkStart w:id="168" w:name="_21.1投标人必须在“投标人须知中的前附表”规定的投标文件接收时间和投"/>
      <w:bookmarkEnd w:id="168"/>
      <w:r>
        <w:rPr>
          <w:rFonts w:hint="eastAsia" w:ascii="仿宋" w:hAnsi="仿宋" w:eastAsia="仿宋"/>
          <w:b w:val="0"/>
          <w:sz w:val="24"/>
          <w:highlight w:val="none"/>
        </w:rPr>
        <w:t>21.1投标人必须在“投标人须知前附表”规定的投标文件接收时间和投标地点提交投标文件。</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21.2本项目为全流程电子化政府采购项目，通过“广西政府采购云平台”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pPr>
        <w:pStyle w:val="6"/>
        <w:keepNext w:val="0"/>
        <w:keepLines w:val="0"/>
        <w:numPr>
          <w:ilvl w:val="0"/>
          <w:numId w:val="0"/>
        </w:numPr>
        <w:spacing w:before="0" w:after="0" w:line="360" w:lineRule="auto"/>
        <w:ind w:firstLine="480" w:firstLineChars="200"/>
        <w:jc w:val="left"/>
        <w:rPr>
          <w:rFonts w:hint="eastAsia" w:ascii="仿宋" w:hAnsi="仿宋" w:eastAsia="仿宋"/>
          <w:b w:val="0"/>
          <w:sz w:val="24"/>
          <w:highlight w:val="none"/>
        </w:rPr>
      </w:pPr>
      <w:r>
        <w:rPr>
          <w:rFonts w:hint="eastAsia" w:ascii="仿宋" w:hAnsi="仿宋" w:eastAsia="仿宋"/>
          <w:b w:val="0"/>
          <w:sz w:val="24"/>
          <w:highlight w:val="none"/>
        </w:rPr>
        <w:t>21.3未在规定时间内上传或者未按“广西政府采购云平台”的要求编制、加密的电子投标文件，“广西政府采购云平台”将拒收。</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21.4电子投标文件提交方式见“招标公告”中“四、提交投标文件截止时间、开标时间和地点”。</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22. 投标文件的补充、修改、撤回与退回</w:t>
      </w:r>
    </w:p>
    <w:p>
      <w:pPr>
        <w:snapToGrid w:val="0"/>
        <w:spacing w:line="360" w:lineRule="auto"/>
        <w:ind w:firstLine="420"/>
        <w:jc w:val="left"/>
        <w:rPr>
          <w:rFonts w:hint="eastAsia" w:ascii="仿宋" w:hAnsi="仿宋" w:eastAsia="仿宋"/>
          <w:sz w:val="24"/>
          <w:highlight w:val="none"/>
        </w:rPr>
      </w:pPr>
      <w:bookmarkStart w:id="169" w:name="_Toc254970543"/>
      <w:bookmarkStart w:id="170" w:name="_Toc254970684"/>
      <w:r>
        <w:rPr>
          <w:rFonts w:hint="eastAsia" w:ascii="仿宋" w:hAnsi="仿宋" w:eastAsia="仿宋"/>
          <w:sz w:val="24"/>
          <w:highlight w:val="none"/>
        </w:rPr>
        <w:t>2</w:t>
      </w:r>
      <w:r>
        <w:rPr>
          <w:rFonts w:ascii="仿宋" w:hAnsi="仿宋" w:eastAsia="仿宋"/>
          <w:sz w:val="24"/>
          <w:highlight w:val="none"/>
        </w:rPr>
        <w:t>2.1</w:t>
      </w:r>
      <w:r>
        <w:rPr>
          <w:rFonts w:hint="eastAsia" w:ascii="仿宋" w:hAnsi="仿宋" w:eastAsia="仿宋"/>
          <w:sz w:val="24"/>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将予以拒收。</w:t>
      </w:r>
    </w:p>
    <w:bookmarkEnd w:id="169"/>
    <w:bookmarkEnd w:id="170"/>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22.</w:t>
      </w:r>
      <w:r>
        <w:rPr>
          <w:rFonts w:ascii="仿宋" w:hAnsi="仿宋" w:eastAsia="仿宋"/>
          <w:sz w:val="24"/>
          <w:highlight w:val="none"/>
        </w:rPr>
        <w:t>2</w:t>
      </w:r>
      <w:r>
        <w:rPr>
          <w:rFonts w:hint="eastAsia" w:ascii="仿宋" w:hAnsi="仿宋" w:eastAsia="仿宋"/>
          <w:sz w:val="24"/>
          <w:highlight w:val="none"/>
        </w:rPr>
        <w:t>在投标截止时间止提交投标文件的投标人不足3家时，不得开标，采购代理机构将根据</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的操作将电子版投标文件退回，除此之外采购人和采购代理机构对已提交的投标文件概不退回。</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w:t>
      </w:r>
      <w:r>
        <w:rPr>
          <w:rFonts w:ascii="仿宋" w:hAnsi="仿宋" w:eastAsia="仿宋" w:cs="宋体"/>
          <w:sz w:val="24"/>
          <w:highlight w:val="none"/>
        </w:rPr>
        <w:t>2.3</w:t>
      </w:r>
      <w:r>
        <w:rPr>
          <w:rFonts w:hint="eastAsia" w:ascii="仿宋" w:hAnsi="仿宋" w:eastAsia="仿宋" w:cs="宋体"/>
          <w:sz w:val="24"/>
          <w:highlight w:val="none"/>
        </w:rPr>
        <w:t xml:space="preserve"> 投标人在投标截止时间后书面通知采购人、采购代理机构撤销投标文件的，将根据本须知正文1</w:t>
      </w:r>
      <w:r>
        <w:rPr>
          <w:rFonts w:ascii="仿宋" w:hAnsi="仿宋" w:eastAsia="仿宋" w:cs="宋体"/>
          <w:sz w:val="24"/>
          <w:highlight w:val="none"/>
        </w:rPr>
        <w:t>8</w:t>
      </w:r>
      <w:r>
        <w:rPr>
          <w:rFonts w:hint="eastAsia" w:ascii="仿宋" w:hAnsi="仿宋" w:eastAsia="仿宋" w:cs="宋体"/>
          <w:sz w:val="24"/>
          <w:highlight w:val="none"/>
        </w:rPr>
        <w:t>.4的规定不予退还其投标保证金。</w:t>
      </w:r>
    </w:p>
    <w:p>
      <w:pPr>
        <w:pStyle w:val="5"/>
        <w:keepNext w:val="0"/>
        <w:keepLines w:val="0"/>
        <w:jc w:val="center"/>
        <w:rPr>
          <w:rFonts w:hint="eastAsia" w:ascii="仿宋" w:hAnsi="仿宋" w:eastAsia="仿宋"/>
          <w:highlight w:val="none"/>
        </w:rPr>
      </w:pPr>
      <w:bookmarkStart w:id="171" w:name="_Toc254970685"/>
      <w:bookmarkStart w:id="172" w:name="_Toc254970544"/>
      <w:r>
        <w:rPr>
          <w:rFonts w:hint="eastAsia" w:ascii="仿宋" w:hAnsi="仿宋" w:eastAsia="仿宋"/>
          <w:highlight w:val="none"/>
        </w:rPr>
        <w:t>四、开    标</w:t>
      </w:r>
      <w:bookmarkEnd w:id="171"/>
      <w:bookmarkEnd w:id="172"/>
    </w:p>
    <w:p>
      <w:pPr>
        <w:pStyle w:val="6"/>
        <w:keepNext w:val="0"/>
        <w:keepLines w:val="0"/>
        <w:spacing w:before="0" w:after="0" w:line="360" w:lineRule="auto"/>
        <w:ind w:left="420" w:leftChars="200" w:firstLine="480"/>
        <w:rPr>
          <w:rFonts w:hint="eastAsia" w:ascii="仿宋" w:hAnsi="仿宋" w:eastAsia="仿宋"/>
          <w:sz w:val="24"/>
          <w:highlight w:val="none"/>
        </w:rPr>
      </w:pPr>
      <w:bookmarkStart w:id="173" w:name="_23.开标时间和地点"/>
      <w:bookmarkEnd w:id="173"/>
      <w:r>
        <w:rPr>
          <w:rFonts w:hint="eastAsia" w:ascii="仿宋" w:hAnsi="仿宋" w:eastAsia="仿宋"/>
          <w:sz w:val="24"/>
          <w:highlight w:val="none"/>
        </w:rPr>
        <w:t>23.开标时间和地点</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23.1开标时间及地点详见“投标人须知前附表”</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23.2如投标人成功解密投标文件，但未在</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电子开标大厅参加开标的，视同认可开标过程和结果，由此产生的后果由投标人自行负责。成功解密投标文件的投标人不足3家的，不得开标。</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24.开标程序</w:t>
      </w:r>
    </w:p>
    <w:p>
      <w:pPr>
        <w:pStyle w:val="6"/>
        <w:keepNext w:val="0"/>
        <w:keepLines w:val="0"/>
        <w:spacing w:before="0" w:after="0" w:line="360" w:lineRule="auto"/>
        <w:ind w:left="420" w:leftChars="200" w:firstLine="480"/>
        <w:rPr>
          <w:rFonts w:hint="eastAsia" w:ascii="仿宋" w:hAnsi="仿宋" w:eastAsia="仿宋"/>
          <w:kern w:val="0"/>
          <w:sz w:val="24"/>
          <w:highlight w:val="none"/>
        </w:rPr>
      </w:pPr>
      <w:r>
        <w:rPr>
          <w:rFonts w:hint="eastAsia" w:ascii="仿宋" w:hAnsi="仿宋" w:eastAsia="仿宋"/>
          <w:bCs/>
          <w:sz w:val="24"/>
          <w:highlight w:val="none"/>
        </w:rPr>
        <w:t>24.1</w:t>
      </w:r>
      <w:r>
        <w:rPr>
          <w:rFonts w:hint="eastAsia" w:ascii="仿宋" w:hAnsi="仿宋" w:eastAsia="仿宋"/>
          <w:kern w:val="0"/>
          <w:sz w:val="24"/>
          <w:highlight w:val="none"/>
        </w:rPr>
        <w:t>开标形式：</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采购代理机构将按照招标文件规定的时间通过</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组织线上开标活动、开启投标文件，所有供应商均应当准时在线参加。投标人</w:t>
      </w:r>
      <w:r>
        <w:rPr>
          <w:rFonts w:ascii="仿宋" w:hAnsi="仿宋" w:eastAsia="仿宋"/>
          <w:sz w:val="24"/>
          <w:highlight w:val="none"/>
        </w:rPr>
        <w:t>如不</w:t>
      </w:r>
      <w:r>
        <w:rPr>
          <w:rFonts w:hint="eastAsia" w:ascii="仿宋" w:hAnsi="仿宋" w:eastAsia="仿宋"/>
          <w:sz w:val="24"/>
          <w:highlight w:val="none"/>
        </w:rPr>
        <w:t>参加</w:t>
      </w:r>
      <w:r>
        <w:rPr>
          <w:rFonts w:ascii="仿宋" w:hAnsi="仿宋" w:eastAsia="仿宋"/>
          <w:sz w:val="24"/>
          <w:highlight w:val="none"/>
        </w:rPr>
        <w:t>开标大会的，</w:t>
      </w:r>
      <w:r>
        <w:rPr>
          <w:rFonts w:hint="eastAsia" w:ascii="仿宋" w:hAnsi="仿宋" w:eastAsia="仿宋"/>
          <w:sz w:val="24"/>
          <w:highlight w:val="none"/>
        </w:rPr>
        <w:t>视同认可开标结果，</w:t>
      </w:r>
      <w:r>
        <w:rPr>
          <w:rFonts w:ascii="仿宋" w:hAnsi="仿宋" w:eastAsia="仿宋"/>
          <w:sz w:val="24"/>
          <w:highlight w:val="none"/>
        </w:rPr>
        <w:t>事后不得对采购相关人员、开标过程和开标结果提出异议</w:t>
      </w:r>
      <w:r>
        <w:rPr>
          <w:rFonts w:hint="eastAsia" w:ascii="仿宋" w:hAnsi="仿宋" w:eastAsia="仿宋"/>
          <w:sz w:val="24"/>
          <w:highlight w:val="none"/>
        </w:rPr>
        <w:t>，同时投标人因未在线参加开标而导致投标文件无法按时解密等一切后果由投标人自己承担。</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24.2</w:t>
      </w:r>
      <w:r>
        <w:rPr>
          <w:rFonts w:ascii="仿宋" w:hAnsi="仿宋" w:eastAsia="仿宋"/>
          <w:sz w:val="24"/>
          <w:highlight w:val="none"/>
        </w:rPr>
        <w:t>开</w:t>
      </w:r>
      <w:r>
        <w:rPr>
          <w:rFonts w:hint="eastAsia" w:ascii="仿宋" w:hAnsi="仿宋" w:eastAsia="仿宋"/>
          <w:sz w:val="24"/>
          <w:highlight w:val="none"/>
        </w:rPr>
        <w:t>标</w:t>
      </w:r>
      <w:r>
        <w:rPr>
          <w:rFonts w:ascii="仿宋" w:hAnsi="仿宋" w:eastAsia="仿宋"/>
          <w:sz w:val="24"/>
          <w:highlight w:val="none"/>
        </w:rPr>
        <w:t>程序：</w:t>
      </w:r>
    </w:p>
    <w:p>
      <w:pPr>
        <w:snapToGrid w:val="0"/>
        <w:spacing w:line="360" w:lineRule="auto"/>
        <w:ind w:firstLine="420"/>
        <w:jc w:val="left"/>
        <w:rPr>
          <w:rFonts w:hint="eastAsia" w:ascii="仿宋" w:hAnsi="仿宋" w:eastAsia="仿宋"/>
          <w:bCs/>
          <w:sz w:val="24"/>
          <w:highlight w:val="none"/>
        </w:rPr>
      </w:pPr>
      <w:r>
        <w:rPr>
          <w:rFonts w:hint="eastAsia" w:ascii="仿宋" w:hAnsi="仿宋" w:eastAsia="仿宋"/>
          <w:sz w:val="24"/>
          <w:highlight w:val="none"/>
        </w:rPr>
        <w:t>（1）解密电子投标文件。</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按开标时间自动提取所有投标文件。采购代理机构依托</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向各投标人发出电子加密投标文件【开始解密】通知，由投标人进</w:t>
      </w:r>
      <w:r>
        <w:rPr>
          <w:rFonts w:hint="eastAsia" w:ascii="仿宋" w:hAnsi="仿宋" w:eastAsia="仿宋"/>
          <w:bCs/>
          <w:sz w:val="24"/>
          <w:highlight w:val="none"/>
        </w:rPr>
        <w:t>行投标文件解密。</w:t>
      </w:r>
      <w:r>
        <w:rPr>
          <w:rFonts w:hint="eastAsia" w:ascii="仿宋" w:hAnsi="仿宋" w:eastAsia="仿宋"/>
          <w:b/>
          <w:bCs/>
          <w:sz w:val="24"/>
          <w:highlight w:val="none"/>
        </w:rPr>
        <w:t>投标人的法定代表人或其委托代理人须携带加密时所用的CA锁准时登录到“广西政府采购云平台”电子开标大厅签到</w:t>
      </w:r>
      <w:r>
        <w:rPr>
          <w:rFonts w:hint="eastAsia" w:ascii="仿宋" w:hAnsi="仿宋" w:eastAsia="仿宋" w:cs="宋体"/>
          <w:b/>
          <w:sz w:val="24"/>
          <w:highlight w:val="none"/>
        </w:rPr>
        <w:t>并在发起解密</w:t>
      </w:r>
      <w:r>
        <w:rPr>
          <w:rFonts w:hint="eastAsia" w:ascii="仿宋" w:hAnsi="仿宋" w:eastAsia="仿宋"/>
          <w:b/>
          <w:bCs/>
          <w:sz w:val="24"/>
          <w:highlight w:val="none"/>
        </w:rPr>
        <w:t>通知</w:t>
      </w:r>
      <w:r>
        <w:rPr>
          <w:rFonts w:hint="eastAsia" w:ascii="仿宋" w:hAnsi="仿宋" w:eastAsia="仿宋" w:cs="宋体"/>
          <w:b/>
          <w:sz w:val="24"/>
          <w:highlight w:val="none"/>
        </w:rPr>
        <w:t>之时起30分钟内完成</w:t>
      </w:r>
      <w:r>
        <w:rPr>
          <w:rFonts w:hint="eastAsia" w:ascii="仿宋" w:hAnsi="仿宋" w:eastAsia="仿宋"/>
          <w:b/>
          <w:bCs/>
          <w:sz w:val="24"/>
          <w:highlight w:val="none"/>
        </w:rPr>
        <w:t>对电子投标文件解密。投标文件未按时解密的，视为无效投标。</w:t>
      </w:r>
      <w:r>
        <w:rPr>
          <w:rFonts w:hint="eastAsia" w:ascii="仿宋" w:hAnsi="仿宋" w:eastAsia="仿宋"/>
          <w:bCs/>
          <w:sz w:val="24"/>
          <w:highlight w:val="none"/>
        </w:rPr>
        <w:t>（解密异常情况处理：详见本章29.4 电子交易活动的中止。</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（2）电子唱标。投标文件解密结束，各投标供应商报价均在</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远程不见面开标大厅展示；</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（3）开标过程由采购代理机构如实记录，并电子留痕，由参加电子开标的各投标人代表对电子开标记录在开标记录公布后15分钟内进行当场校核及勘误，并线上确认，未确认的视同认可开标结果。</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（5）开标结束。</w:t>
      </w:r>
    </w:p>
    <w:p>
      <w:pPr>
        <w:autoSpaceDE w:val="0"/>
        <w:autoSpaceDN w:val="0"/>
        <w:adjustRightInd w:val="0"/>
        <w:spacing w:line="440" w:lineRule="exact"/>
        <w:ind w:firstLine="482" w:firstLineChars="200"/>
        <w:rPr>
          <w:rFonts w:hint="eastAsia" w:ascii="仿宋" w:hAnsi="仿宋" w:eastAsia="仿宋"/>
          <w:b/>
          <w:bCs/>
          <w:sz w:val="24"/>
          <w:highlight w:val="none"/>
        </w:rPr>
      </w:pPr>
      <w:r>
        <w:rPr>
          <w:rFonts w:hint="eastAsia" w:ascii="仿宋" w:hAnsi="仿宋" w:eastAsia="仿宋"/>
          <w:b/>
          <w:bCs/>
          <w:sz w:val="24"/>
          <w:highlight w:val="none"/>
        </w:rPr>
        <w:t>特别说明：如遇“广西政府采购云平台”电子化开标或评审程序调整的，按调整后执行。</w:t>
      </w:r>
    </w:p>
    <w:p>
      <w:pPr>
        <w:pStyle w:val="5"/>
        <w:keepNext w:val="0"/>
        <w:keepLines w:val="0"/>
        <w:jc w:val="center"/>
        <w:rPr>
          <w:rFonts w:hint="eastAsia" w:ascii="仿宋" w:hAnsi="仿宋" w:eastAsia="仿宋"/>
          <w:highlight w:val="none"/>
        </w:rPr>
      </w:pPr>
      <w:r>
        <w:rPr>
          <w:rFonts w:hint="eastAsia" w:ascii="仿宋" w:hAnsi="仿宋" w:eastAsia="仿宋"/>
          <w:highlight w:val="none"/>
        </w:rPr>
        <w:t>五、资格审查</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25.资格审查</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25.1</w:t>
      </w:r>
      <w:r>
        <w:rPr>
          <w:rFonts w:ascii="仿宋" w:hAnsi="仿宋" w:eastAsia="仿宋"/>
          <w:b w:val="0"/>
          <w:sz w:val="24"/>
          <w:highlight w:val="none"/>
        </w:rPr>
        <w:t>开标结束后，</w:t>
      </w:r>
      <w:r>
        <w:rPr>
          <w:rFonts w:hint="eastAsia" w:ascii="仿宋" w:hAnsi="仿宋" w:eastAsia="仿宋"/>
          <w:b w:val="0"/>
          <w:sz w:val="24"/>
          <w:highlight w:val="none"/>
        </w:rPr>
        <w:t>采购人或者采购代理机构</w:t>
      </w:r>
      <w:r>
        <w:rPr>
          <w:rFonts w:ascii="仿宋" w:hAnsi="仿宋" w:eastAsia="仿宋"/>
          <w:b w:val="0"/>
          <w:sz w:val="24"/>
          <w:highlight w:val="none"/>
        </w:rPr>
        <w:t>依法对投标人的资格进行审查。</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25.2资格审查标准为本招标文件中载明对投标人资格要求的条件。本项目资格审查采用合格制，凡符合招标文件规定的投标人资格要求的投标人均通过资格审查。</w:t>
      </w:r>
    </w:p>
    <w:p>
      <w:pPr>
        <w:pStyle w:val="24"/>
        <w:spacing w:before="0" w:after="0"/>
        <w:rPr>
          <w:rFonts w:hint="eastAsia"/>
          <w:highlight w:val="none"/>
        </w:rPr>
      </w:pPr>
      <w:bookmarkStart w:id="174" w:name="_25.3_投标人有下列情形之一的，资格审查不通过而导致其投标无效："/>
      <w:bookmarkEnd w:id="174"/>
      <w:r>
        <w:rPr>
          <w:rFonts w:hint="eastAsia"/>
          <w:highlight w:val="none"/>
        </w:rPr>
        <w:t>25.3 投标人有下列情形之一的，资格审查不通过，作无效投标处理：</w:t>
      </w:r>
    </w:p>
    <w:p>
      <w:pPr>
        <w:pStyle w:val="24"/>
        <w:spacing w:before="0" w:after="0"/>
        <w:rPr>
          <w:rFonts w:hint="eastAsia"/>
          <w:highlight w:val="none"/>
        </w:rPr>
      </w:pPr>
      <w:r>
        <w:rPr>
          <w:rFonts w:hint="eastAsia"/>
          <w:highlight w:val="none"/>
        </w:rPr>
        <w:t>（1）未按招标文件规定的方式获取本招标文件的投标人；</w:t>
      </w:r>
    </w:p>
    <w:p>
      <w:pPr>
        <w:pStyle w:val="24"/>
        <w:spacing w:before="0" w:after="0"/>
        <w:rPr>
          <w:rFonts w:hint="eastAsia"/>
          <w:highlight w:val="none"/>
        </w:rPr>
      </w:pPr>
      <w:r>
        <w:rPr>
          <w:rFonts w:hint="eastAsia"/>
          <w:highlight w:val="none"/>
        </w:rPr>
        <w:t>（2）不具备招标文件中规定的资格要求的；</w:t>
      </w:r>
    </w:p>
    <w:p>
      <w:pPr>
        <w:pStyle w:val="24"/>
        <w:spacing w:before="0" w:after="0"/>
        <w:rPr>
          <w:rFonts w:hint="eastAsia"/>
          <w:highlight w:val="none"/>
        </w:rPr>
      </w:pPr>
      <w:r>
        <w:rPr>
          <w:rFonts w:hint="eastAsia"/>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pPr>
        <w:pStyle w:val="24"/>
        <w:rPr>
          <w:rFonts w:hint="eastAsia"/>
          <w:highlight w:val="none"/>
        </w:rPr>
      </w:pPr>
      <w:r>
        <w:rPr>
          <w:rFonts w:hint="eastAsia"/>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pPr>
        <w:pStyle w:val="24"/>
        <w:rPr>
          <w:rFonts w:hint="eastAsia"/>
          <w:highlight w:val="none"/>
        </w:rPr>
      </w:pPr>
      <w:r>
        <w:rPr>
          <w:rFonts w:hint="eastAsia"/>
          <w:highlight w:val="none"/>
        </w:rPr>
        <w:t>（</w:t>
      </w:r>
      <w:r>
        <w:rPr>
          <w:highlight w:val="none"/>
        </w:rPr>
        <w:t>5</w:t>
      </w:r>
      <w:r>
        <w:rPr>
          <w:rFonts w:hint="eastAsia"/>
          <w:highlight w:val="none"/>
        </w:rPr>
        <w:t>）投标文件中的资格证明文件缺少任一项“投标人须知前附表”资格证明文件规定“必须提供”的文件资料的；</w:t>
      </w:r>
    </w:p>
    <w:p>
      <w:pPr>
        <w:pStyle w:val="24"/>
        <w:rPr>
          <w:rFonts w:hint="eastAsia"/>
          <w:highlight w:val="none"/>
        </w:rPr>
      </w:pPr>
      <w:r>
        <w:rPr>
          <w:rFonts w:hint="eastAsia"/>
          <w:highlight w:val="none"/>
        </w:rPr>
        <w:t>（</w:t>
      </w:r>
      <w:r>
        <w:rPr>
          <w:highlight w:val="none"/>
        </w:rPr>
        <w:t>6</w:t>
      </w:r>
      <w:r>
        <w:rPr>
          <w:rFonts w:hint="eastAsia"/>
          <w:highlight w:val="none"/>
        </w:rPr>
        <w:t>）投标文件中的资格证明文件出现任一项不符合“投标人须知前附表”资格证明文件规定“必须提供”的文件资料要求或者无效的。</w:t>
      </w:r>
    </w:p>
    <w:p>
      <w:pPr>
        <w:pStyle w:val="6"/>
        <w:keepNext w:val="0"/>
        <w:keepLines w:val="0"/>
        <w:spacing w:before="0" w:after="0" w:line="360" w:lineRule="auto"/>
        <w:ind w:left="420" w:leftChars="200" w:firstLine="480"/>
        <w:rPr>
          <w:rFonts w:hint="eastAsia" w:ascii="仿宋" w:hAnsi="仿宋" w:eastAsia="仿宋"/>
          <w:b w:val="0"/>
          <w:sz w:val="24"/>
          <w:highlight w:val="none"/>
        </w:rPr>
      </w:pPr>
      <w:r>
        <w:rPr>
          <w:rFonts w:hint="eastAsia" w:ascii="仿宋" w:hAnsi="仿宋" w:eastAsia="仿宋"/>
          <w:sz w:val="24"/>
          <w:highlight w:val="none"/>
        </w:rPr>
        <w:t>25.4</w:t>
      </w:r>
      <w:r>
        <w:rPr>
          <w:rFonts w:ascii="仿宋" w:hAnsi="仿宋" w:eastAsia="仿宋"/>
          <w:sz w:val="24"/>
          <w:highlight w:val="none"/>
        </w:rPr>
        <w:t>合格投标人不足3家的，不得评标。</w:t>
      </w:r>
    </w:p>
    <w:p>
      <w:pPr>
        <w:pStyle w:val="5"/>
        <w:keepNext w:val="0"/>
        <w:keepLines w:val="0"/>
        <w:jc w:val="center"/>
        <w:rPr>
          <w:rFonts w:hint="eastAsia" w:ascii="仿宋" w:hAnsi="仿宋" w:eastAsia="仿宋"/>
          <w:highlight w:val="none"/>
        </w:rPr>
      </w:pPr>
      <w:r>
        <w:rPr>
          <w:rFonts w:hint="eastAsia" w:ascii="仿宋" w:hAnsi="仿宋" w:eastAsia="仿宋"/>
          <w:highlight w:val="none"/>
        </w:rPr>
        <w:t>六、评   标</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75" w:name="_26.组建评标委员会"/>
      <w:bookmarkEnd w:id="175"/>
      <w:r>
        <w:rPr>
          <w:rFonts w:hint="eastAsia" w:ascii="仿宋" w:hAnsi="仿宋" w:eastAsia="仿宋"/>
          <w:sz w:val="24"/>
          <w:highlight w:val="none"/>
        </w:rPr>
        <w:t>26.组建评标委员会</w:t>
      </w:r>
    </w:p>
    <w:p>
      <w:pPr>
        <w:pStyle w:val="24"/>
        <w:rPr>
          <w:rFonts w:hint="eastAsia"/>
          <w:highlight w:val="none"/>
        </w:rPr>
      </w:pPr>
      <w:r>
        <w:rPr>
          <w:rFonts w:hint="eastAsia"/>
          <w:highlight w:val="none"/>
        </w:rPr>
        <w:t>评标委员会由采购人代表和评审专家组成，具体人数详见“投标人须知前附表”，其中评审专家不得少于成员总数的三分之二。</w:t>
      </w:r>
    </w:p>
    <w:p>
      <w:pPr>
        <w:pStyle w:val="24"/>
        <w:rPr>
          <w:rFonts w:hint="eastAsia"/>
          <w:highlight w:val="none"/>
        </w:rPr>
      </w:pPr>
      <w:r>
        <w:rPr>
          <w:rFonts w:hint="eastAsia"/>
          <w:highlight w:val="none"/>
        </w:rPr>
        <w:t>参加过采购项目前期咨询论证的专家，不得参加该采购项目的评审活动。</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27.评标的依据</w:t>
      </w:r>
    </w:p>
    <w:p>
      <w:pPr>
        <w:pStyle w:val="24"/>
        <w:rPr>
          <w:rFonts w:hint="eastAsia"/>
          <w:highlight w:val="none"/>
        </w:rPr>
      </w:pPr>
      <w:r>
        <w:rPr>
          <w:rFonts w:hint="eastAsia"/>
          <w:highlight w:val="none"/>
        </w:rPr>
        <w:t>评标委员会以“第四章 评标方法和评标标准”为依据对投标文件进行评审，</w:t>
      </w:r>
      <w:r>
        <w:rPr>
          <w:highlight w:val="none"/>
        </w:rPr>
        <w:t>没有规定的方法、评审因素和标准，不作为评标依据。</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28.评标原则</w:t>
      </w:r>
    </w:p>
    <w:p>
      <w:pPr>
        <w:pStyle w:val="24"/>
        <w:rPr>
          <w:rFonts w:hint="eastAsia"/>
          <w:highlight w:val="none"/>
        </w:rPr>
      </w:pPr>
      <w:r>
        <w:rPr>
          <w:rFonts w:hint="eastAsia"/>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4"/>
        <w:rPr>
          <w:rFonts w:hint="eastAsia"/>
          <w:highlight w:val="none"/>
        </w:rPr>
      </w:pPr>
      <w:r>
        <w:rPr>
          <w:rFonts w:hint="eastAsia"/>
          <w:highlight w:val="none"/>
        </w:rPr>
        <w:t>28.2</w:t>
      </w:r>
      <w:bookmarkStart w:id="176" w:name="_28.3评标方法。本项目将按须知前附表规定的评标办法进行评标，具体评标"/>
      <w:bookmarkEnd w:id="176"/>
      <w:r>
        <w:rPr>
          <w:rFonts w:hint="eastAsia"/>
          <w:highlight w:val="none"/>
        </w:rPr>
        <w:t>评委表决。评标委员会成员对需要共同认定的事项存在争议的，应当按照少数服从多数的原则作出结论。</w:t>
      </w:r>
    </w:p>
    <w:p>
      <w:pPr>
        <w:pStyle w:val="24"/>
        <w:rPr>
          <w:rFonts w:hint="eastAsia"/>
          <w:highlight w:val="none"/>
        </w:rPr>
      </w:pPr>
      <w:r>
        <w:rPr>
          <w:rFonts w:hint="eastAsia"/>
          <w:highlight w:val="none"/>
        </w:rPr>
        <w:t>28.</w:t>
      </w:r>
      <w:r>
        <w:rPr>
          <w:highlight w:val="none"/>
        </w:rPr>
        <w:t>3</w:t>
      </w:r>
      <w:r>
        <w:rPr>
          <w:rFonts w:hint="eastAsia"/>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4"/>
        <w:rPr>
          <w:rFonts w:hint="eastAsia"/>
          <w:highlight w:val="none"/>
        </w:rPr>
      </w:pPr>
      <w:r>
        <w:rPr>
          <w:rFonts w:hint="eastAsia"/>
          <w:highlight w:val="none"/>
        </w:rPr>
        <w:t>2</w:t>
      </w:r>
      <w:r>
        <w:rPr>
          <w:highlight w:val="none"/>
        </w:rPr>
        <w:t>8.4</w:t>
      </w:r>
      <w:r>
        <w:rPr>
          <w:rFonts w:hint="eastAsia"/>
          <w:highlight w:val="none"/>
        </w:rPr>
        <w:t>评标过程的监控。本项目评标过程实行全程录音、录像监控，投标人在评标过程中所进行的试图影响评标结果的不公正活动，可能导致其投标无效。</w:t>
      </w:r>
    </w:p>
    <w:p>
      <w:pPr>
        <w:pStyle w:val="6"/>
        <w:keepNext w:val="0"/>
        <w:keepLines w:val="0"/>
        <w:numPr>
          <w:ilvl w:val="4"/>
          <w:numId w:val="0"/>
        </w:numPr>
        <w:spacing w:before="0" w:after="0" w:line="360" w:lineRule="auto"/>
        <w:ind w:left="420" w:leftChars="200"/>
        <w:rPr>
          <w:rFonts w:hint="eastAsia" w:ascii="仿宋" w:hAnsi="仿宋" w:eastAsia="仿宋"/>
          <w:sz w:val="24"/>
          <w:highlight w:val="none"/>
        </w:rPr>
      </w:pPr>
      <w:r>
        <w:rPr>
          <w:rFonts w:hint="eastAsia" w:ascii="仿宋" w:hAnsi="仿宋" w:eastAsia="仿宋"/>
          <w:sz w:val="24"/>
          <w:highlight w:val="none"/>
        </w:rPr>
        <w:t>29.评标方法及中标候选人推荐</w:t>
      </w:r>
    </w:p>
    <w:p>
      <w:pPr>
        <w:pStyle w:val="24"/>
        <w:rPr>
          <w:rFonts w:hint="eastAsia"/>
          <w:highlight w:val="none"/>
        </w:rPr>
      </w:pPr>
      <w:r>
        <w:rPr>
          <w:rFonts w:hint="eastAsia"/>
          <w:highlight w:val="none"/>
        </w:rPr>
        <w:t>2</w:t>
      </w:r>
      <w:r>
        <w:rPr>
          <w:highlight w:val="none"/>
        </w:rPr>
        <w:t>9.1</w:t>
      </w:r>
      <w:r>
        <w:rPr>
          <w:rFonts w:hint="eastAsia"/>
          <w:highlight w:val="none"/>
        </w:rPr>
        <w:t>本项目的评标方法详见“投标人须知前附表”。</w:t>
      </w:r>
    </w:p>
    <w:p>
      <w:pPr>
        <w:pStyle w:val="24"/>
        <w:rPr>
          <w:rFonts w:hint="eastAsia"/>
          <w:highlight w:val="none"/>
        </w:rPr>
      </w:pPr>
      <w:r>
        <w:rPr>
          <w:rFonts w:hint="eastAsia"/>
          <w:highlight w:val="none"/>
        </w:rPr>
        <w:t>2</w:t>
      </w:r>
      <w:r>
        <w:rPr>
          <w:highlight w:val="none"/>
        </w:rPr>
        <w:t>9.</w:t>
      </w:r>
      <w:r>
        <w:rPr>
          <w:rFonts w:hint="eastAsia"/>
          <w:highlight w:val="none"/>
        </w:rPr>
        <w:t>2</w:t>
      </w:r>
      <w:r>
        <w:rPr>
          <w:highlight w:val="none"/>
        </w:rPr>
        <w:t>中标候选人推荐数量详见</w:t>
      </w:r>
      <w:r>
        <w:rPr>
          <w:rFonts w:hint="eastAsia"/>
          <w:highlight w:val="none"/>
        </w:rPr>
        <w:t>“投标人须知前附表”。</w:t>
      </w:r>
    </w:p>
    <w:p>
      <w:pPr>
        <w:pStyle w:val="24"/>
        <w:rPr>
          <w:rFonts w:hint="eastAsia"/>
          <w:highlight w:val="none"/>
        </w:rPr>
      </w:pPr>
      <w:r>
        <w:rPr>
          <w:rFonts w:hint="eastAsia"/>
          <w:highlight w:val="none"/>
        </w:rPr>
        <w:t>2</w:t>
      </w:r>
      <w:r>
        <w:rPr>
          <w:highlight w:val="none"/>
        </w:rPr>
        <w:t>9.</w:t>
      </w:r>
      <w:r>
        <w:rPr>
          <w:rFonts w:hint="eastAsia"/>
          <w:highlight w:val="none"/>
        </w:rPr>
        <w:t>3</w:t>
      </w:r>
      <w:r>
        <w:rPr>
          <w:highlight w:val="none"/>
        </w:rPr>
        <w:t>评标委员会</w:t>
      </w:r>
      <w:r>
        <w:rPr>
          <w:rFonts w:hint="eastAsia"/>
          <w:highlight w:val="none"/>
        </w:rPr>
        <w:t>将</w:t>
      </w:r>
      <w:r>
        <w:rPr>
          <w:highlight w:val="none"/>
        </w:rPr>
        <w:t>按照</w:t>
      </w:r>
      <w:r>
        <w:rPr>
          <w:rFonts w:hint="eastAsia"/>
          <w:highlight w:val="none"/>
        </w:rPr>
        <w:t>“第四章 评标方法和评标标准”</w:t>
      </w:r>
      <w:r>
        <w:rPr>
          <w:highlight w:val="none"/>
        </w:rPr>
        <w:t>规定的方法、评审因素、标准和程序对投标文件进行评审。</w:t>
      </w:r>
    </w:p>
    <w:p>
      <w:pPr>
        <w:pStyle w:val="24"/>
        <w:rPr>
          <w:rFonts w:hint="eastAsia"/>
          <w:highlight w:val="none"/>
        </w:rPr>
      </w:pPr>
      <w:r>
        <w:rPr>
          <w:rFonts w:hint="eastAsia"/>
          <w:highlight w:val="none"/>
        </w:rPr>
        <w:t>29.4电子交易活动的中止。采购过程中出现以下情形，导致电子交易平台无法正常运行，或者无法保证电子交易的公平、公正和安全时，采购代理机构可中止电子交易活动：</w:t>
      </w:r>
    </w:p>
    <w:p>
      <w:pPr>
        <w:pStyle w:val="24"/>
        <w:rPr>
          <w:rFonts w:hint="eastAsia"/>
          <w:highlight w:val="none"/>
        </w:rPr>
      </w:pPr>
      <w:r>
        <w:rPr>
          <w:rFonts w:hint="eastAsia"/>
          <w:highlight w:val="none"/>
        </w:rPr>
        <w:t xml:space="preserve">（1）电子交易平台发生故障而无法登录访问的； </w:t>
      </w:r>
    </w:p>
    <w:p>
      <w:pPr>
        <w:pStyle w:val="24"/>
        <w:rPr>
          <w:rFonts w:hint="eastAsia"/>
          <w:highlight w:val="none"/>
        </w:rPr>
      </w:pPr>
      <w:r>
        <w:rPr>
          <w:rFonts w:hint="eastAsia"/>
          <w:highlight w:val="none"/>
        </w:rPr>
        <w:t>（2）电子交易平台应用或数据库出现错误，不能进行正常操作的；</w:t>
      </w:r>
    </w:p>
    <w:p>
      <w:pPr>
        <w:pStyle w:val="24"/>
        <w:rPr>
          <w:rFonts w:hint="eastAsia"/>
          <w:highlight w:val="none"/>
        </w:rPr>
      </w:pPr>
      <w:r>
        <w:rPr>
          <w:rFonts w:hint="eastAsia"/>
          <w:highlight w:val="none"/>
        </w:rPr>
        <w:t>（3）电子交易平台发现严重安全漏洞，有潜在泄密危险的；</w:t>
      </w:r>
    </w:p>
    <w:p>
      <w:pPr>
        <w:pStyle w:val="24"/>
        <w:rPr>
          <w:rFonts w:hint="eastAsia"/>
          <w:highlight w:val="none"/>
        </w:rPr>
      </w:pPr>
      <w:r>
        <w:rPr>
          <w:rFonts w:hint="eastAsia"/>
          <w:highlight w:val="none"/>
        </w:rPr>
        <w:t xml:space="preserve">（4）病毒发作导致不能进行正常操作的； </w:t>
      </w:r>
    </w:p>
    <w:p>
      <w:pPr>
        <w:pStyle w:val="24"/>
        <w:rPr>
          <w:rFonts w:hint="eastAsia"/>
          <w:highlight w:val="none"/>
        </w:rPr>
      </w:pPr>
      <w:r>
        <w:rPr>
          <w:rFonts w:hint="eastAsia"/>
          <w:highlight w:val="none"/>
        </w:rPr>
        <w:t>（4）其他无法保证电子交易的公平、公正和安全的情况。</w:t>
      </w:r>
    </w:p>
    <w:p>
      <w:pPr>
        <w:pStyle w:val="24"/>
        <w:rPr>
          <w:rFonts w:hint="eastAsia"/>
          <w:highlight w:val="none"/>
        </w:rPr>
      </w:pPr>
      <w:r>
        <w:rPr>
          <w:rFonts w:hint="eastAsia"/>
          <w:highlight w:val="none"/>
        </w:rPr>
        <w:t>29.5出现以上情形，不影响采购公平、公正性的，采购代理机构可以待上述情形消除后继续组织电子交易活动；影响或可能影响采购公平、公正性的，经采购代理机构确认后，应当重新采购。</w:t>
      </w:r>
    </w:p>
    <w:p>
      <w:pPr>
        <w:pStyle w:val="5"/>
        <w:keepNext w:val="0"/>
        <w:keepLines w:val="0"/>
        <w:jc w:val="center"/>
        <w:rPr>
          <w:rFonts w:hint="eastAsia" w:ascii="仿宋" w:hAnsi="仿宋" w:eastAsia="仿宋"/>
          <w:highlight w:val="none"/>
        </w:rPr>
      </w:pPr>
      <w:bookmarkStart w:id="177" w:name="_Toc254970546"/>
      <w:bookmarkStart w:id="178" w:name="_Toc254970687"/>
      <w:r>
        <w:rPr>
          <w:rFonts w:hint="eastAsia" w:ascii="仿宋" w:hAnsi="仿宋" w:eastAsia="仿宋"/>
          <w:highlight w:val="none"/>
        </w:rPr>
        <w:t>七、</w:t>
      </w:r>
      <w:bookmarkEnd w:id="177"/>
      <w:bookmarkEnd w:id="178"/>
      <w:r>
        <w:rPr>
          <w:rFonts w:hint="eastAsia" w:ascii="仿宋" w:hAnsi="仿宋" w:eastAsia="仿宋"/>
          <w:highlight w:val="none"/>
        </w:rPr>
        <w:t>中标和合同</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30</w:t>
      </w:r>
      <w:r>
        <w:rPr>
          <w:rFonts w:ascii="仿宋" w:hAnsi="仿宋" w:eastAsia="仿宋"/>
          <w:sz w:val="24"/>
          <w:highlight w:val="none"/>
        </w:rPr>
        <w:t xml:space="preserve"> </w:t>
      </w:r>
      <w:r>
        <w:rPr>
          <w:rFonts w:hint="eastAsia" w:ascii="仿宋" w:hAnsi="仿宋" w:eastAsia="仿宋"/>
          <w:sz w:val="24"/>
          <w:highlight w:val="none"/>
        </w:rPr>
        <w:t>确定中标人</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ascii="仿宋" w:hAnsi="仿宋" w:eastAsia="仿宋"/>
          <w:b w:val="0"/>
          <w:sz w:val="24"/>
          <w:highlight w:val="none"/>
        </w:rPr>
        <w:t>30.1</w:t>
      </w:r>
      <w:r>
        <w:rPr>
          <w:rFonts w:hint="eastAsia" w:ascii="仿宋" w:hAnsi="仿宋" w:eastAsia="仿宋"/>
          <w:b w:val="0"/>
          <w:sz w:val="24"/>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80" w:firstLineChars="200"/>
        <w:rPr>
          <w:rFonts w:hint="eastAsia" w:ascii="仿宋" w:hAnsi="仿宋" w:eastAsia="仿宋" w:cs="Courier New"/>
          <w:sz w:val="24"/>
          <w:highlight w:val="none"/>
        </w:rPr>
      </w:pPr>
      <w:r>
        <w:rPr>
          <w:rFonts w:ascii="仿宋" w:hAnsi="仿宋" w:eastAsia="仿宋" w:cs="Courier New"/>
          <w:sz w:val="24"/>
          <w:highlight w:val="none"/>
        </w:rPr>
        <w:t>30.2</w:t>
      </w:r>
      <w:r>
        <w:rPr>
          <w:rFonts w:hint="eastAsia" w:ascii="仿宋" w:hAnsi="仿宋" w:eastAsia="仿宋" w:cs="Courier New"/>
          <w:sz w:val="24"/>
          <w:highlight w:val="none"/>
        </w:rPr>
        <w:t>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30.3出现下列情形之一的，应予废标：</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（1）符合专业条件的供应商或者对招标文件作实质响应的供应商不足三家的；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（2）出现影响采购公正的违法、违规行为的；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（3）投标人的报价均超过了采购预算，采购人不能支付的；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（4）因重大变故，采购任务取消的。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废标后，采购人应当将废标理由通知所有投标人。</w:t>
      </w:r>
    </w:p>
    <w:p>
      <w:pPr>
        <w:snapToGrid w:val="0"/>
        <w:spacing w:line="360" w:lineRule="auto"/>
        <w:ind w:firstLine="480" w:firstLineChars="200"/>
        <w:rPr>
          <w:rFonts w:hint="eastAsia" w:ascii="仿宋" w:hAnsi="仿宋" w:eastAsia="仿宋" w:cs="Courier New"/>
          <w:sz w:val="24"/>
          <w:highlight w:val="none"/>
        </w:rPr>
      </w:pPr>
      <w:r>
        <w:rPr>
          <w:rFonts w:ascii="仿宋" w:hAnsi="仿宋" w:eastAsia="仿宋" w:cs="Courier New"/>
          <w:sz w:val="24"/>
          <w:highlight w:val="none"/>
        </w:rPr>
        <w:t>30.</w:t>
      </w:r>
      <w:r>
        <w:rPr>
          <w:rFonts w:hint="eastAsia" w:ascii="仿宋" w:hAnsi="仿宋" w:eastAsia="仿宋" w:cs="Courier New"/>
          <w:sz w:val="24"/>
          <w:highlight w:val="none"/>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仿宋" w:hAnsi="仿宋" w:eastAsia="仿宋" w:cs="Courier New"/>
          <w:sz w:val="24"/>
          <w:highlight w:val="none"/>
        </w:rPr>
        <w:t>拒绝签订政府采购合同的</w:t>
      </w:r>
      <w:r>
        <w:rPr>
          <w:rFonts w:hint="eastAsia" w:ascii="仿宋" w:hAnsi="仿宋" w:eastAsia="仿宋" w:cs="Courier New"/>
          <w:sz w:val="24"/>
          <w:highlight w:val="none"/>
        </w:rPr>
        <w:t>中标人</w:t>
      </w:r>
      <w:r>
        <w:rPr>
          <w:rFonts w:ascii="仿宋" w:hAnsi="仿宋" w:eastAsia="仿宋" w:cs="Courier New"/>
          <w:sz w:val="24"/>
          <w:highlight w:val="none"/>
        </w:rPr>
        <w:t>不得参加对该项目重新开展的采购活动。</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31. 结果公告</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w:t>
      </w:r>
      <w:r>
        <w:rPr>
          <w:rFonts w:ascii="仿宋" w:hAnsi="仿宋" w:eastAsia="仿宋"/>
          <w:b w:val="0"/>
          <w:sz w:val="24"/>
          <w:highlight w:val="none"/>
        </w:rPr>
        <w:t>1.1</w:t>
      </w:r>
      <w:r>
        <w:rPr>
          <w:rFonts w:hint="eastAsia" w:ascii="仿宋" w:hAnsi="仿宋" w:eastAsia="仿宋"/>
          <w:b w:val="0"/>
          <w:sz w:val="24"/>
          <w:highlight w:val="none"/>
        </w:rPr>
        <w:t>采购人或者采购代理机构应当自中标人确定之日起2个工作日内，在省级以上财政部门指定的媒体上公告中标结果，招标文件应当随中标结果同时公告。</w:t>
      </w:r>
      <w:r>
        <w:rPr>
          <w:rFonts w:hint="eastAsia" w:ascii="仿宋" w:hAnsi="仿宋" w:eastAsia="仿宋"/>
          <w:sz w:val="24"/>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b w:val="0"/>
          <w:sz w:val="24"/>
          <w:highlight w:val="none"/>
        </w:rPr>
        <w:t>排名第二的中标候选人因前款规定的同样原因被取消中标资格的，采购人可以确定排名第三的中标候选人为中标人，以此类推。以上信息查询记录及相关证据与采购文件一并保存。</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31.2中标供应商享受《政府采购促进中小企业发展管理办法》（财库〔2020〕46号）规定的中小企业扶持政策的，采购人、采购代理机构应当随中标结果公开中标供应商的《中小企业声明函》。</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32.发出中标通知书</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33. 无义务解释未中标原因</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采购代理机构无义务向未中标的投标人解释未中标原因和退还投标文件。</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34.合同授予标准</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cs="Courier New"/>
          <w:sz w:val="24"/>
          <w:highlight w:val="none"/>
        </w:rPr>
        <w:t>合同将授予被确定实质上响应招标文件要求，具备履行合同能力的中标人（招标文件另有约定多名中标人的除外）。</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35.履约保证金</w:t>
      </w:r>
    </w:p>
    <w:p>
      <w:pPr>
        <w:pStyle w:val="6"/>
        <w:keepNext w:val="0"/>
        <w:keepLines w:val="0"/>
        <w:spacing w:before="0" w:after="0" w:line="360" w:lineRule="auto"/>
        <w:ind w:firstLine="360" w:firstLineChars="150"/>
        <w:rPr>
          <w:rFonts w:hint="eastAsia" w:ascii="仿宋" w:hAnsi="仿宋" w:eastAsia="仿宋"/>
          <w:b w:val="0"/>
          <w:sz w:val="24"/>
          <w:highlight w:val="none"/>
        </w:rPr>
      </w:pPr>
      <w:bookmarkStart w:id="179" w:name="_39.1中标人须于签订合同前按本须知前附表规定的金额转账或电汇到指定账"/>
      <w:bookmarkEnd w:id="179"/>
      <w:r>
        <w:rPr>
          <w:rFonts w:ascii="仿宋" w:hAnsi="仿宋" w:eastAsia="仿宋"/>
          <w:b w:val="0"/>
          <w:sz w:val="24"/>
          <w:highlight w:val="none"/>
        </w:rPr>
        <w:t xml:space="preserve"> </w:t>
      </w:r>
      <w:r>
        <w:rPr>
          <w:rFonts w:hint="eastAsia" w:ascii="仿宋" w:hAnsi="仿宋" w:eastAsia="仿宋"/>
          <w:b w:val="0"/>
          <w:sz w:val="24"/>
          <w:highlight w:val="none"/>
        </w:rPr>
        <w:t>3</w:t>
      </w:r>
      <w:r>
        <w:rPr>
          <w:rFonts w:ascii="仿宋" w:hAnsi="仿宋" w:eastAsia="仿宋"/>
          <w:b w:val="0"/>
          <w:sz w:val="24"/>
          <w:highlight w:val="none"/>
        </w:rPr>
        <w:t>5</w:t>
      </w:r>
      <w:r>
        <w:rPr>
          <w:rFonts w:hint="eastAsia" w:ascii="仿宋" w:hAnsi="仿宋" w:eastAsia="仿宋"/>
          <w:b w:val="0"/>
          <w:sz w:val="24"/>
          <w:highlight w:val="none"/>
        </w:rPr>
        <w:t>.1 履约保证金的金额、提交方式、退付的时间和条件详见 “投标人须知前附表”。中标人未按规定提交履约保证金的，视为拒绝与采购人签订合同。</w:t>
      </w:r>
    </w:p>
    <w:p>
      <w:pPr>
        <w:pStyle w:val="6"/>
        <w:keepNext w:val="0"/>
        <w:keepLines w:val="0"/>
        <w:spacing w:before="0" w:after="0" w:line="360" w:lineRule="auto"/>
        <w:ind w:firstLine="361" w:firstLineChars="150"/>
        <w:rPr>
          <w:rFonts w:hint="eastAsia" w:ascii="仿宋" w:hAnsi="仿宋" w:eastAsia="仿宋"/>
          <w:sz w:val="24"/>
          <w:highlight w:val="none"/>
        </w:rPr>
      </w:pPr>
      <w:r>
        <w:rPr>
          <w:rFonts w:hint="eastAsia" w:ascii="仿宋" w:hAnsi="仿宋" w:eastAsia="仿宋"/>
          <w:sz w:val="24"/>
          <w:highlight w:val="none"/>
        </w:rPr>
        <w:t xml:space="preserve"> </w:t>
      </w:r>
      <w:r>
        <w:rPr>
          <w:rFonts w:hint="eastAsia" w:ascii="仿宋" w:hAnsi="仿宋" w:eastAsia="仿宋"/>
          <w:b w:val="0"/>
          <w:bCs/>
          <w:sz w:val="24"/>
          <w:highlight w:val="none"/>
        </w:rPr>
        <w:t>35.2在履约保证金退还日期前，若中标人的开户名称、开户银行、账号有变动的，请以书面形式通知履约保证金收取单位，否则由此产生的后果由中标人自行承担。</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36.签订合同</w:t>
      </w:r>
    </w:p>
    <w:p>
      <w:pPr>
        <w:pStyle w:val="6"/>
        <w:keepNext w:val="0"/>
        <w:keepLines w:val="0"/>
        <w:spacing w:before="0" w:after="0" w:line="360" w:lineRule="auto"/>
        <w:ind w:firstLine="360" w:firstLineChars="150"/>
        <w:rPr>
          <w:rFonts w:hint="eastAsia" w:ascii="仿宋" w:hAnsi="仿宋" w:eastAsia="仿宋"/>
          <w:b w:val="0"/>
          <w:bCs/>
          <w:sz w:val="24"/>
          <w:highlight w:val="none"/>
        </w:rPr>
      </w:pPr>
      <w:bookmarkStart w:id="180" w:name="_40.1投标人接到中标通知书后，按须知前附表规定向采购人出示相关资格证"/>
      <w:bookmarkEnd w:id="180"/>
      <w:r>
        <w:rPr>
          <w:rFonts w:hint="eastAsia" w:ascii="仿宋" w:hAnsi="仿宋" w:eastAsia="仿宋"/>
          <w:b w:val="0"/>
          <w:sz w:val="24"/>
          <w:highlight w:val="none"/>
        </w:rPr>
        <w:t xml:space="preserve"> 36.1投标人领取中标通知书（书面或电子）后，按“投标人须知前附表”规定向采购人出示相关证明材料，经采购人核验合格后方可签订采购合同（书面或电子）。</w:t>
      </w:r>
      <w:r>
        <w:rPr>
          <w:rFonts w:hint="eastAsia" w:ascii="仿宋" w:hAnsi="仿宋" w:eastAsia="仿宋"/>
          <w:b w:val="0"/>
          <w:bCs/>
          <w:sz w:val="24"/>
          <w:highlight w:val="none"/>
        </w:rPr>
        <w:t>如中标人为联合体的，</w:t>
      </w:r>
      <w:r>
        <w:rPr>
          <w:rFonts w:ascii="仿宋" w:hAnsi="仿宋" w:eastAsia="仿宋"/>
          <w:b w:val="0"/>
          <w:bCs/>
          <w:sz w:val="24"/>
          <w:highlight w:val="none"/>
        </w:rPr>
        <w:t>联合体各方应当共同与采购人签订采购合同，就采购合同约定的事项对采购人承担连带责任。</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36.2签订合同时间：中标通知书（中标公告）发出之日起</w:t>
      </w:r>
      <w:r>
        <w:rPr>
          <w:rFonts w:ascii="仿宋" w:hAnsi="仿宋" w:eastAsia="仿宋"/>
          <w:b w:val="0"/>
          <w:sz w:val="24"/>
          <w:highlight w:val="none"/>
        </w:rPr>
        <w:t>8</w:t>
      </w:r>
      <w:r>
        <w:rPr>
          <w:rFonts w:hint="eastAsia" w:ascii="仿宋" w:hAnsi="仿宋" w:eastAsia="仿宋"/>
          <w:b w:val="0"/>
          <w:sz w:val="24"/>
          <w:highlight w:val="none"/>
        </w:rPr>
        <w:t>个工作日内。</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36.</w:t>
      </w:r>
      <w:r>
        <w:rPr>
          <w:rFonts w:ascii="仿宋" w:hAnsi="仿宋" w:eastAsia="仿宋"/>
          <w:b w:val="0"/>
          <w:sz w:val="24"/>
          <w:highlight w:val="none"/>
        </w:rPr>
        <w:t>3</w:t>
      </w:r>
      <w:r>
        <w:rPr>
          <w:rFonts w:hint="eastAsia" w:ascii="仿宋" w:hAnsi="仿宋" w:eastAsia="仿宋"/>
          <w:b w:val="0"/>
          <w:sz w:val="24"/>
          <w:highlight w:val="none"/>
        </w:rPr>
        <w:t>中标人拒绝与采购人签订合同的，按照本须知正文第3</w:t>
      </w:r>
      <w:r>
        <w:rPr>
          <w:rFonts w:ascii="仿宋" w:hAnsi="仿宋" w:eastAsia="仿宋"/>
          <w:b w:val="0"/>
          <w:sz w:val="24"/>
          <w:highlight w:val="none"/>
        </w:rPr>
        <w:t>0.4条</w:t>
      </w:r>
      <w:r>
        <w:rPr>
          <w:rFonts w:hint="eastAsia" w:ascii="仿宋" w:hAnsi="仿宋" w:eastAsia="仿宋"/>
          <w:b w:val="0"/>
          <w:sz w:val="24"/>
          <w:highlight w:val="none"/>
        </w:rPr>
        <w:t>的规定执行。</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81" w:name="_41.政府采购合同公告"/>
      <w:bookmarkEnd w:id="181"/>
      <w:r>
        <w:rPr>
          <w:rFonts w:hint="eastAsia" w:ascii="仿宋" w:hAnsi="仿宋" w:eastAsia="仿宋"/>
          <w:sz w:val="24"/>
          <w:highlight w:val="none"/>
        </w:rPr>
        <w:t>37.政府采购合同公告</w:t>
      </w:r>
    </w:p>
    <w:p>
      <w:pPr>
        <w:pStyle w:val="6"/>
        <w:keepNext w:val="0"/>
        <w:keepLines w:val="0"/>
        <w:spacing w:before="0" w:after="0" w:line="360" w:lineRule="auto"/>
        <w:ind w:firstLine="360" w:firstLineChars="150"/>
        <w:rPr>
          <w:highlight w:val="none"/>
        </w:rPr>
      </w:pPr>
      <w:r>
        <w:rPr>
          <w:rFonts w:hint="eastAsia" w:ascii="仿宋" w:hAnsi="仿宋" w:eastAsia="仿宋"/>
          <w:b w:val="0"/>
          <w:bCs/>
          <w:sz w:val="24"/>
          <w:highlight w:val="none"/>
        </w:rPr>
        <w:t>采购人或者受托采购代理机构应当自政府采购合同签订之日起2个工作日内，将政府采购合同在省级以上人民政府财政部门指定的媒体上公告，</w:t>
      </w:r>
      <w:r>
        <w:rPr>
          <w:rFonts w:ascii="仿宋" w:hAnsi="仿宋" w:eastAsia="仿宋"/>
          <w:b w:val="0"/>
          <w:bCs/>
          <w:sz w:val="24"/>
          <w:highlight w:val="none"/>
        </w:rPr>
        <w:t>但政府采购合同中涉及国家秘密、商业秘密的内容除外。</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8.</w:t>
      </w:r>
      <w:r>
        <w:rPr>
          <w:rFonts w:hint="eastAsia" w:ascii="仿宋" w:hAnsi="仿宋" w:eastAsia="仿宋"/>
          <w:sz w:val="24"/>
          <w:highlight w:val="none"/>
        </w:rPr>
        <w:t xml:space="preserve"> 询问、质疑和投诉</w:t>
      </w:r>
    </w:p>
    <w:p>
      <w:pPr>
        <w:pStyle w:val="7"/>
        <w:spacing w:line="360" w:lineRule="auto"/>
        <w:ind w:firstLine="480" w:firstLineChars="200"/>
        <w:rPr>
          <w:rFonts w:hint="eastAsia" w:ascii="仿宋" w:hAnsi="仿宋" w:eastAsia="仿宋"/>
          <w:sz w:val="24"/>
          <w:szCs w:val="24"/>
          <w:highlight w:val="none"/>
        </w:rPr>
      </w:pPr>
      <w:r>
        <w:rPr>
          <w:rFonts w:hint="eastAsia" w:ascii="仿宋" w:hAnsi="仿宋" w:eastAsia="仿宋"/>
          <w:sz w:val="24"/>
          <w:szCs w:val="24"/>
          <w:highlight w:val="none"/>
        </w:rPr>
        <w:t>38.1</w:t>
      </w:r>
      <w:r>
        <w:rPr>
          <w:rFonts w:ascii="仿宋" w:hAnsi="仿宋" w:eastAsia="仿宋"/>
          <w:sz w:val="24"/>
          <w:szCs w:val="24"/>
          <w:highlight w:val="none"/>
        </w:rPr>
        <w:t>供应商对政府采购活动事项有疑问的，可以向采购人提出询问，采购人或者采购代理机构应当在3个工作日内对供应商依法提出的询问作出答复，但答复的内容不得涉及商业秘密。</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w:t>
      </w:r>
      <w:r>
        <w:rPr>
          <w:rFonts w:ascii="仿宋" w:hAnsi="仿宋" w:eastAsia="仿宋"/>
          <w:b w:val="0"/>
          <w:sz w:val="24"/>
          <w:highlight w:val="none"/>
        </w:rPr>
        <w:t>38</w:t>
      </w:r>
      <w:r>
        <w:rPr>
          <w:rFonts w:hint="eastAsia" w:ascii="仿宋" w:hAnsi="仿宋" w:eastAsia="仿宋"/>
          <w:b w:val="0"/>
          <w:sz w:val="24"/>
          <w:highlight w:val="none"/>
        </w:rPr>
        <w:t>.</w:t>
      </w:r>
      <w:r>
        <w:rPr>
          <w:rFonts w:ascii="仿宋" w:hAnsi="仿宋" w:eastAsia="仿宋"/>
          <w:b w:val="0"/>
          <w:sz w:val="24"/>
          <w:highlight w:val="none"/>
        </w:rPr>
        <w:t>2</w:t>
      </w:r>
      <w:r>
        <w:rPr>
          <w:rFonts w:hint="eastAsia" w:ascii="仿宋" w:hAnsi="仿宋" w:eastAsia="仿宋"/>
          <w:b w:val="0"/>
          <w:sz w:val="24"/>
          <w:highlight w:val="none"/>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pPr>
        <w:pStyle w:val="24"/>
        <w:rPr>
          <w:rFonts w:hint="eastAsia"/>
          <w:highlight w:val="none"/>
        </w:rPr>
      </w:pPr>
      <w:r>
        <w:rPr>
          <w:highlight w:val="none"/>
        </w:rPr>
        <w:t>（</w:t>
      </w:r>
      <w:r>
        <w:rPr>
          <w:rFonts w:hint="eastAsia"/>
          <w:highlight w:val="none"/>
        </w:rPr>
        <w:t>1</w:t>
      </w:r>
      <w:r>
        <w:rPr>
          <w:highlight w:val="none"/>
        </w:rPr>
        <w:t>）对可以质疑的</w:t>
      </w:r>
      <w:r>
        <w:rPr>
          <w:rFonts w:hint="eastAsia"/>
          <w:highlight w:val="none"/>
        </w:rPr>
        <w:t>招标</w:t>
      </w:r>
      <w:r>
        <w:rPr>
          <w:highlight w:val="none"/>
        </w:rPr>
        <w:t>文件提出质疑的，为收到</w:t>
      </w:r>
      <w:r>
        <w:rPr>
          <w:rFonts w:hint="eastAsia"/>
          <w:highlight w:val="none"/>
        </w:rPr>
        <w:t>招标</w:t>
      </w:r>
      <w:r>
        <w:rPr>
          <w:highlight w:val="none"/>
        </w:rPr>
        <w:t>文件之日</w:t>
      </w:r>
      <w:r>
        <w:rPr>
          <w:rFonts w:hint="eastAsia"/>
          <w:highlight w:val="none"/>
        </w:rPr>
        <w:t>或者招标文件公告期限届满之日</w:t>
      </w:r>
      <w:r>
        <w:rPr>
          <w:highlight w:val="none"/>
        </w:rPr>
        <w:t>；</w:t>
      </w:r>
    </w:p>
    <w:p>
      <w:pPr>
        <w:pStyle w:val="24"/>
        <w:rPr>
          <w:rFonts w:hint="eastAsia"/>
          <w:highlight w:val="none"/>
        </w:rPr>
      </w:pPr>
      <w:r>
        <w:rPr>
          <w:highlight w:val="none"/>
        </w:rPr>
        <w:t>（</w:t>
      </w:r>
      <w:r>
        <w:rPr>
          <w:rFonts w:hint="eastAsia"/>
          <w:highlight w:val="none"/>
        </w:rPr>
        <w:t>2</w:t>
      </w:r>
      <w:r>
        <w:rPr>
          <w:highlight w:val="none"/>
        </w:rPr>
        <w:t>）对</w:t>
      </w:r>
      <w:r>
        <w:rPr>
          <w:rFonts w:hint="eastAsia"/>
          <w:highlight w:val="none"/>
        </w:rPr>
        <w:t>采购</w:t>
      </w:r>
      <w:r>
        <w:rPr>
          <w:highlight w:val="none"/>
        </w:rPr>
        <w:t>过程提出质疑的，为各采购程序环节结束之日；</w:t>
      </w:r>
    </w:p>
    <w:p>
      <w:pPr>
        <w:pStyle w:val="24"/>
        <w:rPr>
          <w:rFonts w:hint="eastAsia"/>
          <w:bCs/>
          <w:highlight w:val="none"/>
        </w:rPr>
      </w:pPr>
      <w:r>
        <w:rPr>
          <w:highlight w:val="none"/>
        </w:rPr>
        <w:t>（</w:t>
      </w:r>
      <w:r>
        <w:rPr>
          <w:rFonts w:hint="eastAsia"/>
          <w:highlight w:val="none"/>
        </w:rPr>
        <w:t>3</w:t>
      </w:r>
      <w:r>
        <w:rPr>
          <w:highlight w:val="none"/>
        </w:rPr>
        <w:t>）对中标结果提出质疑的，为中标结果公告期限届满之日。</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ascii="仿宋" w:hAnsi="仿宋" w:eastAsia="仿宋"/>
          <w:b w:val="0"/>
          <w:sz w:val="24"/>
          <w:highlight w:val="none"/>
        </w:rPr>
        <w:t>38</w:t>
      </w:r>
      <w:r>
        <w:rPr>
          <w:rFonts w:hint="eastAsia" w:ascii="仿宋" w:hAnsi="仿宋" w:eastAsia="仿宋"/>
          <w:b w:val="0"/>
          <w:sz w:val="24"/>
          <w:highlight w:val="none"/>
        </w:rPr>
        <w:t>.</w:t>
      </w:r>
      <w:r>
        <w:rPr>
          <w:rFonts w:ascii="仿宋" w:hAnsi="仿宋" w:eastAsia="仿宋"/>
          <w:b w:val="0"/>
          <w:sz w:val="24"/>
          <w:highlight w:val="none"/>
        </w:rPr>
        <w:t>3</w:t>
      </w:r>
      <w:r>
        <w:rPr>
          <w:rFonts w:hint="eastAsia" w:ascii="仿宋" w:hAnsi="仿宋" w:eastAsia="仿宋"/>
          <w:b w:val="0"/>
          <w:sz w:val="24"/>
          <w:highlight w:val="none"/>
        </w:rPr>
        <w:t xml:space="preserve"> </w:t>
      </w:r>
      <w:r>
        <w:rPr>
          <w:rFonts w:ascii="仿宋" w:hAnsi="仿宋" w:eastAsia="仿宋"/>
          <w:bCs/>
          <w:sz w:val="24"/>
          <w:highlight w:val="none"/>
        </w:rPr>
        <w:t>供应商提出质疑应当提交质疑函和必要的证明材料</w:t>
      </w:r>
      <w:r>
        <w:rPr>
          <w:rFonts w:hint="eastAsia" w:ascii="仿宋" w:hAnsi="仿宋" w:eastAsia="仿宋"/>
          <w:bCs/>
          <w:sz w:val="24"/>
          <w:highlight w:val="none"/>
        </w:rPr>
        <w:t>，</w:t>
      </w:r>
      <w:r>
        <w:rPr>
          <w:rFonts w:ascii="仿宋" w:hAnsi="仿宋" w:eastAsia="仿宋"/>
          <w:bCs/>
          <w:sz w:val="24"/>
          <w:highlight w:val="none"/>
        </w:rPr>
        <w:t>针对同一采购程序环节的质疑</w:t>
      </w:r>
      <w:r>
        <w:rPr>
          <w:rFonts w:hint="eastAsia" w:ascii="仿宋" w:hAnsi="仿宋" w:eastAsia="仿宋"/>
          <w:bCs/>
          <w:sz w:val="24"/>
          <w:highlight w:val="none"/>
        </w:rPr>
        <w:t>必须</w:t>
      </w:r>
      <w:r>
        <w:rPr>
          <w:rFonts w:ascii="仿宋" w:hAnsi="仿宋" w:eastAsia="仿宋"/>
          <w:bCs/>
          <w:sz w:val="24"/>
          <w:highlight w:val="none"/>
        </w:rPr>
        <w:t>在法定质疑期内一次性提出。质疑函应当包括下列内容</w:t>
      </w:r>
      <w:r>
        <w:rPr>
          <w:rFonts w:hint="eastAsia" w:ascii="仿宋" w:hAnsi="仿宋" w:eastAsia="仿宋"/>
          <w:bCs/>
          <w:sz w:val="24"/>
          <w:highlight w:val="none"/>
        </w:rPr>
        <w:t>（质疑函格式后附）</w:t>
      </w:r>
      <w:r>
        <w:rPr>
          <w:rFonts w:ascii="仿宋" w:hAnsi="仿宋" w:eastAsia="仿宋"/>
          <w:bCs/>
          <w:sz w:val="24"/>
          <w:highlight w:val="none"/>
        </w:rPr>
        <w:t>：</w:t>
      </w:r>
    </w:p>
    <w:p>
      <w:pPr>
        <w:pStyle w:val="24"/>
        <w:rPr>
          <w:rFonts w:hint="eastAsia"/>
          <w:highlight w:val="none"/>
        </w:rPr>
      </w:pPr>
      <w:r>
        <w:rPr>
          <w:highlight w:val="none"/>
        </w:rPr>
        <w:t>（</w:t>
      </w:r>
      <w:r>
        <w:rPr>
          <w:rFonts w:hint="eastAsia"/>
          <w:highlight w:val="none"/>
        </w:rPr>
        <w:t>1</w:t>
      </w:r>
      <w:r>
        <w:rPr>
          <w:highlight w:val="none"/>
        </w:rPr>
        <w:t>）供应商的姓名或者名称、地址、邮编、联系人及联系电话；</w:t>
      </w:r>
    </w:p>
    <w:p>
      <w:pPr>
        <w:pStyle w:val="24"/>
        <w:rPr>
          <w:rFonts w:hint="eastAsia"/>
          <w:highlight w:val="none"/>
        </w:rPr>
      </w:pPr>
      <w:r>
        <w:rPr>
          <w:highlight w:val="none"/>
        </w:rPr>
        <w:t>（</w:t>
      </w:r>
      <w:r>
        <w:rPr>
          <w:rFonts w:hint="eastAsia"/>
          <w:highlight w:val="none"/>
        </w:rPr>
        <w:t>2</w:t>
      </w:r>
      <w:r>
        <w:rPr>
          <w:highlight w:val="none"/>
        </w:rPr>
        <w:t>）质疑项目的名称、编号；</w:t>
      </w:r>
    </w:p>
    <w:p>
      <w:pPr>
        <w:pStyle w:val="24"/>
        <w:rPr>
          <w:rFonts w:hint="eastAsia"/>
          <w:highlight w:val="none"/>
        </w:rPr>
      </w:pPr>
      <w:r>
        <w:rPr>
          <w:highlight w:val="none"/>
        </w:rPr>
        <w:t>（</w:t>
      </w:r>
      <w:r>
        <w:rPr>
          <w:rFonts w:hint="eastAsia"/>
          <w:highlight w:val="none"/>
        </w:rPr>
        <w:t>3</w:t>
      </w:r>
      <w:r>
        <w:rPr>
          <w:highlight w:val="none"/>
        </w:rPr>
        <w:t>）具体、明确的质疑事项和与质疑事项相关的请求；</w:t>
      </w:r>
    </w:p>
    <w:p>
      <w:pPr>
        <w:pStyle w:val="24"/>
        <w:rPr>
          <w:rFonts w:hint="eastAsia"/>
          <w:highlight w:val="none"/>
        </w:rPr>
      </w:pPr>
      <w:r>
        <w:rPr>
          <w:highlight w:val="none"/>
        </w:rPr>
        <w:t>（</w:t>
      </w:r>
      <w:r>
        <w:rPr>
          <w:rFonts w:hint="eastAsia"/>
          <w:highlight w:val="none"/>
        </w:rPr>
        <w:t>4</w:t>
      </w:r>
      <w:r>
        <w:rPr>
          <w:highlight w:val="none"/>
        </w:rPr>
        <w:t>）事实依据；</w:t>
      </w:r>
    </w:p>
    <w:p>
      <w:pPr>
        <w:pStyle w:val="24"/>
        <w:rPr>
          <w:rFonts w:hint="eastAsia"/>
          <w:highlight w:val="none"/>
        </w:rPr>
      </w:pPr>
      <w:r>
        <w:rPr>
          <w:highlight w:val="none"/>
        </w:rPr>
        <w:t>（</w:t>
      </w:r>
      <w:r>
        <w:rPr>
          <w:rFonts w:hint="eastAsia"/>
          <w:highlight w:val="none"/>
        </w:rPr>
        <w:t>5</w:t>
      </w:r>
      <w:r>
        <w:rPr>
          <w:highlight w:val="none"/>
        </w:rPr>
        <w:t>）必要的法律依据；</w:t>
      </w:r>
    </w:p>
    <w:p>
      <w:pPr>
        <w:pStyle w:val="24"/>
        <w:rPr>
          <w:rFonts w:hint="eastAsia"/>
          <w:highlight w:val="none"/>
        </w:rPr>
      </w:pPr>
      <w:r>
        <w:rPr>
          <w:highlight w:val="none"/>
        </w:rPr>
        <w:t>（</w:t>
      </w:r>
      <w:r>
        <w:rPr>
          <w:rFonts w:hint="eastAsia"/>
          <w:highlight w:val="none"/>
        </w:rPr>
        <w:t>6</w:t>
      </w:r>
      <w:r>
        <w:rPr>
          <w:highlight w:val="none"/>
        </w:rPr>
        <w:t>）提出质疑的日期。</w:t>
      </w:r>
    </w:p>
    <w:p>
      <w:pPr>
        <w:pStyle w:val="24"/>
        <w:rPr>
          <w:rFonts w:hint="eastAsia"/>
          <w:highlight w:val="none"/>
        </w:rPr>
      </w:pPr>
      <w:r>
        <w:rPr>
          <w:highlight w:val="none"/>
        </w:rPr>
        <w:t>供应商为自然人的，应当由本人签字；供应商为法人或者其他组织的，应当由法定代表人、主要负责人，或者其委托代理人签字或者盖章，并加盖公章</w:t>
      </w:r>
      <w:r>
        <w:rPr>
          <w:rFonts w:hint="eastAsia"/>
          <w:highlight w:val="none"/>
        </w:rPr>
        <w:t>。</w:t>
      </w:r>
    </w:p>
    <w:p>
      <w:pPr>
        <w:pStyle w:val="6"/>
        <w:keepNext w:val="0"/>
        <w:keepLines w:val="0"/>
        <w:snapToGrid w:val="0"/>
        <w:spacing w:before="0" w:after="0" w:line="360" w:lineRule="auto"/>
        <w:ind w:firstLine="480" w:firstLineChars="200"/>
        <w:rPr>
          <w:rFonts w:hint="eastAsia" w:ascii="仿宋" w:hAnsi="仿宋" w:eastAsia="仿宋"/>
          <w:b w:val="0"/>
          <w:bCs/>
          <w:sz w:val="24"/>
          <w:highlight w:val="none"/>
        </w:rPr>
      </w:pPr>
      <w:r>
        <w:rPr>
          <w:rFonts w:ascii="仿宋" w:hAnsi="仿宋" w:eastAsia="仿宋"/>
          <w:b w:val="0"/>
          <w:sz w:val="24"/>
          <w:highlight w:val="none"/>
        </w:rPr>
        <w:t>3</w:t>
      </w:r>
      <w:r>
        <w:rPr>
          <w:rFonts w:ascii="仿宋" w:hAnsi="仿宋" w:eastAsia="仿宋"/>
          <w:b w:val="0"/>
          <w:bCs/>
          <w:sz w:val="24"/>
          <w:highlight w:val="none"/>
        </w:rPr>
        <w:t>8.4</w:t>
      </w:r>
      <w:r>
        <w:rPr>
          <w:rFonts w:hint="eastAsia" w:ascii="仿宋" w:hAnsi="仿宋" w:eastAsia="仿宋"/>
          <w:b w:val="0"/>
          <w:bCs/>
          <w:sz w:val="24"/>
          <w:highlight w:val="none"/>
        </w:rPr>
        <w:t>采购人、采购代理机构认为供应商质疑不成立，或者成立但未对中标结果构成影响的，继续开展采购活动；认为供应商质疑成立且影响或者可能影响中标结果的，按照下列情况处理：</w:t>
      </w:r>
    </w:p>
    <w:p>
      <w:pPr>
        <w:pStyle w:val="24"/>
        <w:rPr>
          <w:rFonts w:hint="eastAsia"/>
          <w:highlight w:val="none"/>
        </w:rPr>
      </w:pPr>
      <w:r>
        <w:rPr>
          <w:rFonts w:hint="eastAsia"/>
          <w:highlight w:val="none"/>
        </w:rPr>
        <w:t>（1）对招标文件提出的质疑，依法通过澄清或者修改可以继续开展采购活动的，澄清或者修改招标文件后继续开展采购活动；否则应当修改招标文件后重新开展采购活动。</w:t>
      </w:r>
    </w:p>
    <w:p>
      <w:pPr>
        <w:pStyle w:val="24"/>
        <w:rPr>
          <w:rFonts w:hint="eastAsia"/>
          <w:highlight w:val="none"/>
        </w:rPr>
      </w:pPr>
      <w:r>
        <w:rPr>
          <w:rFonts w:hint="eastAsia"/>
          <w:highlight w:val="none"/>
        </w:rPr>
        <w:t>（2）对采购过程、中标结果提出的质疑，合格供应商符合法定数量时，可以从合格的中标候选人中另行确定中标供应商的，应当依法另行确定中标供应商；否则应当重新开展采购活动。</w:t>
      </w:r>
    </w:p>
    <w:p>
      <w:pPr>
        <w:pStyle w:val="24"/>
        <w:rPr>
          <w:rFonts w:hint="eastAsia"/>
          <w:highlight w:val="none"/>
        </w:rPr>
      </w:pPr>
      <w:r>
        <w:rPr>
          <w:rFonts w:hint="eastAsia"/>
          <w:highlight w:val="none"/>
        </w:rPr>
        <w:t>质疑答复导致中标结果改变的，采购人或者采购代理机构应当将有关情况书面报告本级财政部门。</w:t>
      </w:r>
    </w:p>
    <w:p>
      <w:pPr>
        <w:pStyle w:val="24"/>
        <w:rPr>
          <w:rFonts w:hint="eastAsia"/>
          <w:highlight w:val="none"/>
        </w:rPr>
      </w:pPr>
      <w:r>
        <w:rPr>
          <w:highlight w:val="none"/>
        </w:rPr>
        <w:t>38</w:t>
      </w:r>
      <w:r>
        <w:rPr>
          <w:rFonts w:hint="eastAsia"/>
          <w:highlight w:val="none"/>
        </w:rPr>
        <w:t>.</w:t>
      </w:r>
      <w:r>
        <w:rPr>
          <w:highlight w:val="none"/>
        </w:rPr>
        <w:t>5</w:t>
      </w:r>
      <w:r>
        <w:rPr>
          <w:rFonts w:hint="eastAsia"/>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82" w:name="_八、其他事项"/>
      <w:bookmarkEnd w:id="182"/>
    </w:p>
    <w:p>
      <w:pPr>
        <w:pStyle w:val="5"/>
        <w:keepNext w:val="0"/>
        <w:keepLines w:val="0"/>
        <w:jc w:val="center"/>
        <w:rPr>
          <w:rFonts w:hint="eastAsia" w:ascii="仿宋" w:hAnsi="仿宋" w:eastAsia="仿宋"/>
          <w:highlight w:val="none"/>
        </w:rPr>
      </w:pPr>
      <w:r>
        <w:rPr>
          <w:rFonts w:hint="eastAsia" w:ascii="仿宋" w:hAnsi="仿宋" w:eastAsia="仿宋"/>
          <w:highlight w:val="none"/>
        </w:rPr>
        <w:t>八、其他事项</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83" w:name="_42.代理服务费"/>
      <w:bookmarkEnd w:id="183"/>
      <w:r>
        <w:rPr>
          <w:rFonts w:hint="eastAsia" w:ascii="仿宋" w:hAnsi="仿宋" w:eastAsia="仿宋"/>
          <w:sz w:val="24"/>
          <w:highlight w:val="none"/>
        </w:rPr>
        <w:t>3</w:t>
      </w:r>
      <w:r>
        <w:rPr>
          <w:rFonts w:ascii="仿宋" w:hAnsi="仿宋" w:eastAsia="仿宋"/>
          <w:sz w:val="24"/>
          <w:highlight w:val="none"/>
        </w:rPr>
        <w:t>9</w:t>
      </w:r>
      <w:r>
        <w:rPr>
          <w:rFonts w:hint="eastAsia" w:ascii="仿宋" w:hAnsi="仿宋" w:eastAsia="仿宋"/>
          <w:sz w:val="24"/>
          <w:highlight w:val="none"/>
        </w:rPr>
        <w:t>.代理服务费</w:t>
      </w:r>
    </w:p>
    <w:p>
      <w:pPr>
        <w:pStyle w:val="24"/>
        <w:rPr>
          <w:rFonts w:hint="eastAsia"/>
          <w:highlight w:val="none"/>
        </w:rPr>
      </w:pPr>
      <w:r>
        <w:rPr>
          <w:rFonts w:hint="eastAsia"/>
          <w:highlight w:val="none"/>
        </w:rPr>
        <w:t>3</w:t>
      </w:r>
      <w:r>
        <w:rPr>
          <w:highlight w:val="none"/>
        </w:rPr>
        <w:t>9</w:t>
      </w:r>
      <w:r>
        <w:rPr>
          <w:rFonts w:hint="eastAsia"/>
          <w:highlight w:val="none"/>
        </w:rPr>
        <w:t>.1代理服务收取标准及缴费账户详见“投标人须知前附表”，投标人为联合体的，可以由联合体中的一方或者多方共同交纳代理服务费。</w:t>
      </w:r>
    </w:p>
    <w:p>
      <w:pPr>
        <w:pStyle w:val="24"/>
        <w:rPr>
          <w:rFonts w:hint="eastAsia"/>
          <w:highlight w:val="none"/>
        </w:rPr>
      </w:pPr>
      <w:r>
        <w:rPr>
          <w:rFonts w:hint="eastAsia"/>
          <w:highlight w:val="none"/>
        </w:rPr>
        <w:t>3</w:t>
      </w:r>
      <w:r>
        <w:rPr>
          <w:highlight w:val="none"/>
        </w:rPr>
        <w:t>9</w:t>
      </w:r>
      <w:r>
        <w:rPr>
          <w:rFonts w:hint="eastAsia"/>
          <w:highlight w:val="none"/>
        </w:rPr>
        <w:t>.2代理服务收费标准：</w:t>
      </w:r>
    </w:p>
    <w:tbl>
      <w:tblPr>
        <w:tblStyle w:val="51"/>
        <w:tblW w:w="9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6"/>
        <w:gridCol w:w="1914"/>
        <w:gridCol w:w="1946"/>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9" w:hRule="atLeast"/>
          <w:jc w:val="center"/>
        </w:trPr>
        <w:tc>
          <w:tcPr>
            <w:tcW w:w="4006" w:type="dxa"/>
            <w:tcBorders>
              <w:tl2br w:val="single" w:color="auto" w:sz="4" w:space="0"/>
            </w:tcBorders>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z w:val="24"/>
                <w:highlight w:val="none"/>
              </w:rPr>
              <w:t>费率</w:t>
            </w:r>
          </w:p>
          <w:p>
            <w:pPr>
              <w:spacing w:line="360" w:lineRule="auto"/>
              <w:rPr>
                <w:rFonts w:hint="eastAsia" w:ascii="仿宋" w:hAnsi="仿宋" w:eastAsia="仿宋"/>
                <w:sz w:val="24"/>
                <w:highlight w:val="none"/>
              </w:rPr>
            </w:pPr>
            <w:r>
              <w:rPr>
                <w:rFonts w:hint="eastAsia" w:ascii="仿宋" w:hAnsi="仿宋" w:eastAsia="仿宋"/>
                <w:sz w:val="24"/>
                <w:highlight w:val="none"/>
              </w:rPr>
              <w:t>中标金额</w:t>
            </w:r>
          </w:p>
        </w:tc>
        <w:tc>
          <w:tcPr>
            <w:tcW w:w="1914" w:type="dxa"/>
            <w:vAlign w:val="center"/>
          </w:tcPr>
          <w:p>
            <w:pPr>
              <w:spacing w:line="360" w:lineRule="auto"/>
              <w:ind w:firstLine="120" w:firstLineChars="50"/>
              <w:jc w:val="center"/>
              <w:rPr>
                <w:rFonts w:hint="eastAsia" w:ascii="仿宋" w:hAnsi="仿宋" w:eastAsia="仿宋"/>
                <w:sz w:val="24"/>
                <w:highlight w:val="none"/>
              </w:rPr>
            </w:pPr>
            <w:r>
              <w:rPr>
                <w:rFonts w:hint="eastAsia" w:ascii="仿宋" w:hAnsi="仿宋" w:eastAsia="仿宋"/>
                <w:sz w:val="24"/>
                <w:highlight w:val="none"/>
              </w:rPr>
              <w:t>货物招标</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服务招标</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100万元以下</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1.5%</w:t>
            </w:r>
          </w:p>
        </w:tc>
        <w:tc>
          <w:tcPr>
            <w:tcW w:w="1946"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1.5%</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100～500万元</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1.1%</w:t>
            </w:r>
          </w:p>
        </w:tc>
        <w:tc>
          <w:tcPr>
            <w:tcW w:w="1946"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0.8%</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500～1000万元</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0.8%</w:t>
            </w:r>
          </w:p>
        </w:tc>
        <w:tc>
          <w:tcPr>
            <w:tcW w:w="1946"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0.45%</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1000～5000万元</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0.5%</w:t>
            </w:r>
          </w:p>
        </w:tc>
        <w:tc>
          <w:tcPr>
            <w:tcW w:w="1946"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0.25%</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5000万元～1亿元</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0.25%</w:t>
            </w:r>
          </w:p>
        </w:tc>
        <w:tc>
          <w:tcPr>
            <w:tcW w:w="1946"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0.1%</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1～5亿元</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0.05%</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0.05%</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5～10亿元</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0.035%</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0.035%</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10～50亿元</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0.008%</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0.008%</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50～100亿元</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0.006%</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0.006%</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100亿以上</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0.004%</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0.004%</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0.004%</w:t>
            </w:r>
          </w:p>
        </w:tc>
      </w:tr>
    </w:tbl>
    <w:p>
      <w:pPr>
        <w:spacing w:line="360" w:lineRule="auto"/>
        <w:ind w:firstLine="480" w:firstLineChars="200"/>
        <w:rPr>
          <w:rFonts w:hint="eastAsia" w:ascii="仿宋" w:hAnsi="仿宋" w:eastAsia="仿宋" w:cs="宋体"/>
          <w:sz w:val="24"/>
          <w:highlight w:val="none"/>
        </w:rPr>
      </w:pPr>
      <w:r>
        <w:rPr>
          <w:rFonts w:hint="eastAsia" w:ascii="仿宋" w:hAnsi="仿宋" w:eastAsia="仿宋"/>
          <w:sz w:val="24"/>
          <w:highlight w:val="none"/>
        </w:rPr>
        <w:t>注:</w:t>
      </w:r>
      <w:r>
        <w:rPr>
          <w:rFonts w:ascii="仿宋" w:hAnsi="仿宋" w:eastAsia="仿宋" w:cs="宋体"/>
          <w:sz w:val="24"/>
          <w:highlight w:val="none"/>
        </w:rPr>
        <w:t xml:space="preserve">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w:t>
      </w:r>
      <w:r>
        <w:rPr>
          <w:rFonts w:ascii="仿宋" w:hAnsi="仿宋" w:eastAsia="仿宋" w:cs="宋体"/>
          <w:sz w:val="24"/>
          <w:highlight w:val="none"/>
        </w:rPr>
        <w:t>按本表费率计算的收费为</w:t>
      </w:r>
      <w:r>
        <w:rPr>
          <w:rFonts w:hint="eastAsia" w:ascii="仿宋" w:hAnsi="仿宋" w:eastAsia="仿宋" w:cs="宋体"/>
          <w:sz w:val="24"/>
          <w:highlight w:val="none"/>
        </w:rPr>
        <w:t>采购</w:t>
      </w:r>
      <w:r>
        <w:rPr>
          <w:rFonts w:ascii="仿宋" w:hAnsi="仿宋" w:eastAsia="仿宋" w:cs="宋体"/>
          <w:sz w:val="24"/>
          <w:highlight w:val="none"/>
        </w:rPr>
        <w:t>代理的收费基准价格</w:t>
      </w:r>
      <w:r>
        <w:rPr>
          <w:rFonts w:hint="eastAsia" w:ascii="仿宋" w:hAnsi="仿宋" w:eastAsia="仿宋" w:cs="宋体"/>
          <w:sz w:val="24"/>
          <w:highlight w:val="none"/>
        </w:rPr>
        <w:t>；</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（2）采购</w:t>
      </w:r>
      <w:r>
        <w:rPr>
          <w:rFonts w:ascii="仿宋" w:hAnsi="仿宋" w:eastAsia="仿宋" w:cs="宋体"/>
          <w:sz w:val="24"/>
          <w:highlight w:val="none"/>
        </w:rPr>
        <w:t>代理收费按差额定率累进法计算。</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例如：某</w:t>
      </w:r>
      <w:r>
        <w:rPr>
          <w:rFonts w:hint="eastAsia" w:ascii="仿宋" w:hAnsi="仿宋" w:eastAsia="仿宋" w:cs="宋体"/>
          <w:sz w:val="24"/>
          <w:highlight w:val="none"/>
        </w:rPr>
        <w:t>货物采购</w:t>
      </w:r>
      <w:r>
        <w:rPr>
          <w:rFonts w:ascii="仿宋" w:hAnsi="仿宋" w:eastAsia="仿宋" w:cs="宋体"/>
          <w:sz w:val="24"/>
          <w:highlight w:val="none"/>
        </w:rPr>
        <w:t>代理业务</w:t>
      </w:r>
      <w:r>
        <w:rPr>
          <w:rFonts w:hint="eastAsia" w:ascii="仿宋" w:hAnsi="仿宋" w:eastAsia="仿宋" w:cs="宋体"/>
          <w:sz w:val="24"/>
          <w:highlight w:val="none"/>
        </w:rPr>
        <w:t>中标</w:t>
      </w:r>
      <w:r>
        <w:rPr>
          <w:rFonts w:ascii="仿宋" w:hAnsi="仿宋" w:eastAsia="仿宋" w:cs="宋体"/>
          <w:sz w:val="24"/>
          <w:highlight w:val="none"/>
        </w:rPr>
        <w:t>金额</w:t>
      </w:r>
      <w:r>
        <w:rPr>
          <w:rFonts w:hint="eastAsia" w:ascii="仿宋" w:hAnsi="仿宋" w:eastAsia="仿宋" w:cs="宋体"/>
          <w:sz w:val="24"/>
          <w:highlight w:val="none"/>
        </w:rPr>
        <w:t>或者暂定价</w:t>
      </w:r>
      <w:r>
        <w:rPr>
          <w:rFonts w:ascii="仿宋" w:hAnsi="仿宋" w:eastAsia="仿宋" w:cs="宋体"/>
          <w:sz w:val="24"/>
          <w:highlight w:val="none"/>
        </w:rPr>
        <w:t>为200万元，计算</w:t>
      </w:r>
      <w:r>
        <w:rPr>
          <w:rFonts w:hint="eastAsia" w:ascii="仿宋" w:hAnsi="仿宋" w:eastAsia="仿宋" w:cs="宋体"/>
          <w:sz w:val="24"/>
          <w:highlight w:val="none"/>
        </w:rPr>
        <w:t>采购</w:t>
      </w:r>
      <w:r>
        <w:rPr>
          <w:rFonts w:ascii="仿宋" w:hAnsi="仿宋" w:eastAsia="仿宋" w:cs="宋体"/>
          <w:sz w:val="24"/>
          <w:highlight w:val="none"/>
        </w:rPr>
        <w:t>代理收费额如下：</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100万元×l.5％＝1.5万元</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（200－100）万元 ×1.1％＝1.1万元</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合计收费＝1.5</w:t>
      </w:r>
      <w:r>
        <w:rPr>
          <w:rFonts w:hint="eastAsia" w:ascii="仿宋" w:hAnsi="仿宋" w:eastAsia="仿宋" w:cs="宋体"/>
          <w:sz w:val="24"/>
          <w:highlight w:val="none"/>
        </w:rPr>
        <w:t>+</w:t>
      </w:r>
      <w:r>
        <w:rPr>
          <w:rFonts w:ascii="仿宋" w:hAnsi="仿宋" w:eastAsia="仿宋" w:cs="宋体"/>
          <w:sz w:val="24"/>
          <w:highlight w:val="none"/>
        </w:rPr>
        <w:t>1.1＝2.6（万元）</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3</w:t>
      </w:r>
      <w:r>
        <w:rPr>
          <w:rFonts w:hint="eastAsia" w:ascii="仿宋" w:hAnsi="仿宋" w:eastAsia="仿宋" w:cs="宋体"/>
          <w:sz w:val="24"/>
          <w:highlight w:val="none"/>
        </w:rPr>
        <w:t>9</w:t>
      </w:r>
      <w:r>
        <w:rPr>
          <w:rFonts w:ascii="仿宋" w:hAnsi="仿宋" w:eastAsia="仿宋" w:cs="宋体"/>
          <w:sz w:val="24"/>
          <w:highlight w:val="none"/>
        </w:rPr>
        <w:t>.</w:t>
      </w:r>
      <w:r>
        <w:rPr>
          <w:rFonts w:hint="eastAsia" w:ascii="仿宋" w:hAnsi="仿宋" w:eastAsia="仿宋" w:cs="宋体"/>
          <w:sz w:val="24"/>
          <w:highlight w:val="none"/>
        </w:rPr>
        <w:t>3</w:t>
      </w:r>
      <w:r>
        <w:rPr>
          <w:rFonts w:ascii="仿宋" w:hAnsi="仿宋" w:eastAsia="仿宋" w:cs="宋体"/>
          <w:sz w:val="24"/>
          <w:highlight w:val="none"/>
        </w:rPr>
        <w:t xml:space="preserve"> </w:t>
      </w:r>
      <w:r>
        <w:rPr>
          <w:rFonts w:hint="eastAsia" w:ascii="仿宋" w:hAnsi="仿宋" w:eastAsia="仿宋" w:cs="宋体"/>
          <w:sz w:val="24"/>
          <w:highlight w:val="none"/>
        </w:rPr>
        <w:t>代理服务费交纳</w:t>
      </w:r>
      <w:r>
        <w:rPr>
          <w:rFonts w:ascii="仿宋" w:hAnsi="仿宋" w:eastAsia="仿宋" w:cs="宋体"/>
          <w:sz w:val="24"/>
          <w:highlight w:val="none"/>
        </w:rPr>
        <w:t>银行</w:t>
      </w:r>
      <w:r>
        <w:rPr>
          <w:rFonts w:hint="eastAsia" w:ascii="仿宋" w:hAnsi="仿宋" w:eastAsia="仿宋" w:cs="宋体"/>
          <w:sz w:val="24"/>
          <w:highlight w:val="none"/>
        </w:rPr>
        <w:t>账</w:t>
      </w:r>
      <w:r>
        <w:rPr>
          <w:rFonts w:ascii="仿宋" w:hAnsi="仿宋" w:eastAsia="仿宋" w:cs="宋体"/>
          <w:sz w:val="24"/>
          <w:highlight w:val="none"/>
        </w:rPr>
        <w:t>号信息</w:t>
      </w:r>
      <w:r>
        <w:rPr>
          <w:rFonts w:hint="eastAsia" w:ascii="仿宋" w:hAnsi="仿宋" w:eastAsia="仿宋" w:cs="宋体"/>
          <w:sz w:val="24"/>
          <w:highlight w:val="none"/>
        </w:rPr>
        <w:t>：详见“投标人须知前附表”</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40. 需要补充的其他内容</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40.1本招标文件解释规则详见“投标人须知前附表”。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40.2 其他事项详见“投标人须知前附表”。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40.3</w:t>
      </w:r>
      <w:bookmarkStart w:id="184" w:name="_Hlk65857140"/>
      <w:r>
        <w:rPr>
          <w:rFonts w:hint="eastAsia" w:ascii="仿宋" w:hAnsi="仿宋" w:eastAsia="仿宋" w:cs="宋体"/>
          <w:sz w:val="24"/>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（1）在货物采购项目中，货物由中小企业制造，即货物由中小企业生产且使用该中小企业商号或者注册商标，不对其中涉及的工程承建商和服务的承接商作出要求；</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（2）在工程采购项目中，工程由中小企业承建，即工程施工单位为中小企业，不对其中涉及的货物的制造商和服务的承接商作出要求；</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依据本招标文件规定享受扶持政策获得政府采购合同的，小微企业不得将合同分包给大中型企业，中型企业不得将合同分包给大型企业。</w:t>
      </w:r>
      <w:bookmarkEnd w:id="184"/>
    </w:p>
    <w:p>
      <w:pPr>
        <w:pStyle w:val="3"/>
        <w:keepNext w:val="0"/>
        <w:keepLines w:val="0"/>
        <w:pageBreakBefore/>
        <w:spacing w:before="0" w:after="0" w:line="360" w:lineRule="auto"/>
        <w:jc w:val="center"/>
        <w:rPr>
          <w:rFonts w:hint="eastAsia" w:ascii="仿宋" w:hAnsi="仿宋" w:eastAsia="仿宋"/>
          <w:highlight w:val="none"/>
        </w:rPr>
      </w:pPr>
      <w:bookmarkStart w:id="185" w:name="_Toc254970548"/>
      <w:bookmarkStart w:id="186" w:name="_Toc74320803"/>
      <w:bookmarkStart w:id="187" w:name="_Toc330456896"/>
      <w:bookmarkStart w:id="188" w:name="_Toc254970689"/>
      <w:r>
        <w:rPr>
          <w:rFonts w:hint="eastAsia" w:ascii="仿宋" w:hAnsi="仿宋" w:eastAsia="仿宋"/>
          <w:highlight w:val="none"/>
        </w:rPr>
        <w:t>第四章  评标方法及评标标准</w:t>
      </w:r>
      <w:bookmarkEnd w:id="185"/>
      <w:bookmarkEnd w:id="186"/>
      <w:bookmarkEnd w:id="187"/>
      <w:bookmarkEnd w:id="188"/>
    </w:p>
    <w:p>
      <w:pPr>
        <w:pStyle w:val="5"/>
        <w:keepNext w:val="0"/>
        <w:keepLines w:val="0"/>
        <w:spacing w:before="0" w:after="0" w:line="415" w:lineRule="auto"/>
        <w:jc w:val="center"/>
        <w:rPr>
          <w:rFonts w:hint="eastAsia" w:ascii="仿宋" w:hAnsi="仿宋" w:eastAsia="仿宋"/>
          <w:sz w:val="30"/>
          <w:szCs w:val="30"/>
          <w:highlight w:val="none"/>
        </w:rPr>
      </w:pPr>
      <w:r>
        <w:rPr>
          <w:rFonts w:hint="eastAsia" w:ascii="仿宋" w:hAnsi="仿宋" w:eastAsia="仿宋"/>
          <w:sz w:val="30"/>
          <w:szCs w:val="30"/>
          <w:highlight w:val="none"/>
        </w:rPr>
        <w:t>一、评标方法</w:t>
      </w:r>
    </w:p>
    <w:p>
      <w:pPr>
        <w:pStyle w:val="24"/>
        <w:rPr>
          <w:rFonts w:hint="eastAsia"/>
          <w:highlight w:val="none"/>
        </w:rPr>
      </w:pPr>
      <w:r>
        <w:rPr>
          <w:rFonts w:hint="eastAsia"/>
          <w:highlight w:val="none"/>
        </w:rPr>
        <w:t>综合评分法，是指投标文件满足招标文件全部实质性要求，且按照评审因素的量化指标评审得分最高的投标人为中标候选人的评标方法。</w:t>
      </w:r>
    </w:p>
    <w:p>
      <w:pPr>
        <w:pStyle w:val="5"/>
        <w:keepNext w:val="0"/>
        <w:keepLines w:val="0"/>
        <w:spacing w:before="120" w:beforeLines="50" w:after="0" w:line="360" w:lineRule="auto"/>
        <w:jc w:val="center"/>
        <w:rPr>
          <w:rFonts w:hint="eastAsia" w:ascii="仿宋" w:hAnsi="仿宋" w:eastAsia="仿宋"/>
          <w:sz w:val="30"/>
          <w:szCs w:val="30"/>
          <w:highlight w:val="none"/>
        </w:rPr>
      </w:pPr>
      <w:r>
        <w:rPr>
          <w:rFonts w:hint="eastAsia" w:ascii="仿宋" w:hAnsi="仿宋" w:eastAsia="仿宋"/>
          <w:sz w:val="30"/>
          <w:szCs w:val="30"/>
          <w:highlight w:val="none"/>
        </w:rPr>
        <w:t>二、评标程序</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1.符合性审查</w:t>
      </w:r>
    </w:p>
    <w:p>
      <w:pPr>
        <w:pStyle w:val="24"/>
        <w:rPr>
          <w:rFonts w:hint="eastAsia"/>
          <w:highlight w:val="none"/>
        </w:rPr>
      </w:pPr>
      <w:r>
        <w:rPr>
          <w:rFonts w:hint="eastAsia"/>
          <w:highlight w:val="none"/>
        </w:rPr>
        <w:t>评标委员会应当对符合资格的投标人的投标文件进行投标报价、商务、技术等实质性内容符合性审查，以确定其是否满足招标文件的实质性要求。</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w:t>
      </w:r>
      <w:r>
        <w:rPr>
          <w:rFonts w:ascii="仿宋" w:hAnsi="仿宋" w:eastAsia="仿宋"/>
          <w:sz w:val="24"/>
          <w:highlight w:val="none"/>
        </w:rPr>
        <w:t>.</w:t>
      </w:r>
      <w:r>
        <w:rPr>
          <w:rFonts w:hint="eastAsia" w:ascii="仿宋" w:hAnsi="仿宋" w:eastAsia="仿宋"/>
          <w:sz w:val="24"/>
          <w:highlight w:val="none"/>
        </w:rPr>
        <w:t>符合性审查不通过而导致投标无效的情形</w:t>
      </w:r>
    </w:p>
    <w:p>
      <w:p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投标人的投标文件中存在对招标文件的任何实质性要求和条件的负偏离，将被视为投标无效。</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2.1在报价评审时，如发现下列情形之一的，将被视为投标无效：</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pacing w:val="-6"/>
          <w:sz w:val="24"/>
          <w:szCs w:val="24"/>
          <w:highlight w:val="none"/>
        </w:rPr>
        <w:t>报价文件</w:t>
      </w:r>
      <w:r>
        <w:rPr>
          <w:rFonts w:hint="eastAsia" w:ascii="仿宋" w:hAnsi="仿宋" w:eastAsia="仿宋"/>
          <w:b/>
          <w:sz w:val="24"/>
          <w:szCs w:val="24"/>
          <w:highlight w:val="none"/>
        </w:rPr>
        <w:t>未提供“投标人须知前附表”第13.1条规定中“必须提供”的文件资料的；</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未采用人民币报价或者未按照招标文件标明的币种报价的；</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各</w:t>
      </w:r>
      <w:r>
        <w:rPr>
          <w:rFonts w:hint="eastAsia" w:ascii="仿宋" w:hAnsi="仿宋" w:eastAsia="仿宋"/>
          <w:b/>
          <w:sz w:val="24"/>
          <w:highlight w:val="none"/>
        </w:rPr>
        <w:t>标项</w:t>
      </w:r>
      <w:r>
        <w:rPr>
          <w:rFonts w:hint="eastAsia" w:ascii="仿宋" w:hAnsi="仿宋" w:eastAsia="仿宋"/>
          <w:b/>
          <w:sz w:val="24"/>
          <w:szCs w:val="24"/>
          <w:highlight w:val="none"/>
        </w:rPr>
        <w:t>报价超出招标文件相应</w:t>
      </w:r>
      <w:r>
        <w:rPr>
          <w:rFonts w:hint="eastAsia" w:ascii="仿宋" w:hAnsi="仿宋" w:eastAsia="仿宋"/>
          <w:b/>
          <w:sz w:val="24"/>
          <w:highlight w:val="none"/>
        </w:rPr>
        <w:t>标项</w:t>
      </w:r>
      <w:r>
        <w:rPr>
          <w:rFonts w:hint="eastAsia" w:ascii="仿宋" w:hAnsi="仿宋" w:eastAsia="仿宋"/>
          <w:b/>
          <w:sz w:val="24"/>
          <w:szCs w:val="24"/>
          <w:highlight w:val="none"/>
        </w:rPr>
        <w:t>规定最高限价，或者超出相应</w:t>
      </w:r>
      <w:r>
        <w:rPr>
          <w:rFonts w:hint="eastAsia" w:ascii="仿宋" w:hAnsi="仿宋" w:eastAsia="仿宋"/>
          <w:b/>
          <w:sz w:val="24"/>
          <w:highlight w:val="none"/>
        </w:rPr>
        <w:t>标项</w:t>
      </w:r>
      <w:r>
        <w:rPr>
          <w:rFonts w:hint="eastAsia" w:ascii="仿宋" w:hAnsi="仿宋" w:eastAsia="仿宋"/>
          <w:b/>
          <w:sz w:val="24"/>
          <w:szCs w:val="24"/>
          <w:highlight w:val="none"/>
        </w:rPr>
        <w:t>采购预算金额的；</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投标人未就所投</w:t>
      </w:r>
      <w:r>
        <w:rPr>
          <w:rFonts w:hint="eastAsia" w:ascii="仿宋" w:hAnsi="仿宋" w:eastAsia="仿宋"/>
          <w:b/>
          <w:sz w:val="24"/>
          <w:highlight w:val="none"/>
        </w:rPr>
        <w:t>标项</w:t>
      </w:r>
      <w:r>
        <w:rPr>
          <w:rFonts w:hint="eastAsia" w:ascii="仿宋" w:hAnsi="仿宋" w:eastAsia="仿宋"/>
          <w:b/>
          <w:sz w:val="24"/>
          <w:szCs w:val="24"/>
          <w:highlight w:val="none"/>
        </w:rPr>
        <w:t>进行报价或者存在漏项报价；投标人未就所投</w:t>
      </w:r>
      <w:r>
        <w:rPr>
          <w:rFonts w:hint="eastAsia" w:ascii="仿宋" w:hAnsi="仿宋" w:eastAsia="仿宋"/>
          <w:b/>
          <w:sz w:val="24"/>
          <w:highlight w:val="none"/>
        </w:rPr>
        <w:t>标项</w:t>
      </w:r>
      <w:r>
        <w:rPr>
          <w:rFonts w:hint="eastAsia" w:ascii="仿宋" w:hAnsi="仿宋" w:eastAsia="仿宋"/>
          <w:b/>
          <w:sz w:val="24"/>
          <w:szCs w:val="24"/>
          <w:highlight w:val="none"/>
        </w:rPr>
        <w:t>的单项内容作唯一报价；投标人未就所投</w:t>
      </w:r>
      <w:r>
        <w:rPr>
          <w:rFonts w:hint="eastAsia" w:ascii="仿宋" w:hAnsi="仿宋" w:eastAsia="仿宋"/>
          <w:b/>
          <w:sz w:val="24"/>
          <w:highlight w:val="none"/>
        </w:rPr>
        <w:t>标项</w:t>
      </w:r>
      <w:r>
        <w:rPr>
          <w:rFonts w:hint="eastAsia" w:ascii="仿宋" w:hAnsi="仿宋" w:eastAsia="仿宋"/>
          <w:b/>
          <w:sz w:val="24"/>
          <w:szCs w:val="24"/>
          <w:highlight w:val="none"/>
        </w:rPr>
        <w:t>的全部内容作完整唯一总价报价；存在有选择、有条件报价的（招标文件允许有备选方案或者其他约定的除外）；</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修正后的报价，投标人不确认的；</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投标人属于本章第</w:t>
      </w:r>
      <w:r>
        <w:rPr>
          <w:rFonts w:ascii="仿宋" w:hAnsi="仿宋" w:eastAsia="仿宋"/>
          <w:b/>
          <w:sz w:val="24"/>
          <w:szCs w:val="24"/>
          <w:highlight w:val="none"/>
        </w:rPr>
        <w:t>5.1</w:t>
      </w:r>
      <w:r>
        <w:rPr>
          <w:rFonts w:hint="eastAsia" w:ascii="仿宋" w:hAnsi="仿宋" w:eastAsia="仿宋"/>
          <w:b/>
          <w:sz w:val="24"/>
          <w:szCs w:val="24"/>
          <w:highlight w:val="none"/>
        </w:rPr>
        <w:t>条（2）或者第5</w:t>
      </w:r>
      <w:r>
        <w:rPr>
          <w:rFonts w:ascii="仿宋" w:hAnsi="仿宋" w:eastAsia="仿宋"/>
          <w:b/>
          <w:sz w:val="24"/>
          <w:szCs w:val="24"/>
          <w:highlight w:val="none"/>
        </w:rPr>
        <w:t>.2条</w:t>
      </w:r>
      <w:r>
        <w:rPr>
          <w:rFonts w:hint="eastAsia" w:ascii="仿宋" w:hAnsi="仿宋" w:eastAsia="仿宋"/>
          <w:b/>
          <w:sz w:val="24"/>
          <w:szCs w:val="24"/>
          <w:highlight w:val="none"/>
        </w:rPr>
        <w:t>（2）项情形的；</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pacing w:val="-6"/>
          <w:sz w:val="24"/>
          <w:szCs w:val="24"/>
          <w:highlight w:val="none"/>
        </w:rPr>
        <w:t>报价文件</w:t>
      </w:r>
      <w:r>
        <w:rPr>
          <w:rFonts w:hint="eastAsia" w:ascii="仿宋" w:hAnsi="仿宋" w:eastAsia="仿宋"/>
          <w:b/>
          <w:sz w:val="24"/>
          <w:szCs w:val="24"/>
          <w:highlight w:val="none"/>
        </w:rPr>
        <w:t>响应的标的数量及单位与招标文件要求实质性不一致的。</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2.2在商务评审时，如发现下列情形之一的，将被视为投标无效：</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投标文件未按招标文件要求签署、盖章的；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委托代理人未能出具有效身份证或者出具的身份证与授权委托书中的信息不符的；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为无效投标保证金的或者未按照招标文件的规定提交投标保证金的；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投标文件未提供“投标人须知前附表”第13.</w:t>
      </w:r>
      <w:r>
        <w:rPr>
          <w:rFonts w:ascii="仿宋" w:hAnsi="仿宋" w:eastAsia="仿宋"/>
          <w:b/>
          <w:sz w:val="24"/>
          <w:highlight w:val="none"/>
        </w:rPr>
        <w:t>1</w:t>
      </w:r>
      <w:r>
        <w:rPr>
          <w:rFonts w:hint="eastAsia" w:ascii="仿宋" w:hAnsi="仿宋" w:eastAsia="仿宋"/>
          <w:b/>
          <w:sz w:val="24"/>
          <w:highlight w:val="none"/>
        </w:rPr>
        <w:t>条规定中“必须提供”或者“委托时必须提供”的文件资料的；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商务要求评审允许负偏离的条款数超过“投标人须知前附表”规定项数的；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投标文件的实质性内容未使用中文表述、使用计量单位不符合招标文件要求的；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投标文件中的文件资料因填写不齐全或者内容虚假或者出现其他情形而导致被评标委员会认定无效的；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投标文件含有采购人不能接受的附加条件的；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属于投标人须知正文第</w:t>
      </w:r>
      <w:r>
        <w:rPr>
          <w:rFonts w:ascii="仿宋" w:hAnsi="仿宋" w:eastAsia="仿宋"/>
          <w:b/>
          <w:sz w:val="24"/>
          <w:highlight w:val="none"/>
        </w:rPr>
        <w:t>9.2</w:t>
      </w:r>
      <w:r>
        <w:rPr>
          <w:rFonts w:hint="eastAsia" w:ascii="仿宋" w:hAnsi="仿宋" w:eastAsia="仿宋"/>
          <w:b/>
          <w:sz w:val="24"/>
          <w:highlight w:val="none"/>
        </w:rPr>
        <w:t>条情形的；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投标文件标注的项目名称或者项目编号与招标文件标注的项目名称或者项目编号不一致的；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招标文件明确不允许分包，投标文件拟分包的；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未响应招标文件实质性要求的；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法律、法规和招标文件规定的其他无效情形。</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2.3在技术评审时，如发现下列情形之一的，将被视为投标无效：</w:t>
      </w:r>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（1）技术要求评审允许负偏离的条款数超过“投标人须知前附表”规定项数的；</w:t>
      </w:r>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（2）投标文件未提供“投标人须知前附表”第13.</w:t>
      </w:r>
      <w:r>
        <w:rPr>
          <w:rFonts w:ascii="仿宋" w:hAnsi="仿宋" w:eastAsia="仿宋"/>
          <w:b/>
          <w:kern w:val="2"/>
          <w:sz w:val="24"/>
          <w:szCs w:val="24"/>
          <w:highlight w:val="none"/>
        </w:rPr>
        <w:t>1</w:t>
      </w:r>
      <w:r>
        <w:rPr>
          <w:rFonts w:hint="eastAsia" w:ascii="仿宋" w:hAnsi="仿宋" w:eastAsia="仿宋"/>
          <w:b/>
          <w:kern w:val="2"/>
          <w:sz w:val="24"/>
          <w:szCs w:val="24"/>
          <w:highlight w:val="none"/>
        </w:rPr>
        <w:t>条规定中“必须提供”的文件资料的；</w:t>
      </w:r>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（3）虚假投标，或者出现其他情形而导致被评标委员会认定无效的；</w:t>
      </w:r>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（4）</w:t>
      </w:r>
      <w:bookmarkStart w:id="189" w:name="_Hlk71706244"/>
      <w:r>
        <w:rPr>
          <w:rFonts w:hint="eastAsia" w:ascii="仿宋" w:hAnsi="仿宋" w:eastAsia="仿宋"/>
          <w:b/>
          <w:kern w:val="2"/>
          <w:sz w:val="24"/>
          <w:szCs w:val="24"/>
          <w:highlight w:val="none"/>
        </w:rPr>
        <w:t>招标文件未载明允许提供备选（替代）投标方案或明确不允许提供备选（替代）投标方案时，投标人提供了备选（替代）投标方案的；</w:t>
      </w:r>
      <w:bookmarkEnd w:id="189"/>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（5）未响应招标文件实质性要求的。</w:t>
      </w:r>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2.4通过符合性审查的投标人不足3家，评标委员会不得继续评标，并出具评标报告。</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w:t>
      </w:r>
      <w:r>
        <w:rPr>
          <w:rFonts w:hint="eastAsia" w:ascii="仿宋" w:hAnsi="仿宋" w:eastAsia="仿宋"/>
          <w:sz w:val="24"/>
          <w:highlight w:val="none"/>
        </w:rPr>
        <w:t>澄清补正</w:t>
      </w:r>
    </w:p>
    <w:p>
      <w:pPr>
        <w:snapToGrid w:val="0"/>
        <w:spacing w:line="360" w:lineRule="auto"/>
        <w:ind w:firstLine="480" w:firstLineChars="200"/>
        <w:rPr>
          <w:rFonts w:hint="eastAsia" w:ascii="仿宋" w:hAnsi="仿宋" w:eastAsia="仿宋" w:cs="Courier New"/>
          <w:sz w:val="24"/>
          <w:highlight w:val="none"/>
        </w:rPr>
      </w:pPr>
      <w:r>
        <w:rPr>
          <w:rFonts w:hint="eastAsia" w:ascii="仿宋" w:hAnsi="仿宋" w:eastAsia="仿宋" w:cs="Courier New"/>
          <w:sz w:val="24"/>
          <w:highlight w:val="none"/>
        </w:rPr>
        <w:t>对投标文件中含义不明确、同类问题表述不一致或者有明显文字和计算错误的内容，评标委员会以</w:t>
      </w:r>
      <w:r>
        <w:rPr>
          <w:rFonts w:hint="eastAsia" w:ascii="仿宋" w:hAnsi="仿宋" w:eastAsia="仿宋" w:cs="宋体"/>
          <w:sz w:val="24"/>
          <w:highlight w:val="none"/>
        </w:rPr>
        <w:t>电子澄清函形式</w:t>
      </w:r>
      <w:r>
        <w:rPr>
          <w:rFonts w:hint="eastAsia" w:ascii="仿宋" w:hAnsi="仿宋" w:eastAsia="仿宋" w:cs="Courier New"/>
          <w:sz w:val="24"/>
          <w:highlight w:val="none"/>
        </w:rPr>
        <w:t>要求投标人在规定时间内作出必要的澄清、说明或者纠正。投标人的澄清、说明或者补正必须采用</w:t>
      </w:r>
      <w:r>
        <w:rPr>
          <w:rFonts w:hint="eastAsia" w:ascii="仿宋" w:hAnsi="仿宋" w:eastAsia="仿宋" w:cs="宋体"/>
          <w:sz w:val="24"/>
          <w:highlight w:val="none"/>
        </w:rPr>
        <w:t>电子回函形式</w:t>
      </w:r>
      <w:r>
        <w:rPr>
          <w:rFonts w:hint="eastAsia" w:ascii="仿宋" w:hAnsi="仿宋" w:eastAsia="仿宋" w:cs="Courier New"/>
          <w:sz w:val="24"/>
          <w:highlight w:val="none"/>
        </w:rPr>
        <w:t>，并加盖投标人公章，或者由法定代表人或者其授权的代表签字。投标人的澄清、说明或者补正不得超出投标文件的范围或者改变投标文件的实质性内容。</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投标文件修正</w:t>
      </w:r>
    </w:p>
    <w:p>
      <w:pPr>
        <w:pStyle w:val="6"/>
        <w:keepNext w:val="0"/>
        <w:keepLines w:val="0"/>
        <w:spacing w:before="0" w:after="0" w:line="360" w:lineRule="auto"/>
        <w:ind w:left="420" w:leftChars="200"/>
        <w:rPr>
          <w:rFonts w:hint="eastAsia" w:ascii="仿宋" w:hAnsi="仿宋" w:eastAsia="仿宋"/>
          <w:b w:val="0"/>
          <w:sz w:val="24"/>
          <w:highlight w:val="none"/>
        </w:rPr>
      </w:pPr>
      <w:r>
        <w:rPr>
          <w:rFonts w:ascii="仿宋" w:hAnsi="仿宋" w:eastAsia="仿宋"/>
          <w:b w:val="0"/>
          <w:sz w:val="24"/>
          <w:highlight w:val="none"/>
        </w:rPr>
        <w:t>4</w:t>
      </w:r>
      <w:r>
        <w:rPr>
          <w:rFonts w:hint="eastAsia" w:ascii="仿宋" w:hAnsi="仿宋" w:eastAsia="仿宋"/>
          <w:b w:val="0"/>
          <w:sz w:val="24"/>
          <w:highlight w:val="none"/>
        </w:rPr>
        <w:t xml:space="preserve">.1投标文件报价出现前后不一致的，按照下列规定修正： </w:t>
      </w:r>
    </w:p>
    <w:p>
      <w:pPr>
        <w:pStyle w:val="24"/>
        <w:rPr>
          <w:rFonts w:hint="eastAsia"/>
          <w:highlight w:val="none"/>
        </w:rPr>
      </w:pPr>
      <w:r>
        <w:rPr>
          <w:rFonts w:hint="eastAsia"/>
          <w:highlight w:val="none"/>
        </w:rPr>
        <w:t>（1）投标文件中开标一览表（报价表）内容与投标文件中相应内容不一致的，以开标一览表（报价表）为准；</w:t>
      </w:r>
    </w:p>
    <w:p>
      <w:pPr>
        <w:pStyle w:val="24"/>
        <w:rPr>
          <w:rFonts w:hint="eastAsia"/>
          <w:highlight w:val="none"/>
        </w:rPr>
      </w:pPr>
      <w:r>
        <w:rPr>
          <w:rFonts w:hint="eastAsia"/>
          <w:highlight w:val="none"/>
        </w:rPr>
        <w:t>（2）大写金额和小写金额不一致的，以大写金额为准；</w:t>
      </w:r>
    </w:p>
    <w:p>
      <w:pPr>
        <w:pStyle w:val="24"/>
        <w:rPr>
          <w:rFonts w:hint="eastAsia"/>
          <w:highlight w:val="none"/>
        </w:rPr>
      </w:pPr>
      <w:r>
        <w:rPr>
          <w:rFonts w:hint="eastAsia"/>
          <w:highlight w:val="none"/>
        </w:rPr>
        <w:t>（3）单价金额小数点或者百分比有明显错位的，以开标一览表的总价为准，并修改单价；</w:t>
      </w:r>
    </w:p>
    <w:p>
      <w:pPr>
        <w:pStyle w:val="24"/>
        <w:rPr>
          <w:rFonts w:hint="eastAsia"/>
          <w:highlight w:val="none"/>
        </w:rPr>
      </w:pPr>
      <w:r>
        <w:rPr>
          <w:rFonts w:hint="eastAsia"/>
          <w:highlight w:val="none"/>
        </w:rPr>
        <w:t>（4）总价金额与按单价汇总金额不一致的，以单价金额计算结果为准。</w:t>
      </w:r>
    </w:p>
    <w:p>
      <w:pPr>
        <w:pStyle w:val="24"/>
        <w:rPr>
          <w:rFonts w:hint="eastAsia"/>
          <w:highlight w:val="none"/>
        </w:rPr>
      </w:pPr>
      <w:r>
        <w:rPr>
          <w:rFonts w:hint="eastAsia"/>
          <w:highlight w:val="none"/>
        </w:rPr>
        <w:t>同时出现两种以上不一致的，按照以上（1）-（4）规定的顺序修正。修正后的报价经投标人确认后产生约束力，投标人不确认的，</w:t>
      </w:r>
      <w:r>
        <w:rPr>
          <w:rFonts w:hint="eastAsia"/>
          <w:kern w:val="2"/>
          <w:highlight w:val="none"/>
        </w:rPr>
        <w:t>其投标无效</w:t>
      </w:r>
      <w:r>
        <w:rPr>
          <w:rFonts w:hint="eastAsia"/>
          <w:highlight w:val="none"/>
        </w:rPr>
        <w:t>。</w:t>
      </w:r>
    </w:p>
    <w:p>
      <w:pPr>
        <w:pStyle w:val="6"/>
        <w:keepNext w:val="0"/>
        <w:keepLines w:val="0"/>
        <w:spacing w:before="0" w:after="0" w:line="360" w:lineRule="auto"/>
        <w:rPr>
          <w:rFonts w:hint="eastAsia" w:ascii="仿宋" w:hAnsi="仿宋" w:eastAsia="仿宋"/>
          <w:b w:val="0"/>
          <w:sz w:val="24"/>
          <w:highlight w:val="none"/>
        </w:rPr>
      </w:pPr>
      <w:r>
        <w:rPr>
          <w:rFonts w:ascii="仿宋" w:hAnsi="仿宋" w:eastAsia="仿宋"/>
          <w:b w:val="0"/>
          <w:sz w:val="24"/>
          <w:highlight w:val="none"/>
        </w:rPr>
        <w:t xml:space="preserve">    4</w:t>
      </w:r>
      <w:r>
        <w:rPr>
          <w:rFonts w:hint="eastAsia" w:ascii="仿宋" w:hAnsi="仿宋" w:eastAsia="仿宋"/>
          <w:b w:val="0"/>
          <w:sz w:val="24"/>
          <w:highlight w:val="none"/>
        </w:rPr>
        <w:t>.2经投标人确认修正后的报价若超过采购预算金额或者最高限价，</w:t>
      </w:r>
      <w:r>
        <w:rPr>
          <w:rFonts w:hint="eastAsia" w:ascii="仿宋" w:hAnsi="仿宋" w:eastAsia="仿宋"/>
          <w:sz w:val="24"/>
          <w:highlight w:val="none"/>
        </w:rPr>
        <w:t>投标人的投标文件作无效投标处理</w:t>
      </w:r>
      <w:r>
        <w:rPr>
          <w:rFonts w:hint="eastAsia" w:ascii="仿宋" w:hAnsi="仿宋" w:eastAsia="仿宋"/>
          <w:b w:val="0"/>
          <w:sz w:val="24"/>
          <w:highlight w:val="none"/>
        </w:rPr>
        <w:t>。</w:t>
      </w:r>
    </w:p>
    <w:p>
      <w:pPr>
        <w:snapToGrid w:val="0"/>
        <w:spacing w:line="360" w:lineRule="auto"/>
        <w:ind w:firstLine="480" w:firstLineChars="200"/>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.3经投标人确认修正后的报价作为签订合同的依据，并以此报价计算价格分。</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5.</w:t>
      </w:r>
      <w:r>
        <w:rPr>
          <w:rFonts w:hint="eastAsia" w:ascii="仿宋" w:hAnsi="仿宋" w:eastAsia="仿宋"/>
          <w:sz w:val="24"/>
          <w:highlight w:val="none"/>
        </w:rPr>
        <w:t>比较与评价</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5.1采用综合评分法的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（1）评标委员会按照招标文件中规定的评标方法及评标标准，对符合性审查合格的投标文件进行商务和技术评估，综合比较与评价。</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（2）评标委员会独立对每个投标人的投标文件进行评价，并汇总每个投标人的得分。</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z w:val="24"/>
          <w:highlight w:val="none"/>
        </w:rPr>
        <w:t>投标人不能证明其报价合理性的，评标委员会将其作为无效投标处理</w:t>
      </w:r>
      <w:r>
        <w:rPr>
          <w:rFonts w:hint="eastAsia" w:ascii="仿宋" w:hAnsi="仿宋" w:eastAsia="仿宋"/>
          <w:sz w:val="24"/>
          <w:highlight w:val="none"/>
        </w:rPr>
        <w:t>。</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（3）评标委员会按照招标文件中规定的评标方法和标准计算各投标人的报价得分。在计算过程中，不得去掉最高报价或者最低报价。</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（4）各投标人的得分为所有评委的有效评分的算术平均数。</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（5）评标委员会按照招标文件中的规定推荐中标候选人。</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5.2采用最低评标价法的</w:t>
      </w:r>
    </w:p>
    <w:p>
      <w:pPr>
        <w:snapToGrid w:val="0"/>
        <w:spacing w:line="360" w:lineRule="auto"/>
        <w:ind w:firstLine="484" w:firstLineChars="202"/>
        <w:jc w:val="left"/>
        <w:rPr>
          <w:rFonts w:hint="eastAsia" w:ascii="仿宋" w:hAnsi="仿宋" w:eastAsia="仿宋"/>
          <w:sz w:val="24"/>
          <w:highlight w:val="none"/>
        </w:rPr>
      </w:pPr>
      <w:r>
        <w:rPr>
          <w:rFonts w:hint="eastAsia" w:ascii="仿宋" w:hAnsi="仿宋" w:eastAsia="仿宋"/>
          <w:sz w:val="24"/>
          <w:highlight w:val="none"/>
        </w:rPr>
        <w:t>（1）评标委员会按照招标文件中规定的评标方法及评标标准，对符合性审查合格的投标文件报价进行比较。</w:t>
      </w:r>
    </w:p>
    <w:p>
      <w:pPr>
        <w:snapToGrid w:val="0"/>
        <w:spacing w:line="360" w:lineRule="auto"/>
        <w:ind w:firstLine="460" w:firstLineChars="202"/>
        <w:jc w:val="left"/>
        <w:rPr>
          <w:rFonts w:hint="eastAsia" w:ascii="仿宋" w:hAnsi="仿宋" w:eastAsia="仿宋"/>
          <w:spacing w:val="-6"/>
          <w:sz w:val="24"/>
          <w:highlight w:val="none"/>
        </w:rPr>
      </w:pPr>
      <w:r>
        <w:rPr>
          <w:rFonts w:hint="eastAsia" w:ascii="仿宋" w:hAnsi="仿宋" w:eastAsia="仿宋"/>
          <w:spacing w:val="-6"/>
          <w:sz w:val="24"/>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pacing w:val="-6"/>
          <w:sz w:val="24"/>
          <w:highlight w:val="none"/>
        </w:rPr>
        <w:t>投标人不能证明其报价合理性的，评标委员会将其作为无效投标处理</w:t>
      </w:r>
      <w:r>
        <w:rPr>
          <w:rFonts w:hint="eastAsia" w:ascii="仿宋" w:hAnsi="仿宋" w:eastAsia="仿宋"/>
          <w:spacing w:val="-6"/>
          <w:sz w:val="24"/>
          <w:highlight w:val="none"/>
        </w:rPr>
        <w:t>。</w:t>
      </w:r>
    </w:p>
    <w:p>
      <w:pPr>
        <w:snapToGrid w:val="0"/>
        <w:spacing w:line="360" w:lineRule="auto"/>
        <w:ind w:firstLine="484" w:firstLineChars="202"/>
        <w:jc w:val="left"/>
        <w:rPr>
          <w:rFonts w:hint="eastAsia" w:ascii="仿宋" w:hAnsi="仿宋" w:eastAsia="仿宋"/>
          <w:sz w:val="24"/>
          <w:highlight w:val="none"/>
        </w:rPr>
      </w:pPr>
      <w:r>
        <w:rPr>
          <w:rFonts w:hint="eastAsia" w:ascii="仿宋" w:hAnsi="仿宋" w:eastAsia="仿宋"/>
          <w:sz w:val="24"/>
          <w:highlight w:val="none"/>
        </w:rPr>
        <w:t>（3）评标委员会按照招标文件中的规定推荐中标候选人。</w:t>
      </w:r>
    </w:p>
    <w:p>
      <w:pPr>
        <w:snapToGrid w:val="0"/>
        <w:spacing w:line="360" w:lineRule="auto"/>
        <w:ind w:firstLine="484" w:firstLineChars="202"/>
        <w:jc w:val="left"/>
        <w:rPr>
          <w:rFonts w:hint="eastAsia" w:ascii="仿宋" w:hAnsi="仿宋" w:eastAsia="仿宋"/>
          <w:sz w:val="24"/>
          <w:highlight w:val="none"/>
        </w:rPr>
      </w:pPr>
      <w:r>
        <w:rPr>
          <w:rFonts w:hint="eastAsia" w:ascii="仿宋" w:hAnsi="仿宋" w:eastAsia="仿宋"/>
          <w:sz w:val="24"/>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jc w:val="center"/>
        <w:rPr>
          <w:rFonts w:hint="eastAsia" w:ascii="仿宋" w:hAnsi="仿宋" w:eastAsia="仿宋"/>
          <w:highlight w:val="none"/>
        </w:rPr>
      </w:pPr>
      <w:r>
        <w:rPr>
          <w:rFonts w:ascii="仿宋" w:hAnsi="仿宋" w:eastAsia="仿宋"/>
          <w:highlight w:val="none"/>
        </w:rPr>
        <w:br w:type="page"/>
      </w:r>
      <w:r>
        <w:rPr>
          <w:rFonts w:ascii="仿宋" w:hAnsi="仿宋" w:eastAsia="仿宋" w:cs="宋体"/>
          <w:b/>
          <w:bCs/>
          <w:sz w:val="32"/>
          <w:szCs w:val="32"/>
          <w:highlight w:val="none"/>
        </w:rPr>
        <w:t>三</w:t>
      </w:r>
      <w:r>
        <w:rPr>
          <w:rFonts w:hint="eastAsia" w:ascii="仿宋" w:hAnsi="仿宋" w:eastAsia="仿宋" w:cs="宋体"/>
          <w:b/>
          <w:bCs/>
          <w:sz w:val="32"/>
          <w:szCs w:val="32"/>
          <w:highlight w:val="none"/>
        </w:rPr>
        <w:t>、评标标准</w:t>
      </w:r>
    </w:p>
    <w:p>
      <w:pPr>
        <w:pStyle w:val="5"/>
        <w:keepNext w:val="0"/>
        <w:keepLines w:val="0"/>
        <w:spacing w:before="0" w:after="0" w:line="500" w:lineRule="exact"/>
        <w:jc w:val="center"/>
        <w:rPr>
          <w:rFonts w:hint="eastAsia" w:ascii="仿宋" w:hAnsi="仿宋" w:eastAsia="仿宋"/>
          <w:highlight w:val="none"/>
        </w:rPr>
      </w:pPr>
      <w:r>
        <w:rPr>
          <w:rFonts w:hint="eastAsia" w:ascii="仿宋" w:hAnsi="仿宋" w:eastAsia="仿宋"/>
          <w:highlight w:val="none"/>
        </w:rPr>
        <w:t>综合评分法</w:t>
      </w:r>
    </w:p>
    <w:p>
      <w:pPr>
        <w:pStyle w:val="5"/>
        <w:keepNext w:val="0"/>
        <w:keepLines w:val="0"/>
        <w:spacing w:before="0" w:after="0" w:line="500" w:lineRule="exact"/>
        <w:rPr>
          <w:rFonts w:hint="eastAsia" w:ascii="仿宋" w:hAnsi="仿宋" w:eastAsia="仿宋"/>
          <w:highlight w:val="none"/>
        </w:rPr>
      </w:pPr>
      <w:r>
        <w:rPr>
          <w:rFonts w:hint="eastAsia" w:ascii="仿宋" w:hAnsi="仿宋" w:eastAsia="仿宋"/>
          <w:highlight w:val="none"/>
        </w:rPr>
        <w:t>（一）评标标准</w:t>
      </w:r>
    </w:p>
    <w:tbl>
      <w:tblPr>
        <w:tblStyle w:val="51"/>
        <w:tblW w:w="10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993"/>
        <w:gridCol w:w="850"/>
        <w:gridCol w:w="1134"/>
        <w:gridCol w:w="6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序号</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评审</w:t>
            </w:r>
          </w:p>
          <w:p>
            <w:pPr>
              <w:spacing w:line="460" w:lineRule="exact"/>
              <w:jc w:val="center"/>
              <w:rPr>
                <w:rFonts w:hint="eastAsia" w:ascii="仿宋" w:hAnsi="仿宋" w:eastAsia="仿宋" w:cs="宋体"/>
                <w:sz w:val="24"/>
                <w:highlight w:val="none"/>
              </w:rPr>
            </w:pPr>
            <w:r>
              <w:rPr>
                <w:rFonts w:hint="eastAsia" w:ascii="仿宋" w:hAnsi="仿宋" w:eastAsia="仿宋" w:cs="宋体"/>
                <w:b/>
                <w:sz w:val="24"/>
                <w:highlight w:val="none"/>
              </w:rPr>
              <w:t>因素</w:t>
            </w:r>
          </w:p>
        </w:tc>
        <w:tc>
          <w:tcPr>
            <w:tcW w:w="850"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分值</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1</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投标</w:t>
            </w:r>
          </w:p>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报价</w:t>
            </w:r>
          </w:p>
        </w:tc>
        <w:tc>
          <w:tcPr>
            <w:tcW w:w="850"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ascii="仿宋" w:hAnsi="仿宋" w:eastAsia="仿宋" w:cs="宋体"/>
                <w:b/>
                <w:sz w:val="24"/>
                <w:highlight w:val="none"/>
              </w:rPr>
              <w:t>30</w:t>
            </w:r>
            <w:r>
              <w:rPr>
                <w:rFonts w:hint="eastAsia" w:ascii="仿宋" w:hAnsi="仿宋" w:eastAsia="仿宋" w:cs="宋体"/>
                <w:b/>
                <w:sz w:val="24"/>
                <w:highlight w:val="none"/>
              </w:rPr>
              <w:t>分</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rPr>
                <w:rFonts w:ascii="仿宋" w:hAnsi="仿宋" w:eastAsia="仿宋" w:cs="宋体"/>
                <w:b/>
                <w:bCs/>
                <w:sz w:val="24"/>
                <w:highlight w:val="none"/>
              </w:rPr>
            </w:pPr>
            <w:r>
              <w:rPr>
                <w:rFonts w:hint="eastAsia" w:ascii="仿宋" w:hAnsi="仿宋" w:eastAsia="仿宋" w:cs="宋体"/>
                <w:b/>
                <w:bCs/>
                <w:sz w:val="24"/>
                <w:highlight w:val="none"/>
              </w:rPr>
              <w:t>一、政府采购政策扣除</w:t>
            </w:r>
          </w:p>
          <w:p>
            <w:pPr>
              <w:spacing w:line="460" w:lineRule="exact"/>
              <w:ind w:firstLine="480" w:firstLineChars="200"/>
              <w:rPr>
                <w:rFonts w:ascii="仿宋" w:hAnsi="仿宋" w:eastAsia="仿宋" w:cs="宋体"/>
                <w:bCs/>
                <w:kern w:val="0"/>
                <w:sz w:val="24"/>
                <w:highlight w:val="none"/>
              </w:rPr>
            </w:pPr>
            <w:r>
              <w:rPr>
                <w:rFonts w:hint="eastAsia" w:ascii="仿宋" w:hAnsi="仿宋" w:eastAsia="仿宋" w:cs="宋体"/>
                <w:bCs/>
                <w:kern w:val="0"/>
                <w:sz w:val="24"/>
                <w:highlight w:val="none"/>
              </w:rPr>
              <w:t>1、根据《政府采购促进中小企业发展管理办法》的规定、广西壮族自治区财政厅关于进一步发挥政府采购政策功能促进企业发展的通知-桂财采〔2022〕30号规定，对于经主管预算单位统筹后未预留份额专门面向中小企业采购的采购项目，以及预留份额项目中的非预留部分采购包，投标人在其投标文件中提供《中小企业声明函》，且其投标产品全部为小型和微型企业产品的，对投标报价给予20%的扣除，用扣除后的价格参加评审；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ascii="仿宋" w:hAnsi="仿宋" w:eastAsia="仿宋" w:cs="宋体"/>
                <w:bCs/>
                <w:kern w:val="0"/>
                <w:sz w:val="24"/>
                <w:highlight w:val="none"/>
              </w:rPr>
              <w:t>6</w:t>
            </w:r>
            <w:r>
              <w:rPr>
                <w:rFonts w:hint="eastAsia" w:ascii="仿宋" w:hAnsi="仿宋" w:eastAsia="仿宋" w:cs="宋体"/>
                <w:bCs/>
                <w:kern w:val="0"/>
                <w:sz w:val="24"/>
                <w:highlight w:val="none"/>
              </w:rPr>
              <w:t>%的扣除，用扣除后的价格参加评审。符合上述规定对报价给予扣除的，扣除后的价格为评标价，即评标价=投标报价×（1-扣除比例）；不符合上述给予扣除情形的，评标价=投标报价。</w:t>
            </w:r>
          </w:p>
          <w:p>
            <w:pPr>
              <w:spacing w:line="460" w:lineRule="exact"/>
              <w:ind w:firstLine="480" w:firstLineChars="200"/>
              <w:rPr>
                <w:rFonts w:ascii="仿宋" w:hAnsi="仿宋" w:eastAsia="仿宋" w:cs="宋体"/>
                <w:bCs/>
                <w:kern w:val="0"/>
                <w:sz w:val="24"/>
                <w:highlight w:val="none"/>
              </w:rPr>
            </w:pPr>
            <w:r>
              <w:rPr>
                <w:rFonts w:hint="eastAsia" w:ascii="仿宋" w:hAnsi="仿宋" w:eastAsia="仿宋" w:cs="宋体"/>
                <w:bCs/>
                <w:kern w:val="0"/>
                <w:sz w:val="24"/>
                <w:highlight w:val="none"/>
              </w:rPr>
              <w:t>2、</w:t>
            </w:r>
            <w:r>
              <w:rPr>
                <w:rFonts w:hint="eastAsia" w:ascii="仿宋" w:hAnsi="仿宋" w:eastAsia="仿宋" w:cs="宋体"/>
                <w:kern w:val="0"/>
                <w:sz w:val="24"/>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spacing w:line="460" w:lineRule="exact"/>
              <w:ind w:firstLine="480" w:firstLineChars="200"/>
              <w:outlineLvl w:val="0"/>
              <w:rPr>
                <w:rFonts w:ascii="仿宋" w:hAnsi="仿宋" w:eastAsia="仿宋" w:cs="宋体"/>
                <w:kern w:val="0"/>
                <w:sz w:val="24"/>
                <w:highlight w:val="none"/>
              </w:rPr>
            </w:pPr>
            <w:r>
              <w:rPr>
                <w:rFonts w:hint="eastAsia" w:ascii="仿宋" w:hAnsi="仿宋" w:eastAsia="仿宋" w:cs="宋体"/>
                <w:bCs/>
                <w:kern w:val="0"/>
                <w:sz w:val="24"/>
                <w:highlight w:val="none"/>
              </w:rPr>
              <w:t>3、</w:t>
            </w:r>
            <w:r>
              <w:rPr>
                <w:rFonts w:hint="eastAsia" w:ascii="仿宋" w:hAnsi="仿宋" w:eastAsia="仿宋" w:cs="宋体"/>
                <w:kern w:val="0"/>
                <w:sz w:val="24"/>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460" w:lineRule="exact"/>
              <w:outlineLvl w:val="0"/>
              <w:rPr>
                <w:rFonts w:hint="eastAsia" w:ascii="仿宋" w:hAnsi="仿宋" w:eastAsia="仿宋" w:cs="宋体"/>
                <w:b/>
                <w:kern w:val="0"/>
                <w:sz w:val="24"/>
                <w:highlight w:val="none"/>
              </w:rPr>
            </w:pPr>
            <w:r>
              <w:rPr>
                <w:rFonts w:hint="eastAsia" w:ascii="仿宋" w:hAnsi="仿宋" w:eastAsia="仿宋" w:cs="宋体"/>
                <w:b/>
                <w:kern w:val="0"/>
                <w:sz w:val="24"/>
                <w:highlight w:val="none"/>
              </w:rPr>
              <w:t>二、投标报价分（满分</w:t>
            </w:r>
            <w:r>
              <w:rPr>
                <w:rFonts w:ascii="仿宋" w:hAnsi="仿宋" w:eastAsia="仿宋" w:cs="宋体"/>
                <w:b/>
                <w:kern w:val="0"/>
                <w:sz w:val="24"/>
                <w:highlight w:val="none"/>
              </w:rPr>
              <w:t>30</w:t>
            </w:r>
            <w:r>
              <w:rPr>
                <w:rFonts w:hint="eastAsia" w:ascii="仿宋" w:hAnsi="仿宋" w:eastAsia="仿宋" w:cs="宋体"/>
                <w:b/>
                <w:kern w:val="0"/>
                <w:sz w:val="24"/>
                <w:highlight w:val="none"/>
              </w:rPr>
              <w:t>分）</w:t>
            </w:r>
          </w:p>
          <w:p>
            <w:pPr>
              <w:spacing w:line="460" w:lineRule="exact"/>
              <w:ind w:firstLine="480" w:firstLineChars="200"/>
              <w:rPr>
                <w:rFonts w:hint="eastAsia" w:ascii="仿宋" w:hAnsi="仿宋" w:eastAsia="仿宋" w:cs="宋体"/>
                <w:bCs/>
                <w:kern w:val="0"/>
                <w:sz w:val="24"/>
                <w:highlight w:val="none"/>
              </w:rPr>
            </w:pPr>
            <w:r>
              <w:rPr>
                <w:rFonts w:hint="eastAsia" w:ascii="仿宋" w:hAnsi="仿宋" w:eastAsia="仿宋" w:cs="宋体"/>
                <w:kern w:val="0"/>
                <w:sz w:val="24"/>
                <w:highlight w:val="none"/>
              </w:rPr>
              <w:t>1、</w:t>
            </w:r>
            <w:r>
              <w:rPr>
                <w:rFonts w:hint="eastAsia" w:ascii="仿宋" w:hAnsi="仿宋" w:eastAsia="仿宋" w:cs="宋体"/>
                <w:bCs/>
                <w:kern w:val="0"/>
                <w:sz w:val="24"/>
                <w:highlight w:val="none"/>
              </w:rPr>
              <w:t>投标报价分采用低价优先法计算，满足招标文件要求且评标价最低的有效投标人的评标价为评标基准价，其投标报价分为满分。</w:t>
            </w:r>
          </w:p>
          <w:p>
            <w:pPr>
              <w:spacing w:line="460" w:lineRule="exact"/>
              <w:ind w:firstLine="480" w:firstLineChars="200"/>
              <w:rPr>
                <w:rFonts w:hint="eastAsia" w:ascii="仿宋" w:hAnsi="仿宋" w:eastAsia="仿宋" w:cs="宋体"/>
                <w:bCs/>
                <w:kern w:val="0"/>
                <w:sz w:val="24"/>
                <w:highlight w:val="none"/>
              </w:rPr>
            </w:pPr>
            <w:r>
              <w:rPr>
                <w:rFonts w:hint="eastAsia" w:ascii="仿宋" w:hAnsi="仿宋" w:eastAsia="仿宋" w:cs="宋体"/>
                <w:bCs/>
                <w:kern w:val="0"/>
                <w:sz w:val="24"/>
                <w:highlight w:val="none"/>
              </w:rPr>
              <w:t>2、其他投标人的价格分统一按照下列公式计算：</w:t>
            </w:r>
          </w:p>
          <w:p>
            <w:pPr>
              <w:spacing w:line="460" w:lineRule="exact"/>
              <w:rPr>
                <w:rFonts w:hint="eastAsia" w:ascii="仿宋" w:hAnsi="仿宋" w:eastAsia="仿宋" w:cs="宋体"/>
                <w:bCs/>
                <w:kern w:val="0"/>
                <w:sz w:val="24"/>
                <w:highlight w:val="none"/>
              </w:rPr>
            </w:pPr>
            <w:r>
              <w:rPr>
                <w:rFonts w:hint="eastAsia" w:ascii="仿宋" w:hAnsi="仿宋" w:eastAsia="仿宋" w:cs="宋体"/>
                <w:bCs/>
                <w:kern w:val="0"/>
                <w:sz w:val="24"/>
                <w:highlight w:val="none"/>
              </w:rPr>
              <w:t>某有效投标人的投标报价分=（评标基准价／某有效投标人评标价）×</w:t>
            </w:r>
            <w:r>
              <w:rPr>
                <w:rFonts w:ascii="仿宋" w:hAnsi="仿宋" w:eastAsia="仿宋" w:cs="宋体"/>
                <w:bCs/>
                <w:kern w:val="0"/>
                <w:sz w:val="24"/>
                <w:highlight w:val="none"/>
              </w:rPr>
              <w:t>30</w:t>
            </w:r>
            <w:r>
              <w:rPr>
                <w:rFonts w:hint="eastAsia" w:ascii="仿宋" w:hAnsi="仿宋" w:eastAsia="仿宋" w:cs="宋体"/>
                <w:bCs/>
                <w:kern w:val="0"/>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2</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技术分</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55分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kern w:val="0"/>
                <w:sz w:val="24"/>
                <w:szCs w:val="21"/>
                <w:highlight w:val="none"/>
              </w:rPr>
            </w:pPr>
            <w:bookmarkStart w:id="190" w:name="OLE_LINK28"/>
            <w:r>
              <w:rPr>
                <w:rFonts w:hint="eastAsia" w:ascii="仿宋" w:hAnsi="仿宋" w:eastAsia="仿宋" w:cs="宋体"/>
                <w:b/>
                <w:bCs/>
                <w:kern w:val="0"/>
                <w:sz w:val="24"/>
                <w:szCs w:val="21"/>
                <w:highlight w:val="none"/>
              </w:rPr>
              <w:t>产品参数分（满分</w:t>
            </w:r>
            <w:r>
              <w:rPr>
                <w:rFonts w:ascii="仿宋" w:hAnsi="仿宋" w:eastAsia="仿宋" w:cs="宋体"/>
                <w:b/>
                <w:bCs/>
                <w:kern w:val="0"/>
                <w:sz w:val="24"/>
                <w:szCs w:val="21"/>
                <w:highlight w:val="none"/>
              </w:rPr>
              <w:t>40</w:t>
            </w:r>
            <w:r>
              <w:rPr>
                <w:rFonts w:hint="eastAsia" w:ascii="仿宋" w:hAnsi="仿宋" w:eastAsia="仿宋" w:cs="宋体"/>
                <w:b/>
                <w:bCs/>
                <w:kern w:val="0"/>
                <w:sz w:val="24"/>
                <w:szCs w:val="21"/>
                <w:highlight w:val="none"/>
              </w:rPr>
              <w:t>分）</w:t>
            </w:r>
            <w:bookmarkEnd w:id="190"/>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通过资格和符合性审查的投标人得基本分4</w:t>
            </w:r>
            <w:r>
              <w:rPr>
                <w:rFonts w:ascii="仿宋" w:hAnsi="仿宋" w:eastAsia="仿宋" w:cs="宋体"/>
                <w:sz w:val="24"/>
                <w:highlight w:val="none"/>
              </w:rPr>
              <w:t>0</w:t>
            </w:r>
            <w:r>
              <w:rPr>
                <w:rFonts w:hint="eastAsia" w:ascii="仿宋" w:hAnsi="仿宋" w:eastAsia="仿宋" w:cs="宋体"/>
                <w:sz w:val="24"/>
                <w:highlight w:val="none"/>
              </w:rPr>
              <w:t>分。评标委员会将根据招标文件第二章“采购需求”中技术条款要求，对比各投标人相应所投产品的技术参数，并按以下标准评分：</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（1）不满足标注</w:t>
            </w:r>
            <w:r>
              <w:rPr>
                <w:rFonts w:hint="eastAsia" w:ascii="仿宋" w:hAnsi="仿宋" w:eastAsia="仿宋" w:cs="仿宋"/>
                <w:sz w:val="24"/>
                <w:highlight w:val="none"/>
              </w:rPr>
              <w:t>▲</w:t>
            </w:r>
            <w:r>
              <w:rPr>
                <w:rFonts w:hint="eastAsia" w:ascii="仿宋" w:hAnsi="仿宋" w:eastAsia="仿宋" w:cs="宋体"/>
                <w:sz w:val="24"/>
                <w:highlight w:val="none"/>
              </w:rPr>
              <w:t>号项技术指标或未按要求提供证明材料的，每项扣10分，扣完4</w:t>
            </w:r>
            <w:r>
              <w:rPr>
                <w:rFonts w:ascii="仿宋" w:hAnsi="仿宋" w:eastAsia="仿宋" w:cs="宋体"/>
                <w:sz w:val="24"/>
                <w:highlight w:val="none"/>
              </w:rPr>
              <w:t>0</w:t>
            </w:r>
            <w:r>
              <w:rPr>
                <w:rFonts w:hint="eastAsia" w:ascii="仿宋" w:hAnsi="仿宋" w:eastAsia="仿宋" w:cs="宋体"/>
                <w:sz w:val="24"/>
                <w:highlight w:val="none"/>
              </w:rPr>
              <w:t>分即止；</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（2）不满足未标注</w:t>
            </w:r>
            <w:r>
              <w:rPr>
                <w:rFonts w:hint="eastAsia" w:ascii="仿宋" w:hAnsi="仿宋" w:eastAsia="仿宋" w:cs="仿宋"/>
                <w:sz w:val="24"/>
                <w:highlight w:val="none"/>
              </w:rPr>
              <w:t>▲</w:t>
            </w:r>
            <w:r>
              <w:rPr>
                <w:rFonts w:hint="eastAsia" w:ascii="仿宋" w:hAnsi="仿宋" w:eastAsia="仿宋" w:cs="宋体"/>
                <w:sz w:val="24"/>
                <w:highlight w:val="none"/>
              </w:rPr>
              <w:t>号项技术指标或未按要求提供证明材料的，每项扣5分，扣完4</w:t>
            </w:r>
            <w:r>
              <w:rPr>
                <w:rFonts w:ascii="仿宋" w:hAnsi="仿宋" w:eastAsia="仿宋" w:cs="宋体"/>
                <w:sz w:val="24"/>
                <w:highlight w:val="none"/>
              </w:rPr>
              <w:t>0</w:t>
            </w:r>
            <w:r>
              <w:rPr>
                <w:rFonts w:hint="eastAsia" w:ascii="仿宋" w:hAnsi="仿宋" w:eastAsia="仿宋" w:cs="宋体"/>
                <w:sz w:val="24"/>
                <w:highlight w:val="none"/>
              </w:rPr>
              <w:t>分即止。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sz w:val="24"/>
                <w:highlight w:val="none"/>
              </w:rPr>
            </w:pPr>
            <w:bookmarkStart w:id="191" w:name="OLE_LINK29"/>
            <w:r>
              <w:rPr>
                <w:rFonts w:hint="eastAsia" w:ascii="仿宋" w:hAnsi="仿宋" w:eastAsia="仿宋" w:cs="宋体"/>
                <w:b/>
                <w:bCs/>
                <w:sz w:val="24"/>
                <w:highlight w:val="none"/>
              </w:rPr>
              <w:t>项目实施方案分（满分</w:t>
            </w:r>
            <w:r>
              <w:rPr>
                <w:rFonts w:ascii="仿宋" w:hAnsi="仿宋" w:eastAsia="仿宋" w:cs="宋体"/>
                <w:b/>
                <w:bCs/>
                <w:sz w:val="24"/>
                <w:highlight w:val="none"/>
              </w:rPr>
              <w:t>15</w:t>
            </w:r>
            <w:r>
              <w:rPr>
                <w:rFonts w:hint="eastAsia" w:ascii="仿宋" w:hAnsi="仿宋" w:eastAsia="仿宋" w:cs="宋体"/>
                <w:b/>
                <w:bCs/>
                <w:sz w:val="24"/>
                <w:highlight w:val="none"/>
              </w:rPr>
              <w:t>分）</w:t>
            </w:r>
            <w:bookmarkEnd w:id="191"/>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highlight w:val="none"/>
              </w:rPr>
            </w:pPr>
            <w:bookmarkStart w:id="192" w:name="OLE_LINK30"/>
            <w:r>
              <w:rPr>
                <w:rFonts w:hint="eastAsia" w:ascii="仿宋" w:hAnsi="仿宋" w:eastAsia="仿宋" w:cs="宋体"/>
                <w:sz w:val="24"/>
                <w:highlight w:val="none"/>
              </w:rPr>
              <w:t>评标委员会对比各投标人提供的项目实施方案，包含但不限于：①产品运输配送方案；②安装调试方案；③产品试运行等内容进行综合评定，并按以下内容进行独立评审评分：</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一档：（0分）：未提供项目实施方案或不满足二档评审标准的；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二档（</w:t>
            </w:r>
            <w:r>
              <w:rPr>
                <w:rFonts w:ascii="仿宋" w:hAnsi="仿宋" w:eastAsia="仿宋" w:cs="宋体"/>
                <w:sz w:val="24"/>
                <w:highlight w:val="none"/>
              </w:rPr>
              <w:t>5</w:t>
            </w:r>
            <w:r>
              <w:rPr>
                <w:rFonts w:hint="eastAsia" w:ascii="仿宋" w:hAnsi="仿宋" w:eastAsia="仿宋" w:cs="宋体"/>
                <w:sz w:val="24"/>
                <w:highlight w:val="none"/>
              </w:rPr>
              <w:t>分）：上述评审内容中有1项内容经评审为完整、可行的；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三档（</w:t>
            </w:r>
            <w:r>
              <w:rPr>
                <w:rFonts w:ascii="仿宋" w:hAnsi="仿宋" w:eastAsia="仿宋" w:cs="宋体"/>
                <w:sz w:val="24"/>
                <w:highlight w:val="none"/>
              </w:rPr>
              <w:t>10</w:t>
            </w:r>
            <w:r>
              <w:rPr>
                <w:rFonts w:hint="eastAsia" w:ascii="仿宋" w:hAnsi="仿宋" w:eastAsia="仿宋" w:cs="宋体"/>
                <w:sz w:val="24"/>
                <w:highlight w:val="none"/>
              </w:rPr>
              <w:t>分）：上述评审内容中有2项内容经评审为完整、可行的；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四档（</w:t>
            </w:r>
            <w:r>
              <w:rPr>
                <w:rFonts w:ascii="仿宋" w:hAnsi="仿宋" w:eastAsia="仿宋" w:cs="宋体"/>
                <w:sz w:val="24"/>
                <w:highlight w:val="none"/>
              </w:rPr>
              <w:t>15</w:t>
            </w:r>
            <w:r>
              <w:rPr>
                <w:rFonts w:hint="eastAsia" w:ascii="仿宋" w:hAnsi="仿宋" w:eastAsia="仿宋" w:cs="宋体"/>
                <w:sz w:val="24"/>
                <w:highlight w:val="none"/>
              </w:rPr>
              <w:t>分）：上述全部评审内容经评审为完整、可行的。</w:t>
            </w:r>
            <w:bookmarkEnd w:id="1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3</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b/>
                <w:sz w:val="24"/>
                <w:highlight w:val="none"/>
              </w:rPr>
            </w:pPr>
            <w:r>
              <w:rPr>
                <w:rFonts w:hint="eastAsia" w:ascii="仿宋" w:hAnsi="仿宋" w:eastAsia="仿宋" w:cs="宋体"/>
                <w:b/>
                <w:sz w:val="24"/>
                <w:highlight w:val="none"/>
              </w:rPr>
              <w:t>商务分</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bookmarkStart w:id="193" w:name="OLE_LINK31"/>
            <w:r>
              <w:rPr>
                <w:rFonts w:hint="eastAsia" w:ascii="仿宋" w:hAnsi="仿宋" w:eastAsia="仿宋" w:cs="宋体"/>
                <w:b/>
                <w:sz w:val="24"/>
                <w:highlight w:val="none"/>
              </w:rPr>
              <w:t>15分</w:t>
            </w:r>
            <w:bookmarkEnd w:id="193"/>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sz w:val="24"/>
                <w:highlight w:val="none"/>
              </w:rPr>
            </w:pPr>
            <w:bookmarkStart w:id="194" w:name="OLE_LINK32"/>
            <w:r>
              <w:rPr>
                <w:rFonts w:hint="eastAsia" w:ascii="仿宋" w:hAnsi="仿宋" w:eastAsia="仿宋" w:cs="宋体"/>
                <w:b/>
                <w:bCs/>
                <w:sz w:val="24"/>
                <w:highlight w:val="none"/>
              </w:rPr>
              <w:t>售后服务分(满分</w:t>
            </w:r>
            <w:r>
              <w:rPr>
                <w:rFonts w:ascii="仿宋" w:hAnsi="仿宋" w:eastAsia="仿宋" w:cs="宋体"/>
                <w:b/>
                <w:bCs/>
                <w:sz w:val="24"/>
                <w:highlight w:val="none"/>
              </w:rPr>
              <w:t>6</w:t>
            </w:r>
            <w:r>
              <w:rPr>
                <w:rFonts w:hint="eastAsia" w:ascii="仿宋" w:hAnsi="仿宋" w:eastAsia="仿宋" w:cs="宋体"/>
                <w:b/>
                <w:bCs/>
                <w:sz w:val="24"/>
                <w:highlight w:val="none"/>
              </w:rPr>
              <w:t>分)</w:t>
            </w:r>
            <w:bookmarkEnd w:id="194"/>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评标委员会对比各投标人提供的售后服务内容，包括但不限于：①售后服务计划；②售后保障措施；③应急预案等内容进行综合评定，并按以下标准独立评分：</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一档（0分）：未提供售后服务方案或不满足二档评审标准的；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二档（</w:t>
            </w:r>
            <w:r>
              <w:rPr>
                <w:rFonts w:ascii="仿宋" w:hAnsi="仿宋" w:eastAsia="仿宋" w:cs="宋体"/>
                <w:sz w:val="24"/>
                <w:highlight w:val="none"/>
              </w:rPr>
              <w:t>2</w:t>
            </w:r>
            <w:r>
              <w:rPr>
                <w:rFonts w:hint="eastAsia" w:ascii="仿宋" w:hAnsi="仿宋" w:eastAsia="仿宋" w:cs="宋体"/>
                <w:sz w:val="24"/>
                <w:highlight w:val="none"/>
              </w:rPr>
              <w:t>分）：售后服务内容满足招标文件相关要求，上述评审内容中有1项内容经评审为完整、可行的；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三档（</w:t>
            </w:r>
            <w:r>
              <w:rPr>
                <w:rFonts w:ascii="仿宋" w:hAnsi="仿宋" w:eastAsia="仿宋" w:cs="宋体"/>
                <w:sz w:val="24"/>
                <w:highlight w:val="none"/>
              </w:rPr>
              <w:t>4</w:t>
            </w:r>
            <w:r>
              <w:rPr>
                <w:rFonts w:hint="eastAsia" w:ascii="仿宋" w:hAnsi="仿宋" w:eastAsia="仿宋" w:cs="宋体"/>
                <w:sz w:val="24"/>
                <w:highlight w:val="none"/>
              </w:rPr>
              <w:t>分）：售后服务内容满足招标文件相关要求，上述评审内容中有</w:t>
            </w:r>
            <w:r>
              <w:rPr>
                <w:rFonts w:ascii="仿宋" w:hAnsi="仿宋" w:eastAsia="仿宋" w:cs="宋体"/>
                <w:sz w:val="24"/>
                <w:highlight w:val="none"/>
              </w:rPr>
              <w:t>2</w:t>
            </w:r>
            <w:r>
              <w:rPr>
                <w:rFonts w:hint="eastAsia" w:ascii="仿宋" w:hAnsi="仿宋" w:eastAsia="仿宋" w:cs="宋体"/>
                <w:sz w:val="24"/>
                <w:highlight w:val="none"/>
              </w:rPr>
              <w:t>项内容经评审为完整、可行的；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四档（6分）：售后服务内容满足招标文件相关要求，上述全部评审内容经评审为完整、可行的。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1134" w:type="dxa"/>
            <w:vMerge w:val="restart"/>
            <w:tcBorders>
              <w:top w:val="single" w:color="auto" w:sz="4" w:space="0"/>
              <w:left w:val="single" w:color="auto" w:sz="4" w:space="0"/>
              <w:right w:val="single" w:color="auto" w:sz="4" w:space="0"/>
            </w:tcBorders>
            <w:vAlign w:val="center"/>
          </w:tcPr>
          <w:p>
            <w:pPr>
              <w:spacing w:line="460" w:lineRule="exact"/>
              <w:jc w:val="center"/>
              <w:rPr>
                <w:rFonts w:hint="eastAsia" w:ascii="仿宋" w:hAnsi="仿宋" w:eastAsia="仿宋" w:cs="宋体"/>
                <w:b/>
                <w:bCs/>
                <w:sz w:val="24"/>
                <w:highlight w:val="none"/>
              </w:rPr>
            </w:pPr>
            <w:bookmarkStart w:id="195" w:name="OLE_LINK33"/>
            <w:r>
              <w:rPr>
                <w:rFonts w:hint="eastAsia" w:ascii="仿宋" w:hAnsi="仿宋" w:eastAsia="仿宋" w:cs="宋体"/>
                <w:b/>
                <w:bCs/>
                <w:sz w:val="24"/>
                <w:highlight w:val="none"/>
              </w:rPr>
              <w:t>履约能力分（满分7分）</w:t>
            </w:r>
            <w:bookmarkEnd w:id="195"/>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1、投标人获得ISO质量管理体系认证或ISO环境管理体系认证或ISO职业健康安全体系认证（提供能清晰反映评审相关内容且有效的证书复印件，否则不予计分），每获得一个认证得</w:t>
            </w:r>
            <w:r>
              <w:rPr>
                <w:rFonts w:ascii="仿宋" w:hAnsi="仿宋" w:eastAsia="仿宋" w:cs="宋体"/>
                <w:sz w:val="24"/>
                <w:highlight w:val="none"/>
              </w:rPr>
              <w:t>1</w:t>
            </w:r>
            <w:r>
              <w:rPr>
                <w:rFonts w:hint="eastAsia" w:ascii="仿宋" w:hAnsi="仿宋" w:eastAsia="仿宋" w:cs="宋体"/>
                <w:sz w:val="24"/>
                <w:highlight w:val="none"/>
              </w:rPr>
              <w:t>分，满分</w:t>
            </w:r>
            <w:r>
              <w:rPr>
                <w:rFonts w:ascii="仿宋" w:hAnsi="仿宋" w:eastAsia="仿宋" w:cs="宋体"/>
                <w:sz w:val="24"/>
                <w:highlight w:val="none"/>
              </w:rPr>
              <w:t>3</w:t>
            </w:r>
            <w:r>
              <w:rPr>
                <w:rFonts w:hint="eastAsia" w:ascii="仿宋" w:hAnsi="仿宋" w:eastAsia="仿宋" w:cs="宋体"/>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1134" w:type="dxa"/>
            <w:vMerge w:val="continue"/>
            <w:tcBorders>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sz w:val="24"/>
                <w:highlight w:val="none"/>
              </w:rPr>
            </w:pPr>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highlight w:val="none"/>
              </w:rPr>
            </w:pPr>
            <w:bookmarkStart w:id="196" w:name="OLE_LINK34"/>
            <w:r>
              <w:rPr>
                <w:rFonts w:ascii="仿宋" w:hAnsi="仿宋" w:eastAsia="仿宋" w:cs="宋体"/>
                <w:sz w:val="24"/>
                <w:highlight w:val="none"/>
              </w:rPr>
              <w:t>2</w:t>
            </w:r>
            <w:r>
              <w:rPr>
                <w:rFonts w:hint="eastAsia" w:ascii="仿宋" w:hAnsi="仿宋" w:eastAsia="仿宋" w:cs="宋体"/>
                <w:sz w:val="24"/>
                <w:highlight w:val="none"/>
              </w:rPr>
              <w:t>.</w:t>
            </w:r>
            <w:r>
              <w:rPr>
                <w:rFonts w:hint="eastAsia"/>
                <w:highlight w:val="none"/>
              </w:rPr>
              <w:t xml:space="preserve"> </w:t>
            </w:r>
            <w:r>
              <w:rPr>
                <w:rFonts w:hint="eastAsia" w:ascii="仿宋" w:hAnsi="仿宋" w:eastAsia="仿宋" w:cs="宋体"/>
                <w:sz w:val="24"/>
                <w:highlight w:val="none"/>
              </w:rPr>
              <w:t>投标人202</w:t>
            </w:r>
            <w:r>
              <w:rPr>
                <w:rFonts w:ascii="仿宋" w:hAnsi="仿宋" w:eastAsia="仿宋" w:cs="宋体"/>
                <w:sz w:val="24"/>
                <w:highlight w:val="none"/>
              </w:rPr>
              <w:t>1</w:t>
            </w:r>
            <w:r>
              <w:rPr>
                <w:rFonts w:hint="eastAsia" w:ascii="仿宋" w:hAnsi="仿宋" w:eastAsia="仿宋" w:cs="宋体"/>
                <w:sz w:val="24"/>
                <w:highlight w:val="none"/>
              </w:rPr>
              <w:t>年以来完成同类产品（同类产品指检验或检测设备）的销售业绩[无不良记录，以中标（成交）通知书和合同书复印件为准（能清晰反映所销售的货物名称、种类、金额)，否则将不予计分；同一个编号的项目有两个或两个以上的分标中标的只算一次]，每个业绩得1分，满分4分。</w:t>
            </w:r>
            <w:bookmarkEnd w:id="1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4</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政策功能</w:t>
            </w:r>
          </w:p>
        </w:tc>
        <w:tc>
          <w:tcPr>
            <w:tcW w:w="850"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2分</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bCs/>
                <w:sz w:val="24"/>
                <w:highlight w:val="none"/>
              </w:rPr>
            </w:pPr>
            <w:bookmarkStart w:id="197" w:name="OLE_LINK35"/>
            <w:r>
              <w:rPr>
                <w:rFonts w:hint="eastAsia" w:ascii="仿宋" w:hAnsi="仿宋" w:eastAsia="仿宋" w:cs="宋体"/>
                <w:bCs/>
                <w:sz w:val="24"/>
                <w:highlight w:val="none"/>
              </w:rPr>
              <w:t>（1）主要投标产品（单一</w:t>
            </w:r>
            <w:r>
              <w:rPr>
                <w:rFonts w:hint="eastAsia" w:ascii="仿宋" w:hAnsi="仿宋" w:eastAsia="仿宋" w:cs="宋体"/>
                <w:sz w:val="24"/>
                <w:highlight w:val="none"/>
              </w:rPr>
              <w:t>标项</w:t>
            </w:r>
            <w:r>
              <w:rPr>
                <w:rFonts w:hint="eastAsia" w:ascii="仿宋" w:hAnsi="仿宋" w:eastAsia="仿宋" w:cs="宋体"/>
                <w:bCs/>
                <w:sz w:val="24"/>
                <w:highlight w:val="none"/>
              </w:rPr>
              <w:t>的投标报价或产品项号数占三分之一及以上）为政府采购节能产品的，得1分（适用于非强制采购节能产品，以有效的政府采购节能产品认证证书复印件为准，投标产品需清晰反映在证书上）。</w:t>
            </w:r>
            <w:bookmarkEnd w:id="197"/>
          </w:p>
          <w:p>
            <w:pPr>
              <w:spacing w:line="460" w:lineRule="exact"/>
              <w:rPr>
                <w:rFonts w:hint="eastAsia" w:ascii="仿宋" w:hAnsi="仿宋" w:eastAsia="仿宋" w:cs="宋体"/>
                <w:sz w:val="24"/>
                <w:highlight w:val="none"/>
              </w:rPr>
            </w:pPr>
            <w:r>
              <w:rPr>
                <w:rFonts w:hint="eastAsia" w:ascii="仿宋" w:hAnsi="仿宋" w:eastAsia="仿宋" w:cs="宋体"/>
                <w:bCs/>
                <w:sz w:val="24"/>
                <w:highlight w:val="none"/>
              </w:rPr>
              <w:t>（2）主要投标产品（单一</w:t>
            </w:r>
            <w:r>
              <w:rPr>
                <w:rFonts w:hint="eastAsia" w:ascii="仿宋" w:hAnsi="仿宋" w:eastAsia="仿宋" w:cs="宋体"/>
                <w:sz w:val="24"/>
                <w:highlight w:val="none"/>
              </w:rPr>
              <w:t>标项</w:t>
            </w:r>
            <w:r>
              <w:rPr>
                <w:rFonts w:hint="eastAsia" w:ascii="仿宋" w:hAnsi="仿宋" w:eastAsia="仿宋" w:cs="宋体"/>
                <w:bCs/>
                <w:sz w:val="24"/>
                <w:highlight w:val="none"/>
              </w:rPr>
              <w:t>的投标报价或产品项号数占三分之一及以上）为政府采购环境标志产品的，得1分（以有效的政府采购环境标志产品认证证书复印件为准，投标产品需清晰反映在证书上）。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0" w:type="dxa"/>
            <w:gridSpan w:val="5"/>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b/>
                <w:bCs/>
                <w:sz w:val="24"/>
                <w:highlight w:val="none"/>
              </w:rPr>
            </w:pPr>
            <w:r>
              <w:rPr>
                <w:rFonts w:hint="eastAsia" w:ascii="仿宋" w:hAnsi="仿宋" w:eastAsia="仿宋" w:cs="宋体"/>
                <w:b/>
                <w:bCs/>
                <w:sz w:val="24"/>
                <w:highlight w:val="none"/>
              </w:rPr>
              <w:t>总得分=1+2+3。</w:t>
            </w:r>
          </w:p>
          <w:p>
            <w:pPr>
              <w:spacing w:line="460" w:lineRule="exact"/>
              <w:rPr>
                <w:rFonts w:hint="eastAsia" w:ascii="仿宋" w:hAnsi="仿宋" w:eastAsia="仿宋" w:cs="宋体"/>
                <w:bCs/>
                <w:sz w:val="24"/>
                <w:highlight w:val="none"/>
              </w:rPr>
            </w:pPr>
            <w:r>
              <w:rPr>
                <w:rFonts w:hint="eastAsia" w:ascii="仿宋" w:hAnsi="仿宋" w:eastAsia="仿宋" w:cs="宋体"/>
                <w:bCs/>
                <w:sz w:val="24"/>
                <w:highlight w:val="none"/>
              </w:rPr>
              <w:t>注：1.计分方法按四舍五入取至百分位；</w:t>
            </w:r>
          </w:p>
          <w:p>
            <w:pPr>
              <w:spacing w:line="460" w:lineRule="exact"/>
              <w:rPr>
                <w:rFonts w:hint="eastAsia" w:ascii="仿宋" w:hAnsi="仿宋" w:eastAsia="仿宋" w:cs="宋体"/>
                <w:bCs/>
                <w:sz w:val="24"/>
                <w:highlight w:val="none"/>
              </w:rPr>
            </w:pPr>
            <w:r>
              <w:rPr>
                <w:rFonts w:hint="eastAsia" w:ascii="仿宋" w:hAnsi="仿宋" w:eastAsia="仿宋" w:cs="宋体"/>
                <w:bCs/>
                <w:sz w:val="24"/>
                <w:highlight w:val="none"/>
              </w:rPr>
              <w:t xml:space="preserve">    2.因落实政府采购政策进行价格调整的，以调整后的价格计算评标基准价和投标报价。</w:t>
            </w:r>
          </w:p>
        </w:tc>
      </w:tr>
    </w:tbl>
    <w:p>
      <w:pPr>
        <w:pStyle w:val="5"/>
        <w:keepNext w:val="0"/>
        <w:keepLines w:val="0"/>
        <w:spacing w:before="0" w:after="0" w:line="415" w:lineRule="auto"/>
        <w:jc w:val="center"/>
        <w:rPr>
          <w:rFonts w:hint="eastAsia" w:ascii="仿宋" w:hAnsi="仿宋" w:eastAsia="仿宋"/>
          <w:sz w:val="30"/>
          <w:szCs w:val="30"/>
          <w:highlight w:val="none"/>
        </w:rPr>
      </w:pPr>
      <w:r>
        <w:rPr>
          <w:rFonts w:ascii="仿宋" w:hAnsi="仿宋" w:eastAsia="仿宋"/>
          <w:highlight w:val="none"/>
        </w:rPr>
        <w:br w:type="page"/>
      </w:r>
      <w:r>
        <w:rPr>
          <w:rFonts w:hint="eastAsia" w:ascii="仿宋" w:hAnsi="仿宋" w:eastAsia="仿宋"/>
          <w:sz w:val="30"/>
          <w:szCs w:val="30"/>
          <w:highlight w:val="none"/>
        </w:rPr>
        <w:t>四、中标候选人推荐原则</w:t>
      </w:r>
    </w:p>
    <w:p>
      <w:pPr>
        <w:pStyle w:val="24"/>
        <w:rPr>
          <w:rFonts w:hint="eastAsia"/>
          <w:highlight w:val="none"/>
        </w:rPr>
      </w:pPr>
      <w:r>
        <w:rPr>
          <w:rFonts w:hint="eastAsia"/>
          <w:highlight w:val="none"/>
        </w:rPr>
        <w:t>（一）综合评分法</w:t>
      </w:r>
    </w:p>
    <w:p>
      <w:pPr>
        <w:pStyle w:val="24"/>
        <w:rPr>
          <w:rFonts w:hint="eastAsia"/>
          <w:highlight w:val="none"/>
        </w:rPr>
      </w:pPr>
      <w:r>
        <w:rPr>
          <w:rFonts w:hint="eastAsia"/>
          <w:highlight w:val="none"/>
        </w:rPr>
        <w:t>评标委员会将根据得分由高到低排列次序（得分相同时，以投标报价由低到高顺序排列；得分相同且投标报价相同的，按技术、商务、政策功能得分由高到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pPr>
        <w:pStyle w:val="4"/>
        <w:keepNext w:val="0"/>
        <w:keepLines w:val="0"/>
        <w:spacing w:before="0" w:after="0" w:line="360" w:lineRule="auto"/>
        <w:jc w:val="center"/>
        <w:rPr>
          <w:rFonts w:hint="eastAsia" w:ascii="仿宋" w:hAnsi="仿宋" w:eastAsia="仿宋"/>
          <w:sz w:val="44"/>
          <w:szCs w:val="44"/>
          <w:highlight w:val="none"/>
        </w:rPr>
      </w:pPr>
      <w:r>
        <w:rPr>
          <w:rFonts w:ascii="仿宋" w:hAnsi="仿宋" w:eastAsia="仿宋"/>
          <w:highlight w:val="none"/>
        </w:rPr>
        <w:br w:type="page"/>
      </w:r>
      <w:bookmarkStart w:id="198" w:name="_Toc74320804"/>
      <w:r>
        <w:rPr>
          <w:rFonts w:hint="eastAsia" w:ascii="仿宋" w:hAnsi="仿宋" w:eastAsia="仿宋"/>
          <w:sz w:val="44"/>
          <w:szCs w:val="44"/>
          <w:highlight w:val="none"/>
        </w:rPr>
        <w:t>第五章  拟签订的合同文本</w:t>
      </w:r>
      <w:bookmarkEnd w:id="198"/>
    </w:p>
    <w:p>
      <w:pPr>
        <w:snapToGrid w:val="0"/>
        <w:spacing w:line="420" w:lineRule="exact"/>
        <w:ind w:right="480" w:firstLine="480" w:firstLineChars="200"/>
        <w:rPr>
          <w:rFonts w:hint="eastAsia" w:ascii="仿宋" w:hAnsi="仿宋" w:eastAsia="仿宋"/>
          <w:bCs/>
          <w:sz w:val="24"/>
          <w:highlight w:val="none"/>
          <w:u w:val="single"/>
        </w:rPr>
      </w:pPr>
      <w:bookmarkStart w:id="199" w:name="_Toc74320805"/>
      <w:r>
        <w:rPr>
          <w:rFonts w:hint="eastAsia" w:ascii="仿宋" w:hAnsi="仿宋" w:eastAsia="仿宋"/>
          <w:bCs/>
          <w:sz w:val="24"/>
          <w:highlight w:val="none"/>
        </w:rPr>
        <w:t>合同编号：</w:t>
      </w:r>
    </w:p>
    <w:p>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采购人（甲方）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pacing w:val="-20"/>
          <w:sz w:val="24"/>
          <w:highlight w:val="none"/>
        </w:rPr>
        <w:t>采 购 计 划 号</w:t>
      </w:r>
      <w:r>
        <w:rPr>
          <w:rFonts w:hint="eastAsia" w:ascii="仿宋" w:hAnsi="仿宋" w:eastAsia="仿宋"/>
          <w:sz w:val="24"/>
          <w:highlight w:val="none"/>
          <w:u w:val="single"/>
        </w:rPr>
        <w:t xml:space="preserve">             </w:t>
      </w:r>
    </w:p>
    <w:p>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供 应 商（乙方）</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hint="eastAsia" w:ascii="仿宋" w:hAnsi="仿宋" w:eastAsia="仿宋"/>
          <w:spacing w:val="-20"/>
          <w:sz w:val="24"/>
          <w:highlight w:val="none"/>
        </w:rPr>
        <w:t>招  标  编  号</w:t>
      </w:r>
      <w:r>
        <w:rPr>
          <w:rFonts w:hint="eastAsia" w:ascii="仿宋" w:hAnsi="仿宋" w:eastAsia="仿宋"/>
          <w:sz w:val="24"/>
          <w:highlight w:val="none"/>
          <w:u w:val="single"/>
        </w:rPr>
        <w:t xml:space="preserve">             </w:t>
      </w:r>
    </w:p>
    <w:p>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 xml:space="preserve">签  订  地  点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签 订 时 间</w:t>
      </w:r>
      <w:r>
        <w:rPr>
          <w:rFonts w:hint="eastAsia" w:ascii="仿宋" w:hAnsi="仿宋" w:eastAsia="仿宋"/>
          <w:sz w:val="24"/>
          <w:highlight w:val="none"/>
          <w:u w:val="single"/>
        </w:rPr>
        <w:t xml:space="preserve">             </w:t>
      </w:r>
    </w:p>
    <w:p>
      <w:pPr>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本合同为中小企业预留合同：</w:t>
      </w:r>
      <w:r>
        <w:rPr>
          <w:rFonts w:hint="eastAsia" w:ascii="仿宋" w:hAnsi="仿宋" w:eastAsia="仿宋" w:cs="宋体"/>
          <w:sz w:val="24"/>
          <w:highlight w:val="none"/>
          <w:u w:val="single"/>
        </w:rPr>
        <w:t xml:space="preserve">（否） </w:t>
      </w:r>
      <w:r>
        <w:rPr>
          <w:rFonts w:hint="eastAsia" w:ascii="仿宋" w:hAnsi="仿宋" w:eastAsia="仿宋" w:cs="宋体"/>
          <w:sz w:val="24"/>
          <w:highlight w:val="none"/>
        </w:rPr>
        <w:t>。</w:t>
      </w:r>
    </w:p>
    <w:p>
      <w:pPr>
        <w:snapToGrid w:val="0"/>
        <w:spacing w:line="440" w:lineRule="exact"/>
        <w:ind w:firstLine="480" w:firstLineChars="200"/>
        <w:rPr>
          <w:rFonts w:hint="eastAsia" w:ascii="仿宋" w:hAnsi="仿宋" w:eastAsia="仿宋"/>
          <w:sz w:val="24"/>
          <w:highlight w:val="none"/>
        </w:rPr>
      </w:pPr>
      <w:r>
        <w:rPr>
          <w:rFonts w:hint="eastAsia" w:ascii="仿宋" w:hAnsi="仿宋" w:eastAsia="仿宋"/>
          <w:sz w:val="24"/>
          <w:highlight w:val="none"/>
        </w:rPr>
        <w:t>根据《中华人民共和国政府采购法》、《中华人民共和国民法典》等法律、法规规定，按照招标文件规定条款和中标供应商承诺，甲乙双方签订本合同。</w:t>
      </w:r>
    </w:p>
    <w:p>
      <w:pPr>
        <w:spacing w:line="460" w:lineRule="exact"/>
        <w:ind w:firstLine="482" w:firstLineChars="200"/>
        <w:jc w:val="left"/>
        <w:rPr>
          <w:rFonts w:hint="eastAsia" w:ascii="仿宋" w:hAnsi="仿宋" w:eastAsia="仿宋" w:cs="宋体"/>
          <w:b/>
          <w:sz w:val="24"/>
          <w:highlight w:val="none"/>
        </w:rPr>
      </w:pPr>
      <w:r>
        <w:rPr>
          <w:rFonts w:hint="eastAsia" w:ascii="仿宋" w:hAnsi="仿宋" w:eastAsia="仿宋" w:cs="宋体"/>
          <w:b/>
          <w:sz w:val="24"/>
          <w:highlight w:val="none"/>
        </w:rPr>
        <w:t>1、合同主要条款</w:t>
      </w:r>
    </w:p>
    <w:p>
      <w:pPr>
        <w:spacing w:line="40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 xml:space="preserve">第一条 合同标的及合同金额 </w:t>
      </w:r>
    </w:p>
    <w:p>
      <w:pPr>
        <w:spacing w:line="400" w:lineRule="exact"/>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甲方向乙方购买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见下表）；设备配置包括但不限于双方签字（甲方为使用科室签字）确认的清单（清单附后），该配置必须同时满足乙方在投标文件中所有的响应条款以及在采购和商务谈判过程中做出的所有承诺，并综合配置清单、招标文件及投标文件承诺中的条款进行验收。</w:t>
      </w:r>
    </w:p>
    <w:tbl>
      <w:tblPr>
        <w:tblStyle w:val="51"/>
        <w:tblW w:w="98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40"/>
        <w:gridCol w:w="2089"/>
        <w:gridCol w:w="1621"/>
        <w:gridCol w:w="684"/>
        <w:gridCol w:w="529"/>
        <w:gridCol w:w="1153"/>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货物名称</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生产厂家、品牌、规格型号</w:t>
            </w: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技术参数性能指标等</w:t>
            </w: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数量①</w:t>
            </w: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单位</w:t>
            </w: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单价（元）②</w:t>
            </w: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单项合计 =数量×单价＝①×②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7444" w:type="dxa"/>
            <w:gridSpan w:val="7"/>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合计</w:t>
            </w: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bl>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sz w:val="24"/>
          <w:highlight w:val="none"/>
        </w:rPr>
        <w:t>根据《中标通知书》的中标内容，合同的总金额为：（大写）</w:t>
      </w:r>
      <w:r>
        <w:rPr>
          <w:rFonts w:hint="eastAsia" w:ascii="仿宋" w:hAnsi="仿宋" w:eastAsia="仿宋" w:cs="仿宋"/>
          <w:bCs/>
          <w:sz w:val="24"/>
          <w:highlight w:val="none"/>
        </w:rPr>
        <w:t>人民币</w:t>
      </w:r>
      <w:r>
        <w:rPr>
          <w:rFonts w:hint="eastAsia" w:ascii="仿宋" w:hAnsi="仿宋" w:eastAsia="仿宋" w:cs="仿宋"/>
          <w:bCs/>
          <w:sz w:val="24"/>
          <w:highlight w:val="none"/>
          <w:u w:val="single"/>
        </w:rPr>
        <w:t>（</w:t>
      </w:r>
      <w:r>
        <w:rPr>
          <w:rFonts w:ascii="Calibri" w:hAnsi="Calibri" w:eastAsia="仿宋" w:cs="Calibri"/>
          <w:bCs/>
          <w:sz w:val="24"/>
          <w:highlight w:val="none"/>
          <w:u w:val="single"/>
        </w:rPr>
        <w:t>¥</w:t>
      </w:r>
      <w:r>
        <w:rPr>
          <w:rFonts w:hint="eastAsia" w:ascii="仿宋" w:hAnsi="仿宋" w:eastAsia="仿宋" w:cs="仿宋"/>
          <w:bCs/>
          <w:sz w:val="24"/>
          <w:highlight w:val="none"/>
          <w:u w:val="single"/>
        </w:rPr>
        <w:t xml:space="preserve">     </w:t>
      </w:r>
      <w:r>
        <w:rPr>
          <w:rFonts w:ascii="仿宋" w:hAnsi="仿宋" w:eastAsia="仿宋" w:cs="仿宋"/>
          <w:bCs/>
          <w:sz w:val="24"/>
          <w:highlight w:val="none"/>
          <w:u w:val="single"/>
        </w:rPr>
        <w:t xml:space="preserve"> </w:t>
      </w:r>
      <w:r>
        <w:rPr>
          <w:rFonts w:hint="eastAsia" w:ascii="仿宋" w:hAnsi="仿宋" w:eastAsia="仿宋" w:cs="仿宋"/>
          <w:bCs/>
          <w:sz w:val="24"/>
          <w:highlight w:val="none"/>
          <w:u w:val="single"/>
        </w:rPr>
        <w:t xml:space="preserve">    元）</w:t>
      </w:r>
      <w:r>
        <w:rPr>
          <w:rFonts w:hint="eastAsia" w:ascii="仿宋" w:hAnsi="仿宋" w:eastAsia="仿宋" w:cs="仿宋"/>
          <w:bCs/>
          <w:sz w:val="24"/>
          <w:highlight w:val="none"/>
        </w:rPr>
        <w:t xml:space="preserve"> 。</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第二条  质量保证</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1.乙方所提供的货物型号、技术规格、技术参数等质量必须与投标文件的承诺相一致。乙方提供的自主创新产品、节能和环保产品必须是列入政府采购清单的产品。</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2.乙方所提供的货物必须是全新、未使用的原装产品，且在正常安装、使用和保养条件下，其使用寿命期内各项指标均达到质量要求。</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3.如在使用过程中发生质量问题，乙方在接到甲方通知后在按乙方投标文件中承诺的不超过招标要求的响应时间小时内到达甲方现场处理。</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4.乙方提供货物的免费保修期为自交货物验收合格之日起</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年（企业备案标准厂家规定免费保修期超过年的，按厂家规定，“采购需求”有规定的，按规定执行）。</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在免费保修期内，乙方应对货物出现的质量及安全问题负责处理解决并承担一切费用。在免费保修期内因货物本身的质量问题发生故障，乙方应负责免费修理和更换零部件。乙方同意，对达不到技术要求者，根据实际情况，甲方可以要求乙方按以下办法处理：</w:t>
      </w:r>
    </w:p>
    <w:p>
      <w:pPr>
        <w:spacing w:line="400" w:lineRule="exact"/>
        <w:ind w:left="412" w:leftChars="196"/>
        <w:rPr>
          <w:rFonts w:hint="eastAsia" w:ascii="仿宋" w:hAnsi="仿宋" w:eastAsia="仿宋" w:cs="仿宋"/>
          <w:sz w:val="24"/>
          <w:highlight w:val="none"/>
        </w:rPr>
      </w:pPr>
      <w:r>
        <w:rPr>
          <w:rFonts w:hint="eastAsia" w:ascii="仿宋" w:hAnsi="仿宋" w:eastAsia="仿宋" w:cs="仿宋"/>
          <w:sz w:val="24"/>
          <w:highlight w:val="none"/>
        </w:rPr>
        <w:t>（1）更换：由乙方承担所发生的全部费用。</w:t>
      </w:r>
    </w:p>
    <w:p>
      <w:pPr>
        <w:spacing w:line="400" w:lineRule="exact"/>
        <w:ind w:left="412" w:leftChars="196"/>
        <w:rPr>
          <w:rFonts w:hint="eastAsia" w:ascii="仿宋" w:hAnsi="仿宋" w:eastAsia="仿宋" w:cs="仿宋"/>
          <w:sz w:val="24"/>
          <w:highlight w:val="none"/>
        </w:rPr>
      </w:pPr>
      <w:r>
        <w:rPr>
          <w:rFonts w:hint="eastAsia" w:ascii="仿宋" w:hAnsi="仿宋" w:eastAsia="仿宋" w:cs="仿宋"/>
          <w:sz w:val="24"/>
          <w:highlight w:val="none"/>
        </w:rPr>
        <w:t>（2）贬值处理：由甲乙双方合议定价。</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（3）退货处理：乙方应退还甲方支付的合同款，同时应承担该货物的直接费用（运输、保险、检验、贷款利息及银行手续费等）。</w:t>
      </w:r>
    </w:p>
    <w:p>
      <w:pPr>
        <w:snapToGrid w:val="0"/>
        <w:spacing w:line="400" w:lineRule="exact"/>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6.乙方应按投标文件承诺的货物规格型号、技术参数、质量标准等向甲方提供未经使用的全新原装产品（包括产品的零部件），且在正常安装使用和保养条件下，其使用寿命期内各项指标均达到质量标准。乙方提供的节能和环境标志产品必须是列入现行政府采购清单目录内的产品。</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第三条  权利保证</w:t>
      </w:r>
    </w:p>
    <w:p>
      <w:pPr>
        <w:spacing w:line="400" w:lineRule="exact"/>
        <w:ind w:firstLine="470" w:firstLineChars="196"/>
        <w:rPr>
          <w:rFonts w:hint="eastAsia" w:ascii="仿宋" w:hAnsi="仿宋" w:eastAsia="仿宋" w:cs="仿宋"/>
          <w:b/>
          <w:bCs/>
          <w:sz w:val="24"/>
          <w:highlight w:val="none"/>
        </w:rPr>
      </w:pPr>
      <w:r>
        <w:rPr>
          <w:rFonts w:hint="eastAsia" w:ascii="仿宋" w:hAnsi="仿宋" w:eastAsia="仿宋" w:cs="仿宋"/>
          <w:sz w:val="24"/>
          <w:highlight w:val="none"/>
        </w:rPr>
        <w:t>1.乙方应保证所提供货物在使用时不会侵犯任何第三方的专利权、商标权、著作权在内的知识产权或其他权利。如果甲方因此遭受任何第三方的索赔、诉讼或任何权利请求，乙方有义务以买方名义自费处理纠纷，并承担所有法律和经济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2.乙方应按招标文件规定的时间向甲方提供使用货物的有关技术资料。</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3.乙方保证所交付的货物的所有权完全属于乙方，且无任何抵押、质押、查封等物权瑕疵，乙方保证对乙方所交付的货物享有完全的处分权。</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保证对本合同项下产品及其配件在合同期内拥有完全知识产权或知识产权授权，对于所涉及的第三方知识产权予以了充分的尊重和依法保护，乙方为本合同所提供的相关产品均不存在知识产权方面的瑕疵，否则乙方应对甲方因使用乙方产品导致任何第三方向甲方提起知识产权索赔要求、诉讼或其他侵权指控行为承担全部责任（包括甲方因此造成的直接和间接的损失赔偿）。</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乙方保证对本合同项下产品拥有完全的销售权利（包括但不限于代理经营权等），如因为乙方原因导致无法供货，甲方可单方解除合同。乙方应当承担本合同总金额20%的违约责任，且应当承担甲方全部损失，包括但不限于重新采购、使用替代产品等。</w:t>
      </w:r>
    </w:p>
    <w:p>
      <w:pPr>
        <w:spacing w:line="400" w:lineRule="exact"/>
        <w:ind w:firstLine="470" w:firstLineChars="196"/>
        <w:rPr>
          <w:rFonts w:hint="eastAsia" w:ascii="仿宋" w:hAnsi="仿宋" w:eastAsia="仿宋" w:cs="仿宋"/>
          <w:b/>
          <w:bCs/>
          <w:sz w:val="24"/>
          <w:highlight w:val="none"/>
        </w:rPr>
      </w:pPr>
      <w:r>
        <w:rPr>
          <w:rFonts w:hint="eastAsia" w:ascii="仿宋" w:hAnsi="仿宋" w:eastAsia="仿宋" w:cs="仿宋"/>
          <w:sz w:val="24"/>
          <w:highlight w:val="none"/>
        </w:rPr>
        <w:t>6.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第四条  货物包装、运输</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1.乙方应在货物发运前对其进行满足运输距离、防潮、防震、防锈和防破损装卸等要求的包装，以保证货物安全运达甲方指定地点。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2.使用中文说明书（货物属于进口产品的，供货时应同时附上中文使用说明书）、质量检验证明书、随配附件和工具以及清单一并附随货物送达。</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3.乙方在货物发运手续办理完毕后二十四小时内或货到甲方四十八小时前通知甲方，以准备接货。</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4.货物在交付甲方前发生的全部风险和责任均由乙方负责承担，甲方对此不负责任。</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第五条  交付</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1.交付使用日期：自本合同签订之日起</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日历天；地点：</w:t>
      </w:r>
      <w:r>
        <w:rPr>
          <w:rFonts w:hint="eastAsia" w:ascii="仿宋" w:hAnsi="仿宋" w:eastAsia="仿宋" w:cs="仿宋"/>
          <w:sz w:val="24"/>
          <w:highlight w:val="none"/>
          <w:u w:val="single"/>
        </w:rPr>
        <w:t>甲方指定地点，</w:t>
      </w:r>
      <w:r>
        <w:rPr>
          <w:rFonts w:hint="eastAsia" w:ascii="仿宋" w:hAnsi="仿宋" w:eastAsia="仿宋" w:cs="仿宋"/>
          <w:sz w:val="24"/>
          <w:highlight w:val="none"/>
        </w:rPr>
        <w:t>该交付日为绝对交付日，即乙方已经充分考虑交付前的相关风险等原因，乙方确认货物将在该交付日在甲方的指定地点交付给甲方。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2.乙方提供不符合招投标和招标文件及本合同规定的货物，甲方有权拒绝接受。</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应将所有提供货物的装箱清单、用户手册、原厂保修卡、随机资料、工具和备用、备件等交付给甲方，货物属于进口产品的，供货时应同时附上中文使用说明书，如有缺失应及时补齐，补齐时间由甲方规定的时间为准，否则视为逾期交货。</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第六条  调试和验收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1.乙方交货前应对产品做出全面的检查和对验收文件进行整理，并列出清单，作为甲方验收和使用的技术条件依据，验收的结果应随货物交甲方。</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甲方依据招标文件要求、投标文件的承诺和国家有关质量标准对货物进行现场初步验收，外观、说明书符合招标文件技术要求的，给予签收，初步验收不合格的不予签收。货到后，甲方应当在设备（含附件）全部安装到位、调试完好、相关培训结束后七个工作日内进行验收。验收合格后由甲乙双方签署货物验收单并加盖公章，甲乙双方各执一份。</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3.甲方对乙方提供的货物在使用前进行调试和试用时，乙方需负责安装并培训甲方的使用操作人员，并协助甲方人员一起调试，乙方对于培训质量负责直到符合技术要求，甲方才做最终验收。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4.对技术复杂的货物（“技术复杂的货物”以甲方定义为准），甲方可以请国家认可的专业检测机构参与初步验收及最终验收，并由其出具质量检测报告。进口设备必须提供货物清关记录，具备省级（或相当于省级）商检部门的检验证明。甲方针对技术复杂的货物可以按照以下流程进行初步验收及最终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（1）货物在乙方通知安装调试完毕后七个工作日内初步验收。初步验收合格后，进入一个月试用期；试用期间发生重大质量问题，修复后重新起计试用期；试用期结束后七个工作日内完成最终验收；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按招标文件“采购需求”要求的验收标准与本合同约定标准进行验收。甲乙双方如对质量要求和技术指标的约定标准有相互抵触或异议的事项，由甲方在招标文件与投标文件中，按质量要求和技术指标比较优胜的原则，确定该项的约定标准进行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（4）如货物经乙方2次维修仍不能达到合同约定的质量标准，甲方有权更换新机或者退货，如退货，视作乙方不能交付货物，乙方应当支付赔偿金赔偿甲方的实际损失并且向甲方承担合同总金额20%的违约责任。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（5）验收结束后，应当出具验收书，列明各项标准的验收情况及项目总体评价，由验收双方共同签署。</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5.验收时乙方必须在现场，验收完毕后作出验收结果报告，验收费用及产生的相关费用由乙方全部负担。</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6.甲方对验收有异议的，在验收后五个工作日内以书面形式向乙方提出，乙方应自收到甲方书面异议后3日内及时予以解决。</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7.乙方供货时必须向甲方提供招标文件中约定的证明材料，否则不予验收。如有委托代理人，乙方必须提供：①关于本项目的授权委托书（授权需要含有授权事由、权限范围、时间期限、法定代表人签字、写上日期并且盖公章）；②被委托人/被授权人的身份证彩色扫描打印件（加盖公章）；③法定代表人身份证扫描件（加盖公章）。</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8.供货时，乙方必须提供全新的原装正品，符合有关质量标准的产品；乙方所提供的货物规格、技术标准等质量必须与采购需求及投标文件中承诺的参数一致。甲方将委托具有检测资质的第三方检测机构，邀请相关专家，根据招标文件要求及投标文件承诺，逐条对应进行现场核验。核验不合格的，乙方应在3个工作日内进行更换。乙方未按要求进行更换或再次验收不合格的，甲方有权解除合同，同时报相关监督管理部门处理，由此造成甲方损失的由乙方负责承担全部赔偿责任和本合同总金额20%的违约金，甲方有权处理已进场的产品。如有异议，将交由具有检测资质的第三方检测机构邀请相关专家进行实际检验，以实测值为准，所有产生的费用由乙方承担。验收完成后乙方须提供完整的安装、操作、使用和维护手册及设备位置图等所有技术资料、图纸。</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第七条  安装和培训</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1.甲方应提供必要安装条件（如场地、电源、水源等）。</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设备到达甲方使用科室后，乙方负责派工程师免费安装、调试机器，并在甲方指定时间地点，培训甲方工作人员，直至熟练掌握设备的操作、日常维护保养技能为止。乙方负责提供针对甲方维修工程师的现场操作、维修、维护培训服务。乙方负责免费安装，甲方不再支付任何与安装相关费用。乙方安装完毕后立即清理包装等残留垃圾，不准在甲方场所内堆放，一旦发现，甲方有权要求乙方支付合同金额10%的违约金。</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第八条  售后服务约定</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1.乙方应按照国家有关法律规定和“三包”规定以及招标文件要求、乙方投标文件承诺为甲方提供售后服务。</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2.按国家有关产品“三包”规定执行“三包”，产品免费保修期为：</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，以上免费保修期均自交货验收合格之日起计算。</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3.送货上门、安装调试合格，向甲方提供培训服务，直至甲方相关人员熟练使用为止。</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4.免费保修要求：</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（1）免费保修期内定期上门检查、上门维修。在使用过程中若产品发生质量问题或故障，在接到甲方通知后个</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小时内响应，</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小时内到达故障现场处理，一般故障处理时限不超过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小时修复；重大故障处理时限不超过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小时修复（不可抗力情况除外）。如遇更换配件或其它特殊原因短时间内无法解决的（故障发生后的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无法修复），应向甲方提供备用产品以保障甲方工作的正常开展，如无法提供备用产品的，则按实际停止使用时间的7倍顺延保修期（如停止使用1天，保修期则在原有保修年限基础上加7天，停止使用2天则加14天，停3天则加21天，以此类推）。保修期第一年内设备正常运行率低于95％[计算公式：设备正常运行率=（365-实际停机时间）÷365×100%]则无条件退货（退货后的责任承担问题参照本合同第6条第4款中（4）项中相关规定。）维修中如需要更换配件的，要求更换的配件应跟被更换的品牌、类型相一致或者是同类同档次的替代品，后者需提供相应证明文件并征得甲方同意。</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（2）若产品自带软件的，则须提供免费保修期内提供软件升级服务。</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3）乙方如将设备运离甲方处进行维修，须事先征得甲方设备管理部门和临床使用科室的同意，并留下书面字据。免费保修期内厂家应每年对设备进行1-2次的巡回检修，并出具检修报告。由设备本身原因产生的医疗事故、医疗纠纷、安全事故等由乙方负责。</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（4）签订合同时，由厂家提供的保修承诺作为合同的附件，效力与合同正文一致。乙方保证厂家提供的保修承诺与乙方承诺的售后服务条款并行有效。</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5.本项目为交钥匙项目（甲方确保场地已通水、通电），乙方必须按甲方要求提供经甲方确认的配套设备机房的设计及装修。</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6.其他要求：</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（1）在免费保修期内，乙方应对货物出现的质量及安全问题负责处理解决并承担一切费用。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（2）接入医院信息系统相关技术要求（适用于数字化医疗设备）</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乙方须向甲方交付该设备的数据接口技术文档（含数据交换协议、数据格式解析、接口示例程序、接口源代码、接口手册等）。在数字化医疗设备与医院相关系统连接时，乙方须提供与连接相关的技术支撑服务，必要时须派工程技术人员到现场服务，并确保连接成功。数字化医疗设备与医院相关系统连接所需的软件、硬件、License、知识产权及第一次接口服务等费用，均已包含在本合同价格中，甲方不另行付费。乙方须保证数字化医疗设备与医院相关系统的连接及应用不侵犯第三方知识产权。</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（3）免费提供本合同设备接入医院医用设备实时、动态监测系统(物联网)的所有硬件、软件及服务（适用于数字化医疗设备）。</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①须提供医疗设备的通讯协议、通讯接口以及使用方法（包括但不限于以下内容，如影像类设备提供DICOM通讯协议及使用方法；生命支持类设备提供数据传输协议及使用方法；质控设备提供数据传输协议及使用方法）。</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②所提供医疗设备应具备设备单机效益、效率分析等功能，满足医院对于设备监管及信息化管理的需要；须准确提供以下功能（包括但不限于）：设备的每日开机时间、每日关机时间、每日工作时长、每日24小时设备使用率分布数据、故障发生时间、故障代码、故障恢复时间等；影像类设备须提供每个患者每个检查的开始检查时间、结束检查时间、检查部位，支持设备单机效益分析及自动统计功能；所提供的数据能够与甲方的医疗设备全生命周期管理平台无缝对接。如本功能需要第三方厂家提供，所产生的费用由乙方承担。</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第九条  税费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本合同执行中相关的一切税费均由乙方自行全部负担。</w:t>
      </w:r>
    </w:p>
    <w:p>
      <w:pPr>
        <w:spacing w:line="400" w:lineRule="exact"/>
        <w:ind w:firstLine="472" w:firstLineChars="196"/>
        <w:rPr>
          <w:rFonts w:hint="eastAsia" w:ascii="仿宋" w:hAnsi="仿宋" w:eastAsia="仿宋" w:cs="仿宋"/>
          <w:sz w:val="24"/>
          <w:highlight w:val="none"/>
        </w:rPr>
      </w:pPr>
      <w:r>
        <w:rPr>
          <w:rFonts w:hint="eastAsia" w:ascii="仿宋" w:hAnsi="仿宋" w:eastAsia="仿宋" w:cs="仿宋"/>
          <w:b/>
          <w:bCs/>
          <w:sz w:val="24"/>
          <w:highlight w:val="none"/>
        </w:rPr>
        <w:t>第十条 履约保证金</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1.履约保证金金额按合同金额的</w:t>
      </w:r>
      <w:r>
        <w:rPr>
          <w:rFonts w:ascii="仿宋" w:hAnsi="仿宋" w:eastAsia="仿宋" w:cs="仿宋"/>
          <w:sz w:val="24"/>
          <w:highlight w:val="none"/>
          <w:u w:val="single"/>
        </w:rPr>
        <w:t xml:space="preserve">     </w:t>
      </w:r>
      <w:r>
        <w:rPr>
          <w:rFonts w:hint="eastAsia" w:ascii="仿宋" w:hAnsi="仿宋" w:eastAsia="仿宋" w:cs="仿宋"/>
          <w:sz w:val="24"/>
          <w:highlight w:val="none"/>
        </w:rPr>
        <w:t>%交纳（人民币，四舍五入到元，如为中型企业中标的按合同金额的2%交纳，如为小微企业中标的则免收履约保证金），乙方于签订合同前将履约保证金以支票、汇票、本票或者金融机构、担保机构出具的保函等非现金形式提交至甲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2.履约保证金形式：以支票、汇票、本票或者金融机构、担保机构出具的保函等非现金形式。</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3.履约保证金递交时间：乙方于中标通知书发出之日起8个工作日内且在签订合同前将履约保证金提交至甲方，否则，甲方有权不予签订合同。</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按合同约定交货、安装调试验收完毕交付甲方使用后，凭《政府采购项目合同验收书》和履约保证金交纳凭证向甲方申请办理退还手续，甲方不得额外要求乙方提交其他证明材料，并应当自收到退还资料之日起5个工作日内退还其履约保证金（无息）。如乙方不按双方签订的合同规定履约，则没收其全部履约保证金，履约保证金不足以赔偿损失的，按实际损失赔偿。</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5.在履约保证金到期退还前，若乙方的开户名称、开户银行、账号有变动的，以书面形式通知甲方，否则由此产生的后果由乙方自负。</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第十一条 付款方式</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设备安装调试并经采购人验收合格后，中标供应商开具足额发票给采购人，采购人收到发票后，支付合同价款的90%，剩余合同价款的10%在采购人验收合格1年后支付（无息）。</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第十二条  违约责任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1.乙方所提供的货物规格、技术标准、材料等质量不合格的，应及时更换，更换不及时的按逾期交货处理，乙方应向甲方支付合同金额</w:t>
      </w:r>
      <w:r>
        <w:rPr>
          <w:rFonts w:hint="eastAsia" w:ascii="仿宋" w:hAnsi="仿宋" w:eastAsia="仿宋" w:cs="仿宋"/>
          <w:sz w:val="24"/>
          <w:highlight w:val="none"/>
          <w:u w:val="single"/>
        </w:rPr>
        <w:t>　30　</w:t>
      </w:r>
      <w:r>
        <w:rPr>
          <w:rFonts w:hint="eastAsia" w:ascii="仿宋" w:hAnsi="仿宋" w:eastAsia="仿宋" w:cs="仿宋"/>
          <w:sz w:val="24"/>
          <w:highlight w:val="none"/>
        </w:rPr>
        <w:t>%违约金并赔偿甲方经济损失。</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2.乙方提供的货物如果侵犯了第三方合法权益而引发的任何纠纷或诉讼，均由乙方负责交涉并承担全部责任，如果累及甲方，需赔偿甲方的损失（包括处理费用）。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3.因包装、运输引起的货物损坏，按质量不合格处理。</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4.乙方逾期交货的，每天向对方偿付违约货款额</w:t>
      </w:r>
      <w:r>
        <w:rPr>
          <w:rFonts w:hint="eastAsia" w:ascii="仿宋" w:hAnsi="仿宋" w:eastAsia="仿宋" w:cs="仿宋"/>
          <w:sz w:val="24"/>
          <w:highlight w:val="none"/>
          <w:u w:val="single"/>
        </w:rPr>
        <w:t>5‰</w:t>
      </w:r>
      <w:r>
        <w:rPr>
          <w:rFonts w:hint="eastAsia" w:ascii="仿宋" w:hAnsi="仿宋" w:eastAsia="仿宋" w:cs="仿宋"/>
          <w:sz w:val="24"/>
          <w:highlight w:val="none"/>
        </w:rPr>
        <w:t>违约金，但违约金累计不得超过违约货款额</w:t>
      </w:r>
      <w:r>
        <w:rPr>
          <w:rFonts w:hint="eastAsia" w:ascii="仿宋" w:hAnsi="仿宋" w:eastAsia="仿宋" w:cs="仿宋"/>
          <w:sz w:val="24"/>
          <w:highlight w:val="none"/>
          <w:u w:val="single"/>
        </w:rPr>
        <w:t>5%</w:t>
      </w:r>
      <w:r>
        <w:rPr>
          <w:rFonts w:hint="eastAsia" w:ascii="仿宋" w:hAnsi="仿宋" w:eastAsia="仿宋" w:cs="仿宋"/>
          <w:sz w:val="24"/>
          <w:highlight w:val="none"/>
        </w:rPr>
        <w:t>，超过</w:t>
      </w:r>
      <w:r>
        <w:rPr>
          <w:rFonts w:hint="eastAsia" w:ascii="仿宋" w:hAnsi="仿宋" w:eastAsia="仿宋" w:cs="仿宋"/>
          <w:sz w:val="24"/>
          <w:highlight w:val="none"/>
          <w:u w:val="single"/>
        </w:rPr>
        <w:t xml:space="preserve"> 5 天</w:t>
      </w:r>
      <w:r>
        <w:rPr>
          <w:rFonts w:hint="eastAsia" w:ascii="仿宋" w:hAnsi="仿宋" w:eastAsia="仿宋" w:cs="仿宋"/>
          <w:sz w:val="24"/>
          <w:highlight w:val="none"/>
        </w:rPr>
        <w:t>甲方有权解除合同，乙方承担甲方损失，包括但不限于甲方为维护权利而支付的律师费、诉讼费、保全费、财产保全保险费、鉴定费、交通费、食宿费等费用。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5.乙方未按本合同和投标文件中规定的服务承诺提供售后服务的，甲方有权要求解除合同或者继续履行合同，同时乙方应按本合同合计金额 30%向甲方支付违约金并赔偿甲方经济损失，乙方还应承担甲方为维护权利而支付的律师费、诉讼费、保全费、财产保全保险费、鉴定费、交通费、食宿费等费用。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6.若商品存在设计、工艺或材料的缺陷，且这些缺陷使得商品无法正常使用，乙方应当负责维修或更换；若维修不能解决问题，乙方应退还商品价格并承担由此导致的其他合理费用。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7.乙方存在其它违约行为，乙方应向甲方支付违约货款额30%违约金并赔偿甲方经济损失，包括但不限于甲方为维护权利而支付的律师费、诉讼费、保全费、财产保全保险费、鉴定费、交通费、食宿费等费用。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8.因乙方的行为造成违约的，甲方有权解除合同或者继续履行合同，乙方还应承担甲方为维护权利而支付的律师费、诉讼费、保全费、财产保全保险费、鉴定费、交通费、食宿费等费用。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9.违约方造成对方损害的，应当赔偿损失。如未能按期支付相关违约金等，乙方同意按两倍同期银行贷款利率向甲方支付此违约金的利息，甲方有权利以货款抵扣违约金及利息。解除通知的送达方式包括但不限于：书面手递送达、邮政快递送达、电子邮件送达、短信送达等。送达地址为本合同列明的地址，自解除通知发出之日起7个自然日后视为送达。</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第十三条  不可抗力事件处理</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在合同有效期内，乙方因不可抗力事件导致不能履行合同，则合同履行期可延长，其延长期与不可抗力影响期相同。不可抗力事件包括但不限于自然灾害、战争、政府行为等无法预见且无法避免并无法克服的外力事件。乙方在不可抗力事件发生后，应立即以书面形式通知甲方，并在15日内提供由公证机构出具的与不可抗力事件相关的证明。</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2.不可抗力事件发生后，应立即通知对方，并寄送有关权威机构出具的证明。</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3.不可抗力事件延续一百二十天以上，双方应通过友好协商，确定是否继续履行合同。</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第十四条  合同争议解决</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1.因货物质量问题发生争议的，应邀请国家认可的质量检测机构对货物质量进行鉴定。货物符合标准的，鉴定费由甲方承担；货物不符合标准的，鉴定费由乙方承担。</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2.因履行本合同引起的或与本合同有关的争议，甲乙双方应首先通过友好协商解决，如果协商不能解决，可向甲方所在地有管辖权的人民法院起诉。</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3.诉讼期间，本合同继续履行。</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第十五条  合同生效及其他</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1.本合同履行期限为：；合同履行地点为：</w:t>
      </w:r>
      <w:r>
        <w:rPr>
          <w:rFonts w:hint="eastAsia" w:ascii="仿宋" w:hAnsi="仿宋" w:eastAsia="仿宋" w:cs="仿宋"/>
          <w:sz w:val="24"/>
          <w:highlight w:val="none"/>
          <w:u w:val="single"/>
        </w:rPr>
        <w:t>甲方指定地点</w:t>
      </w:r>
      <w:r>
        <w:rPr>
          <w:rFonts w:hint="eastAsia" w:ascii="仿宋" w:hAnsi="仿宋" w:eastAsia="仿宋" w:cs="仿宋"/>
          <w:sz w:val="24"/>
          <w:highlight w:val="none"/>
        </w:rPr>
        <w:t>；合同履行的方式：</w:t>
      </w:r>
      <w:r>
        <w:rPr>
          <w:rFonts w:hint="eastAsia" w:ascii="仿宋" w:hAnsi="仿宋" w:eastAsia="仿宋" w:cs="仿宋"/>
          <w:sz w:val="24"/>
          <w:highlight w:val="none"/>
          <w:u w:val="single"/>
        </w:rPr>
        <w:t>按照本合同约定</w:t>
      </w:r>
      <w:r>
        <w:rPr>
          <w:rFonts w:hint="eastAsia" w:ascii="仿宋" w:hAnsi="仿宋" w:eastAsia="仿宋" w:cs="仿宋"/>
          <w:sz w:val="24"/>
          <w:highlight w:val="none"/>
        </w:rPr>
        <w:t>。</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2.合同经甲乙双方法定代表人或相应的授权代表签字并加盖供应商公章后生效。</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3.合同执行中涉及采购资金和采购内容修改或补充的，需经财政部门审批，并签订书面补充协议报桂林市政府采购监督管理办公室备案，方可作为主合同不可分割的一部分。</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4.本合同未尽事宜，遵照《中华人民共和国民法典》及有关条文执行。</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第十六条  合同的变更、终止与转让</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1.除《中华人民共和国政府采购法》第五十条规定的情形外，本合同一经签订，甲乙双方不得擅自变更，中止或终止。</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不得未经甲方书面同意，擅自转让其应履行的合同义务。违反此条款的，甲方有权解除合同，并要求乙方承担本合同总金额20%的违约责任。原则上，对于无进口资格的供应商，不得签订与进口产品相关的合同。如遇特殊情况，经甲方书面认可，对于无进口资格的供应商转委托有进口资格第三方进口货物的行为，应该在保证货物进口质量和进口时间的前提下进行，并且乙方应与第三方承担连带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3.合同期内，未经甲方同意，乙方供货义务不得转让给第三人，否则，甲方可以单方解除本合同。本合同项下乙方收取货款的权利，未经甲方同意，不得转让。</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第十七条  合同解除</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乙方如有下列情形之一的，甲方有权解除合同，并要求乙方支付违约金，并赔偿损失：</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1.在合同期内甲方有权对乙方的售后服务质量、响应及时性、货物质量等进行不定期考核，甲方评价乙方考核不合格的；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服务期内如乙方出现（1）犯罪行为；（2）被行政执法机关处以吊销营业执照、取消资质、责令停业、行政罚款金额较大（叁万元人民币以上）、暂扣安全生产许可证；（3）财务被接管或冻结情况的。包括但不限于偷税漏税、虚假宣传、商业欺诈、商业贿赂、非法生产等商业不良行为；</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3.乙方在合同签署前未主动告知甲方其在合同签署前三年之内有本条第2款中的行为的；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4.乙方处于司法诉讼中且甲方认为乙方存在经营风险或专利侵权风险等可能影响合同履行的情形。</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5.因乙方原因，未按期交货一次以上，含专机专用试剂耗材（如有）；或未按招标文件、投标文件及合同规定履行服务承诺一次以上；</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 其他解除情形依照本合同约定。</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第十八条 专机专用试剂/耗材声明与承诺</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试剂/耗材是指某类设备所配套使用的持续消耗品，包括但不限于试剂、校准品、质控品、电极模块、清洗保养品、消耗品等设备日常运作、维修、维护所需要全部材料，专机专用试剂/耗材是指在上述基础上符合下列条件之一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1）仅有唯一生产厂家（包括但不限于设备制造商、试剂/耗材生产商等）自行配套生产的；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2）其他生产厂家不生产或其他产品无法替代的；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注：如甲乙方对本合同项下产品是否包含专机专用试剂/耗材产生争议，不包含专机专用试剂/耗材的举证责任归乙方承担，适用举证责任倒置。</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承诺，本合同项下全部设备专机专用试剂耗材在本合同签订前的招投标过程中已向甲方以特别提醒的方式明示（是否提醒甲方由乙方承担举证责任）并在投标文件中明示单次完整使用之消耗量及对应价格。如未明示的，则表示乙方确认专机专用试剂耗材由乙方永久不限量免费提供，该部分试剂耗材价格已计入设备款之中，甲方已经一次性支付完毕。</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乙方承诺，如若甲方选择乙方供应专机专用耗材，则乙方提供的价格不高于桂林市三级甲等医院相同产品或类似产品的价格。</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专机专用试剂耗材提供方式为：以甲方相关部门书面、电话形式向乙方合同首部载明的联系方式发送通知为准，书面形式包括纸质订单和数据电文（包括电传、传真、电子数据交换、电子邮件、短信、微信、qq）等可以有形地表现所载内容的形式。以数据电文订货的，电文发送成功之日为订单送达日，如电话通知则以乙方接通甲方订货电话之时起视为送达。具体订货信息以书面内容为准，如甲方当面口头或电话、书面订单对有关种类、数量等内容通知不明确的，则以该订货通知发送之日起7个工作日内甲方实际收货内部登记（包括系统数据及人工登记）为准；甲方以上述任意一种方式向乙方订货，视为甲方已经完成了订货及通知义务。自甲方通知送达之日起计算交货期，如延期交货应承担违约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专机专用试剂耗材交货时间：自订单送达之日起2个自然日内。如乙方未按合同规定时间将产品运到甲方指定地点或未按约定时间送到全部产品（经甲方书面同意允许延期交货的产品除外），每延期一日，乙方应向甲方支付本合同总货款3%的违约金，上不封顶。</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本条款效力在本合同终止、解除后依然有效。</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第十九条 反商业贿赂条款</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1.甲乙双方都清楚并愿意严格遵守中华人民共和国反商业贿赂的法律规定，双方都清楚任何形式的贿赂和贪渎行为都将触犯法律，并将受到法律的严惩。</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甲方或乙方均不得向对方或对方经办人或其他相关人员索要、收受、提供、给予合同约定外的任何利益，包括但不限于明扣、暗扣、现金、购物卡、实物、有价证券、旅游或其他非物质性利益等，但如该等利益属于行业惯例或通常做法，则须在合同中明示。</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3.甲方严格禁止甲方经办人员的任何商业贿赂行为。甲方经办人发生本条第二款所列示的任何一种行为，都是违反甲方制度的，都将受到甲方制度和国家法律的惩处。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4.甲方郑重提示：甲方反对乙方或乙方经办人员为了本合同之目的与本合同以外的任何第三方发生本条第二款所列示的任何一种行为，该等行为都是违反国家法律的行为，并将受到国家法律的惩处。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5.如因一方或一方经办人涉嫌违反第二十条第2点、第3点、第4点之规定，相对方均有权中止合同；如经司法机关调查后其商业贿赂行为属实，则相对方有权解除合同，造成守约方损失的，应承担损害赔偿责任。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6.本条所称“其他相关人员”是指甲乙方经办人以外的与合同有直接或间接利益关系的人员，包括但不仅限于合同经办人的亲友。</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第二十条  签订本合同时包括但不限于以下文件，以下文件属于本合同的依据和附件，具有与合同正文同等的法律效力：</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1.合同主要条款；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2.采购需求；</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3.投标函、</w:t>
      </w:r>
      <w:r>
        <w:rPr>
          <w:rFonts w:hint="eastAsia" w:ascii="仿宋" w:hAnsi="仿宋" w:eastAsia="仿宋" w:cs="仿宋"/>
          <w:sz w:val="24"/>
          <w:highlight w:val="none"/>
        </w:rPr>
        <w:t>投标报价表、易损件报价表（如有）</w:t>
      </w:r>
      <w:r>
        <w:rPr>
          <w:rFonts w:hint="eastAsia" w:ascii="仿宋" w:hAnsi="仿宋" w:eastAsia="仿宋" w:cs="仿宋"/>
          <w:bCs/>
          <w:sz w:val="24"/>
          <w:highlight w:val="none"/>
        </w:rPr>
        <w:t>；</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4.</w:t>
      </w:r>
      <w:r>
        <w:rPr>
          <w:rFonts w:hint="eastAsia" w:ascii="仿宋" w:hAnsi="仿宋" w:eastAsia="仿宋" w:cs="仿宋"/>
          <w:sz w:val="24"/>
          <w:highlight w:val="none"/>
        </w:rPr>
        <w:t>技术偏离表、</w:t>
      </w:r>
      <w:r>
        <w:rPr>
          <w:rFonts w:hint="eastAsia" w:ascii="仿宋" w:hAnsi="仿宋" w:eastAsia="仿宋" w:cs="仿宋"/>
          <w:bCs/>
          <w:sz w:val="24"/>
          <w:highlight w:val="none"/>
        </w:rPr>
        <w:t>商</w:t>
      </w:r>
      <w:r>
        <w:rPr>
          <w:rFonts w:hint="eastAsia" w:ascii="仿宋" w:hAnsi="仿宋" w:eastAsia="仿宋" w:cs="仿宋"/>
          <w:sz w:val="24"/>
          <w:highlight w:val="none"/>
        </w:rPr>
        <w:t>务响应表</w:t>
      </w:r>
      <w:r>
        <w:rPr>
          <w:rFonts w:hint="eastAsia" w:ascii="仿宋" w:hAnsi="仿宋" w:eastAsia="仿宋" w:cs="仿宋"/>
          <w:bCs/>
          <w:sz w:val="24"/>
          <w:highlight w:val="none"/>
        </w:rPr>
        <w:t xml:space="preserve">；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5.厂家售后服务承诺书（盖厂家公章，如有）；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6.乙方设备安装方案、售后服务实施方案（盖乙方公章）；</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7.产品配置清单（盖乙方公章）；</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8.法定代表人授权委托书（详情见第六条第8款）；</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9.中标单位注册证（三证合一）；</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10.产品代理授权书（如有，请提供。1.授权书必须加盖厂家的公章2.有上级代理的，还应当提供上级代理公司出具的授权，授权必须加盖上级代理公司的公章3.授权链条务必完整）；</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11.医疗器械注册证（详情见第六条第7款，如不属于医疗器械或依法不需要相关注册证，请提供证据证明）；</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12.廉洁协议；</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13.中标通知书。</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 xml:space="preserve">本项目的招标文件及投标文件均作为本合同的附件之一，效力等同于本合同正文。如有双方均认可的有利于甲方的条款更改或增加（如乙方出具的书面优惠承诺书等），则以更改或增加后的条款为准。 </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本合同甲乙双方签字盖章后生效，一式柒份，具有同等法律效力，甲方四份、乙方一份，政府采购合同双方自签订之日起 1 个工作日内将合同原件二份交采购代理机构。</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rPr>
      </w:pPr>
      <w:r>
        <w:rPr>
          <w:rFonts w:hint="eastAsia" w:ascii="仿宋" w:hAnsi="仿宋" w:eastAsia="仿宋" w:cs="仿宋"/>
          <w:sz w:val="24"/>
          <w:highlight w:val="none"/>
        </w:rPr>
        <w:t>（以下无正文）</w:t>
      </w:r>
    </w:p>
    <w:p>
      <w:pPr>
        <w:spacing w:line="400" w:lineRule="exact"/>
        <w:rPr>
          <w:rFonts w:hint="eastAsia" w:ascii="仿宋" w:hAnsi="仿宋" w:eastAsia="仿宋" w:cs="仿宋"/>
          <w:kern w:val="0"/>
          <w:sz w:val="24"/>
          <w:highlight w:val="none"/>
        </w:rPr>
      </w:pPr>
    </w:p>
    <w:p>
      <w:pPr>
        <w:spacing w:line="400" w:lineRule="exact"/>
        <w:rPr>
          <w:rFonts w:hint="eastAsia" w:ascii="仿宋" w:hAnsi="仿宋" w:eastAsia="仿宋" w:cs="仿宋"/>
          <w:sz w:val="24"/>
          <w:highlight w:val="none"/>
          <w:u w:val="single"/>
        </w:rPr>
      </w:pPr>
      <w:r>
        <w:rPr>
          <w:rFonts w:hint="eastAsia" w:ascii="仿宋" w:hAnsi="仿宋" w:eastAsia="仿宋" w:cs="仿宋"/>
          <w:kern w:val="0"/>
          <w:sz w:val="24"/>
          <w:highlight w:val="none"/>
        </w:rPr>
        <w:t>甲方（公章）：</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乙方（公章）：</w:t>
      </w:r>
      <w:r>
        <w:rPr>
          <w:rFonts w:hint="eastAsia" w:ascii="仿宋" w:hAnsi="仿宋" w:eastAsia="仿宋" w:cs="仿宋"/>
          <w:kern w:val="0"/>
          <w:sz w:val="24"/>
          <w:highlight w:val="none"/>
          <w:u w:val="single"/>
        </w:rPr>
        <w:t xml:space="preserve">                                </w:t>
      </w:r>
    </w:p>
    <w:p>
      <w:pPr>
        <w:widowControl/>
        <w:spacing w:line="400" w:lineRule="exact"/>
        <w:ind w:left="5040" w:hanging="5040" w:hangingChars="2100"/>
        <w:jc w:val="left"/>
        <w:rPr>
          <w:rFonts w:hint="eastAsia" w:ascii="仿宋" w:hAnsi="仿宋" w:eastAsia="仿宋" w:cs="仿宋"/>
          <w:sz w:val="24"/>
          <w:highlight w:val="none"/>
          <w:u w:val="single"/>
        </w:rPr>
      </w:pPr>
      <w:r>
        <w:rPr>
          <w:rFonts w:hint="eastAsia" w:ascii="仿宋" w:hAnsi="仿宋" w:eastAsia="仿宋" w:cs="仿宋"/>
          <w:kern w:val="0"/>
          <w:sz w:val="24"/>
          <w:highlight w:val="none"/>
        </w:rPr>
        <w:t>法定代表人签字：</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法定代表人签字：</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委托代理人：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委托代理人：</w:t>
      </w:r>
      <w:r>
        <w:rPr>
          <w:rFonts w:hint="eastAsia" w:ascii="仿宋" w:hAnsi="仿宋" w:eastAsia="仿宋" w:cs="仿宋"/>
          <w:kern w:val="0"/>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电 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电 话：</w:t>
      </w:r>
      <w:r>
        <w:rPr>
          <w:rFonts w:hint="eastAsia" w:ascii="仿宋" w:hAnsi="仿宋" w:eastAsia="仿宋" w:cs="仿宋"/>
          <w:kern w:val="0"/>
          <w:sz w:val="24"/>
          <w:highlight w:val="none"/>
          <w:u w:val="single"/>
        </w:rPr>
        <w:t xml:space="preserve">                                       </w:t>
      </w:r>
    </w:p>
    <w:p>
      <w:pPr>
        <w:widowControl/>
        <w:spacing w:line="400" w:lineRule="exact"/>
        <w:ind w:left="8640" w:hanging="8640" w:hangingChars="3600"/>
        <w:jc w:val="left"/>
        <w:rPr>
          <w:rFonts w:hint="eastAsia" w:ascii="仿宋" w:hAnsi="仿宋" w:eastAsia="仿宋" w:cs="仿宋"/>
          <w:sz w:val="24"/>
          <w:highlight w:val="none"/>
          <w:u w:val="single"/>
        </w:rPr>
      </w:pPr>
      <w:r>
        <w:rPr>
          <w:rFonts w:hint="eastAsia" w:ascii="仿宋" w:hAnsi="仿宋" w:eastAsia="仿宋" w:cs="仿宋"/>
          <w:kern w:val="0"/>
          <w:sz w:val="24"/>
          <w:highlight w:val="none"/>
        </w:rPr>
        <w:t xml:space="preserve">开户名称：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开户名称：</w:t>
      </w:r>
      <w:r>
        <w:rPr>
          <w:rFonts w:hint="eastAsia" w:ascii="仿宋" w:hAnsi="仿宋" w:eastAsia="仿宋" w:cs="仿宋"/>
          <w:kern w:val="0"/>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开户银行：</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开户银行：</w:t>
      </w:r>
      <w:r>
        <w:rPr>
          <w:rFonts w:hint="eastAsia" w:ascii="仿宋" w:hAnsi="仿宋" w:eastAsia="仿宋" w:cs="仿宋"/>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 xml:space="preserve">银行账号：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银行账号：</w:t>
      </w:r>
      <w:r>
        <w:rPr>
          <w:rFonts w:hint="eastAsia" w:ascii="仿宋" w:hAnsi="仿宋" w:eastAsia="仿宋" w:cs="仿宋"/>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日 期：</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日 期：</w:t>
      </w:r>
      <w:r>
        <w:rPr>
          <w:rFonts w:hint="eastAsia" w:ascii="仿宋" w:hAnsi="仿宋" w:eastAsia="仿宋" w:cs="仿宋"/>
          <w:kern w:val="0"/>
          <w:sz w:val="24"/>
          <w:highlight w:val="none"/>
          <w:u w:val="single"/>
        </w:rPr>
        <w:t xml:space="preserve">                                       </w:t>
      </w:r>
    </w:p>
    <w:p>
      <w:pPr>
        <w:spacing w:line="460" w:lineRule="exact"/>
        <w:jc w:val="left"/>
        <w:rPr>
          <w:rFonts w:hint="eastAsia" w:ascii="仿宋" w:hAnsi="仿宋" w:eastAsia="仿宋" w:cs="宋体"/>
          <w:b/>
          <w:sz w:val="24"/>
          <w:highlight w:val="none"/>
        </w:rPr>
      </w:pPr>
    </w:p>
    <w:p>
      <w:pPr>
        <w:adjustRightInd w:val="0"/>
        <w:snapToGrid w:val="0"/>
        <w:spacing w:line="380" w:lineRule="exact"/>
        <w:jc w:val="center"/>
        <w:rPr>
          <w:rFonts w:hint="eastAsia" w:ascii="宋体" w:hAnsi="宋体"/>
          <w:b/>
          <w:sz w:val="32"/>
          <w:szCs w:val="32"/>
          <w:highlight w:val="none"/>
        </w:rPr>
      </w:pPr>
    </w:p>
    <w:p>
      <w:pPr>
        <w:spacing w:line="460" w:lineRule="exact"/>
        <w:jc w:val="left"/>
        <w:rPr>
          <w:rFonts w:hint="eastAsia" w:ascii="仿宋" w:hAnsi="仿宋" w:eastAsia="仿宋" w:cs="宋体"/>
          <w:b/>
          <w:sz w:val="24"/>
          <w:highlight w:val="none"/>
        </w:rPr>
      </w:pPr>
      <w:r>
        <w:rPr>
          <w:rFonts w:ascii="仿宋" w:hAnsi="仿宋" w:eastAsia="仿宋" w:cs="宋体"/>
          <w:b/>
          <w:sz w:val="24"/>
          <w:highlight w:val="none"/>
        </w:rPr>
        <w:br w:type="page"/>
      </w:r>
    </w:p>
    <w:p>
      <w:pPr>
        <w:spacing w:line="460" w:lineRule="exact"/>
        <w:jc w:val="center"/>
        <w:rPr>
          <w:rFonts w:hint="eastAsia" w:ascii="仿宋" w:hAnsi="仿宋" w:eastAsia="仿宋" w:cs="宋体"/>
          <w:b/>
          <w:sz w:val="36"/>
          <w:szCs w:val="36"/>
          <w:highlight w:val="none"/>
        </w:rPr>
      </w:pPr>
      <w:r>
        <w:rPr>
          <w:rFonts w:hint="eastAsia" w:ascii="仿宋" w:hAnsi="仿宋" w:eastAsia="仿宋" w:cs="宋体"/>
          <w:b/>
          <w:sz w:val="36"/>
          <w:szCs w:val="36"/>
          <w:highlight w:val="none"/>
        </w:rPr>
        <w:t>医疗卫生机构医药产品廉洁购销合同</w:t>
      </w:r>
    </w:p>
    <w:p>
      <w:pPr>
        <w:adjustRightInd w:val="0"/>
        <w:snapToGrid w:val="0"/>
        <w:spacing w:line="380" w:lineRule="exact"/>
        <w:jc w:val="center"/>
        <w:rPr>
          <w:rFonts w:hint="eastAsia" w:ascii="宋体" w:hAnsi="宋体"/>
          <w:b/>
          <w:sz w:val="32"/>
          <w:szCs w:val="32"/>
          <w:highlight w:val="none"/>
        </w:rPr>
      </w:pPr>
    </w:p>
    <w:p>
      <w:pPr>
        <w:spacing w:line="400" w:lineRule="exact"/>
        <w:rPr>
          <w:rFonts w:hint="eastAsia" w:ascii="仿宋" w:hAnsi="仿宋" w:eastAsia="仿宋"/>
          <w:sz w:val="24"/>
          <w:highlight w:val="none"/>
        </w:rPr>
      </w:pPr>
      <w:r>
        <w:rPr>
          <w:rFonts w:hint="eastAsia" w:ascii="仿宋" w:hAnsi="仿宋" w:eastAsia="仿宋"/>
          <w:sz w:val="24"/>
          <w:highlight w:val="none"/>
        </w:rPr>
        <w:t>甲方（采购人）：</w:t>
      </w:r>
    </w:p>
    <w:p>
      <w:pPr>
        <w:spacing w:line="400" w:lineRule="exact"/>
        <w:rPr>
          <w:rFonts w:hint="eastAsia" w:ascii="仿宋" w:hAnsi="仿宋" w:eastAsia="仿宋"/>
          <w:sz w:val="24"/>
          <w:highlight w:val="none"/>
        </w:rPr>
      </w:pPr>
      <w:r>
        <w:rPr>
          <w:rFonts w:hint="eastAsia" w:ascii="仿宋" w:hAnsi="仿宋" w:eastAsia="仿宋"/>
          <w:sz w:val="24"/>
          <w:highlight w:val="none"/>
        </w:rPr>
        <w:t>乙方（中标人）：</w:t>
      </w:r>
    </w:p>
    <w:p>
      <w:pPr>
        <w:spacing w:line="400" w:lineRule="exact"/>
        <w:rPr>
          <w:rFonts w:hint="eastAsia" w:ascii="仿宋" w:hAnsi="仿宋" w:eastAsia="仿宋"/>
          <w:sz w:val="24"/>
          <w:highlight w:val="none"/>
        </w:rPr>
      </w:pPr>
      <w:r>
        <w:rPr>
          <w:rFonts w:hint="eastAsia" w:ascii="仿宋" w:hAnsi="仿宋" w:eastAsia="仿宋"/>
          <w:sz w:val="24"/>
          <w:highlight w:val="none"/>
        </w:rPr>
        <w:t xml:space="preserve"> </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为进一步加强医疗卫生行风建设，规范医疗卫生机构医药购销行为，有效防范商业贿赂行为，营造公平交易、诚实守信的购销环境，经甲、乙双方协商，同意签订本合同，并共同遵守：</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一、甲乙双方按照《中华人民共和国民法典》及医药产品购销合同约定购销药品、医用设备、医用耗材等医药产品。</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二、甲方应当严格执行医药产品购销合同验收、入库制度，对采购医药产品及发票进行查验，不得违反有关规定合同外采购、违价采购或从非规定渠道采购。</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四、严禁甲方工作人员利用任何途径和方式，为乙方统计医师个人及临床科室有关医药产品用量信息，或为乙方统计提供便利。</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五、乙方不得以回扣、宴请等方式影响甲方工作人员采购或使用医药产品的选择权，不得在学术活动中提供旅游、超标准支付食宿费用。</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六、乙方指定____________洽谈业务。销售代表必须在工作时间到甲方指定地点联系商谈，不得到住院部、门诊部、医技科室等推销医药产品，不得借故到甲方相关领导、部门负责人及相关工作人员家中访谈并提供任何好处费。</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八、本合同作为医药产品购销合同的重要组成部分，与购销合同一并执行，具有同等的法律效力。</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九、本合同一式三份，甲、乙双方各执一份，甲方纪检监察部门（基层医疗卫生机构上报上级卫生计生行政部门）执一份，并从签订之日起生效。</w:t>
      </w:r>
    </w:p>
    <w:p>
      <w:pPr>
        <w:spacing w:line="400" w:lineRule="exact"/>
        <w:rPr>
          <w:rFonts w:hint="eastAsia" w:ascii="仿宋" w:hAnsi="仿宋" w:eastAsia="仿宋"/>
          <w:sz w:val="24"/>
          <w:highlight w:val="none"/>
        </w:rPr>
      </w:pPr>
      <w:r>
        <w:rPr>
          <w:rFonts w:hint="eastAsia" w:ascii="仿宋" w:hAnsi="仿宋" w:eastAsia="仿宋"/>
          <w:sz w:val="24"/>
          <w:highlight w:val="none"/>
        </w:rPr>
        <w:t xml:space="preserve"> </w:t>
      </w:r>
    </w:p>
    <w:p>
      <w:pPr>
        <w:spacing w:line="400" w:lineRule="exact"/>
        <w:rPr>
          <w:rFonts w:hint="eastAsia" w:ascii="仿宋" w:hAnsi="仿宋" w:eastAsia="仿宋"/>
          <w:sz w:val="24"/>
          <w:highlight w:val="none"/>
        </w:rPr>
      </w:pPr>
    </w:p>
    <w:p>
      <w:pPr>
        <w:spacing w:line="400" w:lineRule="exact"/>
        <w:rPr>
          <w:rFonts w:hint="eastAsia" w:ascii="仿宋" w:hAnsi="仿宋" w:eastAsia="仿宋"/>
          <w:sz w:val="24"/>
          <w:highlight w:val="none"/>
        </w:rPr>
      </w:pPr>
      <w:r>
        <w:rPr>
          <w:rFonts w:hint="eastAsia" w:ascii="仿宋" w:hAnsi="仿宋" w:eastAsia="仿宋"/>
          <w:sz w:val="24"/>
          <w:highlight w:val="none"/>
        </w:rPr>
        <w:t xml:space="preserve">甲方（盖章）：                       </w:t>
      </w:r>
      <w:r>
        <w:rPr>
          <w:rFonts w:ascii="仿宋" w:hAnsi="仿宋" w:eastAsia="仿宋"/>
          <w:sz w:val="24"/>
          <w:highlight w:val="none"/>
        </w:rPr>
        <w:t xml:space="preserve"> </w:t>
      </w:r>
      <w:r>
        <w:rPr>
          <w:rFonts w:hint="eastAsia" w:ascii="仿宋" w:hAnsi="仿宋" w:eastAsia="仿宋"/>
          <w:sz w:val="24"/>
          <w:highlight w:val="none"/>
        </w:rPr>
        <w:t>乙方（盖章）：</w:t>
      </w:r>
    </w:p>
    <w:p>
      <w:pPr>
        <w:spacing w:line="400" w:lineRule="exact"/>
        <w:rPr>
          <w:rFonts w:hint="eastAsia" w:ascii="仿宋" w:hAnsi="仿宋" w:eastAsia="仿宋"/>
          <w:sz w:val="24"/>
          <w:highlight w:val="none"/>
        </w:rPr>
      </w:pPr>
      <w:r>
        <w:rPr>
          <w:rFonts w:hint="eastAsia" w:ascii="仿宋" w:hAnsi="仿宋" w:eastAsia="仿宋"/>
          <w:sz w:val="24"/>
          <w:highlight w:val="none"/>
        </w:rPr>
        <w:t>法定代表人：                         法定代表人：</w:t>
      </w:r>
    </w:p>
    <w:p>
      <w:pPr>
        <w:spacing w:line="400" w:lineRule="exact"/>
        <w:rPr>
          <w:rFonts w:hint="eastAsia" w:ascii="仿宋" w:hAnsi="仿宋" w:eastAsia="仿宋"/>
          <w:sz w:val="24"/>
          <w:highlight w:val="none"/>
        </w:rPr>
      </w:pPr>
      <w:r>
        <w:rPr>
          <w:rFonts w:hint="eastAsia" w:ascii="仿宋" w:hAnsi="仿宋" w:eastAsia="仿宋"/>
          <w:sz w:val="24"/>
          <w:highlight w:val="none"/>
        </w:rPr>
        <w:t>经办人签名：                         经办人签名：</w:t>
      </w:r>
    </w:p>
    <w:p>
      <w:pPr>
        <w:spacing w:line="400" w:lineRule="exact"/>
        <w:ind w:firstLine="720" w:firstLineChars="300"/>
        <w:rPr>
          <w:rFonts w:hint="eastAsia" w:ascii="仿宋" w:hAnsi="仿宋" w:eastAsia="仿宋"/>
          <w:b/>
          <w:sz w:val="24"/>
          <w:highlight w:val="none"/>
        </w:rPr>
      </w:pPr>
      <w:r>
        <w:rPr>
          <w:rFonts w:hint="eastAsia" w:ascii="仿宋" w:hAnsi="仿宋" w:eastAsia="仿宋"/>
          <w:sz w:val="24"/>
          <w:highlight w:val="none"/>
        </w:rPr>
        <w:t>年    月    日                       年    月    日</w:t>
      </w:r>
    </w:p>
    <w:p>
      <w:pPr>
        <w:pStyle w:val="3"/>
        <w:keepNext w:val="0"/>
        <w:keepLines w:val="0"/>
        <w:pageBreakBefore/>
        <w:spacing w:before="0" w:after="0" w:line="360" w:lineRule="auto"/>
        <w:jc w:val="center"/>
        <w:textAlignment w:val="center"/>
        <w:rPr>
          <w:rFonts w:hint="eastAsia" w:ascii="仿宋" w:hAnsi="仿宋" w:eastAsia="仿宋"/>
          <w:highlight w:val="none"/>
        </w:rPr>
      </w:pPr>
      <w:r>
        <w:rPr>
          <w:rFonts w:hint="eastAsia" w:ascii="仿宋" w:hAnsi="仿宋" w:eastAsia="仿宋"/>
          <w:highlight w:val="none"/>
        </w:rPr>
        <w:t>第六章　投标文件格式</w:t>
      </w:r>
      <w:bookmarkEnd w:id="199"/>
    </w:p>
    <w:p>
      <w:pPr>
        <w:rPr>
          <w:rFonts w:hint="eastAsia" w:ascii="仿宋" w:hAnsi="仿宋" w:eastAsia="仿宋"/>
          <w:b/>
          <w:sz w:val="28"/>
          <w:szCs w:val="28"/>
          <w:highlight w:val="none"/>
        </w:rPr>
      </w:pPr>
      <w:bookmarkStart w:id="200" w:name="_Toc19686836"/>
      <w:bookmarkStart w:id="201" w:name="_Toc254970698"/>
      <w:bookmarkStart w:id="202" w:name="_Toc254970557"/>
      <w:r>
        <w:rPr>
          <w:rFonts w:hint="eastAsia" w:ascii="仿宋" w:hAnsi="仿宋" w:eastAsia="仿宋"/>
          <w:b/>
          <w:sz w:val="28"/>
          <w:szCs w:val="28"/>
          <w:highlight w:val="none"/>
        </w:rPr>
        <w:t>一、报价文件格式</w:t>
      </w:r>
      <w:bookmarkEnd w:id="200"/>
    </w:p>
    <w:p>
      <w:pPr>
        <w:snapToGrid w:val="0"/>
        <w:spacing w:before="120" w:beforeLines="50" w:after="50" w:line="360" w:lineRule="auto"/>
        <w:ind w:left="142"/>
        <w:jc w:val="left"/>
        <w:rPr>
          <w:rFonts w:hint="eastAsia" w:ascii="仿宋" w:hAnsi="仿宋" w:eastAsia="仿宋"/>
          <w:sz w:val="24"/>
          <w:szCs w:val="20"/>
          <w:highlight w:val="none"/>
        </w:rPr>
      </w:pPr>
      <w:r>
        <w:rPr>
          <w:rFonts w:hint="eastAsia" w:ascii="仿宋" w:hAnsi="仿宋" w:eastAsia="仿宋"/>
          <w:b/>
          <w:sz w:val="24"/>
          <w:highlight w:val="none"/>
        </w:rPr>
        <w:t xml:space="preserve">1. 报价文件封面格式： </w:t>
      </w:r>
    </w:p>
    <w:p>
      <w:pPr>
        <w:snapToGrid w:val="0"/>
        <w:spacing w:before="120" w:beforeLines="50" w:after="50" w:line="400" w:lineRule="exact"/>
        <w:rPr>
          <w:rFonts w:hint="eastAsia" w:ascii="仿宋" w:hAnsi="仿宋" w:eastAsia="仿宋"/>
          <w:bCs/>
          <w:sz w:val="32"/>
          <w:szCs w:val="20"/>
          <w:highlight w:val="none"/>
        </w:rPr>
      </w:pPr>
      <w:r>
        <w:rPr>
          <w:rFonts w:hint="eastAsia" w:ascii="仿宋" w:hAnsi="仿宋" w:eastAsia="仿宋"/>
          <w:sz w:val="24"/>
          <w:highlight w:val="none"/>
        </w:rPr>
        <w:t xml:space="preserve">                                                   </w:t>
      </w:r>
    </w:p>
    <w:p>
      <w:pPr>
        <w:snapToGrid w:val="0"/>
        <w:spacing w:before="120" w:beforeLines="50" w:after="50" w:line="400" w:lineRule="exact"/>
        <w:jc w:val="center"/>
        <w:rPr>
          <w:rFonts w:hint="eastAsia" w:ascii="仿宋" w:hAnsi="仿宋" w:eastAsia="仿宋"/>
          <w:bCs/>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line="400" w:lineRule="exact"/>
        <w:jc w:val="center"/>
        <w:rPr>
          <w:rFonts w:hint="eastAsia" w:ascii="仿宋" w:hAnsi="仿宋" w:eastAsia="仿宋"/>
          <w:bCs/>
          <w:sz w:val="32"/>
          <w:szCs w:val="32"/>
          <w:highlight w:val="none"/>
        </w:rPr>
      </w:pPr>
    </w:p>
    <w:p>
      <w:pPr>
        <w:snapToGrid w:val="0"/>
        <w:spacing w:before="120" w:beforeLines="50" w:after="50" w:line="400" w:lineRule="exact"/>
        <w:jc w:val="center"/>
        <w:rPr>
          <w:rFonts w:hint="eastAsia" w:ascii="仿宋" w:hAnsi="仿宋" w:eastAsia="仿宋" w:cs="方正小标宋简体"/>
          <w:sz w:val="32"/>
          <w:szCs w:val="32"/>
          <w:highlight w:val="none"/>
        </w:rPr>
      </w:pPr>
      <w:r>
        <w:rPr>
          <w:rFonts w:hint="eastAsia" w:ascii="仿宋" w:hAnsi="仿宋" w:eastAsia="仿宋" w:cs="方正小标宋简体"/>
          <w:sz w:val="32"/>
          <w:szCs w:val="32"/>
          <w:highlight w:val="none"/>
        </w:rPr>
        <w:t>报  价  文  件</w:t>
      </w: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项目名称： </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项目编号： </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投标人名称：</w:t>
      </w:r>
    </w:p>
    <w:p>
      <w:pPr>
        <w:snapToGrid w:val="0"/>
        <w:spacing w:before="120" w:beforeLines="50" w:after="50" w:line="400" w:lineRule="exact"/>
        <w:ind w:firstLine="360" w:firstLineChars="150"/>
        <w:rPr>
          <w:rFonts w:hint="eastAsia" w:ascii="仿宋" w:hAnsi="仿宋" w:eastAsia="仿宋"/>
          <w:bCs/>
          <w:sz w:val="24"/>
          <w:highlight w:val="none"/>
        </w:rPr>
      </w:pPr>
    </w:p>
    <w:p>
      <w:pPr>
        <w:pStyle w:val="7"/>
        <w:rPr>
          <w:highlight w:val="none"/>
        </w:rPr>
      </w:pPr>
    </w:p>
    <w:p>
      <w:pPr>
        <w:snapToGrid w:val="0"/>
        <w:spacing w:before="120" w:beforeLines="50" w:after="50" w:line="400" w:lineRule="exact"/>
        <w:rPr>
          <w:rFonts w:hint="eastAsia" w:ascii="仿宋" w:hAnsi="仿宋" w:eastAsia="仿宋"/>
          <w:sz w:val="30"/>
          <w:szCs w:val="20"/>
          <w:highlight w:val="none"/>
        </w:rPr>
      </w:pPr>
      <w:r>
        <w:rPr>
          <w:rFonts w:hint="eastAsia" w:ascii="仿宋" w:hAnsi="仿宋" w:eastAsia="仿宋"/>
          <w:sz w:val="24"/>
          <w:highlight w:val="none"/>
        </w:rPr>
        <w:t xml:space="preserve">                                   年 </w:t>
      </w:r>
      <w:r>
        <w:rPr>
          <w:rFonts w:ascii="仿宋" w:hAnsi="仿宋" w:eastAsia="仿宋"/>
          <w:sz w:val="24"/>
          <w:highlight w:val="none"/>
        </w:rPr>
        <w:t xml:space="preserve"> </w:t>
      </w:r>
      <w:r>
        <w:rPr>
          <w:rFonts w:hint="eastAsia" w:ascii="仿宋" w:hAnsi="仿宋" w:eastAsia="仿宋"/>
          <w:sz w:val="24"/>
          <w:highlight w:val="none"/>
        </w:rPr>
        <w:t xml:space="preserve"> 月 </w:t>
      </w:r>
      <w:r>
        <w:rPr>
          <w:rFonts w:ascii="仿宋" w:hAnsi="仿宋" w:eastAsia="仿宋"/>
          <w:sz w:val="24"/>
          <w:highlight w:val="none"/>
        </w:rPr>
        <w:t xml:space="preserve"> </w:t>
      </w:r>
      <w:r>
        <w:rPr>
          <w:rFonts w:hint="eastAsia" w:ascii="仿宋" w:hAnsi="仿宋" w:eastAsia="仿宋"/>
          <w:sz w:val="24"/>
          <w:highlight w:val="none"/>
        </w:rPr>
        <w:t xml:space="preserve"> 日</w:t>
      </w:r>
    </w:p>
    <w:p>
      <w:pPr>
        <w:snapToGrid w:val="0"/>
        <w:spacing w:before="120" w:beforeLines="50" w:after="50" w:line="360" w:lineRule="auto"/>
        <w:jc w:val="left"/>
        <w:rPr>
          <w:rFonts w:hint="eastAsia" w:ascii="仿宋" w:hAnsi="仿宋" w:eastAsia="仿宋"/>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2.</w:t>
      </w:r>
      <w:r>
        <w:rPr>
          <w:rFonts w:hint="eastAsia" w:ascii="仿宋" w:hAnsi="仿宋" w:eastAsia="仿宋"/>
          <w:b/>
          <w:bCs/>
          <w:sz w:val="24"/>
          <w:highlight w:val="none"/>
        </w:rPr>
        <w:t>报价文件目录</w:t>
      </w:r>
    </w:p>
    <w:p>
      <w:pPr>
        <w:snapToGrid w:val="0"/>
        <w:spacing w:before="50" w:after="120" w:afterLines="50" w:line="360" w:lineRule="auto"/>
        <w:jc w:val="left"/>
        <w:rPr>
          <w:rFonts w:hint="eastAsia" w:ascii="仿宋" w:hAnsi="仿宋" w:eastAsia="仿宋"/>
          <w:b/>
          <w:sz w:val="24"/>
          <w:highlight w:val="none"/>
        </w:rPr>
      </w:pPr>
      <w:r>
        <w:rPr>
          <w:rFonts w:hint="eastAsia" w:ascii="仿宋" w:hAnsi="仿宋" w:eastAsia="仿宋"/>
          <w:szCs w:val="21"/>
          <w:highlight w:val="none"/>
        </w:rPr>
        <w:t>根据招标文件规定及投标人提供的材料自行编写目录。</w:t>
      </w:r>
    </w:p>
    <w:p>
      <w:pPr>
        <w:snapToGrid w:val="0"/>
        <w:spacing w:before="120" w:beforeLines="50" w:after="50"/>
        <w:rPr>
          <w:rFonts w:hint="eastAsia" w:ascii="仿宋" w:hAnsi="仿宋" w:eastAsia="仿宋"/>
          <w:b/>
          <w:sz w:val="24"/>
          <w:highlight w:val="none"/>
        </w:rPr>
      </w:pPr>
    </w:p>
    <w:p>
      <w:pPr>
        <w:snapToGrid w:val="0"/>
        <w:spacing w:before="120" w:beforeLines="50" w:after="50"/>
        <w:rPr>
          <w:rFonts w:hint="eastAsia" w:ascii="仿宋" w:hAnsi="仿宋" w:eastAsia="仿宋"/>
          <w:b/>
          <w:sz w:val="24"/>
          <w:highlight w:val="none"/>
        </w:rPr>
      </w:pPr>
    </w:p>
    <w:p>
      <w:pPr>
        <w:snapToGrid w:val="0"/>
        <w:spacing w:before="120" w:beforeLines="50" w:after="50"/>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3. 投标函格式：</w:t>
      </w:r>
    </w:p>
    <w:p>
      <w:pPr>
        <w:snapToGrid w:val="0"/>
        <w:spacing w:before="120" w:beforeLines="50" w:after="50" w:line="360" w:lineRule="auto"/>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投 标 函</w:t>
      </w:r>
    </w:p>
    <w:p>
      <w:pPr>
        <w:spacing w:line="440" w:lineRule="exact"/>
        <w:contextualSpacing/>
        <w:rPr>
          <w:rFonts w:hint="eastAsia" w:ascii="仿宋" w:hAnsi="仿宋" w:eastAsia="仿宋"/>
          <w:sz w:val="24"/>
          <w:highlight w:val="none"/>
        </w:rPr>
      </w:pPr>
      <w:r>
        <w:rPr>
          <w:rFonts w:hint="eastAsia" w:ascii="仿宋" w:hAnsi="仿宋" w:eastAsia="仿宋"/>
          <w:sz w:val="24"/>
          <w:highlight w:val="none"/>
        </w:rPr>
        <w:t>致：</w:t>
      </w:r>
      <w:r>
        <w:rPr>
          <w:rFonts w:hint="eastAsia" w:ascii="仿宋" w:hAnsi="仿宋" w:eastAsia="仿宋"/>
          <w:sz w:val="24"/>
          <w:highlight w:val="none"/>
          <w:u w:val="single"/>
        </w:rPr>
        <w:t xml:space="preserve">采购人名称 </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根据贵方</w:t>
      </w:r>
      <w:r>
        <w:rPr>
          <w:rFonts w:hint="eastAsia" w:ascii="仿宋" w:hAnsi="仿宋" w:eastAsia="仿宋"/>
          <w:sz w:val="24"/>
          <w:highlight w:val="none"/>
          <w:u w:val="single"/>
        </w:rPr>
        <w:t xml:space="preserve"> （项目名称） </w:t>
      </w:r>
      <w:r>
        <w:rPr>
          <w:rFonts w:hint="eastAsia" w:ascii="仿宋" w:hAnsi="仿宋" w:eastAsia="仿宋"/>
          <w:sz w:val="24"/>
          <w:highlight w:val="none"/>
        </w:rPr>
        <w:t>（项目编号：</w:t>
      </w:r>
      <w:r>
        <w:rPr>
          <w:rFonts w:hint="eastAsia" w:ascii="仿宋" w:hAnsi="仿宋" w:eastAsia="仿宋"/>
          <w:sz w:val="24"/>
          <w:highlight w:val="none"/>
          <w:u w:val="single"/>
        </w:rPr>
        <w:t xml:space="preserve">        </w:t>
      </w:r>
      <w:r>
        <w:rPr>
          <w:rFonts w:hint="eastAsia" w:ascii="仿宋" w:hAnsi="仿宋" w:eastAsia="仿宋"/>
          <w:sz w:val="24"/>
          <w:highlight w:val="none"/>
        </w:rPr>
        <w:t>）的招标公告，签字代表______</w:t>
      </w:r>
      <w:r>
        <w:rPr>
          <w:rFonts w:hint="eastAsia" w:ascii="仿宋" w:hAnsi="仿宋" w:eastAsia="仿宋"/>
          <w:sz w:val="24"/>
          <w:highlight w:val="none"/>
          <w:u w:val="single"/>
        </w:rPr>
        <w:t xml:space="preserve">     </w:t>
      </w:r>
      <w:r>
        <w:rPr>
          <w:rFonts w:hint="eastAsia" w:ascii="仿宋" w:hAnsi="仿宋" w:eastAsia="仿宋"/>
          <w:sz w:val="24"/>
          <w:highlight w:val="none"/>
        </w:rPr>
        <w:t>（姓名）经正式授权并代表投标人</w:t>
      </w:r>
      <w:r>
        <w:rPr>
          <w:rFonts w:hint="eastAsia" w:ascii="仿宋" w:hAnsi="仿宋" w:eastAsia="仿宋"/>
          <w:sz w:val="24"/>
          <w:highlight w:val="none"/>
          <w:u w:val="single"/>
        </w:rPr>
        <w:t xml:space="preserve">                 </w:t>
      </w:r>
      <w:r>
        <w:rPr>
          <w:rFonts w:hint="eastAsia" w:ascii="仿宋" w:hAnsi="仿宋" w:eastAsia="仿宋"/>
          <w:sz w:val="24"/>
          <w:highlight w:val="none"/>
        </w:rPr>
        <w:t>（投标人名称）提交投标文件。</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据此函，我方宣布同意如下：</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2.我方在投标之前已经完全理解并接受招标文件的各项规定和要求，对招标文件的合理性、合法性不再有异议。</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3.本投标有效期自投标截止之日起</w:t>
      </w:r>
      <w:r>
        <w:rPr>
          <w:rFonts w:ascii="仿宋" w:hAnsi="仿宋" w:eastAsia="仿宋"/>
          <w:sz w:val="24"/>
          <w:highlight w:val="none"/>
          <w:u w:val="single"/>
        </w:rPr>
        <w:t xml:space="preserve">    </w:t>
      </w:r>
      <w:r>
        <w:rPr>
          <w:rFonts w:hint="eastAsia" w:ascii="仿宋" w:hAnsi="仿宋" w:eastAsia="仿宋"/>
          <w:sz w:val="24"/>
          <w:highlight w:val="none"/>
        </w:rPr>
        <w:t>日。</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4.如中标，本投标文件至本项目合同履行完毕止均保持有效，我方将按“招标文件”及政府采购法律、法规的规定履行合同责任和义务。</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5.我方同意按照贵方要求提供与投标有关的一切数据或者资料。</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6.我方向贵方提交的所有投标文件、资料都是准确的和真实的。</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7.以上事项如有虚假或者隐瞒，我方愿意承担一切后果，并不再寻求任何旨在减轻或者免除法律责任的辩解。</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8.根据</w:t>
      </w:r>
      <w:r>
        <w:rPr>
          <w:rFonts w:ascii="仿宋" w:hAnsi="仿宋" w:eastAsia="仿宋"/>
          <w:sz w:val="24"/>
          <w:highlight w:val="none"/>
        </w:rPr>
        <w:t>《中华人民共和国政府采购法实施条例》第五十条要求对政府采购合同进行公告</w:t>
      </w:r>
      <w:r>
        <w:rPr>
          <w:rFonts w:hint="eastAsia" w:ascii="仿宋" w:hAnsi="仿宋" w:eastAsia="仿宋"/>
          <w:sz w:val="24"/>
          <w:highlight w:val="none"/>
        </w:rPr>
        <w:t>，</w:t>
      </w:r>
      <w:r>
        <w:rPr>
          <w:rFonts w:ascii="仿宋" w:hAnsi="仿宋" w:eastAsia="仿宋"/>
          <w:sz w:val="24"/>
          <w:highlight w:val="none"/>
        </w:rPr>
        <w:t>但政府采购合同中涉及国家秘密、商业秘密的内容除外。</w:t>
      </w:r>
      <w:r>
        <w:rPr>
          <w:rFonts w:hint="eastAsia" w:ascii="仿宋" w:hAnsi="仿宋" w:eastAsia="仿宋"/>
          <w:sz w:val="24"/>
          <w:highlight w:val="none"/>
        </w:rPr>
        <w:t>我方就对本次投标文件进行注明如下：（两项内容中必须选择一项）</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□我方本次投标文件</w:t>
      </w:r>
      <w:r>
        <w:rPr>
          <w:rFonts w:ascii="仿宋" w:hAnsi="仿宋" w:eastAsia="仿宋" w:cs="宋体"/>
          <w:kern w:val="0"/>
          <w:sz w:val="24"/>
          <w:highlight w:val="none"/>
        </w:rPr>
        <w:t>内容中</w:t>
      </w:r>
      <w:r>
        <w:rPr>
          <w:rFonts w:hint="eastAsia" w:ascii="仿宋" w:hAnsi="仿宋" w:eastAsia="仿宋"/>
          <w:sz w:val="24"/>
          <w:highlight w:val="none"/>
        </w:rPr>
        <w:t>未</w:t>
      </w:r>
      <w:r>
        <w:rPr>
          <w:rFonts w:ascii="仿宋" w:hAnsi="仿宋" w:eastAsia="仿宋" w:cs="宋体"/>
          <w:kern w:val="0"/>
          <w:sz w:val="24"/>
          <w:highlight w:val="none"/>
        </w:rPr>
        <w:t>涉及商业秘密</w:t>
      </w:r>
      <w:r>
        <w:rPr>
          <w:rFonts w:hint="eastAsia" w:ascii="仿宋" w:hAnsi="仿宋" w:eastAsia="仿宋" w:cs="宋体"/>
          <w:kern w:val="0"/>
          <w:sz w:val="24"/>
          <w:highlight w:val="none"/>
        </w:rPr>
        <w:t>；</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□我方本次投标文件</w:t>
      </w:r>
      <w:r>
        <w:rPr>
          <w:rFonts w:ascii="仿宋" w:hAnsi="仿宋" w:eastAsia="仿宋" w:cs="宋体"/>
          <w:kern w:val="0"/>
          <w:sz w:val="24"/>
          <w:highlight w:val="none"/>
        </w:rPr>
        <w:t>涉及商业秘密</w:t>
      </w:r>
      <w:r>
        <w:rPr>
          <w:rFonts w:hint="eastAsia" w:ascii="仿宋" w:hAnsi="仿宋" w:eastAsia="仿宋" w:cs="宋体"/>
          <w:kern w:val="0"/>
          <w:sz w:val="24"/>
          <w:highlight w:val="none"/>
        </w:rPr>
        <w:t>的</w:t>
      </w:r>
      <w:r>
        <w:rPr>
          <w:rFonts w:ascii="仿宋" w:hAnsi="仿宋" w:eastAsia="仿宋" w:cs="宋体"/>
          <w:kern w:val="0"/>
          <w:sz w:val="24"/>
          <w:highlight w:val="none"/>
        </w:rPr>
        <w:t>内容</w:t>
      </w:r>
      <w:r>
        <w:rPr>
          <w:rFonts w:hint="eastAsia" w:ascii="仿宋" w:hAnsi="仿宋" w:eastAsia="仿宋" w:cs="宋体"/>
          <w:kern w:val="0"/>
          <w:sz w:val="24"/>
          <w:highlight w:val="none"/>
        </w:rPr>
        <w:t>有：</w:t>
      </w:r>
      <w:r>
        <w:rPr>
          <w:rFonts w:hint="eastAsia" w:ascii="仿宋" w:hAnsi="仿宋" w:eastAsia="仿宋" w:cs="宋体"/>
          <w:kern w:val="0"/>
          <w:sz w:val="24"/>
          <w:highlight w:val="none"/>
          <w:u w:val="single"/>
        </w:rPr>
        <w:t xml:space="preserve">                         </w:t>
      </w:r>
      <w:r>
        <w:rPr>
          <w:rFonts w:hint="eastAsia" w:ascii="仿宋" w:hAnsi="仿宋" w:eastAsia="仿宋" w:cs="宋体"/>
          <w:kern w:val="0"/>
          <w:sz w:val="24"/>
          <w:highlight w:val="none"/>
        </w:rPr>
        <w:t>；</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9.与本投标有关的一切正式往来信函请寄：</w:t>
      </w:r>
    </w:p>
    <w:p>
      <w:pPr>
        <w:spacing w:line="440" w:lineRule="exact"/>
        <w:ind w:firstLine="480" w:firstLineChars="200"/>
        <w:contextualSpacing/>
        <w:rPr>
          <w:rFonts w:hint="eastAsia" w:ascii="仿宋" w:hAnsi="仿宋" w:eastAsia="仿宋"/>
          <w:sz w:val="24"/>
          <w:highlight w:val="none"/>
          <w:u w:val="single"/>
        </w:rPr>
      </w:pPr>
      <w:r>
        <w:rPr>
          <w:rFonts w:hint="eastAsia" w:ascii="仿宋" w:hAnsi="仿宋" w:eastAsia="仿宋"/>
          <w:sz w:val="24"/>
          <w:highlight w:val="none"/>
        </w:rPr>
        <w:t>地址：</w:t>
      </w:r>
      <w:r>
        <w:rPr>
          <w:rFonts w:hint="eastAsia" w:ascii="仿宋" w:hAnsi="仿宋" w:eastAsia="仿宋"/>
          <w:sz w:val="24"/>
          <w:highlight w:val="none"/>
          <w:u w:val="single"/>
        </w:rPr>
        <w:t xml:space="preserve">          </w:t>
      </w:r>
      <w:r>
        <w:rPr>
          <w:rFonts w:hint="eastAsia" w:ascii="仿宋" w:hAnsi="仿宋" w:eastAsia="仿宋"/>
          <w:sz w:val="24"/>
          <w:highlight w:val="none"/>
        </w:rPr>
        <w:t>邮编：</w:t>
      </w:r>
      <w:r>
        <w:rPr>
          <w:rFonts w:hint="eastAsia" w:ascii="仿宋" w:hAnsi="仿宋" w:eastAsia="仿宋"/>
          <w:sz w:val="24"/>
          <w:highlight w:val="none"/>
          <w:u w:val="single"/>
        </w:rPr>
        <w:t xml:space="preserve">            </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电话：</w:t>
      </w:r>
      <w:r>
        <w:rPr>
          <w:rFonts w:hint="eastAsia" w:ascii="仿宋" w:hAnsi="仿宋" w:eastAsia="仿宋"/>
          <w:sz w:val="24"/>
          <w:highlight w:val="none"/>
          <w:u w:val="single"/>
        </w:rPr>
        <w:t xml:space="preserve">        </w:t>
      </w:r>
      <w:r>
        <w:rPr>
          <w:rFonts w:hint="eastAsia" w:ascii="仿宋" w:hAnsi="仿宋" w:eastAsia="仿宋"/>
          <w:sz w:val="24"/>
          <w:highlight w:val="none"/>
        </w:rPr>
        <w:t>传真：</w:t>
      </w:r>
      <w:r>
        <w:rPr>
          <w:rFonts w:hint="eastAsia" w:ascii="仿宋" w:hAnsi="仿宋" w:eastAsia="仿宋"/>
          <w:sz w:val="24"/>
          <w:highlight w:val="none"/>
          <w:u w:val="single"/>
        </w:rPr>
        <w:t xml:space="preserve">          </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投标人名称:</w:t>
      </w:r>
      <w:r>
        <w:rPr>
          <w:rFonts w:hint="eastAsia" w:ascii="仿宋" w:hAnsi="仿宋" w:eastAsia="仿宋"/>
          <w:sz w:val="24"/>
          <w:highlight w:val="none"/>
          <w:u w:val="single"/>
        </w:rPr>
        <w:t xml:space="preserve">                </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开户银行：</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银行账号：</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 xml:space="preserve">法定代表人或者委托代理人签字:___________ </w:t>
      </w:r>
    </w:p>
    <w:p>
      <w:pPr>
        <w:pStyle w:val="24"/>
        <w:rPr>
          <w:rFonts w:hint="eastAsia"/>
          <w:b w:val="0"/>
          <w:highlight w:val="none"/>
          <w:u w:val="single"/>
        </w:rPr>
      </w:pPr>
      <w:r>
        <w:rPr>
          <w:rFonts w:hint="eastAsia"/>
          <w:highlight w:val="none"/>
        </w:rPr>
        <w:t xml:space="preserve"> </w:t>
      </w:r>
      <w:r>
        <w:rPr>
          <w:highlight w:val="none"/>
        </w:rPr>
        <w:t xml:space="preserve">                                 </w:t>
      </w:r>
      <w:r>
        <w:rPr>
          <w:b w:val="0"/>
          <w:highlight w:val="none"/>
        </w:rPr>
        <w:t xml:space="preserve">  </w:t>
      </w:r>
      <w:r>
        <w:rPr>
          <w:rFonts w:hint="eastAsia"/>
          <w:b w:val="0"/>
          <w:highlight w:val="none"/>
        </w:rPr>
        <w:t>投标人（盖公章）：</w:t>
      </w:r>
      <w:r>
        <w:rPr>
          <w:rFonts w:hint="eastAsia"/>
          <w:b w:val="0"/>
          <w:highlight w:val="none"/>
          <w:u w:val="single"/>
        </w:rPr>
        <w:t xml:space="preserve">                      </w:t>
      </w:r>
    </w:p>
    <w:p>
      <w:pPr>
        <w:pStyle w:val="24"/>
        <w:ind w:firstLine="480"/>
        <w:rPr>
          <w:rFonts w:hint="eastAsia"/>
          <w:b w:val="0"/>
          <w:highlight w:val="none"/>
        </w:rPr>
      </w:pPr>
      <w:r>
        <w:rPr>
          <w:rFonts w:hint="eastAsia"/>
          <w:b w:val="0"/>
          <w:highlight w:val="none"/>
        </w:rPr>
        <w:t xml:space="preserve">                                               </w:t>
      </w:r>
      <w:r>
        <w:rPr>
          <w:b w:val="0"/>
          <w:highlight w:val="none"/>
        </w:rPr>
        <w:t xml:space="preserve">    </w:t>
      </w:r>
      <w:r>
        <w:rPr>
          <w:rFonts w:hint="eastAsia"/>
          <w:b w:val="0"/>
          <w:highlight w:val="none"/>
        </w:rPr>
        <w:t xml:space="preserve"> </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日</w:t>
      </w:r>
    </w:p>
    <w:p>
      <w:pPr>
        <w:snapToGrid w:val="0"/>
        <w:spacing w:before="120" w:beforeLines="50" w:after="50" w:line="440" w:lineRule="exact"/>
        <w:jc w:val="left"/>
        <w:rPr>
          <w:rFonts w:hint="eastAsia" w:ascii="仿宋" w:hAnsi="仿宋" w:eastAsia="仿宋"/>
          <w:b/>
          <w:sz w:val="24"/>
          <w:szCs w:val="20"/>
          <w:highlight w:val="none"/>
        </w:rPr>
      </w:pPr>
      <w:r>
        <w:rPr>
          <w:rFonts w:hint="eastAsia" w:ascii="仿宋" w:hAnsi="仿宋" w:eastAsia="仿宋"/>
          <w:b/>
          <w:sz w:val="24"/>
          <w:highlight w:val="none"/>
        </w:rPr>
        <w:t>4. 开标一览表（货物类格式）</w:t>
      </w:r>
    </w:p>
    <w:p>
      <w:pPr>
        <w:snapToGrid w:val="0"/>
        <w:spacing w:before="50" w:after="50"/>
        <w:jc w:val="center"/>
        <w:rPr>
          <w:rFonts w:hint="eastAsia" w:ascii="仿宋" w:hAnsi="仿宋" w:eastAsia="仿宋"/>
          <w:b/>
          <w:sz w:val="30"/>
          <w:highlight w:val="none"/>
        </w:rPr>
      </w:pPr>
      <w:r>
        <w:rPr>
          <w:rFonts w:hint="eastAsia" w:ascii="仿宋" w:hAnsi="仿宋" w:eastAsia="仿宋"/>
          <w:b/>
          <w:sz w:val="30"/>
          <w:highlight w:val="none"/>
        </w:rPr>
        <w:t>开标一览表</w:t>
      </w:r>
    </w:p>
    <w:p>
      <w:pPr>
        <w:snapToGrid w:val="0"/>
        <w:spacing w:before="50" w:after="50"/>
        <w:jc w:val="center"/>
        <w:rPr>
          <w:rFonts w:hint="eastAsia" w:ascii="仿宋" w:hAnsi="仿宋" w:eastAsia="仿宋"/>
          <w:b/>
          <w:sz w:val="30"/>
          <w:szCs w:val="20"/>
          <w:highlight w:val="none"/>
        </w:rPr>
      </w:pPr>
    </w:p>
    <w:p>
      <w:pPr>
        <w:snapToGrid w:val="0"/>
        <w:spacing w:before="50" w:after="50" w:line="360" w:lineRule="auto"/>
        <w:rPr>
          <w:rFonts w:hint="eastAsia" w:ascii="仿宋" w:hAnsi="仿宋" w:eastAsia="仿宋"/>
          <w:sz w:val="24"/>
          <w:highlight w:val="none"/>
          <w:u w:val="single"/>
        </w:rPr>
      </w:pPr>
      <w:r>
        <w:rPr>
          <w:rFonts w:hint="eastAsia" w:ascii="仿宋" w:hAnsi="仿宋" w:eastAsia="仿宋"/>
          <w:sz w:val="24"/>
          <w:highlight w:val="none"/>
        </w:rPr>
        <w:t>项目名称：</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r>
        <w:rPr>
          <w:rFonts w:hint="eastAsia" w:ascii="仿宋" w:hAnsi="仿宋" w:eastAsia="仿宋"/>
          <w:sz w:val="24"/>
          <w:highlight w:val="none"/>
        </w:rPr>
        <w:t>项目编号：</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50" w:after="50" w:line="360" w:lineRule="auto"/>
        <w:rPr>
          <w:rFonts w:hint="eastAsia" w:ascii="仿宋" w:hAnsi="仿宋" w:eastAsia="仿宋"/>
          <w:sz w:val="24"/>
          <w:highlight w:val="none"/>
        </w:rPr>
      </w:pPr>
      <w:r>
        <w:rPr>
          <w:rFonts w:hint="eastAsia" w:ascii="仿宋" w:hAnsi="仿宋" w:eastAsia="仿宋"/>
          <w:sz w:val="24"/>
          <w:highlight w:val="none"/>
        </w:rPr>
        <w:t>投标人名称：</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z w:val="24"/>
          <w:highlight w:val="none"/>
        </w:rPr>
        <w:t>单位：元</w:t>
      </w:r>
    </w:p>
    <w:tbl>
      <w:tblPr>
        <w:tblStyle w:val="51"/>
        <w:tblW w:w="98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5"/>
        <w:gridCol w:w="1870"/>
        <w:gridCol w:w="1418"/>
        <w:gridCol w:w="850"/>
        <w:gridCol w:w="1418"/>
        <w:gridCol w:w="992"/>
        <w:gridCol w:w="1134"/>
        <w:gridCol w:w="16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序号</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标的名称</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品牌、生产厂家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产地</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规格、型号</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数量及单位①</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单价</w:t>
            </w:r>
          </w:p>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②</w:t>
            </w: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投标报价</w:t>
            </w:r>
          </w:p>
          <w:p>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③</w:t>
            </w:r>
            <w:r>
              <w:rPr>
                <w:rFonts w:hint="eastAsia" w:ascii="仿宋" w:hAnsi="仿宋" w:eastAsia="仿宋"/>
                <w:b/>
                <w:sz w:val="24"/>
                <w:highlight w:val="none"/>
              </w:rPr>
              <w:t>=①×②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1"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r>
              <w:rPr>
                <w:rFonts w:hint="eastAsia" w:ascii="仿宋" w:hAnsi="仿宋" w:eastAsia="仿宋"/>
                <w:sz w:val="24"/>
                <w:highlight w:val="none"/>
              </w:rPr>
              <w:t>1</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r>
              <w:rPr>
                <w:rFonts w:hint="eastAsia" w:ascii="仿宋" w:hAnsi="仿宋" w:eastAsia="仿宋"/>
                <w:sz w:val="24"/>
                <w:highlight w:val="none"/>
              </w:rPr>
              <w:t>2</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9854" w:type="dxa"/>
            <w:gridSpan w:val="8"/>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r>
              <w:rPr>
                <w:rFonts w:hint="eastAsia" w:ascii="仿宋" w:hAnsi="仿宋" w:eastAsia="仿宋" w:cs="仿宋_GB2312"/>
                <w:sz w:val="24"/>
                <w:highlight w:val="none"/>
              </w:rPr>
              <w:t>合计金额大写：人民币</w:t>
            </w:r>
            <w:r>
              <w:rPr>
                <w:rFonts w:hint="eastAsia" w:ascii="仿宋" w:hAnsi="仿宋" w:eastAsia="仿宋" w:cs="仿宋_GB2312"/>
                <w:sz w:val="24"/>
                <w:highlight w:val="none"/>
                <w:u w:val="single"/>
              </w:rPr>
              <w:t xml:space="preserve">        </w:t>
            </w:r>
            <w:r>
              <w:rPr>
                <w:rFonts w:ascii="仿宋" w:hAnsi="仿宋" w:eastAsia="仿宋" w:cs="仿宋_GB2312"/>
                <w:sz w:val="24"/>
                <w:highlight w:val="none"/>
                <w:u w:val="single"/>
              </w:rPr>
              <w:t xml:space="preserve">   </w:t>
            </w:r>
            <w:r>
              <w:rPr>
                <w:rFonts w:hint="eastAsia" w:ascii="仿宋" w:hAnsi="仿宋" w:eastAsia="仿宋" w:cs="仿宋_GB2312"/>
                <w:sz w:val="24"/>
                <w:highlight w:val="none"/>
                <w:u w:val="single"/>
              </w:rPr>
              <w:t xml:space="preserve">   </w:t>
            </w:r>
            <w:r>
              <w:rPr>
                <w:rFonts w:hint="eastAsia" w:ascii="仿宋" w:hAnsi="仿宋" w:eastAsia="仿宋" w:cs="仿宋_GB2312"/>
                <w:sz w:val="24"/>
                <w:highlight w:val="none"/>
              </w:rPr>
              <w:t>（</w:t>
            </w:r>
            <w:r>
              <w:rPr>
                <w:rFonts w:ascii="Calibri" w:hAnsi="Calibri" w:eastAsia="仿宋" w:cs="仿宋_GB2312"/>
                <w:sz w:val="24"/>
                <w:highlight w:val="none"/>
              </w:rPr>
              <w:t>¥</w:t>
            </w:r>
            <w:r>
              <w:rPr>
                <w:rFonts w:hint="eastAsia" w:ascii="仿宋" w:hAnsi="仿宋" w:eastAsia="仿宋" w:cs="仿宋_GB2312"/>
                <w:sz w:val="24"/>
                <w:highlight w:val="none"/>
                <w:u w:val="single"/>
              </w:rPr>
              <w:t xml:space="preserve">     </w:t>
            </w:r>
            <w:r>
              <w:rPr>
                <w:rFonts w:ascii="仿宋" w:hAnsi="仿宋" w:eastAsia="仿宋" w:cs="仿宋_GB2312"/>
                <w:sz w:val="24"/>
                <w:highlight w:val="none"/>
                <w:u w:val="single"/>
              </w:rPr>
              <w:t xml:space="preserve"> </w:t>
            </w:r>
            <w:r>
              <w:rPr>
                <w:rFonts w:hint="eastAsia" w:ascii="仿宋" w:hAnsi="仿宋" w:eastAsia="仿宋" w:cs="仿宋_GB2312"/>
                <w:sz w:val="24"/>
                <w:highlight w:val="none"/>
                <w:u w:val="single"/>
              </w:rPr>
              <w:t xml:space="preserve">      </w:t>
            </w:r>
            <w:r>
              <w:rPr>
                <w:rFonts w:hint="eastAsia" w:ascii="仿宋" w:hAnsi="仿宋" w:eastAsia="仿宋" w:cs="仿宋_GB2312"/>
                <w:sz w:val="24"/>
                <w:highlight w:val="none"/>
              </w:rPr>
              <w:t>）</w:t>
            </w:r>
          </w:p>
        </w:tc>
      </w:tr>
    </w:tbl>
    <w:p>
      <w:pPr>
        <w:snapToGrid w:val="0"/>
        <w:spacing w:before="50" w:after="50" w:line="360" w:lineRule="auto"/>
        <w:jc w:val="left"/>
        <w:rPr>
          <w:rFonts w:hint="eastAsia" w:ascii="仿宋" w:hAnsi="仿宋" w:eastAsia="仿宋"/>
          <w:sz w:val="24"/>
          <w:highlight w:val="none"/>
        </w:rPr>
      </w:pPr>
      <w:r>
        <w:rPr>
          <w:rFonts w:hint="eastAsia" w:ascii="仿宋" w:hAnsi="仿宋" w:eastAsia="仿宋"/>
          <w:sz w:val="24"/>
          <w:highlight w:val="none"/>
        </w:rPr>
        <w:t xml:space="preserve">注: </w:t>
      </w:r>
    </w:p>
    <w:p>
      <w:pPr>
        <w:snapToGrid w:val="0"/>
        <w:spacing w:before="50" w:after="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1.投标人的开标一览表必须加盖投标人公章并由</w:t>
      </w:r>
      <w:r>
        <w:rPr>
          <w:rFonts w:ascii="仿宋" w:hAnsi="仿宋" w:eastAsia="仿宋"/>
          <w:sz w:val="24"/>
          <w:highlight w:val="none"/>
        </w:rPr>
        <w:t>法定代表人或者委托代理人</w:t>
      </w:r>
      <w:r>
        <w:rPr>
          <w:rFonts w:hint="eastAsia" w:ascii="仿宋" w:hAnsi="仿宋" w:eastAsia="仿宋"/>
          <w:sz w:val="24"/>
          <w:highlight w:val="none"/>
        </w:rPr>
        <w:t>签字，</w:t>
      </w:r>
      <w:r>
        <w:rPr>
          <w:rFonts w:hint="eastAsia" w:ascii="仿宋" w:hAnsi="仿宋" w:eastAsia="仿宋"/>
          <w:b/>
          <w:sz w:val="24"/>
          <w:highlight w:val="none"/>
        </w:rPr>
        <w:t>否则其投标作无效标处理</w:t>
      </w:r>
      <w:r>
        <w:rPr>
          <w:rFonts w:hint="eastAsia" w:ascii="仿宋" w:hAnsi="仿宋" w:eastAsia="仿宋"/>
          <w:sz w:val="24"/>
          <w:highlight w:val="none"/>
        </w:rPr>
        <w:t>。</w:t>
      </w:r>
    </w:p>
    <w:p>
      <w:pPr>
        <w:snapToGrid w:val="0"/>
        <w:spacing w:before="50" w:after="50" w:line="360" w:lineRule="auto"/>
        <w:ind w:firstLine="480" w:firstLineChars="200"/>
        <w:jc w:val="left"/>
        <w:rPr>
          <w:rFonts w:hint="eastAsia" w:ascii="仿宋" w:hAnsi="仿宋" w:eastAsia="仿宋"/>
          <w:b/>
          <w:sz w:val="24"/>
          <w:highlight w:val="none"/>
        </w:rPr>
      </w:pPr>
      <w:r>
        <w:rPr>
          <w:rFonts w:hint="eastAsia" w:ascii="仿宋" w:hAnsi="仿宋" w:eastAsia="仿宋"/>
          <w:bCs/>
          <w:sz w:val="24"/>
          <w:highlight w:val="none"/>
        </w:rPr>
        <w:t>2.</w:t>
      </w:r>
      <w:r>
        <w:rPr>
          <w:rFonts w:hint="eastAsia" w:ascii="仿宋" w:hAnsi="仿宋" w:eastAsia="仿宋"/>
          <w:sz w:val="24"/>
          <w:highlight w:val="none"/>
        </w:rPr>
        <w:t>报价一经涂改，应在涂改处加盖投标人公章或者由法定代表人或者委托代理人签字或者盖章</w:t>
      </w:r>
      <w:r>
        <w:rPr>
          <w:rFonts w:hint="eastAsia" w:ascii="仿宋" w:hAnsi="仿宋" w:eastAsia="仿宋"/>
          <w:b/>
          <w:sz w:val="24"/>
          <w:highlight w:val="none"/>
        </w:rPr>
        <w:t>，否则其投标作无效标处理。</w:t>
      </w:r>
    </w:p>
    <w:p>
      <w:pPr>
        <w:snapToGrid w:val="0"/>
        <w:spacing w:before="50" w:after="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3.招标文件中列明采购专用耗材的，应按招标文件规定的耗材量或者按耗材的常规试用量提供报价。</w:t>
      </w:r>
    </w:p>
    <w:p>
      <w:pPr>
        <w:snapToGrid w:val="0"/>
        <w:spacing w:before="50" w:after="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4.如为联合体投标，“投标人名称”处必须列明联合体各方名称，并标注联合体牵头人名称，</w:t>
      </w:r>
      <w:r>
        <w:rPr>
          <w:rFonts w:hint="eastAsia" w:ascii="仿宋" w:hAnsi="仿宋" w:eastAsia="仿宋"/>
          <w:b/>
          <w:sz w:val="24"/>
          <w:highlight w:val="none"/>
        </w:rPr>
        <w:t>否则其投标作无效标处理。</w:t>
      </w:r>
    </w:p>
    <w:p>
      <w:pPr>
        <w:snapToGrid w:val="0"/>
        <w:spacing w:before="50" w:after="50" w:line="360" w:lineRule="auto"/>
        <w:ind w:firstLine="456" w:firstLineChars="200"/>
        <w:jc w:val="left"/>
        <w:rPr>
          <w:rFonts w:hint="eastAsia" w:ascii="仿宋" w:hAnsi="仿宋" w:eastAsia="仿宋"/>
          <w:spacing w:val="-6"/>
          <w:sz w:val="24"/>
          <w:highlight w:val="none"/>
        </w:rPr>
      </w:pPr>
      <w:r>
        <w:rPr>
          <w:rFonts w:hint="eastAsia" w:ascii="仿宋" w:hAnsi="仿宋" w:eastAsia="仿宋"/>
          <w:spacing w:val="-6"/>
          <w:sz w:val="24"/>
          <w:highlight w:val="none"/>
        </w:rPr>
        <w:t>5.如为联合体投标，盖章处须加盖联合体各方公章，</w:t>
      </w:r>
      <w:r>
        <w:rPr>
          <w:rFonts w:hint="eastAsia" w:ascii="仿宋" w:hAnsi="仿宋" w:eastAsia="仿宋"/>
          <w:b/>
          <w:spacing w:val="-6"/>
          <w:sz w:val="24"/>
          <w:highlight w:val="none"/>
        </w:rPr>
        <w:t>否则其投标作无效标处理。</w:t>
      </w:r>
    </w:p>
    <w:p>
      <w:pPr>
        <w:snapToGrid w:val="0"/>
        <w:spacing w:before="50" w:after="50" w:line="360" w:lineRule="auto"/>
        <w:ind w:firstLine="480" w:firstLineChars="200"/>
        <w:rPr>
          <w:rFonts w:hint="eastAsia" w:ascii="仿宋" w:hAnsi="仿宋" w:eastAsia="仿宋"/>
          <w:b/>
          <w:sz w:val="24"/>
          <w:highlight w:val="none"/>
        </w:rPr>
      </w:pPr>
      <w:r>
        <w:rPr>
          <w:rFonts w:hint="eastAsia" w:ascii="仿宋" w:hAnsi="仿宋" w:eastAsia="仿宋"/>
          <w:sz w:val="24"/>
          <w:highlight w:val="none"/>
        </w:rPr>
        <w:t>6.如有多</w:t>
      </w:r>
      <w:r>
        <w:rPr>
          <w:rFonts w:hint="eastAsia" w:ascii="仿宋" w:hAnsi="仿宋" w:eastAsia="仿宋" w:cs="宋体"/>
          <w:sz w:val="24"/>
          <w:highlight w:val="none"/>
        </w:rPr>
        <w:t>标项</w:t>
      </w:r>
      <w:r>
        <w:rPr>
          <w:rFonts w:hint="eastAsia" w:ascii="仿宋" w:hAnsi="仿宋" w:eastAsia="仿宋"/>
          <w:sz w:val="24"/>
          <w:highlight w:val="none"/>
        </w:rPr>
        <w:t>，按</w:t>
      </w:r>
      <w:r>
        <w:rPr>
          <w:rFonts w:hint="eastAsia" w:ascii="仿宋" w:hAnsi="仿宋" w:eastAsia="仿宋" w:cs="宋体"/>
          <w:sz w:val="24"/>
          <w:highlight w:val="none"/>
        </w:rPr>
        <w:t>标项</w:t>
      </w:r>
      <w:r>
        <w:rPr>
          <w:rFonts w:hint="eastAsia" w:ascii="仿宋" w:hAnsi="仿宋" w:eastAsia="仿宋"/>
          <w:sz w:val="24"/>
          <w:highlight w:val="none"/>
        </w:rPr>
        <w:t>分别提供开标一览表，</w:t>
      </w:r>
      <w:r>
        <w:rPr>
          <w:rFonts w:hint="eastAsia" w:ascii="仿宋" w:hAnsi="仿宋" w:eastAsia="仿宋"/>
          <w:b/>
          <w:sz w:val="24"/>
          <w:highlight w:val="none"/>
        </w:rPr>
        <w:t>否则投标无效。</w:t>
      </w:r>
    </w:p>
    <w:p>
      <w:pPr>
        <w:snapToGrid w:val="0"/>
        <w:spacing w:before="50" w:after="50" w:line="360" w:lineRule="auto"/>
        <w:ind w:firstLine="482" w:firstLineChars="200"/>
        <w:rPr>
          <w:rFonts w:hint="eastAsia" w:ascii="仿宋" w:hAnsi="仿宋" w:eastAsia="仿宋"/>
          <w:b/>
          <w:sz w:val="24"/>
          <w:highlight w:val="none"/>
        </w:rPr>
      </w:pPr>
    </w:p>
    <w:p>
      <w:pPr>
        <w:snapToGrid w:val="0"/>
        <w:spacing w:before="50" w:after="50" w:line="360" w:lineRule="auto"/>
        <w:ind w:left="-2" w:leftChars="-1" w:right="-817" w:rightChars="-389"/>
        <w:rPr>
          <w:rFonts w:hint="eastAsia" w:ascii="仿宋" w:hAnsi="仿宋" w:eastAsia="仿宋"/>
          <w:sz w:val="24"/>
          <w:highlight w:val="none"/>
        </w:rPr>
      </w:pPr>
      <w:r>
        <w:rPr>
          <w:rFonts w:hint="eastAsia" w:ascii="仿宋" w:hAnsi="仿宋" w:eastAsia="仿宋"/>
          <w:sz w:val="24"/>
          <w:highlight w:val="none"/>
        </w:rPr>
        <w:t>法定代表人或者委托代理人（签字）：</w:t>
      </w:r>
      <w:r>
        <w:rPr>
          <w:rFonts w:hint="eastAsia" w:ascii="仿宋" w:hAnsi="仿宋" w:eastAsia="仿宋"/>
          <w:sz w:val="24"/>
          <w:highlight w:val="none"/>
          <w:u w:val="single"/>
        </w:rPr>
        <w:t xml:space="preserve">                    </w:t>
      </w:r>
    </w:p>
    <w:p>
      <w:pPr>
        <w:snapToGrid w:val="0"/>
        <w:spacing w:before="50" w:after="50" w:line="360" w:lineRule="auto"/>
        <w:ind w:left="-3" w:leftChars="-15" w:right="-817" w:rightChars="-389" w:hanging="28" w:hangingChars="12"/>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p>
    <w:p>
      <w:pPr>
        <w:snapToGrid w:val="0"/>
        <w:spacing w:before="50" w:after="50" w:line="360" w:lineRule="auto"/>
        <w:ind w:left="-3" w:leftChars="-15" w:right="-817" w:rightChars="-389" w:hanging="28" w:hangingChars="12"/>
        <w:rPr>
          <w:rFonts w:hint="eastAsia" w:ascii="仿宋" w:hAnsi="仿宋" w:eastAsia="仿宋"/>
          <w:szCs w:val="21"/>
          <w:highlight w:val="none"/>
        </w:rPr>
      </w:pPr>
      <w:r>
        <w:rPr>
          <w:rFonts w:hint="eastAsia" w:ascii="仿宋" w:hAnsi="仿宋" w:eastAsia="仿宋"/>
          <w:sz w:val="24"/>
          <w:highlight w:val="none"/>
        </w:rPr>
        <w:t>日期：    年   月   日</w:t>
      </w:r>
    </w:p>
    <w:p>
      <w:pPr>
        <w:rPr>
          <w:rFonts w:hint="eastAsia" w:ascii="仿宋" w:hAnsi="仿宋" w:eastAsia="仿宋"/>
          <w:b/>
          <w:sz w:val="28"/>
          <w:szCs w:val="28"/>
          <w:highlight w:val="none"/>
        </w:rPr>
      </w:pPr>
      <w:r>
        <w:rPr>
          <w:rFonts w:ascii="仿宋" w:hAnsi="仿宋" w:eastAsia="仿宋"/>
          <w:b/>
          <w:bCs/>
          <w:sz w:val="24"/>
          <w:highlight w:val="none"/>
        </w:rPr>
        <w:br w:type="page"/>
      </w:r>
      <w:bookmarkStart w:id="203" w:name="_Toc19686837"/>
      <w:r>
        <w:rPr>
          <w:rFonts w:hint="eastAsia" w:ascii="仿宋" w:hAnsi="仿宋" w:eastAsia="仿宋"/>
          <w:b/>
          <w:sz w:val="28"/>
          <w:szCs w:val="28"/>
          <w:highlight w:val="none"/>
        </w:rPr>
        <w:t>二、资格证明文件格式</w:t>
      </w:r>
      <w:bookmarkEnd w:id="201"/>
      <w:bookmarkEnd w:id="202"/>
      <w:bookmarkEnd w:id="203"/>
    </w:p>
    <w:p>
      <w:pPr>
        <w:tabs>
          <w:tab w:val="left" w:pos="1815"/>
        </w:tabs>
        <w:snapToGrid w:val="0"/>
        <w:spacing w:before="120" w:beforeLines="50" w:after="50" w:line="360" w:lineRule="auto"/>
        <w:jc w:val="left"/>
        <w:rPr>
          <w:rFonts w:hint="eastAsia" w:ascii="仿宋" w:hAnsi="仿宋" w:eastAsia="仿宋"/>
          <w:b/>
          <w:sz w:val="24"/>
          <w:highlight w:val="none"/>
        </w:rPr>
      </w:pPr>
      <w:r>
        <w:rPr>
          <w:rFonts w:hint="eastAsia" w:ascii="仿宋" w:hAnsi="仿宋" w:eastAsia="仿宋"/>
          <w:b/>
          <w:sz w:val="24"/>
          <w:highlight w:val="none"/>
        </w:rPr>
        <w:t>1</w:t>
      </w:r>
      <w:r>
        <w:rPr>
          <w:rFonts w:ascii="仿宋" w:hAnsi="仿宋" w:eastAsia="仿宋"/>
          <w:b/>
          <w:sz w:val="24"/>
          <w:highlight w:val="none"/>
        </w:rPr>
        <w:t>.</w:t>
      </w:r>
      <w:r>
        <w:rPr>
          <w:rFonts w:hint="eastAsia" w:ascii="仿宋" w:hAnsi="仿宋" w:eastAsia="仿宋"/>
          <w:b/>
          <w:sz w:val="24"/>
          <w:highlight w:val="none"/>
        </w:rPr>
        <w:t xml:space="preserve">资格证明文件封面格式： </w:t>
      </w:r>
    </w:p>
    <w:p>
      <w:pPr>
        <w:snapToGrid w:val="0"/>
        <w:spacing w:before="120" w:beforeLines="50" w:after="50"/>
        <w:rPr>
          <w:rFonts w:hint="eastAsia" w:ascii="仿宋" w:hAnsi="仿宋" w:eastAsia="仿宋"/>
          <w:bCs/>
          <w:sz w:val="32"/>
          <w:szCs w:val="20"/>
          <w:highlight w:val="none"/>
        </w:rPr>
      </w:pPr>
      <w:r>
        <w:rPr>
          <w:rFonts w:hint="eastAsia" w:ascii="仿宋" w:hAnsi="仿宋" w:eastAsia="仿宋"/>
          <w:sz w:val="24"/>
          <w:highlight w:val="none"/>
        </w:rPr>
        <w:t xml:space="preserve">                                                   </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b/>
          <w:sz w:val="24"/>
          <w:szCs w:val="20"/>
          <w:highlight w:val="none"/>
        </w:rPr>
      </w:pPr>
      <w:r>
        <w:rPr>
          <w:rFonts w:hint="eastAsia" w:ascii="仿宋" w:hAnsi="仿宋" w:eastAsia="仿宋"/>
          <w:b/>
          <w:sz w:val="32"/>
          <w:szCs w:val="32"/>
          <w:highlight w:val="none"/>
        </w:rPr>
        <w:t>资 格 证 明 文 件</w:t>
      </w: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项目名称：</w:t>
      </w:r>
    </w:p>
    <w:p>
      <w:pPr>
        <w:snapToGrid w:val="0"/>
        <w:spacing w:before="120" w:beforeLines="50" w:after="50"/>
        <w:ind w:firstLine="540" w:firstLineChars="225"/>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项目编号：</w:t>
      </w:r>
    </w:p>
    <w:p>
      <w:pPr>
        <w:snapToGrid w:val="0"/>
        <w:spacing w:before="120" w:beforeLines="50" w:after="50"/>
        <w:ind w:firstLine="540" w:firstLineChars="225"/>
        <w:rPr>
          <w:rFonts w:hint="eastAsia" w:ascii="仿宋" w:hAnsi="仿宋" w:eastAsia="仿宋"/>
          <w:bCs/>
          <w:sz w:val="24"/>
          <w:szCs w:val="20"/>
          <w:highlight w:val="none"/>
        </w:rPr>
      </w:pPr>
      <w:r>
        <w:rPr>
          <w:rFonts w:hint="eastAsia" w:ascii="仿宋" w:hAnsi="仿宋" w:eastAsia="仿宋"/>
          <w:bCs/>
          <w:sz w:val="24"/>
          <w:highlight w:val="none"/>
        </w:rPr>
        <w:t xml:space="preserve"> </w:t>
      </w:r>
    </w:p>
    <w:p>
      <w:pPr>
        <w:snapToGrid w:val="0"/>
        <w:spacing w:before="120" w:beforeLines="50" w:after="50"/>
        <w:ind w:firstLine="540" w:firstLineChars="225"/>
        <w:rPr>
          <w:rFonts w:hint="eastAsia" w:ascii="仿宋" w:hAnsi="仿宋" w:eastAsia="仿宋" w:cs="宋体"/>
          <w:sz w:val="24"/>
          <w:highlight w:val="none"/>
        </w:rPr>
      </w:pPr>
      <w:r>
        <w:rPr>
          <w:rFonts w:hint="eastAsia" w:ascii="仿宋" w:hAnsi="仿宋" w:eastAsia="仿宋" w:cs="宋体"/>
          <w:sz w:val="24"/>
          <w:highlight w:val="none"/>
        </w:rPr>
        <w:t>投标人名称：</w:t>
      </w:r>
    </w:p>
    <w:p>
      <w:pPr>
        <w:pStyle w:val="7"/>
        <w:rPr>
          <w:highlight w:val="none"/>
        </w:rPr>
      </w:pPr>
    </w:p>
    <w:p>
      <w:pPr>
        <w:pStyle w:val="7"/>
        <w:rPr>
          <w:highlight w:val="none"/>
        </w:rPr>
      </w:pPr>
    </w:p>
    <w:p>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 xml:space="preserve">年   </w:t>
      </w:r>
      <w:r>
        <w:rPr>
          <w:rFonts w:ascii="仿宋" w:hAnsi="仿宋" w:eastAsia="仿宋"/>
          <w:sz w:val="24"/>
          <w:highlight w:val="none"/>
        </w:rPr>
        <w:t xml:space="preserve"> </w:t>
      </w:r>
      <w:r>
        <w:rPr>
          <w:rFonts w:hint="eastAsia" w:ascii="仿宋" w:hAnsi="仿宋" w:eastAsia="仿宋"/>
          <w:sz w:val="24"/>
          <w:highlight w:val="none"/>
        </w:rPr>
        <w:t xml:space="preserve">月 </w:t>
      </w:r>
      <w:r>
        <w:rPr>
          <w:rFonts w:ascii="仿宋" w:hAnsi="仿宋" w:eastAsia="仿宋"/>
          <w:sz w:val="24"/>
          <w:highlight w:val="none"/>
        </w:rPr>
        <w:t xml:space="preserve"> </w:t>
      </w:r>
      <w:r>
        <w:rPr>
          <w:rFonts w:hint="eastAsia" w:ascii="仿宋" w:hAnsi="仿宋" w:eastAsia="仿宋"/>
          <w:sz w:val="24"/>
          <w:highlight w:val="none"/>
        </w:rPr>
        <w:t xml:space="preserve"> 日</w:t>
      </w:r>
    </w:p>
    <w:p>
      <w:pPr>
        <w:snapToGrid w:val="0"/>
        <w:spacing w:before="120" w:beforeLines="50" w:after="50"/>
        <w:rPr>
          <w:rFonts w:hint="eastAsia" w:ascii="仿宋" w:hAnsi="仿宋" w:eastAsia="仿宋"/>
          <w:sz w:val="24"/>
          <w:szCs w:val="20"/>
          <w:highlight w:val="none"/>
        </w:rPr>
      </w:pPr>
      <w:r>
        <w:rPr>
          <w:rFonts w:ascii="仿宋" w:hAnsi="仿宋" w:eastAsia="仿宋"/>
          <w:sz w:val="24"/>
          <w:szCs w:val="20"/>
          <w:highlight w:val="none"/>
        </w:rPr>
        <w:t xml:space="preserve"> </w:t>
      </w:r>
    </w:p>
    <w:p>
      <w:pPr>
        <w:snapToGrid w:val="0"/>
        <w:spacing w:before="120" w:beforeLines="50" w:after="50"/>
        <w:rPr>
          <w:rFonts w:hint="eastAsia" w:ascii="仿宋" w:hAnsi="仿宋" w:eastAsia="仿宋"/>
          <w:sz w:val="24"/>
          <w:szCs w:val="20"/>
          <w:highlight w:val="none"/>
        </w:rPr>
      </w:pPr>
    </w:p>
    <w:p>
      <w:pPr>
        <w:numPr>
          <w:ilvl w:val="2"/>
          <w:numId w:val="6"/>
        </w:numPr>
        <w:snapToGrid w:val="0"/>
        <w:spacing w:before="120" w:beforeLines="50" w:after="50" w:line="360" w:lineRule="auto"/>
        <w:ind w:left="0" w:firstLine="0"/>
        <w:jc w:val="left"/>
        <w:rPr>
          <w:rFonts w:hint="eastAsia" w:ascii="仿宋" w:hAnsi="仿宋" w:eastAsia="仿宋"/>
          <w:sz w:val="24"/>
          <w:szCs w:val="20"/>
          <w:highlight w:val="none"/>
        </w:rPr>
      </w:pPr>
      <w:r>
        <w:rPr>
          <w:rFonts w:ascii="仿宋" w:hAnsi="仿宋" w:eastAsia="仿宋"/>
          <w:b/>
          <w:bCs/>
          <w:sz w:val="24"/>
          <w:highlight w:val="none"/>
        </w:rPr>
        <w:br w:type="page"/>
      </w:r>
      <w:r>
        <w:rPr>
          <w:rFonts w:hint="eastAsia" w:ascii="仿宋" w:hAnsi="仿宋" w:eastAsia="仿宋"/>
          <w:b/>
          <w:bCs/>
          <w:sz w:val="24"/>
          <w:highlight w:val="none"/>
        </w:rPr>
        <w:t>资格证明文件目录</w:t>
      </w:r>
    </w:p>
    <w:p>
      <w:pPr>
        <w:snapToGrid w:val="0"/>
        <w:spacing w:line="360" w:lineRule="auto"/>
        <w:ind w:firstLine="420" w:firstLineChars="200"/>
        <w:jc w:val="left"/>
        <w:rPr>
          <w:rFonts w:hint="eastAsia" w:ascii="仿宋" w:hAnsi="仿宋" w:eastAsia="仿宋"/>
          <w:szCs w:val="21"/>
          <w:highlight w:val="none"/>
        </w:rPr>
      </w:pPr>
      <w:r>
        <w:rPr>
          <w:rFonts w:hint="eastAsia" w:ascii="仿宋" w:hAnsi="仿宋" w:eastAsia="仿宋"/>
          <w:szCs w:val="21"/>
          <w:highlight w:val="none"/>
        </w:rPr>
        <w:t>根据招标文件规定及投标人提供的材料自行编写目录。</w:t>
      </w:r>
    </w:p>
    <w:p>
      <w:pPr>
        <w:snapToGrid w:val="0"/>
        <w:spacing w:before="50" w:after="120" w:afterLines="50"/>
        <w:jc w:val="left"/>
        <w:rPr>
          <w:rFonts w:hint="eastAsia" w:ascii="仿宋" w:hAnsi="仿宋" w:eastAsia="仿宋"/>
          <w:sz w:val="24"/>
          <w:highlight w:val="none"/>
        </w:rPr>
      </w:pPr>
    </w:p>
    <w:p>
      <w:pPr>
        <w:snapToGrid w:val="0"/>
        <w:spacing w:before="50" w:after="120" w:afterLines="50"/>
        <w:jc w:val="left"/>
        <w:rPr>
          <w:rFonts w:hint="eastAsia" w:ascii="仿宋" w:hAnsi="仿宋" w:eastAsia="仿宋"/>
          <w:sz w:val="24"/>
          <w:highlight w:val="none"/>
        </w:rPr>
      </w:pPr>
    </w:p>
    <w:p>
      <w:pPr>
        <w:numPr>
          <w:ilvl w:val="2"/>
          <w:numId w:val="6"/>
        </w:numPr>
        <w:snapToGrid w:val="0"/>
        <w:spacing w:before="120" w:beforeLines="50" w:after="50"/>
        <w:ind w:left="0" w:firstLine="0"/>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投标人直接控股、管理关系信息表</w:t>
      </w:r>
    </w:p>
    <w:p>
      <w:pPr>
        <w:snapToGrid w:val="0"/>
        <w:spacing w:before="50" w:after="120" w:afterLines="50"/>
        <w:jc w:val="center"/>
        <w:rPr>
          <w:rFonts w:hint="eastAsia" w:ascii="仿宋" w:hAnsi="仿宋" w:eastAsia="仿宋"/>
          <w:b/>
          <w:sz w:val="28"/>
          <w:szCs w:val="28"/>
          <w:highlight w:val="none"/>
        </w:rPr>
      </w:pPr>
    </w:p>
    <w:p>
      <w:pPr>
        <w:snapToGrid w:val="0"/>
        <w:spacing w:before="50" w:after="120" w:afterLines="50" w:line="360" w:lineRule="auto"/>
        <w:jc w:val="center"/>
        <w:rPr>
          <w:rFonts w:hint="eastAsia" w:ascii="仿宋" w:hAnsi="仿宋" w:eastAsia="仿宋"/>
          <w:b/>
          <w:sz w:val="32"/>
          <w:szCs w:val="32"/>
          <w:highlight w:val="none"/>
        </w:rPr>
      </w:pPr>
      <w:r>
        <w:rPr>
          <w:rFonts w:hint="eastAsia" w:ascii="仿宋" w:hAnsi="仿宋" w:eastAsia="仿宋"/>
          <w:b/>
          <w:sz w:val="32"/>
          <w:szCs w:val="32"/>
          <w:highlight w:val="none"/>
        </w:rPr>
        <w:t>投标人直接控股股东信息表</w:t>
      </w:r>
    </w:p>
    <w:tbl>
      <w:tblPr>
        <w:tblStyle w:val="51"/>
        <w:tblW w:w="9476" w:type="dxa"/>
        <w:jc w:val="center"/>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Layout w:type="fixed"/>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备注</w:t>
            </w:r>
          </w:p>
        </w:tc>
      </w:tr>
      <w:tr>
        <w:tblPrEx>
          <w:shd w:val="clear" w:color="auto" w:fill="FBFBFB"/>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bl>
    <w:p>
      <w:pPr>
        <w:snapToGrid w:val="0"/>
        <w:spacing w:before="120" w:beforeLines="50" w:line="360" w:lineRule="auto"/>
        <w:jc w:val="left"/>
        <w:rPr>
          <w:rFonts w:hint="eastAsia" w:ascii="仿宋" w:hAnsi="仿宋" w:eastAsia="仿宋"/>
          <w:sz w:val="24"/>
          <w:highlight w:val="none"/>
        </w:rPr>
      </w:pPr>
      <w:r>
        <w:rPr>
          <w:rFonts w:hint="eastAsia" w:ascii="仿宋" w:hAnsi="仿宋" w:eastAsia="仿宋"/>
          <w:sz w:val="24"/>
          <w:highlight w:val="none"/>
        </w:rPr>
        <w:t>注：</w:t>
      </w:r>
    </w:p>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2.本表所指的控股关系仅限于直接控股关系，不包括间接的控股关系。公司实际控制人与公司之间的关系不属于本表所指的直接控股关系。</w:t>
      </w:r>
    </w:p>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3.供应商不存在直接控股股东的，则填“无”。</w:t>
      </w: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before="120" w:beforeLines="50" w:line="360" w:lineRule="auto"/>
        <w:ind w:right="480" w:firstLine="3967" w:firstLineChars="1653"/>
        <w:rPr>
          <w:rFonts w:hint="eastAsia" w:ascii="仿宋" w:hAnsi="仿宋" w:eastAsia="仿宋"/>
          <w:sz w:val="24"/>
          <w:highlight w:val="none"/>
          <w:u w:val="single"/>
        </w:rPr>
      </w:pPr>
      <w:r>
        <w:rPr>
          <w:rFonts w:hint="eastAsia" w:ascii="仿宋" w:hAnsi="仿宋" w:eastAsia="仿宋"/>
          <w:sz w:val="24"/>
          <w:highlight w:val="none"/>
        </w:rPr>
        <w:t>法定代表人或者委托代理人（签字）：</w:t>
      </w:r>
      <w:r>
        <w:rPr>
          <w:rFonts w:hint="eastAsia" w:ascii="仿宋" w:hAnsi="仿宋" w:eastAsia="仿宋"/>
          <w:sz w:val="24"/>
          <w:highlight w:val="none"/>
          <w:u w:val="single"/>
        </w:rPr>
        <w:t xml:space="preserve">             </w:t>
      </w:r>
    </w:p>
    <w:p>
      <w:pPr>
        <w:snapToGrid w:val="0"/>
        <w:spacing w:before="120" w:beforeLines="50" w:after="50" w:line="360" w:lineRule="auto"/>
        <w:ind w:right="480" w:firstLine="5520" w:firstLineChars="2300"/>
        <w:rPr>
          <w:rFonts w:hint="eastAsia" w:ascii="仿宋" w:hAnsi="仿宋" w:eastAsia="仿宋"/>
          <w:sz w:val="24"/>
          <w:highlight w:val="none"/>
          <w:u w:val="singl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p>
    <w:p>
      <w:pPr>
        <w:snapToGrid w:val="0"/>
        <w:spacing w:before="120" w:beforeLines="50" w:after="50" w:line="360" w:lineRule="auto"/>
        <w:ind w:right="480" w:firstLine="5520" w:firstLineChars="2300"/>
        <w:rPr>
          <w:rFonts w:hint="eastAsia" w:ascii="仿宋" w:hAnsi="仿宋" w:eastAsia="仿宋"/>
          <w:szCs w:val="21"/>
          <w:highlight w:val="none"/>
        </w:rPr>
      </w:pPr>
      <w:r>
        <w:rPr>
          <w:rFonts w:hint="eastAsia" w:ascii="仿宋" w:hAnsi="仿宋" w:eastAsia="仿宋"/>
          <w:sz w:val="24"/>
          <w:highlight w:val="none"/>
        </w:rPr>
        <w:t>年    月    日</w:t>
      </w:r>
    </w:p>
    <w:p>
      <w:pPr>
        <w:snapToGrid w:val="0"/>
        <w:spacing w:line="360" w:lineRule="auto"/>
        <w:jc w:val="center"/>
        <w:rPr>
          <w:rFonts w:hint="eastAsia" w:ascii="仿宋" w:hAnsi="仿宋" w:eastAsia="仿宋"/>
          <w:sz w:val="32"/>
          <w:szCs w:val="32"/>
          <w:highlight w:val="none"/>
        </w:rPr>
      </w:pPr>
      <w:r>
        <w:rPr>
          <w:rFonts w:ascii="仿宋" w:hAnsi="仿宋" w:eastAsia="仿宋"/>
          <w:b/>
          <w:sz w:val="32"/>
          <w:szCs w:val="32"/>
          <w:highlight w:val="none"/>
        </w:rPr>
        <w:br w:type="page"/>
      </w:r>
      <w:r>
        <w:rPr>
          <w:rFonts w:hint="eastAsia" w:ascii="仿宋" w:hAnsi="仿宋" w:eastAsia="仿宋"/>
          <w:b/>
          <w:sz w:val="32"/>
          <w:szCs w:val="32"/>
          <w:highlight w:val="none"/>
        </w:rPr>
        <w:t>投标人直接管理关系信息表</w:t>
      </w:r>
    </w:p>
    <w:tbl>
      <w:tblPr>
        <w:tblStyle w:val="51"/>
        <w:tblW w:w="9652" w:type="dxa"/>
        <w:jc w:val="center"/>
        <w:tblInd w:w="0" w:type="dxa"/>
        <w:tblLayout w:type="fixed"/>
        <w:tblCellMar>
          <w:top w:w="0" w:type="dxa"/>
          <w:left w:w="0" w:type="dxa"/>
          <w:bottom w:w="0" w:type="dxa"/>
          <w:right w:w="0" w:type="dxa"/>
        </w:tblCellMar>
      </w:tblPr>
      <w:tblGrid>
        <w:gridCol w:w="1005"/>
        <w:gridCol w:w="2659"/>
        <w:gridCol w:w="3924"/>
        <w:gridCol w:w="2064"/>
      </w:tblGrid>
      <w:tr>
        <w:tblPrEx>
          <w:tblLayout w:type="fixed"/>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备注</w:t>
            </w: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bl>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注：</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2.</w:t>
      </w:r>
      <w:r>
        <w:rPr>
          <w:rFonts w:hint="eastAsia" w:ascii="仿宋" w:hAnsi="仿宋" w:eastAsia="仿宋"/>
          <w:spacing w:val="-6"/>
          <w:sz w:val="24"/>
          <w:highlight w:val="none"/>
        </w:rPr>
        <w:t>本表所指的管理关系仅限于直接管理关系，不包括间接的管理关系。</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3.供应商不存在直接管理关系的，则填“无”。</w:t>
      </w: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before="120" w:beforeLines="50" w:line="360" w:lineRule="auto"/>
        <w:ind w:right="480" w:firstLine="3967" w:firstLineChars="1653"/>
        <w:rPr>
          <w:rFonts w:hint="eastAsia" w:ascii="仿宋" w:hAnsi="仿宋" w:eastAsia="仿宋"/>
          <w:sz w:val="24"/>
          <w:highlight w:val="none"/>
          <w:u w:val="single"/>
        </w:rPr>
      </w:pPr>
      <w:r>
        <w:rPr>
          <w:rFonts w:hint="eastAsia" w:ascii="仿宋" w:hAnsi="仿宋" w:eastAsia="仿宋"/>
          <w:sz w:val="24"/>
          <w:highlight w:val="none"/>
        </w:rPr>
        <w:t>法定代表人或者委托代理人（签字）：</w:t>
      </w:r>
      <w:r>
        <w:rPr>
          <w:rFonts w:hint="eastAsia" w:ascii="仿宋" w:hAnsi="仿宋" w:eastAsia="仿宋"/>
          <w:sz w:val="24"/>
          <w:highlight w:val="none"/>
          <w:u w:val="single"/>
        </w:rPr>
        <w:t xml:space="preserve">             </w:t>
      </w:r>
    </w:p>
    <w:p>
      <w:pPr>
        <w:snapToGrid w:val="0"/>
        <w:spacing w:before="120" w:beforeLines="50" w:after="50" w:line="360" w:lineRule="auto"/>
        <w:ind w:right="480" w:firstLine="5520" w:firstLineChars="2300"/>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p>
    <w:p>
      <w:pPr>
        <w:snapToGrid w:val="0"/>
        <w:spacing w:before="120" w:beforeLines="50" w:after="50" w:line="360" w:lineRule="auto"/>
        <w:ind w:right="480" w:firstLine="240" w:firstLineChars="100"/>
        <w:jc w:val="right"/>
        <w:rPr>
          <w:rFonts w:hint="eastAsia" w:ascii="仿宋" w:hAnsi="仿宋" w:eastAsia="仿宋"/>
          <w:sz w:val="24"/>
          <w:highlight w:val="none"/>
        </w:rPr>
      </w:pPr>
      <w:r>
        <w:rPr>
          <w:rFonts w:hint="eastAsia" w:ascii="仿宋" w:hAnsi="仿宋" w:eastAsia="仿宋"/>
          <w:sz w:val="24"/>
          <w:highlight w:val="none"/>
        </w:rPr>
        <w:t xml:space="preserve"> 年    月    日</w:t>
      </w:r>
    </w:p>
    <w:p>
      <w:pPr>
        <w:snapToGrid w:val="0"/>
        <w:spacing w:before="50" w:after="120" w:afterLines="50"/>
        <w:jc w:val="left"/>
        <w:rPr>
          <w:rFonts w:hint="eastAsia" w:ascii="仿宋" w:hAnsi="仿宋" w:eastAsia="仿宋"/>
          <w:szCs w:val="21"/>
          <w:highlight w:val="none"/>
        </w:rPr>
      </w:pPr>
    </w:p>
    <w:p>
      <w:pPr>
        <w:numPr>
          <w:ilvl w:val="2"/>
          <w:numId w:val="6"/>
        </w:numPr>
        <w:snapToGrid w:val="0"/>
        <w:spacing w:before="120" w:beforeLines="50" w:after="50"/>
        <w:ind w:left="0" w:firstLine="0"/>
        <w:jc w:val="left"/>
        <w:rPr>
          <w:rFonts w:hint="eastAsia" w:ascii="仿宋" w:hAnsi="仿宋" w:eastAsia="仿宋"/>
          <w:b/>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投标声明格式</w:t>
      </w:r>
    </w:p>
    <w:p>
      <w:pPr>
        <w:snapToGrid w:val="0"/>
        <w:spacing w:before="50" w:after="120" w:afterLines="50"/>
        <w:jc w:val="left"/>
        <w:rPr>
          <w:rFonts w:hint="eastAsia" w:ascii="仿宋" w:hAnsi="仿宋" w:eastAsia="仿宋"/>
          <w:highlight w:val="none"/>
        </w:rPr>
      </w:pPr>
    </w:p>
    <w:p>
      <w:pPr>
        <w:snapToGrid w:val="0"/>
        <w:spacing w:before="50" w:after="120" w:afterLines="50"/>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投标声明</w:t>
      </w:r>
    </w:p>
    <w:p>
      <w:pPr>
        <w:snapToGrid w:val="0"/>
        <w:spacing w:before="50" w:after="120" w:afterLines="50"/>
        <w:jc w:val="center"/>
        <w:rPr>
          <w:rFonts w:hint="eastAsia" w:ascii="仿宋" w:hAnsi="仿宋" w:eastAsia="仿宋" w:cs="方正小标宋简体"/>
          <w:bCs/>
          <w:sz w:val="44"/>
          <w:szCs w:val="44"/>
          <w:highlight w:val="none"/>
        </w:rPr>
      </w:pP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（采购人名称）：</w:t>
      </w:r>
    </w:p>
    <w:p>
      <w:pPr>
        <w:spacing w:line="400" w:lineRule="exact"/>
        <w:ind w:firstLine="523" w:firstLineChars="218"/>
        <w:contextualSpacing/>
        <w:jc w:val="left"/>
        <w:rPr>
          <w:rFonts w:hint="eastAsia" w:ascii="仿宋" w:hAnsi="仿宋" w:eastAsia="仿宋"/>
          <w:sz w:val="24"/>
          <w:highlight w:val="none"/>
        </w:rPr>
      </w:pPr>
      <w:r>
        <w:rPr>
          <w:rFonts w:hint="eastAsia" w:ascii="仿宋" w:hAnsi="仿宋" w:eastAsia="仿宋"/>
          <w:sz w:val="24"/>
          <w:highlight w:val="none"/>
        </w:rPr>
        <w:t>我方参加贵单位组织</w:t>
      </w:r>
      <w:r>
        <w:rPr>
          <w:rFonts w:hint="eastAsia" w:ascii="仿宋" w:hAnsi="仿宋" w:eastAsia="仿宋"/>
          <w:sz w:val="24"/>
          <w:highlight w:val="none"/>
          <w:u w:val="single"/>
        </w:rPr>
        <w:t xml:space="preserve">             </w:t>
      </w:r>
      <w:r>
        <w:rPr>
          <w:rFonts w:hint="eastAsia" w:ascii="仿宋" w:hAnsi="仿宋" w:eastAsia="仿宋"/>
          <w:sz w:val="24"/>
          <w:highlight w:val="none"/>
        </w:rPr>
        <w:t>项目（项目编号：</w:t>
      </w:r>
      <w:r>
        <w:rPr>
          <w:rFonts w:hint="eastAsia" w:ascii="仿宋" w:hAnsi="仿宋" w:eastAsia="仿宋"/>
          <w:sz w:val="24"/>
          <w:highlight w:val="none"/>
          <w:u w:val="single"/>
        </w:rPr>
        <w:t xml:space="preserve">       </w:t>
      </w:r>
      <w:r>
        <w:rPr>
          <w:rFonts w:hint="eastAsia" w:ascii="仿宋" w:hAnsi="仿宋" w:eastAsia="仿宋"/>
          <w:sz w:val="24"/>
          <w:highlight w:val="none"/>
        </w:rPr>
        <w:t>）的政府采购活动。我方在此郑重声明：</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2.我方不是为本次采购项目提供整体设计、规范编制或者项目管理、监理、检测等服务的供应商。</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3. 我方承诺符合《中华人民共和国政府采购法》第二十二条规定：</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（一）具有独立承担民事责任的能力；</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（二）具有良好的商业信誉和健全的财务会计制度；</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（三）具有履行合同所必需的设备和专业技术能力；</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（四）有依法缴纳税收和社会保障资金的良好记录；</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（五）参加政府采购活动前三年内，在经营活动中没有重大违法记录；</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（六）法律、行政法规规定的其他条件。</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4.以上事项如有虚假或者隐瞒，我方愿意承担一切后果，并不再寻求任何旨在减轻或者免除法律责任的辩解。</w:t>
      </w: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特此承诺。</w:t>
      </w:r>
    </w:p>
    <w:p>
      <w:pPr>
        <w:spacing w:line="400" w:lineRule="exact"/>
        <w:ind w:firstLine="495"/>
        <w:contextualSpacing/>
        <w:jc w:val="left"/>
        <w:rPr>
          <w:rFonts w:hint="eastAsia" w:ascii="仿宋" w:hAnsi="仿宋" w:eastAsia="仿宋"/>
          <w:b/>
          <w:sz w:val="24"/>
          <w:highlight w:val="none"/>
        </w:rPr>
      </w:pPr>
      <w:r>
        <w:rPr>
          <w:rFonts w:hint="eastAsia" w:ascii="仿宋" w:hAnsi="仿宋" w:eastAsia="仿宋"/>
          <w:b/>
          <w:sz w:val="24"/>
          <w:highlight w:val="none"/>
        </w:rPr>
        <w:t>注：如为联合体投标，盖章处须加盖联合体各方公章并由联合体各方法定代表人分别签字，否则投标无效。</w:t>
      </w:r>
    </w:p>
    <w:p>
      <w:pPr>
        <w:spacing w:line="400" w:lineRule="exact"/>
        <w:ind w:firstLine="495"/>
        <w:contextualSpacing/>
        <w:jc w:val="left"/>
        <w:rPr>
          <w:rFonts w:hint="eastAsia" w:ascii="仿宋" w:hAnsi="仿宋" w:eastAsia="仿宋"/>
          <w:b/>
          <w:sz w:val="24"/>
          <w:highlight w:val="none"/>
        </w:rPr>
      </w:pPr>
    </w:p>
    <w:p>
      <w:pPr>
        <w:spacing w:line="400" w:lineRule="exact"/>
        <w:ind w:firstLine="495"/>
        <w:contextualSpacing/>
        <w:jc w:val="left"/>
        <w:rPr>
          <w:rFonts w:hint="eastAsia" w:ascii="仿宋" w:hAnsi="仿宋" w:eastAsia="仿宋"/>
          <w:b/>
          <w:sz w:val="24"/>
          <w:highlight w:val="none"/>
        </w:rPr>
      </w:pPr>
    </w:p>
    <w:p>
      <w:pPr>
        <w:spacing w:line="400" w:lineRule="exact"/>
        <w:ind w:firstLine="495"/>
        <w:contextualSpacing/>
        <w:jc w:val="left"/>
        <w:rPr>
          <w:rFonts w:hint="eastAsia" w:ascii="仿宋" w:hAnsi="仿宋" w:eastAsia="仿宋"/>
          <w:b/>
          <w:sz w:val="24"/>
          <w:highlight w:val="none"/>
        </w:rPr>
      </w:pP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法定代表人（签字或者盖章）：</w:t>
      </w:r>
      <w:r>
        <w:rPr>
          <w:rFonts w:hint="eastAsia" w:ascii="仿宋" w:hAnsi="仿宋" w:eastAsia="仿宋"/>
          <w:sz w:val="24"/>
          <w:highlight w:val="none"/>
          <w:u w:val="single"/>
        </w:rPr>
        <w:t xml:space="preserve">             </w:t>
      </w: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投标人（盖公章）：</w:t>
      </w:r>
      <w:r>
        <w:rPr>
          <w:rFonts w:hint="eastAsia" w:ascii="仿宋" w:hAnsi="仿宋" w:eastAsia="仿宋"/>
          <w:sz w:val="24"/>
          <w:highlight w:val="none"/>
          <w:u w:val="single"/>
        </w:rPr>
        <w:t xml:space="preserve">                 </w:t>
      </w:r>
    </w:p>
    <w:p>
      <w:pPr>
        <w:spacing w:line="400" w:lineRule="exact"/>
        <w:contextualSpacing/>
        <w:jc w:val="left"/>
        <w:rPr>
          <w:rFonts w:hint="eastAsia" w:ascii="仿宋" w:hAnsi="仿宋" w:eastAsia="仿宋"/>
          <w:highlight w:val="none"/>
        </w:rPr>
      </w:pPr>
      <w:r>
        <w:rPr>
          <w:rFonts w:hint="eastAsia" w:ascii="仿宋" w:hAnsi="仿宋" w:eastAsia="仿宋"/>
          <w:sz w:val="24"/>
          <w:highlight w:val="none"/>
        </w:rPr>
        <w:t xml:space="preserve">                                                   年    月    日</w:t>
      </w:r>
    </w:p>
    <w:p>
      <w:pPr>
        <w:rPr>
          <w:rFonts w:hint="eastAsia" w:ascii="仿宋" w:hAnsi="仿宋" w:eastAsia="仿宋"/>
          <w:b/>
          <w:sz w:val="28"/>
          <w:szCs w:val="28"/>
          <w:highlight w:val="none"/>
        </w:rPr>
      </w:pPr>
      <w:bookmarkStart w:id="204" w:name="_Toc19686838"/>
      <w:r>
        <w:rPr>
          <w:rFonts w:ascii="仿宋" w:hAnsi="仿宋" w:eastAsia="仿宋"/>
          <w:b/>
          <w:sz w:val="28"/>
          <w:szCs w:val="28"/>
          <w:highlight w:val="none"/>
        </w:rPr>
        <w:br w:type="page"/>
      </w:r>
      <w:r>
        <w:rPr>
          <w:rFonts w:hint="eastAsia" w:ascii="仿宋" w:hAnsi="仿宋" w:eastAsia="仿宋"/>
          <w:b/>
          <w:sz w:val="28"/>
          <w:szCs w:val="28"/>
          <w:highlight w:val="none"/>
        </w:rPr>
        <w:t>三、商务文件格式</w:t>
      </w:r>
      <w:bookmarkEnd w:id="204"/>
    </w:p>
    <w:p>
      <w:pPr>
        <w:snapToGrid w:val="0"/>
        <w:spacing w:before="120" w:beforeLines="50" w:after="50" w:line="360" w:lineRule="auto"/>
        <w:jc w:val="left"/>
        <w:rPr>
          <w:rFonts w:hint="eastAsia" w:ascii="仿宋" w:hAnsi="仿宋" w:eastAsia="仿宋"/>
          <w:b/>
          <w:sz w:val="24"/>
          <w:highlight w:val="none"/>
        </w:rPr>
      </w:pPr>
      <w:r>
        <w:rPr>
          <w:rFonts w:hint="eastAsia" w:ascii="仿宋" w:hAnsi="仿宋" w:eastAsia="仿宋"/>
          <w:b/>
          <w:sz w:val="24"/>
          <w:highlight w:val="none"/>
        </w:rPr>
        <w:t xml:space="preserve">1.商务文件封面格式： </w:t>
      </w:r>
    </w:p>
    <w:p>
      <w:pPr>
        <w:snapToGrid w:val="0"/>
        <w:spacing w:before="120" w:beforeLines="50" w:after="50"/>
        <w:rPr>
          <w:rFonts w:hint="eastAsia" w:ascii="仿宋" w:hAnsi="仿宋" w:eastAsia="仿宋"/>
          <w:bCs/>
          <w:sz w:val="32"/>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bCs/>
          <w:sz w:val="32"/>
          <w:szCs w:val="32"/>
          <w:highlight w:val="none"/>
        </w:rPr>
      </w:pPr>
      <w:r>
        <w:rPr>
          <w:rFonts w:hint="eastAsia" w:ascii="仿宋" w:hAnsi="仿宋" w:eastAsia="仿宋" w:cs="方正小标宋简体"/>
          <w:bCs/>
          <w:sz w:val="32"/>
          <w:szCs w:val="32"/>
          <w:highlight w:val="none"/>
        </w:rPr>
        <w:t>商  务  文  件</w:t>
      </w:r>
    </w:p>
    <w:p>
      <w:pPr>
        <w:snapToGrid w:val="0"/>
        <w:spacing w:before="120" w:beforeLines="50" w:after="50"/>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p>
    <w:p>
      <w:pPr>
        <w:snapToGrid w:val="0"/>
        <w:spacing w:before="120" w:beforeLines="50" w:after="50"/>
        <w:ind w:firstLine="540" w:firstLineChars="225"/>
        <w:rPr>
          <w:rFonts w:hint="eastAsia" w:ascii="仿宋" w:hAnsi="仿宋" w:eastAsia="仿宋"/>
          <w:bCs/>
          <w:sz w:val="24"/>
          <w:highlight w:val="none"/>
        </w:rPr>
      </w:pPr>
    </w:p>
    <w:p>
      <w:pPr>
        <w:snapToGrid w:val="0"/>
        <w:spacing w:before="120" w:beforeLines="50" w:after="50"/>
        <w:ind w:firstLine="540" w:firstLineChars="225"/>
        <w:rPr>
          <w:rFonts w:hint="eastAsia" w:ascii="仿宋" w:hAnsi="仿宋" w:eastAsia="仿宋"/>
          <w:bCs/>
          <w:sz w:val="24"/>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项目名称：</w:t>
      </w:r>
    </w:p>
    <w:p>
      <w:pPr>
        <w:snapToGrid w:val="0"/>
        <w:spacing w:before="120" w:beforeLines="50" w:after="50"/>
        <w:ind w:firstLine="540" w:firstLineChars="225"/>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项目编号：</w:t>
      </w:r>
    </w:p>
    <w:p>
      <w:pPr>
        <w:snapToGrid w:val="0"/>
        <w:spacing w:before="120" w:beforeLines="50" w:after="50"/>
        <w:ind w:firstLine="540" w:firstLineChars="225"/>
        <w:rPr>
          <w:rFonts w:hint="eastAsia" w:ascii="仿宋" w:hAnsi="仿宋" w:eastAsia="仿宋"/>
          <w:bCs/>
          <w:sz w:val="24"/>
          <w:szCs w:val="20"/>
          <w:highlight w:val="none"/>
        </w:rPr>
      </w:pPr>
      <w:r>
        <w:rPr>
          <w:rFonts w:hint="eastAsia" w:ascii="仿宋" w:hAnsi="仿宋" w:eastAsia="仿宋"/>
          <w:bCs/>
          <w:sz w:val="24"/>
          <w:highlight w:val="none"/>
        </w:rPr>
        <w:t xml:space="preserve"> </w:t>
      </w: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投标人名称：</w:t>
      </w:r>
    </w:p>
    <w:p>
      <w:pPr>
        <w:pStyle w:val="7"/>
        <w:rPr>
          <w:highlight w:val="none"/>
        </w:rPr>
      </w:pPr>
    </w:p>
    <w:p>
      <w:pPr>
        <w:pStyle w:val="7"/>
        <w:rPr>
          <w:highlight w:val="none"/>
        </w:rPr>
      </w:pPr>
    </w:p>
    <w:p>
      <w:pPr>
        <w:snapToGrid w:val="0"/>
        <w:spacing w:before="120" w:beforeLines="50" w:after="50"/>
        <w:ind w:firstLine="645"/>
        <w:rPr>
          <w:rFonts w:hint="eastAsia" w:ascii="仿宋" w:hAnsi="仿宋" w:eastAsia="仿宋"/>
          <w:sz w:val="24"/>
          <w:highlight w:val="none"/>
        </w:rPr>
      </w:pPr>
      <w:r>
        <w:rPr>
          <w:rFonts w:hint="eastAsia" w:ascii="仿宋" w:hAnsi="仿宋" w:eastAsia="仿宋"/>
          <w:sz w:val="24"/>
          <w:highlight w:val="none"/>
        </w:rPr>
        <w:t xml:space="preserve">                          年 </w:t>
      </w:r>
      <w:r>
        <w:rPr>
          <w:rFonts w:ascii="仿宋" w:hAnsi="仿宋" w:eastAsia="仿宋"/>
          <w:sz w:val="24"/>
          <w:highlight w:val="non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z w:val="24"/>
          <w:highlight w:val="none"/>
        </w:rPr>
        <w:t xml:space="preserve"> 月    日</w:t>
      </w:r>
    </w:p>
    <w:p>
      <w:pPr>
        <w:snapToGrid w:val="0"/>
        <w:spacing w:before="120" w:beforeLines="50" w:after="50"/>
        <w:rPr>
          <w:rFonts w:hint="eastAsia" w:ascii="仿宋" w:hAnsi="仿宋" w:eastAsia="仿宋"/>
          <w:sz w:val="24"/>
          <w:szCs w:val="20"/>
          <w:highlight w:val="none"/>
        </w:rPr>
      </w:pPr>
      <w:r>
        <w:rPr>
          <w:rFonts w:ascii="仿宋" w:hAnsi="仿宋" w:eastAsia="仿宋"/>
          <w:sz w:val="24"/>
          <w:szCs w:val="20"/>
          <w:highlight w:val="none"/>
        </w:rPr>
        <w:t xml:space="preserve"> </w:t>
      </w:r>
    </w:p>
    <w:p>
      <w:pPr>
        <w:snapToGrid w:val="0"/>
        <w:spacing w:line="360" w:lineRule="auto"/>
        <w:jc w:val="left"/>
        <w:rPr>
          <w:rFonts w:hint="eastAsia" w:ascii="仿宋" w:hAnsi="仿宋" w:eastAsia="仿宋"/>
          <w:b/>
          <w:bCs/>
          <w:sz w:val="28"/>
          <w:szCs w:val="28"/>
          <w:highlight w:val="none"/>
        </w:rPr>
      </w:pPr>
      <w:r>
        <w:rPr>
          <w:rFonts w:ascii="仿宋" w:hAnsi="仿宋" w:eastAsia="仿宋"/>
          <w:sz w:val="24"/>
          <w:szCs w:val="20"/>
          <w:highlight w:val="none"/>
        </w:rPr>
        <w:br w:type="page"/>
      </w:r>
      <w:r>
        <w:rPr>
          <w:rFonts w:hint="eastAsia" w:ascii="仿宋" w:hAnsi="仿宋" w:eastAsia="仿宋"/>
          <w:b/>
          <w:bCs/>
          <w:sz w:val="24"/>
          <w:highlight w:val="none"/>
        </w:rPr>
        <w:t>2.商务文件目录</w:t>
      </w:r>
    </w:p>
    <w:p>
      <w:pPr>
        <w:snapToGrid w:val="0"/>
        <w:spacing w:before="50" w:after="120" w:afterLines="50" w:line="360" w:lineRule="auto"/>
        <w:ind w:firstLine="480" w:firstLineChars="200"/>
        <w:jc w:val="left"/>
        <w:rPr>
          <w:rFonts w:hint="eastAsia" w:ascii="仿宋" w:hAnsi="仿宋" w:eastAsia="仿宋"/>
          <w:b/>
          <w:bCs/>
          <w:sz w:val="32"/>
          <w:szCs w:val="32"/>
          <w:highlight w:val="none"/>
        </w:rPr>
      </w:pPr>
      <w:r>
        <w:rPr>
          <w:rFonts w:hint="eastAsia" w:ascii="仿宋" w:hAnsi="仿宋" w:eastAsia="仿宋"/>
          <w:sz w:val="24"/>
          <w:highlight w:val="none"/>
        </w:rPr>
        <w:t>根据招标文件规定及投标人提供的材料自行编写目录。</w:t>
      </w:r>
    </w:p>
    <w:p>
      <w:pPr>
        <w:snapToGrid w:val="0"/>
        <w:spacing w:before="50" w:after="120" w:afterLines="50"/>
        <w:jc w:val="left"/>
        <w:rPr>
          <w:rFonts w:hint="eastAsia" w:ascii="仿宋" w:hAnsi="仿宋" w:eastAsia="仿宋"/>
          <w:highlight w:val="none"/>
        </w:rPr>
      </w:pPr>
    </w:p>
    <w:p>
      <w:pPr>
        <w:snapToGrid w:val="0"/>
        <w:spacing w:before="120" w:beforeLines="50" w:after="50"/>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3.投标人参加本项目无围标串标行为的承诺</w:t>
      </w:r>
    </w:p>
    <w:p>
      <w:pPr>
        <w:snapToGrid w:val="0"/>
        <w:spacing w:before="120" w:beforeLines="50" w:after="50"/>
        <w:jc w:val="left"/>
        <w:rPr>
          <w:rFonts w:hint="eastAsia" w:ascii="仿宋" w:hAnsi="仿宋" w:eastAsia="仿宋"/>
          <w:b/>
          <w:sz w:val="24"/>
          <w:highlight w:val="none"/>
        </w:rPr>
      </w:pPr>
    </w:p>
    <w:p>
      <w:pPr>
        <w:spacing w:line="360" w:lineRule="auto"/>
        <w:ind w:left="420"/>
        <w:contextualSpacing/>
        <w:jc w:val="center"/>
        <w:rPr>
          <w:rFonts w:hint="eastAsia" w:ascii="仿宋" w:hAnsi="仿宋" w:eastAsia="仿宋"/>
          <w:b/>
          <w:sz w:val="24"/>
          <w:highlight w:val="none"/>
        </w:rPr>
      </w:pPr>
      <w:r>
        <w:rPr>
          <w:rFonts w:hint="eastAsia" w:ascii="仿宋" w:hAnsi="仿宋" w:eastAsia="仿宋" w:cs="方正小标宋简体"/>
          <w:bCs/>
          <w:spacing w:val="-11"/>
          <w:sz w:val="44"/>
          <w:szCs w:val="44"/>
          <w:highlight w:val="none"/>
        </w:rPr>
        <w:t>投标人参加本项目无围标串标行为的承诺函</w:t>
      </w:r>
    </w:p>
    <w:p>
      <w:pPr>
        <w:spacing w:line="440" w:lineRule="exact"/>
        <w:contextualSpacing/>
        <w:jc w:val="left"/>
        <w:rPr>
          <w:rFonts w:hint="eastAsia" w:ascii="仿宋" w:hAnsi="仿宋" w:eastAsia="仿宋"/>
          <w:b/>
          <w:sz w:val="24"/>
          <w:highlight w:val="none"/>
        </w:rPr>
      </w:pPr>
      <w:r>
        <w:rPr>
          <w:rFonts w:hint="eastAsia" w:ascii="仿宋" w:hAnsi="仿宋" w:eastAsia="仿宋"/>
          <w:b/>
          <w:sz w:val="24"/>
          <w:highlight w:val="none"/>
        </w:rPr>
        <w:t>一、我方承诺无下列相互串通投标的情形：</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1.不同投标人的投标文件由同一单位或者个人编制；</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2.不同投标人委托同一单位或者个人办理投标事宜；</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3.不同的投标人的投标文件载明的项目管理员为同一个人；</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4.不同投标人的投标文件异常一致或者投标报价呈规律性差异；</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5.不同投标人的投标文件相互混装；</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6.不同投标人的投标保证金从同一单位或者个人账户转出。</w:t>
      </w:r>
    </w:p>
    <w:p>
      <w:pPr>
        <w:spacing w:line="440" w:lineRule="exact"/>
        <w:contextualSpacing/>
        <w:jc w:val="left"/>
        <w:rPr>
          <w:rFonts w:hint="eastAsia" w:ascii="仿宋" w:hAnsi="仿宋" w:eastAsia="仿宋"/>
          <w:sz w:val="24"/>
          <w:highlight w:val="none"/>
        </w:rPr>
      </w:pPr>
      <w:r>
        <w:rPr>
          <w:rFonts w:hint="eastAsia" w:ascii="仿宋" w:hAnsi="仿宋" w:eastAsia="仿宋"/>
          <w:b/>
          <w:sz w:val="24"/>
          <w:highlight w:val="none"/>
        </w:rPr>
        <w:t>二、我方承诺无下列恶意串通的情形：</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1.投标人直接或者间接从采购人或者采购代理机构处获得其他投标人的相关信息并修改其投标文件或者响应文件；</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2.投标人按照采购人或者采购代理机构的授意撤换、修改投标文件或者响应文件；</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3.投标人之间协商报价、技术方案等投标文件或者响应文件的实质性内容；</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4.属于同一集团、协会、商会等组织成员的投标人按照该组织要求协同参加政府采购活动；</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5.投标人之间事先约定一致抬高或者压低投标报价，或者在招标项目中事先约定轮流以高价位或者低价位中标，或者事先约定由某一特定投标人中标，然后再参加投标；</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6.投标人之间商定部分投标人放弃参加政府采购活动或者放弃中标；</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7.投标人与采购人或者采购代理机构之间、投标人相互之间，为谋求特定投标人中标或者排斥其他投标人的其他串通行为。</w:t>
      </w:r>
    </w:p>
    <w:p>
      <w:pPr>
        <w:spacing w:line="440" w:lineRule="exact"/>
        <w:ind w:firstLine="472" w:firstLineChars="196"/>
        <w:contextualSpacing/>
        <w:jc w:val="left"/>
        <w:rPr>
          <w:rFonts w:hint="eastAsia" w:ascii="仿宋" w:hAnsi="仿宋" w:eastAsia="仿宋"/>
          <w:b/>
          <w:sz w:val="24"/>
          <w:highlight w:val="none"/>
        </w:rPr>
      </w:pPr>
      <w:r>
        <w:rPr>
          <w:rFonts w:hint="eastAsia" w:ascii="仿宋" w:hAnsi="仿宋" w:eastAsia="仿宋"/>
          <w:b/>
          <w:sz w:val="24"/>
          <w:highlight w:val="none"/>
        </w:rPr>
        <w:t>以上情形一经核查属实，我方愿意承担一切后果，并不再寻求任何旨在减轻或者免除法律责任的辩解。</w:t>
      </w:r>
    </w:p>
    <w:p>
      <w:pPr>
        <w:pStyle w:val="24"/>
        <w:rPr>
          <w:rFonts w:hint="eastAsia"/>
          <w:highlight w:val="none"/>
        </w:rPr>
      </w:pPr>
    </w:p>
    <w:p>
      <w:pPr>
        <w:pStyle w:val="24"/>
        <w:rPr>
          <w:rFonts w:hint="eastAsia"/>
          <w:b w:val="0"/>
          <w:highlight w:val="none"/>
        </w:rPr>
      </w:pPr>
      <w:r>
        <w:rPr>
          <w:rFonts w:hint="eastAsia"/>
          <w:highlight w:val="none"/>
        </w:rPr>
        <w:t xml:space="preserve"> </w:t>
      </w:r>
      <w:r>
        <w:rPr>
          <w:highlight w:val="none"/>
        </w:rPr>
        <w:t xml:space="preserve">                                </w:t>
      </w:r>
      <w:r>
        <w:rPr>
          <w:b w:val="0"/>
          <w:highlight w:val="none"/>
        </w:rPr>
        <w:t xml:space="preserve">   </w:t>
      </w:r>
      <w:r>
        <w:rPr>
          <w:rFonts w:hint="eastAsia"/>
          <w:b w:val="0"/>
          <w:highlight w:val="none"/>
        </w:rPr>
        <w:t>投标人（公章）：</w:t>
      </w:r>
      <w:r>
        <w:rPr>
          <w:rFonts w:hint="eastAsia"/>
          <w:b w:val="0"/>
          <w:highlight w:val="none"/>
          <w:u w:val="single"/>
        </w:rPr>
        <w:t xml:space="preserve">                      </w:t>
      </w:r>
    </w:p>
    <w:p>
      <w:pPr>
        <w:pStyle w:val="24"/>
        <w:ind w:firstLine="480"/>
        <w:rPr>
          <w:rFonts w:hint="eastAsia"/>
          <w:b w:val="0"/>
          <w:highlight w:val="none"/>
        </w:rPr>
      </w:pPr>
      <w:r>
        <w:rPr>
          <w:rFonts w:hint="eastAsia"/>
          <w:b w:val="0"/>
          <w:highlight w:val="none"/>
        </w:rPr>
        <w:t xml:space="preserve">                                            </w:t>
      </w:r>
      <w:r>
        <w:rPr>
          <w:b w:val="0"/>
          <w:highlight w:val="none"/>
        </w:rPr>
        <w:t xml:space="preserve">   </w:t>
      </w:r>
      <w:r>
        <w:rPr>
          <w:rFonts w:hint="eastAsia"/>
          <w:b w:val="0"/>
          <w:highlight w:val="none"/>
        </w:rPr>
        <w:t xml:space="preserve">    </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日</w:t>
      </w: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szCs w:val="20"/>
          <w:highlight w:val="none"/>
        </w:rPr>
      </w:pPr>
      <w:r>
        <w:rPr>
          <w:rFonts w:hint="eastAsia" w:ascii="仿宋" w:hAnsi="仿宋" w:eastAsia="仿宋"/>
          <w:b/>
          <w:sz w:val="24"/>
          <w:highlight w:val="none"/>
        </w:rPr>
        <w:t>4.法定代表人身份证明</w:t>
      </w:r>
    </w:p>
    <w:p>
      <w:pPr>
        <w:spacing w:before="240" w:beforeLines="100" w:after="120" w:afterLines="50"/>
        <w:ind w:left="540"/>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法定代表人身份证明</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投 标 人：</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地    址：</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姓    名：</w:t>
      </w:r>
      <w:r>
        <w:rPr>
          <w:rFonts w:hint="eastAsia" w:ascii="仿宋" w:hAnsi="仿宋" w:eastAsia="仿宋"/>
          <w:sz w:val="24"/>
          <w:highlight w:val="none"/>
          <w:u w:val="single"/>
        </w:rPr>
        <w:t xml:space="preserve">                          </w:t>
      </w:r>
      <w:r>
        <w:rPr>
          <w:rFonts w:hint="eastAsia" w:ascii="仿宋" w:hAnsi="仿宋" w:eastAsia="仿宋"/>
          <w:sz w:val="24"/>
          <w:highlight w:val="none"/>
        </w:rPr>
        <w:t>性      别：</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u w:val="single"/>
        </w:rPr>
      </w:pPr>
      <w:r>
        <w:rPr>
          <w:rFonts w:hint="eastAsia" w:ascii="仿宋" w:hAnsi="仿宋" w:eastAsia="仿宋"/>
          <w:sz w:val="24"/>
          <w:highlight w:val="none"/>
        </w:rPr>
        <w:t>年    龄：</w:t>
      </w:r>
      <w:r>
        <w:rPr>
          <w:rFonts w:hint="eastAsia" w:ascii="仿宋" w:hAnsi="仿宋" w:eastAsia="仿宋"/>
          <w:sz w:val="24"/>
          <w:highlight w:val="none"/>
          <w:u w:val="single"/>
        </w:rPr>
        <w:t xml:space="preserve">                          </w:t>
      </w:r>
      <w:r>
        <w:rPr>
          <w:rFonts w:hint="eastAsia" w:ascii="仿宋" w:hAnsi="仿宋" w:eastAsia="仿宋"/>
          <w:sz w:val="24"/>
          <w:highlight w:val="none"/>
        </w:rPr>
        <w:t>职      务：</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身份证号码：</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系</w:t>
      </w:r>
      <w:r>
        <w:rPr>
          <w:rFonts w:hint="eastAsia" w:ascii="仿宋" w:hAnsi="仿宋" w:eastAsia="仿宋"/>
          <w:sz w:val="24"/>
          <w:highlight w:val="none"/>
          <w:u w:val="single"/>
        </w:rPr>
        <w:t xml:space="preserve">            （投标人名称）              </w:t>
      </w:r>
      <w:r>
        <w:rPr>
          <w:rFonts w:hint="eastAsia" w:ascii="仿宋" w:hAnsi="仿宋" w:eastAsia="仿宋"/>
          <w:sz w:val="24"/>
          <w:highlight w:val="none"/>
        </w:rPr>
        <w:t>的法定代表人。</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特此证明。</w:t>
      </w:r>
    </w:p>
    <w:p>
      <w:pPr>
        <w:spacing w:line="500" w:lineRule="exact"/>
        <w:ind w:left="540"/>
        <w:rPr>
          <w:rFonts w:hint="eastAsia" w:ascii="仿宋" w:hAnsi="仿宋" w:eastAsia="仿宋"/>
          <w:sz w:val="24"/>
          <w:highlight w:val="none"/>
        </w:rPr>
      </w:pPr>
    </w:p>
    <w:p>
      <w:pPr>
        <w:spacing w:line="500" w:lineRule="exact"/>
        <w:ind w:left="540"/>
        <w:rPr>
          <w:rFonts w:hint="eastAsia" w:ascii="仿宋" w:hAnsi="仿宋" w:eastAsia="仿宋"/>
          <w:sz w:val="24"/>
          <w:highlight w:val="none"/>
        </w:rPr>
      </w:pP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附件：法定代表人有效身份证正反面复印件</w:t>
      </w:r>
    </w:p>
    <w:p>
      <w:pPr>
        <w:spacing w:line="500" w:lineRule="exact"/>
        <w:ind w:left="540"/>
        <w:rPr>
          <w:rFonts w:hint="eastAsia" w:ascii="仿宋" w:hAnsi="仿宋" w:eastAsia="仿宋"/>
          <w:sz w:val="24"/>
          <w:highlight w:val="none"/>
        </w:rPr>
      </w:pPr>
    </w:p>
    <w:p>
      <w:pPr>
        <w:spacing w:line="500" w:lineRule="exact"/>
        <w:ind w:left="540" w:firstLine="5520" w:firstLineChars="2300"/>
        <w:jc w:val="left"/>
        <w:rPr>
          <w:rFonts w:hint="eastAsia" w:ascii="仿宋" w:hAnsi="仿宋" w:eastAsia="仿宋"/>
          <w:sz w:val="24"/>
          <w:highlight w:val="none"/>
        </w:rPr>
      </w:pPr>
      <w:r>
        <w:rPr>
          <w:rFonts w:hint="eastAsia" w:ascii="仿宋" w:hAnsi="仿宋" w:eastAsia="仿宋"/>
          <w:sz w:val="24"/>
          <w:highlight w:val="none"/>
        </w:rPr>
        <w:t>投标人（公章）：</w:t>
      </w:r>
      <w:r>
        <w:rPr>
          <w:rFonts w:hint="eastAsia" w:ascii="仿宋" w:hAnsi="仿宋" w:eastAsia="仿宋"/>
          <w:sz w:val="24"/>
          <w:highlight w:val="none"/>
          <w:u w:val="single"/>
        </w:rPr>
        <w:t xml:space="preserve"> </w:t>
      </w:r>
      <w:r>
        <w:rPr>
          <w:rFonts w:hint="eastAsia"/>
          <w:highlight w:val="none"/>
          <w:u w:val="single"/>
        </w:rPr>
        <w:t xml:space="preserve">                    </w:t>
      </w:r>
    </w:p>
    <w:p>
      <w:pPr>
        <w:snapToGrid w:val="0"/>
        <w:spacing w:before="120" w:beforeLines="50" w:after="50"/>
        <w:ind w:left="540"/>
        <w:jc w:val="right"/>
        <w:rPr>
          <w:rFonts w:hint="eastAsia" w:ascii="仿宋" w:hAnsi="仿宋" w:eastAsia="仿宋"/>
          <w:sz w:val="24"/>
          <w:highlight w:val="none"/>
        </w:rPr>
      </w:pPr>
      <w:r>
        <w:rPr>
          <w:rFonts w:hint="eastAsia" w:ascii="仿宋" w:hAnsi="仿宋" w:eastAsia="仿宋"/>
          <w:sz w:val="24"/>
          <w:highlight w:val="none"/>
          <w:u w:val="single"/>
        </w:rPr>
        <w:t xml:space="preserve">         </w:t>
      </w:r>
      <w:r>
        <w:rPr>
          <w:rFonts w:hint="eastAsia" w:ascii="仿宋" w:hAnsi="仿宋" w:eastAsia="仿宋"/>
          <w:sz w:val="24"/>
          <w:highlight w:val="none"/>
        </w:rPr>
        <w:t>年</w:t>
      </w:r>
      <w:r>
        <w:rPr>
          <w:rFonts w:hint="eastAsia" w:ascii="仿宋" w:hAnsi="仿宋" w:eastAsia="仿宋"/>
          <w:sz w:val="24"/>
          <w:highlight w:val="none"/>
          <w:u w:val="single"/>
        </w:rPr>
        <w:t xml:space="preserve">        </w:t>
      </w:r>
      <w:r>
        <w:rPr>
          <w:rFonts w:hint="eastAsia" w:ascii="仿宋" w:hAnsi="仿宋" w:eastAsia="仿宋"/>
          <w:sz w:val="24"/>
          <w:highlight w:val="none"/>
        </w:rPr>
        <w:t>月</w:t>
      </w:r>
      <w:r>
        <w:rPr>
          <w:rFonts w:hint="eastAsia" w:ascii="仿宋" w:hAnsi="仿宋" w:eastAsia="仿宋"/>
          <w:sz w:val="24"/>
          <w:highlight w:val="none"/>
          <w:u w:val="single"/>
        </w:rPr>
        <w:t xml:space="preserve">        </w:t>
      </w:r>
      <w:r>
        <w:rPr>
          <w:rFonts w:hint="eastAsia" w:ascii="仿宋" w:hAnsi="仿宋" w:eastAsia="仿宋"/>
          <w:sz w:val="24"/>
          <w:highlight w:val="none"/>
        </w:rPr>
        <w:t>日</w:t>
      </w:r>
    </w:p>
    <w:p>
      <w:pPr>
        <w:snapToGrid w:val="0"/>
        <w:spacing w:before="120" w:beforeLines="50" w:after="50"/>
        <w:jc w:val="center"/>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szCs w:val="20"/>
          <w:highlight w:val="none"/>
        </w:rPr>
      </w:pPr>
      <w:r>
        <w:rPr>
          <w:rFonts w:hint="eastAsia" w:ascii="仿宋" w:hAnsi="仿宋" w:eastAsia="仿宋"/>
          <w:sz w:val="24"/>
          <w:highlight w:val="none"/>
        </w:rPr>
        <w:t>注：自然人投标的无需提供</w:t>
      </w:r>
    </w:p>
    <w:p>
      <w:pPr>
        <w:snapToGrid w:val="0"/>
        <w:spacing w:before="120" w:beforeLines="50" w:after="50"/>
        <w:jc w:val="left"/>
        <w:rPr>
          <w:rFonts w:hint="eastAsia" w:ascii="仿宋" w:hAnsi="仿宋" w:eastAsia="仿宋"/>
          <w:b/>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5.授权委托书格式</w:t>
      </w:r>
    </w:p>
    <w:p>
      <w:pPr>
        <w:snapToGrid w:val="0"/>
        <w:spacing w:before="120" w:beforeLines="50" w:after="50"/>
        <w:jc w:val="center"/>
        <w:rPr>
          <w:rFonts w:hint="eastAsia" w:ascii="仿宋" w:hAnsi="仿宋" w:eastAsia="仿宋"/>
          <w:b/>
          <w:sz w:val="44"/>
          <w:szCs w:val="44"/>
          <w:highlight w:val="none"/>
        </w:rPr>
      </w:pPr>
    </w:p>
    <w:p>
      <w:pPr>
        <w:spacing w:line="360" w:lineRule="auto"/>
        <w:contextualSpacing/>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授权委托书</w:t>
      </w:r>
    </w:p>
    <w:p>
      <w:pPr>
        <w:spacing w:line="360" w:lineRule="auto"/>
        <w:contextualSpacing/>
        <w:jc w:val="center"/>
        <w:rPr>
          <w:rFonts w:hint="eastAsia" w:ascii="仿宋" w:hAnsi="仿宋" w:eastAsia="仿宋" w:cs="方正小标宋简体"/>
          <w:bCs/>
          <w:sz w:val="32"/>
          <w:szCs w:val="32"/>
          <w:highlight w:val="none"/>
        </w:rPr>
      </w:pPr>
      <w:r>
        <w:rPr>
          <w:rFonts w:hint="eastAsia" w:ascii="仿宋" w:hAnsi="仿宋" w:eastAsia="仿宋" w:cs="方正小标宋简体"/>
          <w:bCs/>
          <w:sz w:val="32"/>
          <w:szCs w:val="32"/>
          <w:highlight w:val="none"/>
        </w:rPr>
        <w:t>（非联合体投标格式）</w:t>
      </w:r>
    </w:p>
    <w:p>
      <w:pPr>
        <w:spacing w:line="360" w:lineRule="auto"/>
        <w:contextualSpacing/>
        <w:jc w:val="center"/>
        <w:rPr>
          <w:rFonts w:hint="eastAsia" w:ascii="仿宋" w:hAnsi="仿宋" w:eastAsia="仿宋" w:cs="方正小标宋简体"/>
          <w:bCs/>
          <w:sz w:val="24"/>
          <w:highlight w:val="none"/>
        </w:rPr>
      </w:pPr>
      <w:r>
        <w:rPr>
          <w:rFonts w:hint="eastAsia" w:ascii="仿宋" w:hAnsi="仿宋" w:eastAsia="仿宋" w:cs="方正小标宋简体"/>
          <w:bCs/>
          <w:sz w:val="32"/>
          <w:szCs w:val="32"/>
          <w:highlight w:val="none"/>
        </w:rPr>
        <w:t>（如有委托时）</w:t>
      </w:r>
    </w:p>
    <w:p>
      <w:pPr>
        <w:spacing w:line="440" w:lineRule="exact"/>
        <w:contextualSpacing/>
        <w:jc w:val="center"/>
        <w:rPr>
          <w:rFonts w:hint="eastAsia" w:ascii="仿宋" w:hAnsi="仿宋" w:eastAsia="仿宋"/>
          <w:b/>
          <w:sz w:val="24"/>
          <w:highlight w:val="none"/>
        </w:rPr>
      </w:pPr>
    </w:p>
    <w:p>
      <w:pPr>
        <w:spacing w:line="440" w:lineRule="exact"/>
        <w:contextualSpacing/>
        <w:rPr>
          <w:rFonts w:hint="eastAsia" w:ascii="仿宋" w:hAnsi="仿宋" w:eastAsia="仿宋"/>
          <w:b/>
          <w:bCs/>
          <w:sz w:val="24"/>
          <w:highlight w:val="none"/>
        </w:rPr>
      </w:pPr>
      <w:r>
        <w:rPr>
          <w:rFonts w:hint="eastAsia" w:ascii="仿宋" w:hAnsi="仿宋" w:eastAsia="仿宋"/>
          <w:bCs/>
          <w:sz w:val="24"/>
          <w:highlight w:val="none"/>
        </w:rPr>
        <w:t>致：</w:t>
      </w:r>
      <w:r>
        <w:rPr>
          <w:rFonts w:hint="eastAsia" w:ascii="仿宋" w:hAnsi="仿宋" w:eastAsia="仿宋"/>
          <w:sz w:val="24"/>
          <w:highlight w:val="none"/>
          <w:u w:val="single"/>
        </w:rPr>
        <w:t>采购人名称</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我</w:t>
      </w:r>
      <w:r>
        <w:rPr>
          <w:rFonts w:hint="eastAsia" w:ascii="仿宋" w:hAnsi="仿宋" w:eastAsia="仿宋"/>
          <w:sz w:val="24"/>
          <w:highlight w:val="none"/>
          <w:u w:val="single"/>
        </w:rPr>
        <w:t xml:space="preserve">       </w:t>
      </w:r>
      <w:r>
        <w:rPr>
          <w:rFonts w:hint="eastAsia" w:ascii="仿宋" w:hAnsi="仿宋" w:eastAsia="仿宋"/>
          <w:sz w:val="24"/>
          <w:highlight w:val="none"/>
        </w:rPr>
        <w:t>（姓名）系</w:t>
      </w:r>
      <w:r>
        <w:rPr>
          <w:rFonts w:hint="eastAsia" w:ascii="仿宋" w:hAnsi="仿宋" w:eastAsia="仿宋"/>
          <w:sz w:val="24"/>
          <w:highlight w:val="none"/>
          <w:u w:val="single"/>
        </w:rPr>
        <w:t xml:space="preserve">      </w:t>
      </w:r>
      <w:r>
        <w:rPr>
          <w:rFonts w:hint="eastAsia" w:ascii="仿宋" w:hAnsi="仿宋" w:eastAsia="仿宋"/>
          <w:sz w:val="24"/>
          <w:highlight w:val="none"/>
        </w:rPr>
        <w:t>（投标人名称）的法定代表人，现授权委托</w:t>
      </w:r>
      <w:r>
        <w:rPr>
          <w:rFonts w:hint="eastAsia" w:ascii="仿宋" w:hAnsi="仿宋" w:eastAsia="仿宋"/>
          <w:sz w:val="24"/>
          <w:highlight w:val="none"/>
          <w:u w:val="single"/>
        </w:rPr>
        <w:t xml:space="preserve">              （姓名）</w:t>
      </w:r>
      <w:r>
        <w:rPr>
          <w:rFonts w:hint="eastAsia" w:ascii="仿宋" w:hAnsi="仿宋" w:eastAsia="仿宋"/>
          <w:sz w:val="24"/>
          <w:highlight w:val="none"/>
        </w:rPr>
        <w:t>以我方的名义参加</w:t>
      </w:r>
      <w:r>
        <w:rPr>
          <w:rFonts w:hint="eastAsia" w:ascii="仿宋" w:hAnsi="仿宋" w:eastAsia="仿宋"/>
          <w:sz w:val="24"/>
          <w:highlight w:val="none"/>
          <w:u w:val="single"/>
        </w:rPr>
        <w:t xml:space="preserve">              </w:t>
      </w:r>
      <w:r>
        <w:rPr>
          <w:rFonts w:hint="eastAsia" w:ascii="仿宋" w:hAnsi="仿宋" w:eastAsia="仿宋"/>
          <w:sz w:val="24"/>
          <w:highlight w:val="none"/>
        </w:rPr>
        <w:t>项目的投标活动，并代表我方全权办理针对上述项目的所有采购程序和环节的具体事务和签署相关文件。</w:t>
      </w:r>
    </w:p>
    <w:p>
      <w:pPr>
        <w:spacing w:line="440" w:lineRule="exact"/>
        <w:contextualSpacing/>
        <w:rPr>
          <w:rFonts w:hint="eastAsia" w:ascii="仿宋" w:hAnsi="仿宋" w:eastAsia="仿宋"/>
          <w:sz w:val="24"/>
          <w:highlight w:val="none"/>
        </w:rPr>
      </w:pPr>
      <w:r>
        <w:rPr>
          <w:rFonts w:hint="eastAsia" w:ascii="仿宋" w:hAnsi="仿宋" w:eastAsia="仿宋"/>
          <w:sz w:val="24"/>
          <w:highlight w:val="none"/>
        </w:rPr>
        <w:t xml:space="preserve">    我方对委托代理人的签字事项负全部责任。</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u w:val="single"/>
        </w:rPr>
        <w:t>本授权书自签署之日起生效，在撤销授权的书面通知以前，本授权书一直有效。委托代理人在授权书有效期内签署的所有文件不因授权的撤销而失效。</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委托代理人无转委托权，特此委托。</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附：法定代表人身份证明及委托代理人有效身份证正反面复印件</w:t>
      </w:r>
    </w:p>
    <w:p>
      <w:pPr>
        <w:spacing w:line="440" w:lineRule="exact"/>
        <w:contextualSpacing/>
        <w:rPr>
          <w:rFonts w:hint="eastAsia" w:ascii="仿宋" w:hAnsi="仿宋" w:eastAsia="仿宋"/>
          <w:sz w:val="24"/>
          <w:highlight w:val="none"/>
        </w:rPr>
      </w:pPr>
    </w:p>
    <w:p>
      <w:pPr>
        <w:spacing w:line="440" w:lineRule="exact"/>
        <w:contextualSpacing/>
        <w:rPr>
          <w:rFonts w:hint="eastAsia" w:ascii="仿宋" w:hAnsi="仿宋" w:eastAsia="仿宋"/>
          <w:sz w:val="24"/>
          <w:highlight w:val="none"/>
          <w:u w:val="single"/>
        </w:rPr>
      </w:pPr>
      <w:r>
        <w:rPr>
          <w:rFonts w:hint="eastAsia" w:ascii="仿宋" w:hAnsi="仿宋" w:eastAsia="仿宋"/>
          <w:sz w:val="24"/>
          <w:highlight w:val="none"/>
        </w:rPr>
        <w:t>委托代理人（签字）：</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法定代表人（签字或者盖章）：</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p>
    <w:p>
      <w:pPr>
        <w:spacing w:line="440" w:lineRule="exact"/>
        <w:contextualSpacing/>
        <w:rPr>
          <w:rFonts w:hint="eastAsia" w:ascii="仿宋" w:hAnsi="仿宋" w:eastAsia="仿宋"/>
          <w:sz w:val="24"/>
          <w:highlight w:val="none"/>
        </w:rPr>
      </w:pPr>
      <w:r>
        <w:rPr>
          <w:rFonts w:hint="eastAsia" w:ascii="仿宋" w:hAnsi="仿宋" w:eastAsia="仿宋"/>
          <w:sz w:val="24"/>
          <w:highlight w:val="none"/>
        </w:rPr>
        <w:t>委托代理人身份证号码：</w:t>
      </w:r>
      <w:r>
        <w:rPr>
          <w:rFonts w:hint="eastAsia" w:ascii="仿宋" w:hAnsi="仿宋" w:eastAsia="仿宋"/>
          <w:sz w:val="24"/>
          <w:highlight w:val="none"/>
          <w:u w:val="single"/>
        </w:rPr>
        <w:t xml:space="preserve">                          </w:t>
      </w:r>
    </w:p>
    <w:p>
      <w:pPr>
        <w:spacing w:line="440" w:lineRule="exact"/>
        <w:contextualSpacing/>
        <w:jc w:val="center"/>
        <w:rPr>
          <w:rFonts w:hint="eastAsia" w:ascii="仿宋" w:hAnsi="仿宋" w:eastAsia="仿宋"/>
          <w:sz w:val="24"/>
          <w:highlight w:val="none"/>
        </w:rPr>
      </w:pPr>
      <w:r>
        <w:rPr>
          <w:rFonts w:hint="eastAsia" w:ascii="仿宋" w:hAnsi="仿宋" w:eastAsia="仿宋"/>
          <w:sz w:val="24"/>
          <w:highlight w:val="none"/>
        </w:rPr>
        <w:t xml:space="preserve">                                   投标人（盖公章）：</w:t>
      </w:r>
      <w:r>
        <w:rPr>
          <w:rFonts w:hint="eastAsia" w:ascii="仿宋" w:hAnsi="仿宋" w:eastAsia="仿宋"/>
          <w:sz w:val="24"/>
          <w:highlight w:val="none"/>
          <w:u w:val="single"/>
        </w:rPr>
        <w:t xml:space="preserve"> </w:t>
      </w:r>
      <w:r>
        <w:rPr>
          <w:rFonts w:hint="eastAsia"/>
          <w:highlight w:val="none"/>
          <w:u w:val="single"/>
        </w:rPr>
        <w:t xml:space="preserve">    </w:t>
      </w:r>
      <w:r>
        <w:rPr>
          <w:highlight w:val="none"/>
          <w:u w:val="single"/>
        </w:rPr>
        <w:t xml:space="preserve">      </w:t>
      </w:r>
      <w:r>
        <w:rPr>
          <w:rFonts w:hint="eastAsia"/>
          <w:highlight w:val="none"/>
          <w:u w:val="single"/>
        </w:rPr>
        <w:t xml:space="preserve">      </w:t>
      </w:r>
    </w:p>
    <w:p>
      <w:pPr>
        <w:spacing w:line="440" w:lineRule="exact"/>
        <w:contextualSpacing/>
        <w:jc w:val="center"/>
        <w:rPr>
          <w:rFonts w:hint="eastAsia" w:ascii="仿宋" w:hAnsi="仿宋" w:eastAsia="仿宋"/>
          <w:sz w:val="24"/>
          <w:highlight w:val="none"/>
        </w:rPr>
      </w:pPr>
      <w:r>
        <w:rPr>
          <w:rFonts w:hint="eastAsia" w:ascii="仿宋" w:hAnsi="仿宋" w:eastAsia="仿宋"/>
          <w:sz w:val="24"/>
          <w:highlight w:val="none"/>
        </w:rPr>
        <w:t xml:space="preserve">                                              年    月    日</w:t>
      </w:r>
    </w:p>
    <w:p>
      <w:pPr>
        <w:spacing w:line="440" w:lineRule="exact"/>
        <w:contextualSpacing/>
        <w:rPr>
          <w:rFonts w:hint="eastAsia" w:ascii="仿宋" w:hAnsi="仿宋" w:eastAsia="仿宋" w:cs="仿宋_GB2312"/>
          <w:sz w:val="24"/>
          <w:highlight w:val="none"/>
        </w:rPr>
      </w:pPr>
      <w:r>
        <w:rPr>
          <w:rFonts w:hint="eastAsia" w:ascii="仿宋" w:hAnsi="仿宋" w:eastAsia="仿宋" w:cs="仿宋_GB2312"/>
          <w:sz w:val="24"/>
          <w:highlight w:val="none"/>
        </w:rPr>
        <w:t>注：1.</w:t>
      </w:r>
      <w:bookmarkStart w:id="205" w:name="_Hlk65851555"/>
      <w:bookmarkStart w:id="206" w:name="_Hlk65851620"/>
      <w:r>
        <w:rPr>
          <w:rFonts w:hint="eastAsia" w:ascii="仿宋" w:hAnsi="仿宋" w:eastAsia="仿宋" w:cs="仿宋_GB2312"/>
          <w:sz w:val="24"/>
          <w:highlight w:val="none"/>
        </w:rPr>
        <w:t>法定代表人必须在授权委托书上亲笔签字或者盖章，</w:t>
      </w:r>
      <w:bookmarkEnd w:id="205"/>
      <w:r>
        <w:rPr>
          <w:rFonts w:hint="eastAsia" w:ascii="仿宋" w:hAnsi="仿宋" w:eastAsia="仿宋" w:cs="仿宋_GB2312"/>
          <w:sz w:val="24"/>
          <w:highlight w:val="none"/>
        </w:rPr>
        <w:t>委托代理人必须在授权委托书上亲笔签字，</w:t>
      </w:r>
      <w:r>
        <w:rPr>
          <w:rFonts w:hint="eastAsia" w:ascii="仿宋" w:hAnsi="仿宋" w:eastAsia="仿宋" w:cs="仿宋_GB2312"/>
          <w:b/>
          <w:bCs/>
          <w:sz w:val="24"/>
          <w:highlight w:val="none"/>
        </w:rPr>
        <w:t>否则按无效投标处理</w:t>
      </w:r>
      <w:r>
        <w:rPr>
          <w:rFonts w:hint="eastAsia" w:ascii="仿宋" w:hAnsi="仿宋" w:eastAsia="仿宋" w:cs="仿宋_GB2312"/>
          <w:sz w:val="24"/>
          <w:highlight w:val="none"/>
        </w:rPr>
        <w:t>；</w:t>
      </w:r>
      <w:bookmarkEnd w:id="206"/>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cs="仿宋_GB2312"/>
          <w:sz w:val="24"/>
          <w:highlight w:val="none"/>
        </w:rPr>
        <w:t>2.法人、其他组织投标时“我方”是指“我单位”，自然人投标时“我方”是指“本人”。</w:t>
      </w:r>
    </w:p>
    <w:p>
      <w:pPr>
        <w:snapToGrid w:val="0"/>
        <w:spacing w:before="120" w:beforeLines="50" w:after="50"/>
        <w:ind w:firstLine="566" w:firstLineChars="236"/>
        <w:jc w:val="center"/>
        <w:rPr>
          <w:rFonts w:hint="eastAsia" w:ascii="仿宋" w:hAnsi="仿宋" w:eastAsia="仿宋" w:cs="方正小标宋简体"/>
          <w:sz w:val="44"/>
          <w:szCs w:val="44"/>
          <w:highlight w:val="none"/>
        </w:rPr>
      </w:pPr>
      <w:r>
        <w:rPr>
          <w:rFonts w:ascii="仿宋" w:hAnsi="仿宋" w:eastAsia="仿宋"/>
          <w:sz w:val="24"/>
          <w:highlight w:val="none"/>
        </w:rPr>
        <w:br w:type="page"/>
      </w:r>
      <w:r>
        <w:rPr>
          <w:rFonts w:hint="eastAsia" w:ascii="仿宋" w:hAnsi="仿宋" w:eastAsia="仿宋" w:cs="方正小标宋简体"/>
          <w:sz w:val="44"/>
          <w:szCs w:val="44"/>
          <w:highlight w:val="none"/>
        </w:rPr>
        <w:t>授权委托书</w:t>
      </w:r>
    </w:p>
    <w:p>
      <w:pPr>
        <w:snapToGrid w:val="0"/>
        <w:spacing w:before="120" w:beforeLines="50" w:after="50"/>
        <w:ind w:firstLine="755" w:firstLineChars="236"/>
        <w:jc w:val="center"/>
        <w:rPr>
          <w:rFonts w:hint="eastAsia" w:ascii="仿宋" w:hAnsi="仿宋" w:eastAsia="仿宋" w:cs="方正小标宋简体"/>
          <w:sz w:val="32"/>
          <w:szCs w:val="32"/>
          <w:highlight w:val="none"/>
        </w:rPr>
      </w:pPr>
      <w:r>
        <w:rPr>
          <w:rFonts w:hint="eastAsia" w:ascii="仿宋" w:hAnsi="仿宋" w:eastAsia="仿宋" w:cs="方正小标宋简体"/>
          <w:sz w:val="32"/>
          <w:szCs w:val="32"/>
          <w:highlight w:val="none"/>
        </w:rPr>
        <w:t>（联合体投标格式）</w:t>
      </w:r>
    </w:p>
    <w:p>
      <w:pPr>
        <w:snapToGrid w:val="0"/>
        <w:spacing w:before="120" w:beforeLines="50" w:after="50"/>
        <w:ind w:firstLine="755" w:firstLineChars="236"/>
        <w:jc w:val="center"/>
        <w:rPr>
          <w:rFonts w:hint="eastAsia" w:ascii="仿宋" w:hAnsi="仿宋" w:eastAsia="仿宋" w:cs="方正小标宋简体"/>
          <w:sz w:val="24"/>
          <w:highlight w:val="none"/>
        </w:rPr>
      </w:pPr>
      <w:r>
        <w:rPr>
          <w:rFonts w:hint="eastAsia" w:ascii="仿宋" w:hAnsi="仿宋" w:eastAsia="仿宋" w:cs="方正小标宋简体"/>
          <w:sz w:val="32"/>
          <w:szCs w:val="32"/>
          <w:highlight w:val="none"/>
        </w:rPr>
        <w:t>（如有委托时）</w:t>
      </w:r>
    </w:p>
    <w:p>
      <w:pPr>
        <w:spacing w:line="440" w:lineRule="exact"/>
        <w:contextualSpacing/>
        <w:jc w:val="left"/>
        <w:rPr>
          <w:rFonts w:hint="eastAsia" w:ascii="仿宋" w:hAnsi="仿宋" w:eastAsia="仿宋"/>
          <w:sz w:val="24"/>
          <w:highlight w:val="none"/>
        </w:rPr>
      </w:pPr>
      <w:r>
        <w:rPr>
          <w:rFonts w:hint="eastAsia" w:ascii="仿宋" w:hAnsi="仿宋" w:eastAsia="仿宋"/>
          <w:bCs/>
          <w:sz w:val="24"/>
          <w:highlight w:val="none"/>
        </w:rPr>
        <w:t>致：</w:t>
      </w:r>
      <w:r>
        <w:rPr>
          <w:rFonts w:hint="eastAsia" w:ascii="仿宋" w:hAnsi="仿宋" w:eastAsia="仿宋"/>
          <w:sz w:val="24"/>
          <w:highlight w:val="none"/>
          <w:u w:val="single"/>
        </w:rPr>
        <w:t>采购人名称</w:t>
      </w:r>
      <w:r>
        <w:rPr>
          <w:rFonts w:hint="eastAsia" w:ascii="仿宋" w:hAnsi="仿宋" w:eastAsia="仿宋"/>
          <w:sz w:val="24"/>
          <w:highlight w:val="none"/>
        </w:rPr>
        <w:t xml:space="preserve"> </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 xml:space="preserve">根据 </w:t>
      </w:r>
      <w:r>
        <w:rPr>
          <w:rFonts w:hint="eastAsia" w:ascii="仿宋" w:hAnsi="仿宋" w:eastAsia="仿宋"/>
          <w:sz w:val="24"/>
          <w:highlight w:val="none"/>
          <w:u w:val="single"/>
        </w:rPr>
        <w:t xml:space="preserve"> （牵头人名称）</w:t>
      </w:r>
      <w:r>
        <w:rPr>
          <w:rFonts w:hint="eastAsia" w:ascii="仿宋" w:hAnsi="仿宋" w:eastAsia="仿宋"/>
          <w:sz w:val="24"/>
          <w:highlight w:val="none"/>
        </w:rPr>
        <w:t>与</w:t>
      </w:r>
      <w:r>
        <w:rPr>
          <w:rFonts w:hint="eastAsia" w:ascii="仿宋" w:hAnsi="仿宋" w:eastAsia="仿宋"/>
          <w:sz w:val="24"/>
          <w:highlight w:val="none"/>
          <w:u w:val="single"/>
        </w:rPr>
        <w:t>（联合体其他成员名称）</w:t>
      </w:r>
      <w:r>
        <w:rPr>
          <w:rFonts w:hint="eastAsia" w:ascii="仿宋" w:hAnsi="仿宋" w:eastAsia="仿宋"/>
          <w:sz w:val="24"/>
          <w:highlight w:val="none"/>
        </w:rPr>
        <w:t>签订的《联合体投标协议书》的内容，</w:t>
      </w:r>
      <w:r>
        <w:rPr>
          <w:rFonts w:hint="eastAsia" w:ascii="仿宋" w:hAnsi="仿宋" w:eastAsia="仿宋"/>
          <w:sz w:val="24"/>
          <w:highlight w:val="none"/>
          <w:u w:val="single"/>
        </w:rPr>
        <w:t>（牵头人名称）</w:t>
      </w:r>
      <w:r>
        <w:rPr>
          <w:rFonts w:hint="eastAsia" w:ascii="仿宋" w:hAnsi="仿宋" w:eastAsia="仿宋"/>
          <w:sz w:val="24"/>
          <w:highlight w:val="none"/>
        </w:rPr>
        <w:t>的法定代表人</w:t>
      </w:r>
      <w:r>
        <w:rPr>
          <w:rFonts w:hint="eastAsia" w:ascii="仿宋" w:hAnsi="仿宋" w:eastAsia="仿宋"/>
          <w:sz w:val="24"/>
          <w:highlight w:val="none"/>
          <w:u w:val="single"/>
        </w:rPr>
        <w:t>（姓名）</w:t>
      </w:r>
      <w:r>
        <w:rPr>
          <w:rFonts w:hint="eastAsia" w:ascii="仿宋" w:hAnsi="仿宋" w:eastAsia="仿宋"/>
          <w:sz w:val="24"/>
          <w:highlight w:val="none"/>
        </w:rPr>
        <w:t>现授权委托</w:t>
      </w:r>
      <w:r>
        <w:rPr>
          <w:rFonts w:hint="eastAsia" w:ascii="仿宋" w:hAnsi="仿宋" w:eastAsia="仿宋"/>
          <w:sz w:val="24"/>
          <w:highlight w:val="none"/>
          <w:u w:val="single"/>
        </w:rPr>
        <w:t xml:space="preserve">              （姓名）</w:t>
      </w:r>
      <w:r>
        <w:rPr>
          <w:rFonts w:hint="eastAsia" w:ascii="仿宋" w:hAnsi="仿宋" w:eastAsia="仿宋"/>
          <w:sz w:val="24"/>
          <w:highlight w:val="none"/>
        </w:rPr>
        <w:t>以我方的名义参加</w:t>
      </w:r>
      <w:r>
        <w:rPr>
          <w:rFonts w:hint="eastAsia" w:ascii="仿宋" w:hAnsi="仿宋" w:eastAsia="仿宋"/>
          <w:sz w:val="24"/>
          <w:highlight w:val="none"/>
          <w:u w:val="single"/>
        </w:rPr>
        <w:t xml:space="preserve">              </w:t>
      </w:r>
      <w:r>
        <w:rPr>
          <w:rFonts w:hint="eastAsia" w:ascii="仿宋" w:hAnsi="仿宋" w:eastAsia="仿宋"/>
          <w:sz w:val="24"/>
          <w:highlight w:val="none"/>
        </w:rPr>
        <w:t>项目的投标活动，并代表我方全权办理针对上述项目的所有采购程序和环节的具体事务和签署相关文件。</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我方对委托代理人的签字事项负全部责任。</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本授权书自签署之日起生效，在撤销授权的书面通知以前，本授权书一直有效。委托代理人在授权书有效期内签署的所有文件不因授权的撤销而失效。</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委托代理人无转委托权，特此委托。</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附：牵头人法定代表人身份证明及委托代理人有效身份证正反面复印件</w:t>
      </w:r>
    </w:p>
    <w:p>
      <w:pPr>
        <w:spacing w:line="440" w:lineRule="exact"/>
        <w:ind w:firstLine="566" w:firstLineChars="236"/>
        <w:contextualSpacing/>
        <w:rPr>
          <w:rFonts w:hint="eastAsia" w:ascii="仿宋" w:hAnsi="仿宋" w:eastAsia="仿宋"/>
          <w:sz w:val="24"/>
          <w:highlight w:val="none"/>
        </w:rPr>
      </w:pP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牵头人法定代表人（签字或者盖章）：</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牵头人（盖公章）：</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日期：    年   月   日</w:t>
      </w:r>
    </w:p>
    <w:p>
      <w:pPr>
        <w:spacing w:line="440" w:lineRule="exact"/>
        <w:ind w:firstLine="566" w:firstLineChars="236"/>
        <w:contextualSpacing/>
        <w:rPr>
          <w:rFonts w:hint="eastAsia" w:ascii="仿宋" w:hAnsi="仿宋" w:eastAsia="仿宋"/>
          <w:sz w:val="24"/>
          <w:highlight w:val="none"/>
        </w:rPr>
      </w:pP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被授权人（签字）：</w:t>
      </w:r>
    </w:p>
    <w:p>
      <w:pPr>
        <w:spacing w:line="440" w:lineRule="exact"/>
        <w:ind w:firstLine="566" w:firstLineChars="236"/>
        <w:contextualSpacing/>
        <w:rPr>
          <w:rFonts w:hint="eastAsia" w:ascii="仿宋" w:hAnsi="仿宋" w:eastAsia="仿宋" w:cs="仿宋_GB2312"/>
          <w:sz w:val="32"/>
          <w:szCs w:val="32"/>
          <w:highlight w:val="none"/>
        </w:rPr>
      </w:pPr>
      <w:r>
        <w:rPr>
          <w:rFonts w:hint="eastAsia" w:ascii="仿宋" w:hAnsi="仿宋" w:eastAsia="仿宋"/>
          <w:sz w:val="24"/>
          <w:highlight w:val="none"/>
        </w:rPr>
        <w:t>日期：    年   月   日</w:t>
      </w:r>
    </w:p>
    <w:p>
      <w:pPr>
        <w:spacing w:line="440" w:lineRule="exact"/>
        <w:contextualSpacing/>
        <w:rPr>
          <w:rFonts w:hint="eastAsia" w:ascii="仿宋" w:hAnsi="仿宋" w:eastAsia="仿宋" w:cs="仿宋_GB2312"/>
          <w:sz w:val="24"/>
          <w:highlight w:val="none"/>
        </w:rPr>
      </w:pPr>
      <w:r>
        <w:rPr>
          <w:rFonts w:hint="eastAsia" w:ascii="仿宋" w:hAnsi="仿宋" w:eastAsia="仿宋" w:cs="仿宋_GB2312"/>
          <w:sz w:val="24"/>
          <w:highlight w:val="none"/>
        </w:rPr>
        <w:t>注：1. 法定代表人必须在授权委托书上亲笔签字或者盖章，委托代理人必须在授权委托书上亲笔签字，</w:t>
      </w:r>
      <w:r>
        <w:rPr>
          <w:rFonts w:hint="eastAsia" w:ascii="仿宋" w:hAnsi="仿宋" w:eastAsia="仿宋" w:cs="仿宋_GB2312"/>
          <w:b/>
          <w:bCs/>
          <w:sz w:val="24"/>
          <w:highlight w:val="none"/>
        </w:rPr>
        <w:t>否则按无效投标处理</w:t>
      </w:r>
      <w:r>
        <w:rPr>
          <w:rFonts w:hint="eastAsia" w:ascii="仿宋" w:hAnsi="仿宋" w:eastAsia="仿宋" w:cs="仿宋_GB2312"/>
          <w:sz w:val="24"/>
          <w:highlight w:val="none"/>
        </w:rPr>
        <w:t>；</w:t>
      </w:r>
    </w:p>
    <w:p>
      <w:pPr>
        <w:spacing w:line="440" w:lineRule="exact"/>
        <w:ind w:firstLine="480" w:firstLineChars="200"/>
        <w:contextualSpacing/>
        <w:jc w:val="left"/>
        <w:rPr>
          <w:rFonts w:hint="eastAsia" w:ascii="仿宋" w:hAnsi="仿宋" w:eastAsia="仿宋" w:cs="仿宋_GB2312"/>
          <w:sz w:val="24"/>
          <w:highlight w:val="none"/>
        </w:rPr>
      </w:pPr>
      <w:r>
        <w:rPr>
          <w:rFonts w:hint="eastAsia" w:ascii="仿宋" w:hAnsi="仿宋" w:eastAsia="仿宋" w:cs="仿宋_GB2312"/>
          <w:sz w:val="24"/>
          <w:highlight w:val="none"/>
        </w:rPr>
        <w:t>2.本授权委托书应由联合体牵头人的法定代表人按上述规定签字。</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cs="仿宋_GB2312"/>
          <w:sz w:val="24"/>
          <w:highlight w:val="none"/>
        </w:rPr>
        <w:t>3</w:t>
      </w:r>
      <w:r>
        <w:rPr>
          <w:rFonts w:ascii="仿宋" w:hAnsi="仿宋" w:eastAsia="仿宋" w:cs="仿宋_GB2312"/>
          <w:sz w:val="24"/>
          <w:highlight w:val="none"/>
        </w:rPr>
        <w:t>.</w:t>
      </w:r>
      <w:r>
        <w:rPr>
          <w:rFonts w:hint="eastAsia" w:ascii="仿宋" w:hAnsi="仿宋" w:eastAsia="仿宋" w:cs="仿宋_GB2312"/>
          <w:sz w:val="24"/>
          <w:highlight w:val="none"/>
        </w:rPr>
        <w:t>法人、其他组织投标时“我方”是指“我单位”，自然人投标时“我方”是指“本人”。</w:t>
      </w:r>
    </w:p>
    <w:p>
      <w:pPr>
        <w:snapToGrid w:val="0"/>
        <w:spacing w:before="50" w:after="120" w:afterLines="50"/>
        <w:ind w:firstLine="480" w:firstLineChars="200"/>
        <w:jc w:val="left"/>
        <w:rPr>
          <w:rFonts w:hint="eastAsia" w:ascii="仿宋" w:hAnsi="仿宋" w:eastAsia="仿宋"/>
          <w:sz w:val="24"/>
          <w:highlight w:val="none"/>
        </w:rPr>
        <w:sectPr>
          <w:footerReference r:id="rId6" w:type="first"/>
          <w:headerReference r:id="rId3" w:type="default"/>
          <w:footerReference r:id="rId4" w:type="default"/>
          <w:footerReference r:id="rId5" w:type="even"/>
          <w:pgSz w:w="11906" w:h="16838"/>
          <w:pgMar w:top="907" w:right="851" w:bottom="907" w:left="851" w:header="680" w:footer="510" w:gutter="0"/>
          <w:pgNumType w:fmt="numberInDash" w:start="0"/>
          <w:cols w:space="720" w:num="1"/>
          <w:titlePg/>
          <w:docGrid w:linePitch="312" w:charSpace="0"/>
        </w:sectPr>
      </w:pPr>
    </w:p>
    <w:p>
      <w:pPr>
        <w:rPr>
          <w:rFonts w:hint="eastAsia" w:ascii="仿宋" w:hAnsi="仿宋" w:eastAsia="仿宋"/>
          <w:b/>
          <w:sz w:val="24"/>
          <w:szCs w:val="20"/>
          <w:highlight w:val="none"/>
        </w:rPr>
      </w:pPr>
      <w:r>
        <w:rPr>
          <w:rFonts w:hint="eastAsia" w:ascii="仿宋" w:hAnsi="仿宋" w:eastAsia="仿宋"/>
          <w:b/>
          <w:sz w:val="24"/>
          <w:highlight w:val="none"/>
        </w:rPr>
        <w:t>6.商务要求偏离表格式（注：按第</w:t>
      </w:r>
      <w:r>
        <w:rPr>
          <w:rFonts w:ascii="仿宋" w:hAnsi="仿宋" w:eastAsia="仿宋"/>
          <w:b/>
          <w:sz w:val="24"/>
          <w:highlight w:val="none"/>
        </w:rPr>
        <w:t>二章</w:t>
      </w:r>
      <w:r>
        <w:rPr>
          <w:rFonts w:hint="eastAsia" w:ascii="仿宋" w:hAnsi="仿宋" w:eastAsia="仿宋"/>
          <w:b/>
          <w:sz w:val="24"/>
          <w:highlight w:val="none"/>
        </w:rPr>
        <w:t>“</w:t>
      </w:r>
      <w:r>
        <w:rPr>
          <w:rFonts w:ascii="仿宋" w:hAnsi="仿宋" w:eastAsia="仿宋"/>
          <w:b/>
          <w:sz w:val="24"/>
          <w:highlight w:val="none"/>
        </w:rPr>
        <w:t>采购需求</w:t>
      </w:r>
      <w:r>
        <w:rPr>
          <w:rFonts w:hint="eastAsia" w:ascii="仿宋" w:hAnsi="仿宋" w:eastAsia="仿宋"/>
          <w:b/>
          <w:sz w:val="24"/>
          <w:highlight w:val="none"/>
        </w:rPr>
        <w:t>”</w:t>
      </w:r>
      <w:r>
        <w:rPr>
          <w:rFonts w:ascii="仿宋" w:hAnsi="仿宋" w:eastAsia="仿宋"/>
          <w:b/>
          <w:sz w:val="24"/>
          <w:highlight w:val="none"/>
        </w:rPr>
        <w:t>的</w:t>
      </w:r>
      <w:r>
        <w:rPr>
          <w:rFonts w:hint="eastAsia" w:ascii="仿宋" w:hAnsi="仿宋" w:eastAsia="仿宋"/>
          <w:b/>
          <w:sz w:val="24"/>
          <w:highlight w:val="none"/>
        </w:rPr>
        <w:t>“</w:t>
      </w:r>
      <w:r>
        <w:rPr>
          <w:rFonts w:ascii="仿宋" w:hAnsi="仿宋" w:eastAsia="仿宋"/>
          <w:b/>
          <w:sz w:val="24"/>
          <w:highlight w:val="none"/>
        </w:rPr>
        <w:t>商务</w:t>
      </w:r>
      <w:r>
        <w:rPr>
          <w:rFonts w:hint="eastAsia" w:ascii="仿宋" w:hAnsi="仿宋" w:eastAsia="仿宋"/>
          <w:b/>
          <w:sz w:val="24"/>
          <w:highlight w:val="none"/>
        </w:rPr>
        <w:t>要求”的</w:t>
      </w:r>
      <w:r>
        <w:rPr>
          <w:rFonts w:ascii="仿宋" w:hAnsi="仿宋" w:eastAsia="仿宋"/>
          <w:b/>
          <w:sz w:val="24"/>
          <w:highlight w:val="none"/>
        </w:rPr>
        <w:t>内容</w:t>
      </w:r>
      <w:r>
        <w:rPr>
          <w:rFonts w:hint="eastAsia" w:ascii="仿宋" w:hAnsi="仿宋" w:eastAsia="仿宋"/>
          <w:b/>
          <w:sz w:val="24"/>
          <w:highlight w:val="none"/>
        </w:rPr>
        <w:t>修改）</w:t>
      </w:r>
    </w:p>
    <w:p>
      <w:pPr>
        <w:snapToGrid w:val="0"/>
        <w:spacing w:before="50"/>
        <w:ind w:right="240"/>
        <w:jc w:val="center"/>
        <w:rPr>
          <w:rFonts w:hint="eastAsia" w:ascii="仿宋" w:hAnsi="仿宋" w:eastAsia="仿宋"/>
          <w:b/>
          <w:sz w:val="28"/>
          <w:highlight w:val="none"/>
        </w:rPr>
      </w:pPr>
    </w:p>
    <w:p>
      <w:pPr>
        <w:snapToGrid w:val="0"/>
        <w:spacing w:before="50"/>
        <w:ind w:right="240"/>
        <w:jc w:val="center"/>
        <w:rPr>
          <w:rFonts w:hint="eastAsia" w:ascii="仿宋" w:hAnsi="仿宋" w:eastAsia="仿宋" w:cs="宋体"/>
          <w:sz w:val="28"/>
          <w:highlight w:val="none"/>
        </w:rPr>
      </w:pPr>
      <w:r>
        <w:rPr>
          <w:rFonts w:hint="eastAsia" w:ascii="仿宋" w:hAnsi="仿宋" w:eastAsia="仿宋"/>
          <w:b/>
          <w:sz w:val="28"/>
          <w:highlight w:val="none"/>
        </w:rPr>
        <w:t>商务要求偏离表</w:t>
      </w:r>
    </w:p>
    <w:p>
      <w:pPr>
        <w:snapToGrid w:val="0"/>
        <w:spacing w:before="50"/>
        <w:ind w:right="240"/>
        <w:jc w:val="center"/>
        <w:rPr>
          <w:rFonts w:hint="eastAsia" w:ascii="仿宋" w:hAnsi="仿宋" w:eastAsia="仿宋"/>
          <w:sz w:val="24"/>
          <w:highlight w:val="none"/>
          <w:u w:val="single"/>
        </w:rPr>
      </w:pPr>
      <w:r>
        <w:rPr>
          <w:rFonts w:hint="eastAsia" w:ascii="仿宋" w:hAnsi="仿宋" w:eastAsia="仿宋" w:cs="宋体"/>
          <w:sz w:val="24"/>
          <w:highlight w:val="none"/>
        </w:rPr>
        <w:t xml:space="preserve">                                                           </w:t>
      </w:r>
      <w:r>
        <w:rPr>
          <w:rFonts w:ascii="仿宋" w:hAnsi="仿宋" w:eastAsia="仿宋" w:cs="宋体"/>
          <w:sz w:val="24"/>
          <w:highlight w:val="none"/>
        </w:rPr>
        <w:t xml:space="preserve">  </w:t>
      </w:r>
    </w:p>
    <w:tbl>
      <w:tblPr>
        <w:tblStyle w:val="51"/>
        <w:tblW w:w="987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2268"/>
        <w:gridCol w:w="2693"/>
        <w:gridCol w:w="2552"/>
        <w:gridCol w:w="15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5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序号</w:t>
            </w: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条款名称</w:t>
            </w: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招标文件商务要求</w:t>
            </w: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投标人的承诺</w:t>
            </w: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3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r>
              <w:rPr>
                <w:rFonts w:hint="eastAsia" w:ascii="仿宋" w:hAnsi="仿宋" w:eastAsia="仿宋"/>
                <w:sz w:val="24"/>
                <w:highlight w:val="none"/>
              </w:rPr>
              <w:t>1</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r>
              <w:rPr>
                <w:rFonts w:hint="eastAsia" w:ascii="仿宋" w:hAnsi="仿宋" w:eastAsia="仿宋"/>
                <w:sz w:val="24"/>
                <w:highlight w:val="none"/>
              </w:rPr>
              <w:t>2</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rPr>
                <w:rFonts w:hint="eastAsia" w:ascii="仿宋" w:hAnsi="仿宋" w:eastAsia="仿宋"/>
                <w:sz w:val="24"/>
                <w:highlight w:val="none"/>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highlight w:val="none"/>
              </w:rPr>
            </w:pPr>
            <w:r>
              <w:rPr>
                <w:rFonts w:hint="eastAsia" w:ascii="仿宋" w:hAnsi="仿宋" w:eastAsia="仿宋" w:cs="宋体"/>
                <w:sz w:val="24"/>
                <w:highlight w:val="none"/>
              </w:rPr>
              <w:t>3</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rPr>
                <w:rFonts w:hint="eastAsia" w:ascii="仿宋" w:hAnsi="仿宋" w:eastAsia="仿宋"/>
                <w:sz w:val="24"/>
                <w:highlight w:val="none"/>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9"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ascii="仿宋" w:hAnsi="仿宋" w:eastAsia="仿宋"/>
                <w:sz w:val="24"/>
                <w:highlight w:val="none"/>
              </w:rPr>
              <w:t>…</w:t>
            </w: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w:t>
            </w: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r>
    </w:tbl>
    <w:p>
      <w:pPr>
        <w:pStyle w:val="18"/>
        <w:rPr>
          <w:rFonts w:hint="eastAsia" w:ascii="仿宋" w:hAnsi="仿宋" w:eastAsia="仿宋"/>
          <w:highlight w:val="none"/>
        </w:rPr>
      </w:pPr>
      <w:r>
        <w:rPr>
          <w:rFonts w:hint="eastAsia" w:ascii="仿宋" w:hAnsi="仿宋" w:eastAsia="仿宋"/>
          <w:highlight w:val="none"/>
        </w:rPr>
        <w:t>注：</w:t>
      </w:r>
    </w:p>
    <w:p>
      <w:pPr>
        <w:pStyle w:val="19"/>
        <w:spacing w:line="520" w:lineRule="exact"/>
        <w:ind w:firstLine="0" w:firstLineChars="0"/>
        <w:rPr>
          <w:rFonts w:hint="eastAsia" w:ascii="仿宋" w:hAnsi="仿宋" w:eastAsia="仿宋" w:cs="仿宋_GB2312"/>
          <w:szCs w:val="32"/>
          <w:highlight w:val="none"/>
        </w:rPr>
      </w:pPr>
      <w:r>
        <w:rPr>
          <w:rFonts w:hint="eastAsia" w:ascii="仿宋" w:hAnsi="仿宋" w:eastAsia="仿宋"/>
          <w:sz w:val="24"/>
          <w:szCs w:val="24"/>
          <w:highlight w:val="none"/>
        </w:rPr>
        <w:t>1.</w:t>
      </w:r>
      <w:r>
        <w:rPr>
          <w:rFonts w:hint="eastAsia" w:ascii="仿宋" w:hAnsi="仿宋" w:eastAsia="仿宋"/>
          <w:highlight w:val="none"/>
        </w:rPr>
        <w:t xml:space="preserve"> </w:t>
      </w:r>
      <w:r>
        <w:rPr>
          <w:rFonts w:hint="eastAsia" w:ascii="仿宋" w:hAnsi="仿宋" w:eastAsia="仿宋"/>
          <w:sz w:val="24"/>
          <w:szCs w:val="24"/>
          <w:highlight w:val="none"/>
        </w:rPr>
        <w:t>说明：应对照招标文件“第二章 采购需求”中 “二、商务要求”内容逐条作明确的投标响应，并作出偏离说明。</w:t>
      </w:r>
    </w:p>
    <w:p>
      <w:pPr>
        <w:pStyle w:val="18"/>
        <w:rPr>
          <w:rFonts w:hint="eastAsia" w:ascii="仿宋" w:hAnsi="仿宋" w:eastAsia="仿宋"/>
          <w:b w:val="0"/>
          <w:bCs w:val="0"/>
          <w:highlight w:val="none"/>
        </w:rPr>
      </w:pPr>
      <w:r>
        <w:rPr>
          <w:rFonts w:ascii="仿宋" w:hAnsi="仿宋" w:eastAsia="仿宋"/>
          <w:b w:val="0"/>
          <w:bCs w:val="0"/>
          <w:highlight w:val="none"/>
        </w:rPr>
        <w:t>2.</w:t>
      </w:r>
      <w:r>
        <w:rPr>
          <w:rFonts w:hint="eastAsia" w:ascii="仿宋" w:hAnsi="仿宋" w:eastAsia="仿宋"/>
          <w:b w:val="0"/>
          <w:bCs w:val="0"/>
          <w:highlight w:val="none"/>
        </w:rPr>
        <w:t>投标人应根据自身的承诺，对照招标文件要求在“偏离说明”中注明“</w:t>
      </w:r>
      <w:r>
        <w:rPr>
          <w:rFonts w:hint="eastAsia" w:ascii="仿宋" w:hAnsi="仿宋" w:eastAsia="仿宋"/>
          <w:highlight w:val="none"/>
        </w:rPr>
        <w:t>正偏离</w:t>
      </w:r>
      <w:r>
        <w:rPr>
          <w:rFonts w:hint="eastAsia" w:ascii="仿宋" w:hAnsi="仿宋" w:eastAsia="仿宋"/>
          <w:b w:val="0"/>
          <w:bCs w:val="0"/>
          <w:highlight w:val="none"/>
        </w:rPr>
        <w:t>”、“</w:t>
      </w:r>
      <w:r>
        <w:rPr>
          <w:rFonts w:hint="eastAsia" w:ascii="仿宋" w:hAnsi="仿宋" w:eastAsia="仿宋"/>
          <w:highlight w:val="none"/>
        </w:rPr>
        <w:t>负偏离</w:t>
      </w:r>
      <w:r>
        <w:rPr>
          <w:rFonts w:hint="eastAsia" w:ascii="仿宋" w:hAnsi="仿宋" w:eastAsia="仿宋"/>
          <w:b w:val="0"/>
          <w:bCs w:val="0"/>
          <w:highlight w:val="none"/>
        </w:rPr>
        <w:t>”或者“</w:t>
      </w:r>
      <w:r>
        <w:rPr>
          <w:rFonts w:hint="eastAsia" w:ascii="仿宋" w:hAnsi="仿宋" w:eastAsia="仿宋"/>
          <w:highlight w:val="none"/>
        </w:rPr>
        <w:t>无偏离</w:t>
      </w:r>
      <w:r>
        <w:rPr>
          <w:rFonts w:hint="eastAsia" w:ascii="仿宋" w:hAnsi="仿宋" w:eastAsia="仿宋"/>
          <w:b w:val="0"/>
          <w:bCs w:val="0"/>
          <w:highlight w:val="none"/>
        </w:rPr>
        <w:t>”。既不属于“</w:t>
      </w:r>
      <w:r>
        <w:rPr>
          <w:rFonts w:hint="eastAsia" w:ascii="仿宋" w:hAnsi="仿宋" w:eastAsia="仿宋"/>
          <w:highlight w:val="none"/>
        </w:rPr>
        <w:t>正偏离</w:t>
      </w:r>
      <w:r>
        <w:rPr>
          <w:rFonts w:hint="eastAsia" w:ascii="仿宋" w:hAnsi="仿宋" w:eastAsia="仿宋"/>
          <w:b w:val="0"/>
          <w:bCs w:val="0"/>
          <w:highlight w:val="none"/>
        </w:rPr>
        <w:t>”也不属于“</w:t>
      </w:r>
      <w:r>
        <w:rPr>
          <w:rFonts w:hint="eastAsia" w:ascii="仿宋" w:hAnsi="仿宋" w:eastAsia="仿宋"/>
          <w:highlight w:val="none"/>
        </w:rPr>
        <w:t>负偏离</w:t>
      </w:r>
      <w:r>
        <w:rPr>
          <w:rFonts w:hint="eastAsia" w:ascii="仿宋" w:hAnsi="仿宋" w:eastAsia="仿宋"/>
          <w:b w:val="0"/>
          <w:bCs w:val="0"/>
          <w:highlight w:val="none"/>
        </w:rPr>
        <w:t>”即为“</w:t>
      </w:r>
      <w:r>
        <w:rPr>
          <w:rFonts w:hint="eastAsia" w:ascii="仿宋" w:hAnsi="仿宋" w:eastAsia="仿宋"/>
          <w:highlight w:val="none"/>
        </w:rPr>
        <w:t>无偏离</w:t>
      </w:r>
      <w:r>
        <w:rPr>
          <w:rFonts w:hint="eastAsia" w:ascii="仿宋" w:hAnsi="仿宋" w:eastAsia="仿宋"/>
          <w:b w:val="0"/>
          <w:bCs w:val="0"/>
          <w:highlight w:val="none"/>
        </w:rPr>
        <w:t>”。</w:t>
      </w:r>
    </w:p>
    <w:p>
      <w:pPr>
        <w:snapToGrid w:val="0"/>
        <w:spacing w:before="50" w:after="50"/>
        <w:rPr>
          <w:rFonts w:hint="eastAsia" w:ascii="仿宋" w:hAnsi="仿宋" w:eastAsia="仿宋"/>
          <w:sz w:val="24"/>
          <w:highlight w:val="none"/>
        </w:rPr>
      </w:pPr>
    </w:p>
    <w:p>
      <w:pPr>
        <w:snapToGrid w:val="0"/>
        <w:spacing w:before="50" w:after="50"/>
        <w:rPr>
          <w:rFonts w:hint="eastAsia" w:ascii="仿宋" w:hAnsi="仿宋" w:eastAsia="仿宋"/>
          <w:sz w:val="24"/>
          <w:highlight w:val="none"/>
        </w:rPr>
      </w:pPr>
    </w:p>
    <w:p>
      <w:pPr>
        <w:snapToGrid w:val="0"/>
        <w:spacing w:before="50" w:after="50"/>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u w:val="single"/>
        </w:rPr>
        <w:t xml:space="preserve">        </w:t>
      </w:r>
    </w:p>
    <w:p>
      <w:pPr>
        <w:snapToGrid w:val="0"/>
        <w:spacing w:before="120" w:beforeLines="50"/>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120" w:beforeLines="50"/>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r>
        <w:rPr>
          <w:rFonts w:ascii="仿宋" w:hAnsi="仿宋" w:eastAsia="仿宋"/>
          <w:spacing w:val="20"/>
          <w:sz w:val="24"/>
          <w:highlight w:val="none"/>
          <w:u w:val="single"/>
        </w:rPr>
        <w:t xml:space="preserve">   </w:t>
      </w:r>
      <w:r>
        <w:rPr>
          <w:rFonts w:hint="eastAsia" w:ascii="仿宋" w:hAnsi="仿宋" w:eastAsia="仿宋"/>
          <w:spacing w:val="20"/>
          <w:sz w:val="24"/>
          <w:highlight w:val="none"/>
          <w:u w:val="single"/>
        </w:rPr>
        <w:t xml:space="preserve">    </w:t>
      </w:r>
    </w:p>
    <w:p>
      <w:pPr>
        <w:snapToGrid w:val="0"/>
        <w:spacing w:before="120" w:beforeLines="50"/>
        <w:rPr>
          <w:rFonts w:hint="eastAsia" w:ascii="仿宋" w:hAnsi="仿宋" w:eastAsia="仿宋"/>
          <w:sz w:val="24"/>
          <w:szCs w:val="20"/>
          <w:highlight w:val="none"/>
        </w:rPr>
      </w:pPr>
    </w:p>
    <w:p>
      <w:pPr>
        <w:snapToGrid w:val="0"/>
        <w:spacing w:before="120" w:beforeLines="50" w:after="50"/>
        <w:jc w:val="left"/>
        <w:rPr>
          <w:rFonts w:hint="eastAsia" w:ascii="仿宋" w:hAnsi="仿宋" w:eastAsia="仿宋"/>
          <w:sz w:val="24"/>
          <w:szCs w:val="20"/>
          <w:highlight w:val="none"/>
        </w:rPr>
      </w:pPr>
    </w:p>
    <w:p>
      <w:pPr>
        <w:snapToGrid w:val="0"/>
        <w:spacing w:before="120" w:beforeLines="50" w:after="50"/>
        <w:jc w:val="left"/>
        <w:rPr>
          <w:rFonts w:hint="eastAsia" w:ascii="仿宋" w:hAnsi="仿宋" w:eastAsia="仿宋"/>
          <w:sz w:val="24"/>
          <w:szCs w:val="20"/>
          <w:highlight w:val="none"/>
        </w:rPr>
      </w:pPr>
    </w:p>
    <w:p>
      <w:pPr>
        <w:rPr>
          <w:rFonts w:hint="eastAsia" w:ascii="仿宋" w:hAnsi="仿宋" w:eastAsia="仿宋"/>
          <w:sz w:val="24"/>
          <w:szCs w:val="20"/>
          <w:highlight w:val="none"/>
        </w:rPr>
      </w:pPr>
    </w:p>
    <w:p>
      <w:pPr>
        <w:rPr>
          <w:rFonts w:hint="eastAsia" w:ascii="仿宋" w:hAnsi="仿宋" w:eastAsia="仿宋"/>
          <w:sz w:val="24"/>
          <w:szCs w:val="20"/>
          <w:highlight w:val="none"/>
        </w:rPr>
      </w:pPr>
    </w:p>
    <w:p>
      <w:pPr>
        <w:rPr>
          <w:rFonts w:hint="eastAsia" w:ascii="仿宋" w:hAnsi="仿宋" w:eastAsia="仿宋"/>
          <w:sz w:val="24"/>
          <w:szCs w:val="20"/>
          <w:highlight w:val="none"/>
        </w:rPr>
      </w:pPr>
    </w:p>
    <w:p>
      <w:pPr>
        <w:rPr>
          <w:rFonts w:hint="eastAsia" w:ascii="仿宋" w:hAnsi="仿宋" w:eastAsia="仿宋"/>
          <w:sz w:val="24"/>
          <w:szCs w:val="20"/>
          <w:highlight w:val="none"/>
        </w:rPr>
      </w:pPr>
    </w:p>
    <w:p>
      <w:pPr>
        <w:snapToGrid w:val="0"/>
        <w:spacing w:before="120" w:beforeLines="50" w:after="50"/>
        <w:jc w:val="left"/>
        <w:rPr>
          <w:rFonts w:hint="eastAsia" w:ascii="仿宋" w:hAnsi="仿宋" w:eastAsia="仿宋"/>
          <w:b/>
          <w:sz w:val="24"/>
          <w:highlight w:val="none"/>
        </w:rPr>
      </w:pPr>
      <w:r>
        <w:rPr>
          <w:rFonts w:ascii="仿宋" w:hAnsi="仿宋" w:eastAsia="仿宋"/>
          <w:sz w:val="24"/>
          <w:szCs w:val="20"/>
          <w:highlight w:val="none"/>
        </w:rPr>
        <w:br w:type="page"/>
      </w:r>
      <w:r>
        <w:rPr>
          <w:rFonts w:hint="eastAsia" w:ascii="仿宋" w:hAnsi="仿宋" w:eastAsia="仿宋"/>
          <w:b/>
          <w:sz w:val="24"/>
          <w:highlight w:val="none"/>
        </w:rPr>
        <w:t>7.投标人业绩证明材料</w:t>
      </w:r>
    </w:p>
    <w:p>
      <w:pPr>
        <w:pStyle w:val="34"/>
        <w:snapToGrid w:val="0"/>
        <w:ind w:left="480" w:hanging="480"/>
        <w:rPr>
          <w:rFonts w:hint="eastAsia" w:ascii="仿宋" w:hAnsi="仿宋" w:eastAsia="仿宋"/>
          <w:sz w:val="24"/>
          <w:highlight w:val="none"/>
        </w:rPr>
      </w:pPr>
      <w:r>
        <w:rPr>
          <w:rFonts w:hint="eastAsia" w:ascii="仿宋" w:hAnsi="仿宋" w:eastAsia="仿宋"/>
          <w:sz w:val="24"/>
          <w:highlight w:val="none"/>
        </w:rPr>
        <w:t xml:space="preserve">投标人业绩情况一览表格式： </w:t>
      </w:r>
    </w:p>
    <w:p>
      <w:pPr>
        <w:snapToGrid w:val="0"/>
        <w:spacing w:before="50"/>
        <w:ind w:right="240"/>
        <w:jc w:val="center"/>
        <w:rPr>
          <w:rFonts w:hint="eastAsia" w:ascii="仿宋" w:hAnsi="仿宋" w:eastAsia="仿宋"/>
          <w:sz w:val="24"/>
          <w:highlight w:val="none"/>
        </w:rPr>
      </w:pPr>
      <w:r>
        <w:rPr>
          <w:rFonts w:hint="eastAsia" w:ascii="仿宋" w:hAnsi="仿宋" w:eastAsia="仿宋"/>
          <w:b/>
          <w:sz w:val="28"/>
          <w:highlight w:val="none"/>
        </w:rPr>
        <w:t>业绩情况一览表</w:t>
      </w:r>
    </w:p>
    <w:p>
      <w:pPr>
        <w:snapToGrid w:val="0"/>
        <w:spacing w:before="50"/>
        <w:ind w:right="240" w:firstLine="3840" w:firstLineChars="1600"/>
        <w:jc w:val="center"/>
        <w:rPr>
          <w:rFonts w:hint="eastAsia" w:ascii="仿宋" w:hAnsi="仿宋" w:eastAsia="仿宋"/>
          <w:sz w:val="24"/>
          <w:highlight w:val="none"/>
          <w:u w:val="single"/>
        </w:rPr>
      </w:pPr>
      <w:r>
        <w:rPr>
          <w:rFonts w:hint="eastAsia" w:ascii="仿宋" w:hAnsi="仿宋" w:eastAsia="仿宋" w:cs="宋体"/>
          <w:sz w:val="24"/>
          <w:highlight w:val="none"/>
        </w:rPr>
        <w:t xml:space="preserve">             </w:t>
      </w:r>
      <w:r>
        <w:rPr>
          <w:rFonts w:ascii="仿宋" w:hAnsi="仿宋" w:eastAsia="仿宋" w:cs="宋体"/>
          <w:sz w:val="24"/>
          <w:highlight w:val="none"/>
        </w:rPr>
        <w:t xml:space="preserve">       </w:t>
      </w:r>
      <w:r>
        <w:rPr>
          <w:rFonts w:hint="eastAsia" w:ascii="仿宋" w:hAnsi="仿宋" w:eastAsia="仿宋" w:cs="宋体"/>
          <w:sz w:val="24"/>
          <w:highlight w:val="none"/>
        </w:rPr>
        <w:t xml:space="preserve"> </w:t>
      </w:r>
      <w:r>
        <w:rPr>
          <w:rFonts w:ascii="仿宋" w:hAnsi="仿宋" w:eastAsia="仿宋" w:cs="宋体"/>
          <w:sz w:val="24"/>
          <w:highlight w:val="none"/>
        </w:rPr>
        <w:t xml:space="preserve">  </w:t>
      </w:r>
    </w:p>
    <w:tbl>
      <w:tblPr>
        <w:tblStyle w:val="51"/>
        <w:tblW w:w="950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559"/>
        <w:gridCol w:w="2977"/>
        <w:gridCol w:w="2268"/>
        <w:gridCol w:w="19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87"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序号</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采购人名称</w:t>
            </w:r>
          </w:p>
        </w:tc>
        <w:tc>
          <w:tcPr>
            <w:tcW w:w="297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项目名称</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合同金额</w:t>
            </w:r>
          </w:p>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（万元）</w:t>
            </w:r>
          </w:p>
        </w:tc>
        <w:tc>
          <w:tcPr>
            <w:tcW w:w="199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采购人联系人及</w:t>
            </w:r>
          </w:p>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36"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1</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r>
              <w:rPr>
                <w:rFonts w:hint="eastAsia" w:ascii="仿宋" w:hAnsi="仿宋" w:eastAsia="仿宋"/>
                <w:sz w:val="24"/>
                <w:highlight w:val="none"/>
              </w:rPr>
              <w:t>2</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r>
              <w:rPr>
                <w:rFonts w:hint="eastAsia" w:ascii="仿宋" w:hAnsi="仿宋" w:eastAsia="仿宋"/>
                <w:sz w:val="24"/>
                <w:highlight w:val="none"/>
              </w:rPr>
              <w:t>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r>
              <w:rPr>
                <w:rFonts w:ascii="仿宋" w:hAnsi="仿宋" w:eastAsia="仿宋"/>
                <w:sz w:val="24"/>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r>
    </w:tbl>
    <w:p>
      <w:pPr>
        <w:pStyle w:val="16"/>
        <w:spacing w:before="0" w:after="0" w:line="360" w:lineRule="auto"/>
        <w:contextualSpacing/>
        <w:rPr>
          <w:rFonts w:hint="eastAsia" w:ascii="仿宋" w:hAnsi="仿宋" w:eastAsia="仿宋"/>
          <w:sz w:val="24"/>
          <w:szCs w:val="24"/>
          <w:highlight w:val="none"/>
        </w:rPr>
      </w:pPr>
    </w:p>
    <w:p>
      <w:pPr>
        <w:pStyle w:val="16"/>
        <w:spacing w:before="0" w:after="0" w:line="360" w:lineRule="auto"/>
        <w:contextualSpacing/>
        <w:rPr>
          <w:rFonts w:hint="eastAsia" w:ascii="仿宋" w:hAnsi="仿宋" w:eastAsia="仿宋"/>
          <w:sz w:val="24"/>
          <w:szCs w:val="24"/>
          <w:highlight w:val="none"/>
        </w:rPr>
      </w:pPr>
      <w:r>
        <w:rPr>
          <w:rFonts w:hint="eastAsia" w:ascii="仿宋" w:hAnsi="仿宋" w:eastAsia="仿宋"/>
          <w:sz w:val="24"/>
          <w:szCs w:val="24"/>
          <w:highlight w:val="none"/>
        </w:rPr>
        <w:t>注：</w:t>
      </w:r>
      <w:r>
        <w:rPr>
          <w:rFonts w:hint="eastAsia" w:ascii="仿宋" w:hAnsi="仿宋" w:eastAsia="仿宋"/>
          <w:sz w:val="24"/>
          <w:highlight w:val="none"/>
        </w:rPr>
        <w:t>投标人根据评标标准具体要求附业绩证明材料。</w:t>
      </w:r>
    </w:p>
    <w:p>
      <w:pPr>
        <w:pStyle w:val="16"/>
        <w:spacing w:before="0" w:after="0" w:line="360" w:lineRule="auto"/>
        <w:contextualSpacing/>
        <w:jc w:val="left"/>
        <w:rPr>
          <w:rFonts w:hint="eastAsia" w:ascii="仿宋" w:hAnsi="仿宋" w:eastAsia="仿宋"/>
          <w:sz w:val="24"/>
          <w:szCs w:val="24"/>
          <w:highlight w:val="none"/>
        </w:rPr>
      </w:pPr>
    </w:p>
    <w:p>
      <w:pPr>
        <w:pStyle w:val="16"/>
        <w:spacing w:before="0" w:after="0" w:line="360" w:lineRule="auto"/>
        <w:contextualSpacing/>
        <w:jc w:val="left"/>
        <w:rPr>
          <w:rFonts w:hint="eastAsia" w:ascii="仿宋" w:hAnsi="仿宋" w:eastAsia="仿宋"/>
          <w:sz w:val="24"/>
          <w:szCs w:val="24"/>
          <w:highlight w:val="none"/>
        </w:rPr>
      </w:pPr>
    </w:p>
    <w:p>
      <w:pPr>
        <w:pStyle w:val="16"/>
        <w:spacing w:before="0" w:after="0" w:line="360" w:lineRule="auto"/>
        <w:contextualSpacing/>
        <w:jc w:val="left"/>
        <w:rPr>
          <w:rFonts w:hint="eastAsia" w:ascii="仿宋" w:hAnsi="仿宋" w:eastAsia="仿宋"/>
          <w:sz w:val="24"/>
          <w:szCs w:val="24"/>
          <w:highlight w:val="none"/>
          <w:u w:val="single"/>
        </w:rPr>
      </w:pPr>
      <w:r>
        <w:rPr>
          <w:rFonts w:hint="eastAsia" w:ascii="仿宋" w:hAnsi="仿宋" w:eastAsia="仿宋"/>
          <w:sz w:val="24"/>
          <w:szCs w:val="24"/>
          <w:highlight w:val="none"/>
        </w:rPr>
        <w:t>法定代表人或者委托代理人（签字）：</w:t>
      </w:r>
      <w:r>
        <w:rPr>
          <w:rFonts w:hint="eastAsia" w:ascii="仿宋" w:hAnsi="仿宋" w:eastAsia="仿宋"/>
          <w:sz w:val="24"/>
          <w:szCs w:val="24"/>
          <w:highlight w:val="none"/>
          <w:u w:val="single"/>
        </w:rPr>
        <w:t>　　　　　</w:t>
      </w:r>
    </w:p>
    <w:p>
      <w:pPr>
        <w:spacing w:line="360" w:lineRule="auto"/>
        <w:ind w:left="1200" w:right="480" w:hanging="1200" w:hangingChars="500"/>
        <w:contextualSpacing/>
        <w:jc w:val="left"/>
        <w:rPr>
          <w:rFonts w:hint="eastAsia" w:ascii="仿宋" w:hAnsi="仿宋" w:eastAsia="仿宋"/>
          <w:sz w:val="24"/>
          <w:szCs w:val="20"/>
          <w:highlight w:val="none"/>
        </w:rPr>
      </w:pPr>
      <w:r>
        <w:rPr>
          <w:rFonts w:hint="eastAsia" w:ascii="仿宋" w:hAnsi="仿宋" w:eastAsia="仿宋" w:cs="Arial"/>
          <w:sz w:val="24"/>
          <w:highlight w:val="none"/>
        </w:rPr>
        <w:t xml:space="preserve">投标人（盖公章）：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50"/>
        <w:jc w:val="left"/>
        <w:rPr>
          <w:rFonts w:hint="eastAsia" w:ascii="仿宋" w:hAnsi="仿宋" w:eastAsia="仿宋"/>
          <w:sz w:val="24"/>
          <w:szCs w:val="20"/>
          <w:highlight w:val="none"/>
        </w:rPr>
      </w:pPr>
      <w:r>
        <w:rPr>
          <w:rFonts w:hint="eastAsia" w:ascii="仿宋" w:hAnsi="仿宋" w:eastAsia="仿宋"/>
          <w:sz w:val="24"/>
          <w:szCs w:val="20"/>
          <w:highlight w:val="none"/>
        </w:rPr>
        <w:t>日期：</w:t>
      </w:r>
      <w:r>
        <w:rPr>
          <w:rFonts w:hint="eastAsia" w:ascii="仿宋" w:hAnsi="仿宋" w:eastAsia="仿宋"/>
          <w:sz w:val="24"/>
          <w:highlight w:val="none"/>
          <w:u w:val="single"/>
        </w:rPr>
        <w:t xml:space="preserve">                </w:t>
      </w:r>
    </w:p>
    <w:p>
      <w:pPr>
        <w:snapToGrid w:val="0"/>
        <w:spacing w:before="50"/>
        <w:jc w:val="left"/>
        <w:rPr>
          <w:rFonts w:hint="eastAsia" w:ascii="仿宋" w:hAnsi="仿宋" w:eastAsia="仿宋"/>
          <w:sz w:val="24"/>
          <w:highlight w:val="none"/>
        </w:rPr>
      </w:pPr>
    </w:p>
    <w:p>
      <w:pPr>
        <w:snapToGrid w:val="0"/>
        <w:spacing w:before="120" w:beforeLines="50"/>
        <w:rPr>
          <w:rFonts w:hint="eastAsia" w:ascii="仿宋" w:hAnsi="仿宋" w:eastAsia="仿宋"/>
          <w:sz w:val="24"/>
          <w:szCs w:val="20"/>
          <w:highlight w:val="none"/>
        </w:rPr>
        <w:sectPr>
          <w:pgSz w:w="11906" w:h="16838"/>
          <w:pgMar w:top="907" w:right="851" w:bottom="907" w:left="851" w:header="851" w:footer="510" w:gutter="0"/>
          <w:pgNumType w:fmt="numberInDash"/>
          <w:cols w:space="720" w:num="1"/>
          <w:docGrid w:linePitch="312" w:charSpace="0"/>
        </w:sectPr>
      </w:pPr>
    </w:p>
    <w:p>
      <w:pPr>
        <w:rPr>
          <w:rFonts w:hint="eastAsia" w:ascii="仿宋" w:hAnsi="仿宋" w:eastAsia="仿宋"/>
          <w:b/>
          <w:sz w:val="28"/>
          <w:szCs w:val="28"/>
          <w:highlight w:val="none"/>
        </w:rPr>
      </w:pPr>
      <w:r>
        <w:rPr>
          <w:rFonts w:hint="eastAsia" w:ascii="仿宋" w:hAnsi="仿宋" w:eastAsia="仿宋"/>
          <w:b/>
          <w:sz w:val="28"/>
          <w:szCs w:val="28"/>
          <w:highlight w:val="none"/>
        </w:rPr>
        <w:t>四、技术文件格式</w:t>
      </w:r>
    </w:p>
    <w:p>
      <w:pPr>
        <w:snapToGrid w:val="0"/>
        <w:spacing w:before="120" w:beforeLines="50" w:after="50"/>
        <w:ind w:left="142"/>
        <w:jc w:val="left"/>
        <w:rPr>
          <w:rFonts w:hint="eastAsia" w:ascii="仿宋" w:hAnsi="仿宋" w:eastAsia="仿宋"/>
          <w:b/>
          <w:sz w:val="24"/>
          <w:highlight w:val="none"/>
        </w:rPr>
      </w:pPr>
      <w:r>
        <w:rPr>
          <w:rFonts w:hint="eastAsia" w:ascii="仿宋" w:hAnsi="仿宋" w:eastAsia="仿宋"/>
          <w:b/>
          <w:sz w:val="24"/>
          <w:highlight w:val="none"/>
        </w:rPr>
        <w:t xml:space="preserve">1. 技术文件封面格式： </w:t>
      </w:r>
    </w:p>
    <w:p>
      <w:pPr>
        <w:snapToGrid w:val="0"/>
        <w:spacing w:before="120" w:beforeLines="50" w:after="50"/>
        <w:rPr>
          <w:rFonts w:hint="eastAsia" w:ascii="仿宋" w:hAnsi="仿宋" w:eastAsia="仿宋"/>
          <w:b/>
          <w:bCs/>
          <w:sz w:val="32"/>
          <w:szCs w:val="20"/>
          <w:highlight w:val="none"/>
        </w:rPr>
      </w:pPr>
      <w:r>
        <w:rPr>
          <w:rFonts w:hint="eastAsia" w:ascii="仿宋" w:hAnsi="仿宋" w:eastAsia="仿宋"/>
          <w:sz w:val="24"/>
          <w:highlight w:val="none"/>
        </w:rPr>
        <w:t xml:space="preserve">                                                   </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b/>
          <w:bCs/>
          <w:sz w:val="32"/>
          <w:szCs w:val="32"/>
          <w:highlight w:val="none"/>
        </w:rPr>
      </w:pPr>
      <w:r>
        <w:rPr>
          <w:rFonts w:hint="eastAsia" w:ascii="仿宋" w:hAnsi="仿宋" w:eastAsia="仿宋"/>
          <w:b/>
          <w:bCs/>
          <w:sz w:val="32"/>
          <w:szCs w:val="32"/>
          <w:highlight w:val="none"/>
        </w:rPr>
        <w:t>技  术  文  件</w:t>
      </w: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项目名称： </w:t>
      </w:r>
    </w:p>
    <w:p>
      <w:pPr>
        <w:snapToGrid w:val="0"/>
        <w:spacing w:before="120" w:beforeLines="50" w:after="50" w:line="400" w:lineRule="exact"/>
        <w:ind w:firstLine="360" w:firstLineChars="150"/>
        <w:rPr>
          <w:rFonts w:hint="eastAsia" w:ascii="仿宋" w:hAnsi="仿宋" w:eastAsia="仿宋"/>
          <w:bCs/>
          <w:sz w:val="24"/>
          <w:szCs w:val="20"/>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项目编号： </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投标人名称：</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rPr>
          <w:rFonts w:hint="eastAsia" w:ascii="仿宋" w:hAnsi="仿宋" w:eastAsia="仿宋"/>
          <w:bCs/>
          <w:sz w:val="24"/>
          <w:highlight w:val="none"/>
        </w:rPr>
      </w:pPr>
    </w:p>
    <w:p>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 xml:space="preserve">               </w:t>
      </w:r>
    </w:p>
    <w:p>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年    月    日</w:t>
      </w:r>
    </w:p>
    <w:p>
      <w:pPr>
        <w:snapToGrid w:val="0"/>
        <w:spacing w:before="120" w:beforeLines="50" w:after="50"/>
        <w:ind w:firstLine="645"/>
        <w:jc w:val="center"/>
        <w:rPr>
          <w:rFonts w:hint="eastAsia" w:ascii="仿宋" w:hAnsi="仿宋" w:eastAsia="仿宋"/>
          <w:sz w:val="24"/>
          <w:szCs w:val="20"/>
          <w:highlight w:val="none"/>
        </w:rPr>
      </w:pPr>
    </w:p>
    <w:p>
      <w:pPr>
        <w:snapToGrid w:val="0"/>
        <w:spacing w:before="120" w:beforeLines="50" w:after="50"/>
        <w:ind w:left="142"/>
        <w:jc w:val="left"/>
        <w:rPr>
          <w:rFonts w:hint="eastAsia" w:ascii="仿宋" w:hAnsi="仿宋" w:eastAsia="仿宋"/>
          <w:b/>
          <w:bCs/>
          <w:sz w:val="24"/>
          <w:highlight w:val="none"/>
        </w:rPr>
      </w:pPr>
      <w:r>
        <w:rPr>
          <w:rFonts w:ascii="仿宋" w:hAnsi="仿宋" w:eastAsia="仿宋"/>
          <w:b/>
          <w:bCs/>
          <w:sz w:val="24"/>
          <w:highlight w:val="none"/>
        </w:rPr>
        <w:br w:type="page"/>
      </w:r>
      <w:r>
        <w:rPr>
          <w:rFonts w:hint="eastAsia" w:ascii="仿宋" w:hAnsi="仿宋" w:eastAsia="仿宋"/>
          <w:b/>
          <w:bCs/>
          <w:sz w:val="24"/>
          <w:highlight w:val="none"/>
        </w:rPr>
        <w:t>2.技术文件目录</w:t>
      </w:r>
    </w:p>
    <w:p>
      <w:pPr>
        <w:snapToGrid w:val="0"/>
        <w:spacing w:before="50" w:after="120" w:afterLines="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根据招标文件规定及投标人提供的材料自行编写目录。</w:t>
      </w: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3. 技术要求偏离表格式</w:t>
      </w:r>
    </w:p>
    <w:p>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技术要求偏离表</w:t>
      </w:r>
    </w:p>
    <w:tbl>
      <w:tblPr>
        <w:tblStyle w:val="51"/>
        <w:tblW w:w="9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837"/>
        <w:gridCol w:w="2551"/>
        <w:gridCol w:w="24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852"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项号</w:t>
            </w:r>
          </w:p>
        </w:tc>
        <w:tc>
          <w:tcPr>
            <w:tcW w:w="1837"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标的名称</w:t>
            </w:r>
          </w:p>
        </w:tc>
        <w:tc>
          <w:tcPr>
            <w:tcW w:w="2551"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招标文件技术要求</w:t>
            </w:r>
          </w:p>
        </w:tc>
        <w:tc>
          <w:tcPr>
            <w:tcW w:w="2410"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投标响应内容</w:t>
            </w:r>
          </w:p>
        </w:tc>
        <w:tc>
          <w:tcPr>
            <w:tcW w:w="1701"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1</w:t>
            </w:r>
          </w:p>
        </w:tc>
        <w:tc>
          <w:tcPr>
            <w:tcW w:w="1837" w:type="dxa"/>
            <w:vAlign w:val="center"/>
          </w:tcPr>
          <w:p>
            <w:pPr>
              <w:pStyle w:val="24"/>
              <w:spacing w:before="0" w:after="0" w:line="400" w:lineRule="exact"/>
              <w:ind w:firstLine="0" w:firstLineChars="0"/>
              <w:jc w:val="center"/>
              <w:rPr>
                <w:rFonts w:hint="eastAsia"/>
                <w:b w:val="0"/>
                <w:highlight w:val="none"/>
              </w:rPr>
            </w:pPr>
          </w:p>
        </w:tc>
        <w:tc>
          <w:tcPr>
            <w:tcW w:w="2551" w:type="dxa"/>
            <w:vAlign w:val="center"/>
          </w:tcPr>
          <w:p>
            <w:pPr>
              <w:pStyle w:val="24"/>
              <w:spacing w:before="0" w:after="0" w:line="400" w:lineRule="exact"/>
              <w:ind w:firstLine="0" w:firstLineChars="0"/>
              <w:jc w:val="center"/>
              <w:rPr>
                <w:rFonts w:hint="eastAsia"/>
                <w:b w:val="0"/>
                <w:highlight w:val="none"/>
              </w:rPr>
            </w:pPr>
          </w:p>
        </w:tc>
        <w:tc>
          <w:tcPr>
            <w:tcW w:w="2410" w:type="dxa"/>
            <w:vAlign w:val="center"/>
          </w:tcPr>
          <w:p>
            <w:pPr>
              <w:pStyle w:val="24"/>
              <w:spacing w:before="0" w:after="0" w:line="400" w:lineRule="exact"/>
              <w:ind w:firstLine="0" w:firstLineChars="0"/>
              <w:jc w:val="center"/>
              <w:rPr>
                <w:rFonts w:hint="eastAsia"/>
                <w:b w:val="0"/>
                <w:highlight w:val="none"/>
              </w:rPr>
            </w:pPr>
          </w:p>
        </w:tc>
        <w:tc>
          <w:tcPr>
            <w:tcW w:w="1701" w:type="dxa"/>
            <w:vAlign w:val="center"/>
          </w:tcPr>
          <w:p>
            <w:pPr>
              <w:pStyle w:val="24"/>
              <w:spacing w:before="0" w:after="0" w:line="400" w:lineRule="exact"/>
              <w:ind w:firstLine="480"/>
              <w:rPr>
                <w:rFonts w:hint="eastAsia"/>
                <w:b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2</w:t>
            </w:r>
          </w:p>
        </w:tc>
        <w:tc>
          <w:tcPr>
            <w:tcW w:w="1837" w:type="dxa"/>
            <w:vAlign w:val="center"/>
          </w:tcPr>
          <w:p>
            <w:pPr>
              <w:pStyle w:val="24"/>
              <w:spacing w:before="0" w:after="0" w:line="400" w:lineRule="exact"/>
              <w:ind w:firstLine="0" w:firstLineChars="0"/>
              <w:jc w:val="center"/>
              <w:rPr>
                <w:rFonts w:hint="eastAsia"/>
                <w:b w:val="0"/>
                <w:highlight w:val="none"/>
              </w:rPr>
            </w:pPr>
          </w:p>
        </w:tc>
        <w:tc>
          <w:tcPr>
            <w:tcW w:w="2551" w:type="dxa"/>
            <w:vAlign w:val="center"/>
          </w:tcPr>
          <w:p>
            <w:pPr>
              <w:pStyle w:val="24"/>
              <w:spacing w:before="0" w:after="0" w:line="400" w:lineRule="exact"/>
              <w:ind w:firstLine="0" w:firstLineChars="0"/>
              <w:jc w:val="center"/>
              <w:rPr>
                <w:rFonts w:hint="eastAsia"/>
                <w:b w:val="0"/>
                <w:highlight w:val="none"/>
              </w:rPr>
            </w:pPr>
          </w:p>
        </w:tc>
        <w:tc>
          <w:tcPr>
            <w:tcW w:w="2410" w:type="dxa"/>
            <w:vAlign w:val="center"/>
          </w:tcPr>
          <w:p>
            <w:pPr>
              <w:pStyle w:val="24"/>
              <w:spacing w:before="0" w:after="0" w:line="400" w:lineRule="exact"/>
              <w:ind w:firstLine="0" w:firstLineChars="0"/>
              <w:jc w:val="center"/>
              <w:rPr>
                <w:rFonts w:hint="eastAsia"/>
                <w:b w:val="0"/>
                <w:highlight w:val="none"/>
              </w:rPr>
            </w:pPr>
          </w:p>
        </w:tc>
        <w:tc>
          <w:tcPr>
            <w:tcW w:w="1701" w:type="dxa"/>
            <w:vAlign w:val="center"/>
          </w:tcPr>
          <w:p>
            <w:pPr>
              <w:pStyle w:val="24"/>
              <w:spacing w:before="0" w:after="0" w:line="400" w:lineRule="exact"/>
              <w:ind w:firstLine="480"/>
              <w:rPr>
                <w:rFonts w:hint="eastAsia"/>
                <w:b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4"/>
              <w:spacing w:before="0" w:after="0" w:line="400" w:lineRule="exact"/>
              <w:ind w:firstLine="0" w:firstLineChars="0"/>
              <w:jc w:val="center"/>
              <w:rPr>
                <w:rFonts w:hint="eastAsia"/>
                <w:b w:val="0"/>
                <w:highlight w:val="none"/>
              </w:rPr>
            </w:pPr>
            <w:r>
              <w:rPr>
                <w:b w:val="0"/>
                <w:highlight w:val="none"/>
              </w:rPr>
              <w:t>…</w:t>
            </w:r>
          </w:p>
        </w:tc>
        <w:tc>
          <w:tcPr>
            <w:tcW w:w="1837" w:type="dxa"/>
            <w:vAlign w:val="center"/>
          </w:tcPr>
          <w:p>
            <w:pPr>
              <w:pStyle w:val="24"/>
              <w:spacing w:before="0" w:after="0" w:line="400" w:lineRule="exact"/>
              <w:ind w:firstLine="0" w:firstLineChars="0"/>
              <w:jc w:val="center"/>
              <w:rPr>
                <w:rFonts w:hint="eastAsia"/>
                <w:b w:val="0"/>
                <w:highlight w:val="none"/>
              </w:rPr>
            </w:pPr>
          </w:p>
        </w:tc>
        <w:tc>
          <w:tcPr>
            <w:tcW w:w="2551" w:type="dxa"/>
            <w:vAlign w:val="center"/>
          </w:tcPr>
          <w:p>
            <w:pPr>
              <w:pStyle w:val="24"/>
              <w:spacing w:before="0" w:after="0" w:line="400" w:lineRule="exact"/>
              <w:ind w:firstLine="0" w:firstLineChars="0"/>
              <w:jc w:val="center"/>
              <w:rPr>
                <w:rFonts w:hint="eastAsia"/>
                <w:b w:val="0"/>
                <w:highlight w:val="none"/>
              </w:rPr>
            </w:pPr>
          </w:p>
        </w:tc>
        <w:tc>
          <w:tcPr>
            <w:tcW w:w="2410" w:type="dxa"/>
            <w:vAlign w:val="center"/>
          </w:tcPr>
          <w:p>
            <w:pPr>
              <w:pStyle w:val="24"/>
              <w:spacing w:before="0" w:after="0" w:line="400" w:lineRule="exact"/>
              <w:ind w:firstLine="0" w:firstLineChars="0"/>
              <w:jc w:val="center"/>
              <w:rPr>
                <w:rFonts w:hint="eastAsia"/>
                <w:b w:val="0"/>
                <w:highlight w:val="none"/>
              </w:rPr>
            </w:pPr>
          </w:p>
        </w:tc>
        <w:tc>
          <w:tcPr>
            <w:tcW w:w="1701" w:type="dxa"/>
            <w:vAlign w:val="center"/>
          </w:tcPr>
          <w:p>
            <w:pPr>
              <w:pStyle w:val="24"/>
              <w:spacing w:before="0" w:after="0" w:line="400" w:lineRule="exact"/>
              <w:ind w:firstLine="480"/>
              <w:rPr>
                <w:rFonts w:hint="eastAsia"/>
                <w:b w:val="0"/>
                <w:highlight w:val="none"/>
              </w:rPr>
            </w:pPr>
          </w:p>
        </w:tc>
      </w:tr>
    </w:tbl>
    <w:p>
      <w:pPr>
        <w:pStyle w:val="18"/>
        <w:rPr>
          <w:rFonts w:hint="eastAsia" w:ascii="仿宋" w:hAnsi="仿宋" w:eastAsia="仿宋"/>
          <w:highlight w:val="none"/>
        </w:rPr>
      </w:pPr>
      <w:r>
        <w:rPr>
          <w:rFonts w:hint="eastAsia" w:ascii="仿宋" w:hAnsi="仿宋" w:eastAsia="仿宋"/>
          <w:highlight w:val="none"/>
        </w:rPr>
        <w:t>注：</w:t>
      </w:r>
    </w:p>
    <w:p>
      <w:pPr>
        <w:pStyle w:val="19"/>
        <w:spacing w:line="360" w:lineRule="auto"/>
        <w:ind w:firstLine="0" w:firstLineChars="0"/>
        <w:rPr>
          <w:rFonts w:hint="eastAsia" w:ascii="仿宋" w:hAnsi="仿宋" w:eastAsia="仿宋" w:cs="仿宋_GB2312"/>
          <w:szCs w:val="32"/>
          <w:highlight w:val="none"/>
        </w:rPr>
      </w:pPr>
      <w:r>
        <w:rPr>
          <w:rFonts w:hint="eastAsia" w:ascii="仿宋" w:hAnsi="仿宋" w:eastAsia="仿宋"/>
          <w:sz w:val="24"/>
          <w:szCs w:val="24"/>
          <w:highlight w:val="none"/>
        </w:rPr>
        <w:t>1. 说明：应对照招标文件“第二章 采购需求”中“</w:t>
      </w:r>
      <w:r>
        <w:rPr>
          <w:rFonts w:hint="eastAsia" w:ascii="仿宋" w:hAnsi="仿宋" w:eastAsia="仿宋"/>
          <w:highlight w:val="none"/>
        </w:rPr>
        <w:t xml:space="preserve"> </w:t>
      </w:r>
      <w:r>
        <w:rPr>
          <w:rFonts w:hint="eastAsia" w:ascii="仿宋" w:hAnsi="仿宋" w:eastAsia="仿宋"/>
          <w:sz w:val="24"/>
          <w:szCs w:val="24"/>
          <w:highlight w:val="none"/>
        </w:rPr>
        <w:t>一、技术要求”各</w:t>
      </w:r>
      <w:r>
        <w:rPr>
          <w:rFonts w:ascii="仿宋" w:hAnsi="仿宋" w:eastAsia="仿宋"/>
          <w:sz w:val="24"/>
          <w:szCs w:val="24"/>
          <w:highlight w:val="none"/>
        </w:rPr>
        <w:t>分项标的“</w:t>
      </w:r>
      <w:r>
        <w:rPr>
          <w:rFonts w:hint="eastAsia" w:ascii="仿宋" w:hAnsi="仿宋" w:eastAsia="仿宋"/>
          <w:sz w:val="24"/>
          <w:szCs w:val="24"/>
          <w:highlight w:val="none"/>
        </w:rPr>
        <w:t>技术参数及其性能（配置）要求</w:t>
      </w:r>
      <w:r>
        <w:rPr>
          <w:rFonts w:ascii="仿宋" w:hAnsi="仿宋" w:eastAsia="仿宋"/>
          <w:sz w:val="24"/>
          <w:szCs w:val="24"/>
          <w:highlight w:val="none"/>
        </w:rPr>
        <w:t>”</w:t>
      </w:r>
      <w:r>
        <w:rPr>
          <w:rFonts w:hint="eastAsia" w:ascii="仿宋" w:hAnsi="仿宋" w:eastAsia="仿宋"/>
          <w:sz w:val="24"/>
          <w:szCs w:val="24"/>
          <w:highlight w:val="none"/>
        </w:rPr>
        <w:t>逐条作明确的投标响应，并作出偏离说明。</w:t>
      </w:r>
    </w:p>
    <w:p>
      <w:pPr>
        <w:pStyle w:val="18"/>
        <w:spacing w:line="360" w:lineRule="auto"/>
        <w:rPr>
          <w:rFonts w:hint="eastAsia" w:ascii="仿宋" w:hAnsi="仿宋" w:eastAsia="仿宋"/>
          <w:b w:val="0"/>
          <w:bCs w:val="0"/>
          <w:highlight w:val="none"/>
        </w:rPr>
      </w:pPr>
      <w:r>
        <w:rPr>
          <w:rFonts w:ascii="仿宋" w:hAnsi="仿宋" w:eastAsia="仿宋"/>
          <w:b w:val="0"/>
          <w:bCs w:val="0"/>
          <w:highlight w:val="none"/>
        </w:rPr>
        <w:t>2.</w:t>
      </w:r>
      <w:r>
        <w:rPr>
          <w:rFonts w:hint="eastAsia" w:ascii="仿宋" w:hAnsi="仿宋" w:eastAsia="仿宋"/>
          <w:b w:val="0"/>
          <w:bCs w:val="0"/>
          <w:highlight w:val="none"/>
        </w:rPr>
        <w:t>投标人根据投标货物的性能指标，对照招标文件技术要求，在“偏离说明”中注明“</w:t>
      </w:r>
      <w:r>
        <w:rPr>
          <w:rFonts w:hint="eastAsia" w:ascii="仿宋" w:hAnsi="仿宋" w:eastAsia="仿宋"/>
          <w:highlight w:val="none"/>
        </w:rPr>
        <w:t>正偏离</w:t>
      </w:r>
      <w:r>
        <w:rPr>
          <w:rFonts w:hint="eastAsia" w:ascii="仿宋" w:hAnsi="仿宋" w:eastAsia="仿宋"/>
          <w:b w:val="0"/>
          <w:bCs w:val="0"/>
          <w:highlight w:val="none"/>
        </w:rPr>
        <w:t>”、“</w:t>
      </w:r>
      <w:r>
        <w:rPr>
          <w:rFonts w:hint="eastAsia" w:ascii="仿宋" w:hAnsi="仿宋" w:eastAsia="仿宋"/>
          <w:highlight w:val="none"/>
        </w:rPr>
        <w:t>负偏离</w:t>
      </w:r>
      <w:r>
        <w:rPr>
          <w:rFonts w:hint="eastAsia" w:ascii="仿宋" w:hAnsi="仿宋" w:eastAsia="仿宋"/>
          <w:b w:val="0"/>
          <w:bCs w:val="0"/>
          <w:highlight w:val="none"/>
        </w:rPr>
        <w:t>”或者“</w:t>
      </w:r>
      <w:r>
        <w:rPr>
          <w:rFonts w:hint="eastAsia" w:ascii="仿宋" w:hAnsi="仿宋" w:eastAsia="仿宋"/>
          <w:highlight w:val="none"/>
        </w:rPr>
        <w:t>无偏离</w:t>
      </w:r>
      <w:r>
        <w:rPr>
          <w:rFonts w:hint="eastAsia" w:ascii="仿宋" w:hAnsi="仿宋" w:eastAsia="仿宋"/>
          <w:b w:val="0"/>
          <w:bCs w:val="0"/>
          <w:highlight w:val="none"/>
        </w:rPr>
        <w:t>”。既不属于“</w:t>
      </w:r>
      <w:r>
        <w:rPr>
          <w:rFonts w:hint="eastAsia" w:ascii="仿宋" w:hAnsi="仿宋" w:eastAsia="仿宋"/>
          <w:highlight w:val="none"/>
        </w:rPr>
        <w:t>正偏离</w:t>
      </w:r>
      <w:r>
        <w:rPr>
          <w:rFonts w:hint="eastAsia" w:ascii="仿宋" w:hAnsi="仿宋" w:eastAsia="仿宋"/>
          <w:b w:val="0"/>
          <w:bCs w:val="0"/>
          <w:highlight w:val="none"/>
        </w:rPr>
        <w:t>”也不属于“</w:t>
      </w:r>
      <w:r>
        <w:rPr>
          <w:rFonts w:hint="eastAsia" w:ascii="仿宋" w:hAnsi="仿宋" w:eastAsia="仿宋"/>
          <w:highlight w:val="none"/>
        </w:rPr>
        <w:t>负偏离</w:t>
      </w:r>
      <w:r>
        <w:rPr>
          <w:rFonts w:hint="eastAsia" w:ascii="仿宋" w:hAnsi="仿宋" w:eastAsia="仿宋"/>
          <w:b w:val="0"/>
          <w:bCs w:val="0"/>
          <w:highlight w:val="none"/>
        </w:rPr>
        <w:t>”即为“</w:t>
      </w:r>
      <w:r>
        <w:rPr>
          <w:rFonts w:hint="eastAsia" w:ascii="仿宋" w:hAnsi="仿宋" w:eastAsia="仿宋"/>
          <w:highlight w:val="none"/>
        </w:rPr>
        <w:t>无偏离</w:t>
      </w:r>
      <w:r>
        <w:rPr>
          <w:rFonts w:hint="eastAsia" w:ascii="仿宋" w:hAnsi="仿宋" w:eastAsia="仿宋"/>
          <w:b w:val="0"/>
          <w:bCs w:val="0"/>
          <w:highlight w:val="none"/>
        </w:rPr>
        <w:t>”。</w:t>
      </w:r>
    </w:p>
    <w:p>
      <w:pPr>
        <w:pStyle w:val="19"/>
        <w:spacing w:line="360" w:lineRule="auto"/>
        <w:ind w:firstLine="0" w:firstLineChars="0"/>
        <w:rPr>
          <w:rFonts w:hint="eastAsia" w:ascii="仿宋" w:hAnsi="仿宋" w:eastAsia="仿宋"/>
          <w:sz w:val="24"/>
          <w:szCs w:val="24"/>
          <w:highlight w:val="none"/>
        </w:rPr>
      </w:pPr>
      <w:r>
        <w:rPr>
          <w:rFonts w:hint="eastAsia" w:ascii="仿宋" w:hAnsi="仿宋" w:eastAsia="仿宋"/>
          <w:sz w:val="24"/>
          <w:szCs w:val="24"/>
          <w:highlight w:val="none"/>
        </w:rPr>
        <w:t>3.投标人认为其投标响应有正偏离的，请在技术要求偏离表中列明，且在投标文件中提供投标产品生产厂家公开发布的彩页或</w:t>
      </w:r>
      <w:r>
        <w:rPr>
          <w:rFonts w:ascii="仿宋" w:hAnsi="仿宋" w:eastAsia="仿宋"/>
          <w:sz w:val="24"/>
          <w:szCs w:val="24"/>
          <w:highlight w:val="none"/>
        </w:rPr>
        <w:t>国家认可的有资质的第三方检测机构出具的检测报告复印件</w:t>
      </w:r>
      <w:r>
        <w:rPr>
          <w:rFonts w:hint="eastAsia" w:ascii="仿宋" w:hAnsi="仿宋" w:eastAsia="仿宋"/>
          <w:sz w:val="24"/>
          <w:szCs w:val="24"/>
          <w:highlight w:val="none"/>
        </w:rPr>
        <w:t>作为佐证，以上佐证材料均需加盖代理商公章。</w:t>
      </w:r>
    </w:p>
    <w:p>
      <w:pPr>
        <w:pStyle w:val="19"/>
        <w:spacing w:line="360" w:lineRule="auto"/>
        <w:ind w:firstLine="0" w:firstLineChars="0"/>
        <w:rPr>
          <w:rFonts w:hint="eastAsia" w:ascii="仿宋" w:hAnsi="仿宋" w:eastAsia="仿宋"/>
          <w:sz w:val="24"/>
          <w:szCs w:val="24"/>
          <w:highlight w:val="none"/>
        </w:rPr>
      </w:pPr>
      <w:r>
        <w:rPr>
          <w:rFonts w:hint="eastAsia" w:ascii="仿宋" w:hAnsi="仿宋" w:eastAsia="仿宋"/>
          <w:sz w:val="24"/>
          <w:szCs w:val="24"/>
          <w:highlight w:val="none"/>
        </w:rPr>
        <w:t>4</w:t>
      </w:r>
      <w:r>
        <w:rPr>
          <w:rFonts w:ascii="仿宋" w:hAnsi="仿宋" w:eastAsia="仿宋"/>
          <w:sz w:val="24"/>
          <w:szCs w:val="24"/>
          <w:highlight w:val="none"/>
        </w:rPr>
        <w:t>.</w:t>
      </w:r>
      <w:r>
        <w:rPr>
          <w:rFonts w:hint="eastAsia" w:ascii="仿宋" w:hAnsi="仿宋" w:eastAsia="仿宋"/>
          <w:sz w:val="24"/>
          <w:szCs w:val="24"/>
          <w:highlight w:val="none"/>
        </w:rPr>
        <w:t xml:space="preserve"> 如技术要求偏离表中的投标响应与佐证材料不一致的，以佐证材料为准。</w:t>
      </w:r>
    </w:p>
    <w:p>
      <w:pPr>
        <w:snapToGrid w:val="0"/>
        <w:spacing w:before="50" w:after="50" w:line="360" w:lineRule="auto"/>
        <w:rPr>
          <w:rFonts w:hint="eastAsia" w:ascii="仿宋" w:hAnsi="仿宋" w:eastAsia="仿宋"/>
          <w:sz w:val="24"/>
          <w:highlight w:val="none"/>
        </w:rPr>
      </w:pPr>
    </w:p>
    <w:p>
      <w:pPr>
        <w:snapToGrid w:val="0"/>
        <w:spacing w:before="50" w:after="50" w:line="360" w:lineRule="auto"/>
        <w:rPr>
          <w:rFonts w:hint="eastAsia" w:ascii="仿宋" w:hAnsi="仿宋" w:eastAsia="仿宋"/>
          <w:sz w:val="24"/>
          <w:highlight w:val="none"/>
        </w:rPr>
      </w:pPr>
    </w:p>
    <w:p>
      <w:pPr>
        <w:snapToGrid w:val="0"/>
        <w:spacing w:before="50" w:after="50" w:line="360" w:lineRule="auto"/>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u w:val="single"/>
        </w:rPr>
        <w:t xml:space="preserve">        </w:t>
      </w:r>
    </w:p>
    <w:p>
      <w:pPr>
        <w:snapToGrid w:val="0"/>
        <w:spacing w:before="50" w:after="50" w:line="360" w:lineRule="auto"/>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50" w:after="50" w:line="360" w:lineRule="auto"/>
        <w:rPr>
          <w:rFonts w:hint="eastAsia" w:ascii="仿宋" w:hAnsi="仿宋" w:eastAsia="仿宋"/>
          <w:spacing w:val="20"/>
          <w:sz w:val="24"/>
          <w:highlight w:val="none"/>
          <w:u w:val="singl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pPr>
        <w:snapToGrid w:val="0"/>
        <w:spacing w:before="50" w:after="50" w:line="360" w:lineRule="auto"/>
        <w:rPr>
          <w:rFonts w:hint="eastAsia" w:ascii="仿宋" w:hAnsi="仿宋" w:eastAsia="仿宋"/>
          <w:sz w:val="24"/>
          <w:szCs w:val="20"/>
          <w:highlight w:val="none"/>
        </w:rPr>
      </w:pP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5. 项目实施人员一览表格式</w:t>
      </w:r>
    </w:p>
    <w:p>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项目实施人员一览表</w:t>
      </w:r>
    </w:p>
    <w:tbl>
      <w:tblPr>
        <w:tblStyle w:val="51"/>
        <w:tblW w:w="93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806"/>
        <w:gridCol w:w="2301"/>
        <w:gridCol w:w="1248"/>
        <w:gridCol w:w="1931"/>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jc w:val="center"/>
        </w:trPr>
        <w:tc>
          <w:tcPr>
            <w:tcW w:w="929"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姓名</w:t>
            </w:r>
          </w:p>
        </w:tc>
        <w:tc>
          <w:tcPr>
            <w:tcW w:w="806"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职务</w:t>
            </w:r>
          </w:p>
        </w:tc>
        <w:tc>
          <w:tcPr>
            <w:tcW w:w="2301"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专业技术资格（职称）或者职业资格或者执业资格证或者其他证书</w:t>
            </w:r>
          </w:p>
        </w:tc>
        <w:tc>
          <w:tcPr>
            <w:tcW w:w="1248"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证书编号</w:t>
            </w:r>
          </w:p>
        </w:tc>
        <w:tc>
          <w:tcPr>
            <w:tcW w:w="1931"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参加本单位</w:t>
            </w:r>
          </w:p>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工作时间</w:t>
            </w:r>
          </w:p>
        </w:tc>
        <w:tc>
          <w:tcPr>
            <w:tcW w:w="2096"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929" w:type="dxa"/>
            <w:vAlign w:val="center"/>
          </w:tcPr>
          <w:p>
            <w:pPr>
              <w:snapToGrid w:val="0"/>
              <w:jc w:val="center"/>
              <w:rPr>
                <w:rFonts w:hint="eastAsia" w:ascii="仿宋" w:hAnsi="仿宋" w:eastAsia="仿宋"/>
                <w:sz w:val="24"/>
                <w:szCs w:val="20"/>
                <w:highlight w:val="none"/>
              </w:rPr>
            </w:pPr>
          </w:p>
        </w:tc>
        <w:tc>
          <w:tcPr>
            <w:tcW w:w="806" w:type="dxa"/>
            <w:vAlign w:val="center"/>
          </w:tcPr>
          <w:p>
            <w:pPr>
              <w:snapToGrid w:val="0"/>
              <w:jc w:val="center"/>
              <w:rPr>
                <w:rFonts w:hint="eastAsia" w:ascii="仿宋" w:hAnsi="仿宋" w:eastAsia="仿宋"/>
                <w:sz w:val="24"/>
                <w:szCs w:val="20"/>
                <w:highlight w:val="none"/>
              </w:rPr>
            </w:pPr>
          </w:p>
        </w:tc>
        <w:tc>
          <w:tcPr>
            <w:tcW w:w="2301" w:type="dxa"/>
            <w:vAlign w:val="center"/>
          </w:tcPr>
          <w:p>
            <w:pPr>
              <w:snapToGrid w:val="0"/>
              <w:jc w:val="center"/>
              <w:rPr>
                <w:rFonts w:hint="eastAsia" w:ascii="仿宋" w:hAnsi="仿宋" w:eastAsia="仿宋"/>
                <w:sz w:val="24"/>
                <w:szCs w:val="20"/>
                <w:highlight w:val="none"/>
              </w:rPr>
            </w:pPr>
          </w:p>
        </w:tc>
        <w:tc>
          <w:tcPr>
            <w:tcW w:w="1248" w:type="dxa"/>
            <w:vAlign w:val="center"/>
          </w:tcPr>
          <w:p>
            <w:pPr>
              <w:snapToGrid w:val="0"/>
              <w:jc w:val="center"/>
              <w:rPr>
                <w:rFonts w:hint="eastAsia" w:ascii="仿宋" w:hAnsi="仿宋" w:eastAsia="仿宋"/>
                <w:sz w:val="24"/>
                <w:szCs w:val="20"/>
                <w:highlight w:val="none"/>
              </w:rPr>
            </w:pPr>
          </w:p>
        </w:tc>
        <w:tc>
          <w:tcPr>
            <w:tcW w:w="1931" w:type="dxa"/>
            <w:vAlign w:val="center"/>
          </w:tcPr>
          <w:p>
            <w:pPr>
              <w:snapToGrid w:val="0"/>
              <w:jc w:val="center"/>
              <w:rPr>
                <w:rFonts w:hint="eastAsia" w:ascii="仿宋" w:hAnsi="仿宋" w:eastAsia="仿宋"/>
                <w:sz w:val="24"/>
                <w:szCs w:val="20"/>
                <w:highlight w:val="none"/>
              </w:rPr>
            </w:pPr>
          </w:p>
        </w:tc>
        <w:tc>
          <w:tcPr>
            <w:tcW w:w="2096" w:type="dxa"/>
            <w:vAlign w:val="center"/>
          </w:tcPr>
          <w:p>
            <w:pPr>
              <w:snapToGrid w:val="0"/>
              <w:jc w:val="center"/>
              <w:rPr>
                <w:rFonts w:hint="eastAsia"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929" w:type="dxa"/>
            <w:vAlign w:val="center"/>
          </w:tcPr>
          <w:p>
            <w:pPr>
              <w:snapToGrid w:val="0"/>
              <w:jc w:val="center"/>
              <w:rPr>
                <w:rFonts w:hint="eastAsia" w:ascii="仿宋" w:hAnsi="仿宋" w:eastAsia="仿宋"/>
                <w:sz w:val="24"/>
                <w:szCs w:val="20"/>
                <w:highlight w:val="none"/>
              </w:rPr>
            </w:pPr>
          </w:p>
        </w:tc>
        <w:tc>
          <w:tcPr>
            <w:tcW w:w="806" w:type="dxa"/>
            <w:vAlign w:val="center"/>
          </w:tcPr>
          <w:p>
            <w:pPr>
              <w:snapToGrid w:val="0"/>
              <w:jc w:val="center"/>
              <w:rPr>
                <w:rFonts w:hint="eastAsia" w:ascii="仿宋" w:hAnsi="仿宋" w:eastAsia="仿宋"/>
                <w:sz w:val="24"/>
                <w:szCs w:val="20"/>
                <w:highlight w:val="none"/>
              </w:rPr>
            </w:pPr>
          </w:p>
        </w:tc>
        <w:tc>
          <w:tcPr>
            <w:tcW w:w="2301" w:type="dxa"/>
            <w:vAlign w:val="center"/>
          </w:tcPr>
          <w:p>
            <w:pPr>
              <w:snapToGrid w:val="0"/>
              <w:jc w:val="center"/>
              <w:rPr>
                <w:rFonts w:hint="eastAsia" w:ascii="仿宋" w:hAnsi="仿宋" w:eastAsia="仿宋"/>
                <w:sz w:val="24"/>
                <w:szCs w:val="20"/>
                <w:highlight w:val="none"/>
              </w:rPr>
            </w:pPr>
          </w:p>
        </w:tc>
        <w:tc>
          <w:tcPr>
            <w:tcW w:w="1248" w:type="dxa"/>
            <w:vAlign w:val="center"/>
          </w:tcPr>
          <w:p>
            <w:pPr>
              <w:snapToGrid w:val="0"/>
              <w:jc w:val="center"/>
              <w:rPr>
                <w:rFonts w:hint="eastAsia" w:ascii="仿宋" w:hAnsi="仿宋" w:eastAsia="仿宋"/>
                <w:sz w:val="24"/>
                <w:szCs w:val="20"/>
                <w:highlight w:val="none"/>
              </w:rPr>
            </w:pPr>
          </w:p>
        </w:tc>
        <w:tc>
          <w:tcPr>
            <w:tcW w:w="1931" w:type="dxa"/>
            <w:vAlign w:val="center"/>
          </w:tcPr>
          <w:p>
            <w:pPr>
              <w:snapToGrid w:val="0"/>
              <w:jc w:val="center"/>
              <w:rPr>
                <w:rFonts w:hint="eastAsia" w:ascii="仿宋" w:hAnsi="仿宋" w:eastAsia="仿宋"/>
                <w:sz w:val="24"/>
                <w:szCs w:val="20"/>
                <w:highlight w:val="none"/>
              </w:rPr>
            </w:pPr>
          </w:p>
        </w:tc>
        <w:tc>
          <w:tcPr>
            <w:tcW w:w="2096" w:type="dxa"/>
            <w:vAlign w:val="center"/>
          </w:tcPr>
          <w:p>
            <w:pPr>
              <w:snapToGrid w:val="0"/>
              <w:jc w:val="center"/>
              <w:rPr>
                <w:rFonts w:hint="eastAsia"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929" w:type="dxa"/>
            <w:vAlign w:val="center"/>
          </w:tcPr>
          <w:p>
            <w:pPr>
              <w:snapToGrid w:val="0"/>
              <w:jc w:val="center"/>
              <w:rPr>
                <w:rFonts w:hint="eastAsia" w:ascii="仿宋" w:hAnsi="仿宋" w:eastAsia="仿宋"/>
                <w:sz w:val="24"/>
                <w:szCs w:val="20"/>
                <w:highlight w:val="none"/>
              </w:rPr>
            </w:pPr>
          </w:p>
        </w:tc>
        <w:tc>
          <w:tcPr>
            <w:tcW w:w="806" w:type="dxa"/>
            <w:vAlign w:val="center"/>
          </w:tcPr>
          <w:p>
            <w:pPr>
              <w:snapToGrid w:val="0"/>
              <w:jc w:val="center"/>
              <w:rPr>
                <w:rFonts w:hint="eastAsia" w:ascii="仿宋" w:hAnsi="仿宋" w:eastAsia="仿宋"/>
                <w:sz w:val="24"/>
                <w:szCs w:val="20"/>
                <w:highlight w:val="none"/>
              </w:rPr>
            </w:pPr>
          </w:p>
        </w:tc>
        <w:tc>
          <w:tcPr>
            <w:tcW w:w="2301" w:type="dxa"/>
            <w:vAlign w:val="center"/>
          </w:tcPr>
          <w:p>
            <w:pPr>
              <w:snapToGrid w:val="0"/>
              <w:jc w:val="center"/>
              <w:rPr>
                <w:rFonts w:hint="eastAsia" w:ascii="仿宋" w:hAnsi="仿宋" w:eastAsia="仿宋"/>
                <w:sz w:val="24"/>
                <w:szCs w:val="20"/>
                <w:highlight w:val="none"/>
              </w:rPr>
            </w:pPr>
          </w:p>
        </w:tc>
        <w:tc>
          <w:tcPr>
            <w:tcW w:w="1248" w:type="dxa"/>
            <w:vAlign w:val="center"/>
          </w:tcPr>
          <w:p>
            <w:pPr>
              <w:snapToGrid w:val="0"/>
              <w:jc w:val="center"/>
              <w:rPr>
                <w:rFonts w:hint="eastAsia" w:ascii="仿宋" w:hAnsi="仿宋" w:eastAsia="仿宋"/>
                <w:sz w:val="24"/>
                <w:szCs w:val="20"/>
                <w:highlight w:val="none"/>
              </w:rPr>
            </w:pPr>
          </w:p>
        </w:tc>
        <w:tc>
          <w:tcPr>
            <w:tcW w:w="1931" w:type="dxa"/>
            <w:vAlign w:val="center"/>
          </w:tcPr>
          <w:p>
            <w:pPr>
              <w:snapToGrid w:val="0"/>
              <w:jc w:val="center"/>
              <w:rPr>
                <w:rFonts w:hint="eastAsia" w:ascii="仿宋" w:hAnsi="仿宋" w:eastAsia="仿宋"/>
                <w:sz w:val="24"/>
                <w:szCs w:val="20"/>
                <w:highlight w:val="none"/>
              </w:rPr>
            </w:pPr>
          </w:p>
        </w:tc>
        <w:tc>
          <w:tcPr>
            <w:tcW w:w="2096" w:type="dxa"/>
            <w:vAlign w:val="center"/>
          </w:tcPr>
          <w:p>
            <w:pPr>
              <w:snapToGrid w:val="0"/>
              <w:jc w:val="center"/>
              <w:rPr>
                <w:rFonts w:hint="eastAsia" w:ascii="仿宋" w:hAnsi="仿宋" w:eastAsia="仿宋"/>
                <w:sz w:val="24"/>
                <w:szCs w:val="20"/>
                <w:highlight w:val="none"/>
              </w:rPr>
            </w:pPr>
          </w:p>
        </w:tc>
      </w:tr>
    </w:tbl>
    <w:p>
      <w:pPr>
        <w:snapToGrid w:val="0"/>
        <w:spacing w:before="50" w:after="120" w:afterLines="50"/>
        <w:jc w:val="left"/>
        <w:rPr>
          <w:rFonts w:hint="eastAsia" w:ascii="仿宋" w:hAnsi="仿宋" w:eastAsia="仿宋"/>
          <w:sz w:val="24"/>
          <w:szCs w:val="20"/>
          <w:highlight w:val="none"/>
        </w:rPr>
      </w:pPr>
    </w:p>
    <w:p>
      <w:pPr>
        <w:spacing w:line="360" w:lineRule="auto"/>
        <w:contextualSpacing/>
        <w:jc w:val="left"/>
        <w:rPr>
          <w:rFonts w:hint="eastAsia" w:ascii="仿宋" w:hAnsi="仿宋" w:eastAsia="仿宋"/>
          <w:sz w:val="24"/>
          <w:szCs w:val="20"/>
          <w:highlight w:val="none"/>
        </w:rPr>
      </w:pPr>
      <w:r>
        <w:rPr>
          <w:rFonts w:hint="eastAsia" w:ascii="仿宋" w:hAnsi="仿宋" w:eastAsia="仿宋"/>
          <w:sz w:val="24"/>
          <w:szCs w:val="20"/>
          <w:highlight w:val="none"/>
        </w:rPr>
        <w:t>注：</w:t>
      </w:r>
    </w:p>
    <w:p>
      <w:pPr>
        <w:spacing w:line="360" w:lineRule="auto"/>
        <w:contextualSpacing/>
        <w:jc w:val="left"/>
        <w:rPr>
          <w:rFonts w:hint="eastAsia" w:ascii="仿宋" w:hAnsi="仿宋" w:eastAsia="仿宋"/>
          <w:sz w:val="24"/>
          <w:szCs w:val="20"/>
          <w:highlight w:val="none"/>
        </w:rPr>
      </w:pPr>
      <w:r>
        <w:rPr>
          <w:rFonts w:hint="eastAsia" w:ascii="仿宋" w:hAnsi="仿宋" w:eastAsia="仿宋"/>
          <w:sz w:val="24"/>
          <w:szCs w:val="20"/>
          <w:highlight w:val="none"/>
        </w:rPr>
        <w:t>1</w:t>
      </w:r>
      <w:r>
        <w:rPr>
          <w:rFonts w:ascii="仿宋" w:hAnsi="仿宋" w:eastAsia="仿宋"/>
          <w:sz w:val="24"/>
          <w:szCs w:val="20"/>
          <w:highlight w:val="none"/>
        </w:rPr>
        <w:t>.</w:t>
      </w:r>
      <w:r>
        <w:rPr>
          <w:rFonts w:hint="eastAsia" w:ascii="仿宋" w:hAnsi="仿宋" w:eastAsia="仿宋"/>
          <w:sz w:val="24"/>
          <w:szCs w:val="20"/>
          <w:highlight w:val="none"/>
        </w:rPr>
        <w:t>在填写时，如本表格不适合投标单位的实际情况，可根据本表格式自行制表填写。</w:t>
      </w:r>
    </w:p>
    <w:p>
      <w:pPr>
        <w:spacing w:line="360" w:lineRule="auto"/>
        <w:contextualSpacing/>
        <w:jc w:val="left"/>
        <w:rPr>
          <w:rFonts w:hint="eastAsia" w:ascii="仿宋" w:hAnsi="仿宋" w:eastAsia="仿宋"/>
          <w:sz w:val="24"/>
          <w:szCs w:val="20"/>
          <w:highlight w:val="none"/>
        </w:rPr>
      </w:pPr>
      <w:r>
        <w:rPr>
          <w:rFonts w:ascii="仿宋" w:hAnsi="仿宋" w:eastAsia="仿宋"/>
          <w:sz w:val="24"/>
          <w:szCs w:val="20"/>
          <w:highlight w:val="none"/>
        </w:rPr>
        <w:t>2.</w:t>
      </w:r>
      <w:r>
        <w:rPr>
          <w:rFonts w:hint="eastAsia" w:ascii="仿宋" w:hAnsi="仿宋" w:eastAsia="仿宋"/>
          <w:sz w:val="24"/>
          <w:szCs w:val="20"/>
          <w:highlight w:val="none"/>
        </w:rPr>
        <w:t>投标人应当附本表所列证书的复印件并加盖投标人公章。</w:t>
      </w: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pacing w:val="20"/>
          <w:sz w:val="24"/>
          <w:szCs w:val="20"/>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u w:val="single"/>
        </w:rPr>
        <w:t xml:space="preserve">        </w:t>
      </w:r>
    </w:p>
    <w:p>
      <w:pPr>
        <w:spacing w:line="360" w:lineRule="auto"/>
        <w:contextualSpacing/>
        <w:jc w:val="left"/>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pacing w:line="360" w:lineRule="auto"/>
        <w:contextualSpacing/>
        <w:jc w:val="left"/>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pPr>
        <w:snapToGrid w:val="0"/>
        <w:spacing w:before="50" w:after="120" w:afterLines="50"/>
        <w:jc w:val="left"/>
        <w:rPr>
          <w:rFonts w:hint="eastAsia" w:ascii="仿宋" w:hAnsi="仿宋" w:eastAsia="仿宋"/>
          <w:sz w:val="24"/>
          <w:szCs w:val="20"/>
          <w:highlight w:val="none"/>
        </w:rPr>
      </w:pP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6. 选配件、专用耗材、售后服务优惠表格式（注：按项目需求表具体项目修改）</w:t>
      </w:r>
    </w:p>
    <w:p>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配件、专用耗材价格表</w:t>
      </w:r>
    </w:p>
    <w:p>
      <w:pPr>
        <w:pStyle w:val="24"/>
        <w:rPr>
          <w:rFonts w:hint="eastAsia"/>
          <w:highlight w:val="none"/>
        </w:rPr>
      </w:pPr>
      <w:r>
        <w:rPr>
          <w:rFonts w:hint="eastAsia"/>
          <w:highlight w:val="none"/>
        </w:rPr>
        <w:t>项目名称（项目编号）：</w:t>
      </w:r>
      <w:r>
        <w:rPr>
          <w:rFonts w:hint="eastAsia"/>
          <w:highlight w:val="none"/>
          <w:u w:val="single"/>
        </w:rPr>
        <w:t xml:space="preserve"> </w:t>
      </w:r>
      <w:r>
        <w:rPr>
          <w:highlight w:val="none"/>
          <w:u w:val="single"/>
        </w:rPr>
        <w:t xml:space="preserve">                                                 </w:t>
      </w:r>
    </w:p>
    <w:tbl>
      <w:tblPr>
        <w:tblStyle w:val="51"/>
        <w:tblW w:w="947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04"/>
        <w:gridCol w:w="2956"/>
        <w:gridCol w:w="1577"/>
        <w:gridCol w:w="1577"/>
        <w:gridCol w:w="25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05" w:hRule="atLeast"/>
          <w:jc w:val="center"/>
        </w:trPr>
        <w:tc>
          <w:tcPr>
            <w:tcW w:w="8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r>
              <w:rPr>
                <w:rFonts w:hint="eastAsia"/>
                <w:highlight w:val="none"/>
              </w:rPr>
              <w:t>序号</w:t>
            </w:r>
          </w:p>
        </w:tc>
        <w:tc>
          <w:tcPr>
            <w:tcW w:w="2956" w:type="dxa"/>
            <w:tcBorders>
              <w:top w:val="single" w:color="auto" w:sz="4" w:space="0"/>
              <w:left w:val="single" w:color="auto" w:sz="4" w:space="0"/>
              <w:bottom w:val="single" w:color="auto" w:sz="2" w:space="0"/>
              <w:right w:val="single" w:color="auto" w:sz="4" w:space="0"/>
            </w:tcBorders>
            <w:vAlign w:val="center"/>
          </w:tcPr>
          <w:p>
            <w:pPr>
              <w:pStyle w:val="24"/>
              <w:spacing w:before="0" w:after="0" w:line="400" w:lineRule="exact"/>
              <w:ind w:firstLine="0" w:firstLineChars="0"/>
              <w:jc w:val="center"/>
              <w:rPr>
                <w:rFonts w:hint="eastAsia"/>
                <w:highlight w:val="none"/>
              </w:rPr>
            </w:pPr>
            <w:r>
              <w:rPr>
                <w:rFonts w:hint="eastAsia"/>
                <w:highlight w:val="none"/>
              </w:rPr>
              <w:t>优惠内容</w:t>
            </w:r>
          </w:p>
        </w:tc>
        <w:tc>
          <w:tcPr>
            <w:tcW w:w="1577" w:type="dxa"/>
            <w:tcBorders>
              <w:top w:val="single" w:color="auto" w:sz="4" w:space="0"/>
              <w:left w:val="single" w:color="auto" w:sz="4" w:space="0"/>
              <w:bottom w:val="single" w:color="auto" w:sz="2" w:space="0"/>
              <w:right w:val="single" w:color="auto" w:sz="4" w:space="0"/>
            </w:tcBorders>
            <w:vAlign w:val="center"/>
          </w:tcPr>
          <w:p>
            <w:pPr>
              <w:pStyle w:val="24"/>
              <w:spacing w:before="0" w:after="0" w:line="400" w:lineRule="exact"/>
              <w:ind w:firstLine="0" w:firstLineChars="0"/>
              <w:jc w:val="center"/>
              <w:rPr>
                <w:rFonts w:hint="eastAsia"/>
                <w:highlight w:val="none"/>
              </w:rPr>
            </w:pPr>
            <w:r>
              <w:rPr>
                <w:rFonts w:hint="eastAsia"/>
                <w:highlight w:val="none"/>
              </w:rPr>
              <w:t>适用机型</w:t>
            </w:r>
          </w:p>
        </w:tc>
        <w:tc>
          <w:tcPr>
            <w:tcW w:w="1577"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r>
              <w:rPr>
                <w:rFonts w:hint="eastAsia"/>
                <w:highlight w:val="none"/>
              </w:rPr>
              <w:t>市场单价</w:t>
            </w:r>
          </w:p>
        </w:tc>
        <w:tc>
          <w:tcPr>
            <w:tcW w:w="2562" w:type="dxa"/>
            <w:tcBorders>
              <w:top w:val="single" w:color="auto" w:sz="4" w:space="0"/>
              <w:left w:val="single" w:color="auto" w:sz="4" w:space="0"/>
              <w:bottom w:val="single" w:color="auto" w:sz="2" w:space="0"/>
              <w:right w:val="single" w:color="auto" w:sz="4" w:space="0"/>
            </w:tcBorders>
            <w:vAlign w:val="center"/>
          </w:tcPr>
          <w:p>
            <w:pPr>
              <w:pStyle w:val="24"/>
              <w:spacing w:before="0" w:after="0" w:line="400" w:lineRule="exact"/>
              <w:ind w:firstLine="0" w:firstLineChars="0"/>
              <w:jc w:val="center"/>
              <w:rPr>
                <w:rFonts w:hint="eastAsia"/>
                <w:highlight w:val="none"/>
              </w:rPr>
            </w:pPr>
            <w:r>
              <w:rPr>
                <w:rFonts w:hint="eastAsia"/>
                <w:highlight w:val="none"/>
              </w:rPr>
              <w:t>给予本项目的优惠率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01"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1</w:t>
            </w:r>
          </w:p>
        </w:tc>
        <w:tc>
          <w:tcPr>
            <w:tcW w:w="2956" w:type="dxa"/>
            <w:tcBorders>
              <w:top w:val="single" w:color="auto" w:sz="2" w:space="0"/>
              <w:left w:val="single" w:color="auto" w:sz="2" w:space="0"/>
              <w:bottom w:val="single" w:color="auto" w:sz="6" w:space="0"/>
              <w:right w:val="single" w:color="auto" w:sz="4"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2" w:space="0"/>
              <w:left w:val="single" w:color="auto" w:sz="4" w:space="0"/>
              <w:bottom w:val="single" w:color="auto" w:sz="6" w:space="0"/>
              <w:right w:val="single" w:color="auto" w:sz="6"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p>
        </w:tc>
        <w:tc>
          <w:tcPr>
            <w:tcW w:w="2562" w:type="dxa"/>
            <w:tcBorders>
              <w:top w:val="single" w:color="auto" w:sz="2" w:space="0"/>
              <w:left w:val="single" w:color="auto" w:sz="6" w:space="0"/>
              <w:bottom w:val="single" w:color="auto" w:sz="6" w:space="0"/>
              <w:right w:val="single" w:color="auto" w:sz="2" w:space="0"/>
            </w:tcBorders>
            <w:vAlign w:val="center"/>
          </w:tcPr>
          <w:p>
            <w:pPr>
              <w:pStyle w:val="24"/>
              <w:spacing w:before="0" w:after="0" w:line="400" w:lineRule="exact"/>
              <w:rPr>
                <w:rFonts w:hint="eastAsia"/>
                <w:highlight w:val="none"/>
              </w:rPr>
            </w:pPr>
            <w:r>
              <w:rPr>
                <w:rFonts w:hint="eastAsia"/>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2</w:t>
            </w:r>
          </w:p>
        </w:tc>
        <w:tc>
          <w:tcPr>
            <w:tcW w:w="2956" w:type="dxa"/>
            <w:tcBorders>
              <w:top w:val="single" w:color="auto" w:sz="6" w:space="0"/>
              <w:left w:val="single" w:color="auto" w:sz="2" w:space="0"/>
              <w:bottom w:val="single" w:color="auto" w:sz="6" w:space="0"/>
              <w:right w:val="single" w:color="auto" w:sz="4"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6" w:space="0"/>
              <w:left w:val="single" w:color="auto" w:sz="4" w:space="0"/>
              <w:bottom w:val="single" w:color="auto" w:sz="6" w:space="0"/>
              <w:right w:val="single" w:color="auto" w:sz="6"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4"/>
              <w:spacing w:before="0" w:after="0" w:line="400" w:lineRule="exact"/>
              <w:rPr>
                <w:rFonts w:hint="eastAsia"/>
                <w:highlight w:val="none"/>
              </w:rPr>
            </w:pPr>
            <w:r>
              <w:rPr>
                <w:rFonts w:hint="eastAsia"/>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3</w:t>
            </w:r>
          </w:p>
        </w:tc>
        <w:tc>
          <w:tcPr>
            <w:tcW w:w="2956" w:type="dxa"/>
            <w:tcBorders>
              <w:top w:val="single" w:color="auto" w:sz="6" w:space="0"/>
              <w:left w:val="single" w:color="auto" w:sz="2" w:space="0"/>
              <w:bottom w:val="single" w:color="auto" w:sz="6" w:space="0"/>
              <w:right w:val="single" w:color="auto" w:sz="4"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6" w:space="0"/>
              <w:left w:val="single" w:color="auto" w:sz="4" w:space="0"/>
              <w:bottom w:val="single" w:color="auto" w:sz="6" w:space="0"/>
              <w:right w:val="single" w:color="auto" w:sz="6"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4"/>
              <w:spacing w:before="0" w:after="0" w:line="400" w:lineRule="exact"/>
              <w:rPr>
                <w:rFonts w:hint="eastAsia"/>
                <w:highlight w:val="none"/>
              </w:rPr>
            </w:pPr>
            <w:r>
              <w:rPr>
                <w:rFonts w:hint="eastAsia"/>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b w:val="0"/>
                <w:highlight w:val="none"/>
              </w:rPr>
            </w:pPr>
            <w:r>
              <w:rPr>
                <w:b w:val="0"/>
                <w:highlight w:val="none"/>
              </w:rPr>
              <w:t>…</w:t>
            </w:r>
          </w:p>
        </w:tc>
        <w:tc>
          <w:tcPr>
            <w:tcW w:w="2956" w:type="dxa"/>
            <w:tcBorders>
              <w:top w:val="single" w:color="auto" w:sz="6" w:space="0"/>
              <w:left w:val="single" w:color="auto" w:sz="2" w:space="0"/>
              <w:bottom w:val="single" w:color="auto" w:sz="6" w:space="0"/>
              <w:right w:val="single" w:color="auto" w:sz="4" w:space="0"/>
            </w:tcBorders>
            <w:vAlign w:val="center"/>
          </w:tcPr>
          <w:p>
            <w:pPr>
              <w:pStyle w:val="24"/>
              <w:spacing w:before="0" w:after="0" w:line="400" w:lineRule="exact"/>
              <w:ind w:firstLine="0" w:firstLineChars="0"/>
              <w:jc w:val="center"/>
              <w:rPr>
                <w:rFonts w:hint="eastAsia"/>
                <w:highlight w:val="none"/>
              </w:rPr>
            </w:pPr>
            <w:r>
              <w:rPr>
                <w:b w:val="0"/>
                <w:highlight w:val="none"/>
              </w:rPr>
              <w:t>…</w:t>
            </w:r>
          </w:p>
        </w:tc>
        <w:tc>
          <w:tcPr>
            <w:tcW w:w="1577" w:type="dxa"/>
            <w:tcBorders>
              <w:top w:val="single" w:color="auto" w:sz="6" w:space="0"/>
              <w:left w:val="single" w:color="auto" w:sz="4" w:space="0"/>
              <w:bottom w:val="single" w:color="auto" w:sz="6" w:space="0"/>
              <w:right w:val="single" w:color="auto" w:sz="6"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4"/>
              <w:spacing w:before="0" w:after="0" w:line="400" w:lineRule="exact"/>
              <w:rPr>
                <w:rFonts w:hint="eastAsia"/>
                <w:highlight w:val="none"/>
              </w:rPr>
            </w:pPr>
            <w:r>
              <w:rPr>
                <w:rFonts w:hint="eastAsia"/>
                <w:highlight w:val="none"/>
              </w:rPr>
              <w:t xml:space="preserve"> </w:t>
            </w:r>
            <w:r>
              <w:rPr>
                <w:highlight w:val="none"/>
              </w:rPr>
              <w:t xml:space="preserve">      </w:t>
            </w:r>
            <w:r>
              <w:rPr>
                <w:rFonts w:hint="eastAsia"/>
                <w:highlight w:val="none"/>
              </w:rPr>
              <w:t>%</w:t>
            </w:r>
          </w:p>
        </w:tc>
      </w:tr>
    </w:tbl>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u w:val="single"/>
        </w:rPr>
        <w:t xml:space="preserve">        </w:t>
      </w:r>
    </w:p>
    <w:p>
      <w:pPr>
        <w:spacing w:line="360" w:lineRule="auto"/>
        <w:contextualSpacing/>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p>
    <w:p>
      <w:pPr>
        <w:spacing w:line="360" w:lineRule="auto"/>
        <w:contextualSpacing/>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pPr>
        <w:snapToGrid w:val="0"/>
        <w:spacing w:before="50" w:after="120" w:afterLines="50"/>
        <w:jc w:val="left"/>
        <w:rPr>
          <w:rFonts w:hint="eastAsia" w:ascii="仿宋" w:hAnsi="仿宋" w:eastAsia="仿宋"/>
          <w:sz w:val="24"/>
          <w:szCs w:val="20"/>
          <w:highlight w:val="none"/>
        </w:rPr>
      </w:pPr>
    </w:p>
    <w:p>
      <w:pPr>
        <w:rPr>
          <w:rFonts w:hint="eastAsia" w:ascii="仿宋" w:hAnsi="仿宋" w:eastAsia="仿宋"/>
          <w:b/>
          <w:sz w:val="28"/>
          <w:szCs w:val="28"/>
          <w:highlight w:val="none"/>
        </w:rPr>
      </w:pPr>
      <w:r>
        <w:rPr>
          <w:rFonts w:ascii="仿宋" w:hAnsi="仿宋" w:eastAsia="仿宋"/>
          <w:b/>
          <w:bCs/>
          <w:sz w:val="24"/>
          <w:highlight w:val="none"/>
        </w:rPr>
        <w:br w:type="page"/>
      </w:r>
      <w:r>
        <w:rPr>
          <w:rFonts w:hint="eastAsia" w:ascii="仿宋" w:hAnsi="仿宋" w:eastAsia="仿宋"/>
          <w:b/>
          <w:sz w:val="28"/>
          <w:szCs w:val="28"/>
          <w:highlight w:val="none"/>
        </w:rPr>
        <w:t>五、其他文书、文件格式</w:t>
      </w:r>
    </w:p>
    <w:p>
      <w:pPr>
        <w:snapToGrid w:val="0"/>
        <w:spacing w:before="120" w:beforeLines="50" w:after="50"/>
        <w:jc w:val="left"/>
        <w:rPr>
          <w:rFonts w:hint="eastAsia" w:ascii="仿宋" w:hAnsi="仿宋" w:eastAsia="仿宋"/>
          <w:highlight w:val="none"/>
        </w:rPr>
      </w:pPr>
      <w:r>
        <w:rPr>
          <w:rFonts w:ascii="仿宋" w:hAnsi="仿宋" w:eastAsia="仿宋"/>
          <w:b/>
          <w:sz w:val="24"/>
          <w:highlight w:val="none"/>
        </w:rPr>
        <w:t>1</w:t>
      </w:r>
      <w:r>
        <w:rPr>
          <w:rFonts w:hint="eastAsia" w:ascii="仿宋" w:hAnsi="仿宋" w:eastAsia="仿宋"/>
          <w:b/>
          <w:sz w:val="24"/>
          <w:highlight w:val="none"/>
        </w:rPr>
        <w:t>.中小企业声明函格式</w:t>
      </w:r>
    </w:p>
    <w:p>
      <w:pPr>
        <w:rPr>
          <w:rFonts w:hint="eastAsia" w:ascii="仿宋" w:hAnsi="仿宋" w:eastAsia="仿宋"/>
          <w:highlight w:val="none"/>
        </w:rPr>
      </w:pPr>
    </w:p>
    <w:p>
      <w:pPr>
        <w:jc w:val="center"/>
        <w:rPr>
          <w:rFonts w:hint="eastAsia" w:ascii="仿宋" w:hAnsi="仿宋" w:eastAsia="仿宋" w:cs="方正小标宋简体"/>
          <w:sz w:val="44"/>
          <w:szCs w:val="44"/>
          <w:highlight w:val="none"/>
        </w:rPr>
      </w:pPr>
      <w:r>
        <w:rPr>
          <w:rFonts w:hint="eastAsia" w:ascii="仿宋" w:hAnsi="仿宋" w:eastAsia="仿宋" w:cs="方正小标宋简体"/>
          <w:sz w:val="44"/>
          <w:szCs w:val="44"/>
          <w:highlight w:val="none"/>
        </w:rPr>
        <w:t>中小企业声明函（货物）</w:t>
      </w:r>
    </w:p>
    <w:p>
      <w:pPr>
        <w:spacing w:before="2" w:line="500" w:lineRule="exact"/>
        <w:rPr>
          <w:rFonts w:hint="eastAsia" w:ascii="仿宋" w:hAnsi="仿宋" w:eastAsia="仿宋" w:cs="宋体"/>
          <w:b/>
          <w:bCs/>
          <w:sz w:val="27"/>
          <w:szCs w:val="27"/>
          <w:highlight w:val="none"/>
        </w:rPr>
      </w:pPr>
    </w:p>
    <w:p>
      <w:pPr>
        <w:pStyle w:val="2"/>
        <w:rPr>
          <w:rFonts w:hint="eastAsia"/>
          <w:highlight w:val="none"/>
        </w:rPr>
      </w:pPr>
      <w:r>
        <w:rPr>
          <w:highlight w:val="none"/>
        </w:rPr>
        <w:t>本公司（联合体）郑重声明，根据《政府采购促进中小企业发展管理办法》（财库﹝2020﹞46号）的规定，本公司（联合体）参加</w:t>
      </w:r>
      <w:r>
        <w:rPr>
          <w:highlight w:val="none"/>
          <w:u w:val="single"/>
        </w:rPr>
        <w:t>（单位名称）</w:t>
      </w:r>
      <w:r>
        <w:rPr>
          <w:highlight w:val="none"/>
        </w:rPr>
        <w:t>的</w:t>
      </w:r>
      <w:r>
        <w:rPr>
          <w:highlight w:val="none"/>
          <w:u w:val="single"/>
        </w:rPr>
        <w:t>（项目名称）</w:t>
      </w:r>
      <w:r>
        <w:rPr>
          <w:highlight w:val="none"/>
        </w:rPr>
        <w:t>采购活动，提供的货物全部由符合政策要求的中小企业制造。相关企业（含联合体中的中小企业、签订分包意向协议的中小企业）的具体情况如下：</w:t>
      </w:r>
    </w:p>
    <w:p>
      <w:pPr>
        <w:pStyle w:val="2"/>
        <w:rPr>
          <w:rFonts w:hint="eastAsia"/>
          <w:highlight w:val="none"/>
        </w:rPr>
      </w:pPr>
      <w:r>
        <w:rPr>
          <w:highlight w:val="none"/>
        </w:rPr>
        <w:t>1.</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pPr>
        <w:pStyle w:val="2"/>
        <w:rPr>
          <w:rFonts w:hint="eastAsia"/>
          <w:highlight w:val="none"/>
        </w:rPr>
      </w:pPr>
      <w:r>
        <w:rPr>
          <w:highlight w:val="none"/>
        </w:rPr>
        <w:t>2.</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pPr>
        <w:pStyle w:val="2"/>
        <w:rPr>
          <w:rFonts w:hint="eastAsia"/>
          <w:highlight w:val="none"/>
        </w:rPr>
      </w:pPr>
      <w:r>
        <w:rPr>
          <w:highlight w:val="none"/>
        </w:rPr>
        <w:t>3.</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pPr>
        <w:pStyle w:val="2"/>
        <w:rPr>
          <w:rFonts w:hint="eastAsia"/>
          <w:highlight w:val="none"/>
        </w:rPr>
      </w:pPr>
      <w:r>
        <w:rPr>
          <w:highlight w:val="none"/>
        </w:rPr>
        <w:t xml:space="preserve">…… </w:t>
      </w:r>
    </w:p>
    <w:p>
      <w:pPr>
        <w:pStyle w:val="2"/>
        <w:ind w:firstLine="480" w:firstLineChars="200"/>
        <w:rPr>
          <w:rFonts w:hint="eastAsia"/>
          <w:highlight w:val="none"/>
        </w:rPr>
      </w:pPr>
      <w:r>
        <w:rPr>
          <w:highlight w:val="none"/>
        </w:rPr>
        <w:t>以上企业，不属于大企业的分支机构，不存在控股股东为大企业的情形，也不存在与大企业的负责人为同一人的情形。</w:t>
      </w:r>
    </w:p>
    <w:p>
      <w:pPr>
        <w:pStyle w:val="2"/>
        <w:ind w:firstLine="480" w:firstLineChars="200"/>
        <w:rPr>
          <w:rFonts w:hint="eastAsia"/>
          <w:highlight w:val="none"/>
        </w:rPr>
      </w:pPr>
      <w:r>
        <w:rPr>
          <w:highlight w:val="none"/>
        </w:rPr>
        <w:t>本企业对上述声明内容的真实性负责。如有虚假，将依法承担相应责任。</w:t>
      </w:r>
    </w:p>
    <w:p>
      <w:pPr>
        <w:pStyle w:val="2"/>
        <w:rPr>
          <w:rFonts w:hint="eastAsia"/>
          <w:highlight w:val="none"/>
        </w:rPr>
      </w:pPr>
      <w:r>
        <w:rPr>
          <w:highlight w:val="none"/>
        </w:rPr>
        <w:t xml:space="preserve">企业名称（章）： </w:t>
      </w:r>
    </w:p>
    <w:p>
      <w:pPr>
        <w:pStyle w:val="2"/>
        <w:rPr>
          <w:rFonts w:hint="eastAsia"/>
          <w:highlight w:val="none"/>
        </w:rPr>
      </w:pPr>
    </w:p>
    <w:p>
      <w:pPr>
        <w:pStyle w:val="2"/>
        <w:rPr>
          <w:rFonts w:hint="eastAsia"/>
          <w:highlight w:val="none"/>
        </w:rPr>
      </w:pPr>
      <w:r>
        <w:rPr>
          <w:highlight w:val="none"/>
        </w:rPr>
        <w:t>日</w:t>
      </w:r>
      <w:r>
        <w:rPr>
          <w:rFonts w:hint="eastAsia"/>
          <w:highlight w:val="none"/>
        </w:rPr>
        <w:t xml:space="preserve"> </w:t>
      </w:r>
      <w:r>
        <w:rPr>
          <w:highlight w:val="none"/>
        </w:rPr>
        <w:t>期：</w:t>
      </w:r>
    </w:p>
    <w:p>
      <w:pPr>
        <w:pStyle w:val="2"/>
        <w:rPr>
          <w:rFonts w:hint="eastAsia"/>
          <w:highlight w:val="none"/>
        </w:rPr>
      </w:pPr>
      <w:r>
        <w:rPr>
          <w:rFonts w:hint="eastAsia"/>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pPr>
        <w:pStyle w:val="24"/>
        <w:ind w:firstLine="0" w:firstLineChars="0"/>
        <w:rPr>
          <w:rFonts w:hint="eastAsia"/>
          <w:highlight w:val="none"/>
        </w:rPr>
      </w:pPr>
      <w:r>
        <w:rPr>
          <w:rFonts w:cs="Arial Unicode MS"/>
          <w:sz w:val="32"/>
          <w:szCs w:val="32"/>
          <w:highlight w:val="none"/>
        </w:rPr>
        <w:br w:type="page"/>
      </w:r>
      <w:r>
        <w:rPr>
          <w:highlight w:val="none"/>
        </w:rPr>
        <w:t>2</w:t>
      </w:r>
      <w:r>
        <w:rPr>
          <w:rFonts w:hint="eastAsia"/>
          <w:highlight w:val="none"/>
        </w:rPr>
        <w:t>.残疾人福利性单位声明函格式</w:t>
      </w:r>
    </w:p>
    <w:p>
      <w:pPr>
        <w:spacing w:line="588" w:lineRule="exact"/>
        <w:jc w:val="center"/>
        <w:rPr>
          <w:rFonts w:hint="eastAsia" w:ascii="仿宋" w:hAnsi="仿宋" w:eastAsia="仿宋"/>
          <w:b/>
          <w:spacing w:val="6"/>
          <w:sz w:val="32"/>
          <w:szCs w:val="32"/>
          <w:highlight w:val="none"/>
        </w:rPr>
      </w:pPr>
    </w:p>
    <w:p>
      <w:pPr>
        <w:spacing w:line="588" w:lineRule="exact"/>
        <w:jc w:val="center"/>
        <w:rPr>
          <w:rFonts w:hint="eastAsia" w:ascii="仿宋" w:hAnsi="仿宋" w:eastAsia="仿宋" w:cs="方正小标宋简体"/>
          <w:bCs/>
          <w:spacing w:val="6"/>
          <w:sz w:val="44"/>
          <w:szCs w:val="44"/>
          <w:highlight w:val="none"/>
        </w:rPr>
      </w:pPr>
      <w:r>
        <w:rPr>
          <w:rFonts w:hint="eastAsia" w:ascii="仿宋" w:hAnsi="仿宋" w:eastAsia="仿宋" w:cs="方正小标宋简体"/>
          <w:bCs/>
          <w:spacing w:val="6"/>
          <w:sz w:val="44"/>
          <w:szCs w:val="44"/>
          <w:highlight w:val="none"/>
        </w:rPr>
        <w:t>残疾人福利性单位声明函</w:t>
      </w:r>
    </w:p>
    <w:p>
      <w:pPr>
        <w:spacing w:line="360" w:lineRule="auto"/>
        <w:contextualSpacing/>
        <w:rPr>
          <w:rFonts w:hint="eastAsia" w:ascii="仿宋" w:hAnsi="仿宋" w:eastAsia="仿宋"/>
          <w:bCs/>
          <w:spacing w:val="6"/>
          <w:sz w:val="30"/>
          <w:szCs w:val="30"/>
          <w:highlight w:val="none"/>
        </w:rPr>
      </w:pPr>
    </w:p>
    <w:p>
      <w:pPr>
        <w:spacing w:line="360" w:lineRule="auto"/>
        <w:ind w:firstLine="504" w:firstLineChars="200"/>
        <w:contextualSpacing/>
        <w:rPr>
          <w:rFonts w:hint="eastAsia" w:ascii="仿宋" w:hAnsi="仿宋" w:eastAsia="仿宋"/>
          <w:spacing w:val="6"/>
          <w:sz w:val="24"/>
          <w:highlight w:val="none"/>
        </w:rPr>
      </w:pPr>
      <w:r>
        <w:rPr>
          <w:rFonts w:hint="eastAsia" w:ascii="仿宋" w:hAnsi="仿宋" w:eastAsia="仿宋"/>
          <w:spacing w:val="6"/>
          <w:sz w:val="24"/>
          <w:highlight w:val="none"/>
        </w:rPr>
        <w:t>本单位郑重声明，根据《财政部 民政部 中国残疾人联合会关于促进残疾人就业政府采购政策的通知》（财库</w:t>
      </w:r>
      <w:r>
        <w:rPr>
          <w:rFonts w:hint="eastAsia" w:ascii="仿宋" w:hAnsi="仿宋" w:eastAsia="仿宋"/>
          <w:sz w:val="24"/>
          <w:highlight w:val="none"/>
        </w:rPr>
        <w:t>〔2017〕 141</w:t>
      </w:r>
      <w:r>
        <w:rPr>
          <w:rFonts w:hint="eastAsia" w:ascii="仿宋" w:hAnsi="仿宋" w:eastAsia="仿宋"/>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仿宋" w:hAnsi="仿宋" w:eastAsia="仿宋"/>
          <w:spacing w:val="-6"/>
          <w:sz w:val="24"/>
          <w:highlight w:val="none"/>
        </w:rPr>
        <w:t>疾人福利性单位制造的货物（不包括使用非残疾人福利性单位注册商标的货物）。</w:t>
      </w:r>
    </w:p>
    <w:p>
      <w:pPr>
        <w:spacing w:line="360" w:lineRule="auto"/>
        <w:ind w:firstLine="504" w:firstLineChars="200"/>
        <w:contextualSpacing/>
        <w:rPr>
          <w:rFonts w:hint="eastAsia" w:ascii="仿宋" w:hAnsi="仿宋" w:eastAsia="仿宋"/>
          <w:spacing w:val="6"/>
          <w:sz w:val="24"/>
          <w:highlight w:val="none"/>
        </w:rPr>
      </w:pPr>
      <w:r>
        <w:rPr>
          <w:rFonts w:hint="eastAsia" w:ascii="仿宋" w:hAnsi="仿宋" w:eastAsia="仿宋"/>
          <w:spacing w:val="6"/>
          <w:sz w:val="24"/>
          <w:highlight w:val="none"/>
        </w:rPr>
        <w:t>本单位对上述声明的真实性负责。如有虚假，将依法承担相应责任。</w:t>
      </w:r>
    </w:p>
    <w:p>
      <w:pPr>
        <w:spacing w:line="360" w:lineRule="auto"/>
        <w:ind w:firstLine="504" w:firstLineChars="200"/>
        <w:contextualSpacing/>
        <w:rPr>
          <w:rFonts w:hint="eastAsia" w:ascii="仿宋" w:hAnsi="仿宋" w:eastAsia="仿宋"/>
          <w:spacing w:val="6"/>
          <w:sz w:val="24"/>
          <w:highlight w:val="none"/>
        </w:rPr>
      </w:pPr>
    </w:p>
    <w:p>
      <w:pPr>
        <w:spacing w:line="360" w:lineRule="auto"/>
        <w:ind w:firstLine="504" w:firstLineChars="200"/>
        <w:contextualSpacing/>
        <w:rPr>
          <w:rFonts w:hint="eastAsia" w:ascii="仿宋" w:hAnsi="仿宋" w:eastAsia="仿宋"/>
          <w:spacing w:val="6"/>
          <w:sz w:val="24"/>
          <w:highlight w:val="none"/>
        </w:rPr>
      </w:pPr>
    </w:p>
    <w:p>
      <w:pPr>
        <w:tabs>
          <w:tab w:val="left" w:pos="4860"/>
        </w:tabs>
        <w:spacing w:line="360" w:lineRule="auto"/>
        <w:ind w:right="1560" w:firstLine="504" w:firstLineChars="200"/>
        <w:contextualSpacing/>
        <w:jc w:val="center"/>
        <w:rPr>
          <w:rFonts w:hint="eastAsia" w:ascii="仿宋" w:hAnsi="仿宋" w:eastAsia="仿宋"/>
          <w:spacing w:val="6"/>
          <w:sz w:val="24"/>
          <w:highlight w:val="none"/>
        </w:rPr>
      </w:pPr>
      <w:r>
        <w:rPr>
          <w:rFonts w:hint="eastAsia" w:ascii="仿宋" w:hAnsi="仿宋" w:eastAsia="仿宋"/>
          <w:spacing w:val="6"/>
          <w:sz w:val="24"/>
          <w:highlight w:val="none"/>
        </w:rPr>
        <w:t>单位名称（盖公章）：</w:t>
      </w:r>
    </w:p>
    <w:p>
      <w:pPr>
        <w:tabs>
          <w:tab w:val="left" w:pos="4860"/>
        </w:tabs>
        <w:spacing w:line="360" w:lineRule="auto"/>
        <w:ind w:right="1560" w:firstLine="504" w:firstLineChars="200"/>
        <w:contextualSpacing/>
        <w:jc w:val="center"/>
        <w:rPr>
          <w:rFonts w:hint="eastAsia" w:ascii="仿宋" w:hAnsi="仿宋" w:eastAsia="仿宋"/>
          <w:spacing w:val="6"/>
          <w:sz w:val="24"/>
          <w:highlight w:val="none"/>
        </w:rPr>
      </w:pPr>
      <w:r>
        <w:rPr>
          <w:rFonts w:hint="eastAsia" w:ascii="仿宋" w:hAnsi="仿宋" w:eastAsia="仿宋"/>
          <w:spacing w:val="6"/>
          <w:sz w:val="24"/>
          <w:highlight w:val="none"/>
        </w:rPr>
        <w:t>日  期：</w:t>
      </w: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r>
        <w:rPr>
          <w:rFonts w:hint="eastAsia" w:ascii="仿宋" w:hAnsi="仿宋" w:eastAsia="仿宋"/>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left"/>
        <w:rPr>
          <w:rFonts w:hint="eastAsia" w:ascii="仿宋" w:hAnsi="仿宋" w:eastAsia="仿宋"/>
          <w:sz w:val="24"/>
          <w:highlight w:val="none"/>
        </w:rPr>
      </w:pPr>
      <w:r>
        <w:rPr>
          <w:rFonts w:ascii="仿宋" w:hAnsi="仿宋" w:eastAsia="仿宋"/>
          <w:sz w:val="24"/>
          <w:highlight w:val="none"/>
        </w:rPr>
        <w:br w:type="page"/>
      </w:r>
      <w:r>
        <w:rPr>
          <w:rFonts w:ascii="仿宋" w:hAnsi="仿宋" w:eastAsia="仿宋"/>
          <w:b/>
          <w:sz w:val="24"/>
          <w:highlight w:val="none"/>
        </w:rPr>
        <w:t>3</w:t>
      </w:r>
      <w:r>
        <w:rPr>
          <w:rFonts w:hint="eastAsia" w:ascii="仿宋" w:hAnsi="仿宋" w:eastAsia="仿宋"/>
          <w:b/>
          <w:sz w:val="24"/>
          <w:highlight w:val="none"/>
        </w:rPr>
        <w:t>.质疑函格式</w:t>
      </w:r>
    </w:p>
    <w:p>
      <w:pPr>
        <w:spacing w:line="500" w:lineRule="exact"/>
        <w:jc w:val="center"/>
        <w:rPr>
          <w:rFonts w:hint="eastAsia" w:ascii="仿宋" w:hAnsi="仿宋" w:eastAsia="仿宋" w:cs="方正小标宋简体"/>
          <w:b/>
          <w:sz w:val="36"/>
          <w:szCs w:val="36"/>
          <w:highlight w:val="none"/>
        </w:rPr>
      </w:pPr>
      <w:r>
        <w:rPr>
          <w:rFonts w:hint="eastAsia" w:ascii="仿宋" w:hAnsi="仿宋" w:eastAsia="仿宋" w:cs="方正小标宋简体"/>
          <w:b/>
          <w:sz w:val="36"/>
          <w:szCs w:val="36"/>
          <w:highlight w:val="none"/>
        </w:rPr>
        <w:t>质疑函</w:t>
      </w:r>
    </w:p>
    <w:p>
      <w:pPr>
        <w:pStyle w:val="24"/>
        <w:spacing w:before="0" w:after="0" w:line="360" w:lineRule="exact"/>
        <w:ind w:firstLine="480"/>
        <w:rPr>
          <w:rFonts w:hint="eastAsia"/>
          <w:b w:val="0"/>
          <w:highlight w:val="none"/>
        </w:rPr>
      </w:pPr>
      <w:r>
        <w:rPr>
          <w:rFonts w:hint="eastAsia"/>
          <w:b w:val="0"/>
          <w:highlight w:val="none"/>
        </w:rPr>
        <w:t>一、质疑供应商基本信息：</w:t>
      </w:r>
    </w:p>
    <w:p>
      <w:pPr>
        <w:pStyle w:val="24"/>
        <w:spacing w:before="0" w:after="0" w:line="360" w:lineRule="exact"/>
        <w:ind w:firstLine="480"/>
        <w:rPr>
          <w:rFonts w:hint="eastAsia"/>
          <w:b w:val="0"/>
          <w:highlight w:val="none"/>
        </w:rPr>
      </w:pPr>
      <w:r>
        <w:rPr>
          <w:rFonts w:hint="eastAsia"/>
          <w:b w:val="0"/>
          <w:highlight w:val="none"/>
        </w:rPr>
        <w:t>质疑供应商：</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联系人</w:t>
      </w:r>
      <w:r>
        <w:rPr>
          <w:rFonts w:hint="eastAsia"/>
          <w:b w:val="0"/>
          <w:highlight w:val="none"/>
        </w:rPr>
        <w:t>：</w:t>
      </w:r>
      <w:r>
        <w:rPr>
          <w:rFonts w:hint="eastAsia"/>
          <w:b w:val="0"/>
          <w:highlight w:val="none"/>
          <w:u w:val="single"/>
        </w:rPr>
        <w:t xml:space="preserve">                   </w:t>
      </w:r>
      <w:r>
        <w:rPr>
          <w:b w:val="0"/>
          <w:highlight w:val="none"/>
        </w:rPr>
        <w:t xml:space="preserve">  联系电话</w:t>
      </w:r>
      <w:r>
        <w:rPr>
          <w:rFonts w:hint="eastAsia"/>
          <w:b w:val="0"/>
          <w:highlight w:val="none"/>
        </w:rPr>
        <w:t>：</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授权代表：</w:t>
      </w:r>
      <w:r>
        <w:rPr>
          <w:rFonts w:hint="eastAsia"/>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二、质疑项目基本情况：</w:t>
      </w:r>
    </w:p>
    <w:p>
      <w:pPr>
        <w:pStyle w:val="24"/>
        <w:spacing w:before="0" w:after="0" w:line="360" w:lineRule="exact"/>
        <w:ind w:firstLine="480"/>
        <w:rPr>
          <w:rFonts w:hint="eastAsia"/>
          <w:b w:val="0"/>
          <w:highlight w:val="none"/>
        </w:rPr>
      </w:pPr>
      <w:r>
        <w:rPr>
          <w:rFonts w:hint="eastAsia"/>
          <w:b w:val="0"/>
          <w:highlight w:val="none"/>
        </w:rPr>
        <w:t>质疑项目的名称：</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质疑项目的编号：</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采购人名称：</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质疑事项：</w:t>
      </w:r>
    </w:p>
    <w:p>
      <w:pPr>
        <w:pStyle w:val="24"/>
        <w:spacing w:before="0" w:after="0" w:line="360" w:lineRule="exact"/>
        <w:ind w:firstLine="480"/>
        <w:rPr>
          <w:rFonts w:hint="eastAsia"/>
          <w:b w:val="0"/>
          <w:highlight w:val="none"/>
        </w:rPr>
      </w:pPr>
      <w:r>
        <w:rPr>
          <w:rFonts w:hint="eastAsia"/>
          <w:b w:val="0"/>
          <w:highlight w:val="none"/>
        </w:rPr>
        <w:t xml:space="preserve">□招标文件   招标文件获取日期： </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 xml:space="preserve">□采购过程   </w:t>
      </w:r>
    </w:p>
    <w:p>
      <w:pPr>
        <w:pStyle w:val="24"/>
        <w:spacing w:before="0" w:after="0" w:line="360" w:lineRule="exact"/>
        <w:ind w:firstLine="480"/>
        <w:rPr>
          <w:rFonts w:hint="eastAsia"/>
          <w:b w:val="0"/>
          <w:bCs/>
          <w:highlight w:val="none"/>
          <w:u w:val="single"/>
        </w:rPr>
      </w:pPr>
      <w:r>
        <w:rPr>
          <w:rFonts w:hint="eastAsia"/>
          <w:b w:val="0"/>
          <w:highlight w:val="none"/>
        </w:rPr>
        <w:t xml:space="preserve">□中标结果   </w:t>
      </w:r>
    </w:p>
    <w:p>
      <w:pPr>
        <w:pStyle w:val="24"/>
        <w:spacing w:before="0" w:after="0" w:line="360" w:lineRule="exact"/>
        <w:ind w:firstLine="480"/>
        <w:rPr>
          <w:rFonts w:hint="eastAsia"/>
          <w:b w:val="0"/>
          <w:highlight w:val="none"/>
        </w:rPr>
      </w:pPr>
      <w:r>
        <w:rPr>
          <w:rFonts w:hint="eastAsia"/>
          <w:b w:val="0"/>
          <w:highlight w:val="none"/>
        </w:rPr>
        <w:t>三、质疑事项具体内容</w:t>
      </w:r>
    </w:p>
    <w:p>
      <w:pPr>
        <w:pStyle w:val="24"/>
        <w:spacing w:before="0" w:after="0" w:line="360" w:lineRule="exact"/>
        <w:ind w:firstLine="480"/>
        <w:rPr>
          <w:rFonts w:hint="eastAsia"/>
          <w:b w:val="0"/>
          <w:highlight w:val="none"/>
        </w:rPr>
      </w:pPr>
      <w:r>
        <w:rPr>
          <w:rFonts w:hint="eastAsia"/>
          <w:b w:val="0"/>
          <w:highlight w:val="none"/>
        </w:rPr>
        <w:t>质疑事项1：</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事实依据：</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法律依据：</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p>
    <w:p>
      <w:pPr>
        <w:pStyle w:val="24"/>
        <w:spacing w:before="0" w:after="0" w:line="360" w:lineRule="exact"/>
        <w:ind w:firstLine="480"/>
        <w:rPr>
          <w:rFonts w:hint="eastAsia"/>
          <w:b w:val="0"/>
          <w:highlight w:val="none"/>
        </w:rPr>
      </w:pPr>
      <w:r>
        <w:rPr>
          <w:rFonts w:hint="eastAsia"/>
          <w:b w:val="0"/>
          <w:highlight w:val="none"/>
        </w:rPr>
        <w:t>质疑事项2</w:t>
      </w:r>
    </w:p>
    <w:p>
      <w:pPr>
        <w:pStyle w:val="24"/>
        <w:spacing w:before="0" w:after="0" w:line="360" w:lineRule="exact"/>
        <w:ind w:firstLine="480"/>
        <w:rPr>
          <w:rFonts w:hint="eastAsia"/>
          <w:b w:val="0"/>
          <w:highlight w:val="none"/>
        </w:rPr>
      </w:pPr>
      <w:r>
        <w:rPr>
          <w:b w:val="0"/>
          <w:highlight w:val="none"/>
        </w:rPr>
        <w:t>……</w:t>
      </w:r>
    </w:p>
    <w:p>
      <w:pPr>
        <w:pStyle w:val="24"/>
        <w:spacing w:before="0" w:after="0" w:line="360" w:lineRule="exact"/>
        <w:ind w:firstLine="480"/>
        <w:rPr>
          <w:rFonts w:hint="eastAsia"/>
          <w:b w:val="0"/>
          <w:highlight w:val="none"/>
        </w:rPr>
      </w:pPr>
      <w:r>
        <w:rPr>
          <w:rFonts w:hint="eastAsia"/>
          <w:b w:val="0"/>
          <w:highlight w:val="none"/>
        </w:rPr>
        <w:t>四、与质疑事项相关的质疑请求：</w:t>
      </w:r>
    </w:p>
    <w:p>
      <w:pPr>
        <w:pStyle w:val="24"/>
        <w:spacing w:before="0" w:after="0" w:line="360" w:lineRule="exact"/>
        <w:ind w:firstLine="480"/>
        <w:rPr>
          <w:rFonts w:hint="eastAsia"/>
          <w:b w:val="0"/>
          <w:highlight w:val="none"/>
        </w:rPr>
      </w:pPr>
      <w:r>
        <w:rPr>
          <w:rFonts w:hint="eastAsia"/>
          <w:b w:val="0"/>
          <w:highlight w:val="none"/>
        </w:rPr>
        <w:t>请求：</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p>
    <w:p>
      <w:pPr>
        <w:pStyle w:val="24"/>
        <w:spacing w:before="0" w:after="0" w:line="360" w:lineRule="exact"/>
        <w:ind w:firstLine="480"/>
        <w:rPr>
          <w:rFonts w:hint="eastAsia"/>
          <w:b w:val="0"/>
          <w:highlight w:val="none"/>
        </w:rPr>
      </w:pPr>
      <w:r>
        <w:rPr>
          <w:rFonts w:hint="eastAsia"/>
          <w:b w:val="0"/>
          <w:highlight w:val="none"/>
        </w:rPr>
        <w:t>签字（签章）：</w:t>
      </w:r>
      <w:r>
        <w:rPr>
          <w:b w:val="0"/>
          <w:highlight w:val="none"/>
          <w:u w:val="singl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pPr>
        <w:pStyle w:val="24"/>
        <w:spacing w:before="0" w:after="0" w:line="360" w:lineRule="exact"/>
        <w:ind w:firstLine="480"/>
        <w:rPr>
          <w:rFonts w:hint="eastAsia"/>
          <w:b w:val="0"/>
          <w:highlight w:val="none"/>
        </w:rPr>
      </w:pPr>
      <w:r>
        <w:rPr>
          <w:rFonts w:hint="eastAsia"/>
          <w:b w:val="0"/>
          <w:highlight w:val="none"/>
        </w:rPr>
        <w:t>公章：</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日期：</w:t>
      </w:r>
      <w:r>
        <w:rPr>
          <w:rFonts w:hint="eastAsia"/>
          <w:b w:val="0"/>
          <w:highlight w:val="none"/>
          <w:u w:val="single"/>
        </w:rPr>
        <w:t xml:space="preserve">             </w:t>
      </w:r>
    </w:p>
    <w:p>
      <w:pPr>
        <w:pStyle w:val="24"/>
        <w:spacing w:before="0" w:after="0" w:line="340" w:lineRule="exact"/>
        <w:ind w:firstLine="480"/>
        <w:rPr>
          <w:rFonts w:hint="eastAsia"/>
          <w:b w:val="0"/>
          <w:highlight w:val="none"/>
        </w:rPr>
      </w:pPr>
      <w:r>
        <w:rPr>
          <w:rFonts w:hint="eastAsia"/>
          <w:b w:val="0"/>
          <w:highlight w:val="none"/>
        </w:rPr>
        <w:t>说明：</w:t>
      </w:r>
    </w:p>
    <w:p>
      <w:pPr>
        <w:pStyle w:val="24"/>
        <w:spacing w:before="0" w:after="0" w:line="340" w:lineRule="exact"/>
        <w:ind w:firstLine="480"/>
        <w:rPr>
          <w:rFonts w:hint="eastAsia"/>
          <w:b w:val="0"/>
          <w:bCs/>
          <w:highlight w:val="none"/>
        </w:rPr>
      </w:pPr>
      <w:r>
        <w:rPr>
          <w:rFonts w:hint="eastAsia"/>
          <w:b w:val="0"/>
          <w:highlight w:val="none"/>
        </w:rPr>
        <w:t>1.供应商提出质疑时，应提交质疑函和必要的证明材料</w:t>
      </w:r>
      <w:r>
        <w:rPr>
          <w:rFonts w:hint="eastAsia"/>
          <w:b w:val="0"/>
          <w:bCs/>
          <w:highlight w:val="none"/>
        </w:rPr>
        <w:t>。</w:t>
      </w:r>
    </w:p>
    <w:p>
      <w:pPr>
        <w:pStyle w:val="24"/>
        <w:spacing w:before="0" w:after="0" w:line="340" w:lineRule="exact"/>
        <w:ind w:firstLine="480"/>
        <w:rPr>
          <w:rFonts w:hint="eastAsia"/>
          <w:b w:val="0"/>
          <w:highlight w:val="none"/>
        </w:rPr>
      </w:pPr>
      <w:r>
        <w:rPr>
          <w:rFonts w:hint="eastAsia"/>
          <w:b w:val="0"/>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4"/>
        <w:spacing w:before="0" w:after="0" w:line="340" w:lineRule="exact"/>
        <w:ind w:firstLine="480"/>
        <w:rPr>
          <w:rFonts w:hint="eastAsia"/>
          <w:b w:val="0"/>
          <w:highlight w:val="none"/>
        </w:rPr>
      </w:pPr>
      <w:r>
        <w:rPr>
          <w:rFonts w:hint="eastAsia"/>
          <w:b w:val="0"/>
          <w:highlight w:val="none"/>
        </w:rPr>
        <w:t>3.质疑函的质疑事项应具体、明确，并有必要的事实依据和法律依据。</w:t>
      </w:r>
    </w:p>
    <w:p>
      <w:pPr>
        <w:pStyle w:val="24"/>
        <w:spacing w:before="0" w:after="0" w:line="340" w:lineRule="exact"/>
        <w:ind w:firstLine="480"/>
        <w:rPr>
          <w:rFonts w:hint="eastAsia"/>
          <w:b w:val="0"/>
          <w:highlight w:val="none"/>
        </w:rPr>
      </w:pPr>
      <w:r>
        <w:rPr>
          <w:rFonts w:hint="eastAsia"/>
          <w:b w:val="0"/>
          <w:highlight w:val="none"/>
        </w:rPr>
        <w:t>4.质疑函的质疑请求应与质疑事项相关。</w:t>
      </w:r>
    </w:p>
    <w:p>
      <w:pPr>
        <w:pStyle w:val="24"/>
        <w:spacing w:before="0" w:after="0" w:line="340" w:lineRule="exact"/>
        <w:ind w:firstLine="480"/>
        <w:rPr>
          <w:rFonts w:hint="eastAsia"/>
          <w:b w:val="0"/>
          <w:bCs/>
          <w:highlight w:val="none"/>
        </w:rPr>
      </w:pPr>
      <w:r>
        <w:rPr>
          <w:rFonts w:hint="eastAsia"/>
          <w:b w:val="0"/>
          <w:highlight w:val="none"/>
        </w:rPr>
        <w:t>5.质疑供应商为法人或者其他组织的，质疑函应由法定代表人、主要负责人，或者其授权代表签字或者盖章，并加盖公章。</w:t>
      </w:r>
    </w:p>
    <w:p>
      <w:pPr>
        <w:spacing w:line="360" w:lineRule="auto"/>
        <w:jc w:val="left"/>
        <w:rPr>
          <w:rFonts w:hint="eastAsia" w:ascii="仿宋" w:hAnsi="仿宋" w:eastAsia="仿宋"/>
          <w:b/>
          <w:bCs/>
          <w:sz w:val="32"/>
          <w:szCs w:val="32"/>
          <w:highlight w:val="none"/>
        </w:rPr>
      </w:pPr>
      <w:r>
        <w:rPr>
          <w:rFonts w:ascii="仿宋" w:hAnsi="仿宋" w:eastAsia="仿宋"/>
          <w:sz w:val="44"/>
          <w:highlight w:val="none"/>
        </w:rPr>
        <w:br w:type="page"/>
      </w:r>
      <w:r>
        <w:rPr>
          <w:rFonts w:ascii="仿宋" w:hAnsi="仿宋" w:eastAsia="仿宋"/>
          <w:b/>
          <w:sz w:val="24"/>
          <w:highlight w:val="none"/>
        </w:rPr>
        <w:t>4</w:t>
      </w:r>
      <w:r>
        <w:rPr>
          <w:rFonts w:hint="eastAsia" w:ascii="仿宋" w:hAnsi="仿宋" w:eastAsia="仿宋"/>
          <w:b/>
          <w:sz w:val="24"/>
          <w:highlight w:val="none"/>
        </w:rPr>
        <w:t>.投诉书格式</w:t>
      </w:r>
    </w:p>
    <w:p>
      <w:pPr>
        <w:spacing w:line="500" w:lineRule="exact"/>
        <w:jc w:val="center"/>
        <w:rPr>
          <w:rFonts w:hint="eastAsia" w:ascii="仿宋" w:hAnsi="仿宋" w:eastAsia="仿宋" w:cs="方正小标宋简体"/>
          <w:b/>
          <w:sz w:val="36"/>
          <w:szCs w:val="36"/>
          <w:highlight w:val="none"/>
        </w:rPr>
      </w:pPr>
      <w:r>
        <w:rPr>
          <w:rFonts w:hint="eastAsia" w:ascii="仿宋" w:hAnsi="仿宋" w:eastAsia="仿宋" w:cs="方正小标宋简体"/>
          <w:b/>
          <w:sz w:val="36"/>
          <w:szCs w:val="36"/>
          <w:highlight w:val="none"/>
        </w:rPr>
        <w:t>投诉书</w:t>
      </w:r>
    </w:p>
    <w:p>
      <w:pPr>
        <w:pStyle w:val="24"/>
        <w:spacing w:before="0" w:after="0" w:line="360" w:lineRule="exact"/>
        <w:ind w:firstLine="480"/>
        <w:rPr>
          <w:rFonts w:hint="eastAsia"/>
          <w:b w:val="0"/>
          <w:highlight w:val="none"/>
        </w:rPr>
      </w:pPr>
      <w:r>
        <w:rPr>
          <w:rFonts w:hint="eastAsia"/>
          <w:b w:val="0"/>
          <w:highlight w:val="none"/>
        </w:rPr>
        <w:t>一、投诉相关主体基本情况：</w:t>
      </w:r>
    </w:p>
    <w:p>
      <w:pPr>
        <w:pStyle w:val="24"/>
        <w:spacing w:before="0" w:after="0" w:line="360" w:lineRule="exact"/>
        <w:ind w:firstLine="480"/>
        <w:rPr>
          <w:rFonts w:hint="eastAsia"/>
          <w:b w:val="0"/>
          <w:highlight w:val="none"/>
        </w:rPr>
      </w:pPr>
      <w:r>
        <w:rPr>
          <w:rFonts w:hint="eastAsia"/>
          <w:b w:val="0"/>
          <w:highlight w:val="none"/>
        </w:rPr>
        <w:t>投标人：</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u w:val="single"/>
        </w:rPr>
      </w:pPr>
      <w:r>
        <w:rPr>
          <w:b w:val="0"/>
          <w:highlight w:val="none"/>
        </w:rPr>
        <w:t>地址</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 xml:space="preserve">法定代表人/主要负责人：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联系电话</w:t>
      </w:r>
      <w:r>
        <w:rPr>
          <w:rFonts w:hint="eastAsia"/>
          <w:b w:val="0"/>
          <w:highlight w:val="none"/>
        </w:rPr>
        <w:t>：</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授权代表：</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地址</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pPr>
        <w:pStyle w:val="24"/>
        <w:spacing w:before="0" w:after="0" w:line="360" w:lineRule="exact"/>
        <w:ind w:firstLine="480"/>
        <w:rPr>
          <w:rFonts w:hint="eastAsia"/>
          <w:b w:val="0"/>
          <w:highlight w:val="none"/>
        </w:rPr>
      </w:pPr>
      <w:r>
        <w:rPr>
          <w:b w:val="0"/>
          <w:highlight w:val="none"/>
        </w:rPr>
        <w:t>邮编</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被投诉人1：</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地址：</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邮编</w:t>
      </w:r>
      <w:r>
        <w:rPr>
          <w:rFonts w:hint="eastAsia"/>
          <w:b w:val="0"/>
          <w:highlight w:val="none"/>
        </w:rPr>
        <w:t>：</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u w:val="single"/>
        </w:rPr>
      </w:pPr>
      <w:r>
        <w:rPr>
          <w:rFonts w:hint="eastAsia"/>
          <w:b w:val="0"/>
          <w:highlight w:val="none"/>
        </w:rPr>
        <w:t>联系人：</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被投诉人2：</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w:t>
      </w:r>
    </w:p>
    <w:p>
      <w:pPr>
        <w:pStyle w:val="24"/>
        <w:spacing w:before="0" w:after="0" w:line="360" w:lineRule="exact"/>
        <w:ind w:firstLine="480"/>
        <w:rPr>
          <w:rFonts w:hint="eastAsia"/>
          <w:b w:val="0"/>
          <w:highlight w:val="none"/>
        </w:rPr>
      </w:pPr>
      <w:r>
        <w:rPr>
          <w:rFonts w:hint="eastAsia"/>
          <w:b w:val="0"/>
          <w:highlight w:val="none"/>
        </w:rPr>
        <w:t>相关供应商：</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联系人：</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二、投诉项目基本情况：</w:t>
      </w:r>
    </w:p>
    <w:p>
      <w:pPr>
        <w:pStyle w:val="24"/>
        <w:spacing w:before="0" w:after="0" w:line="360" w:lineRule="exact"/>
        <w:ind w:firstLine="480"/>
        <w:rPr>
          <w:rFonts w:hint="eastAsia"/>
          <w:b w:val="0"/>
          <w:highlight w:val="none"/>
        </w:rPr>
      </w:pPr>
      <w:r>
        <w:rPr>
          <w:rFonts w:hint="eastAsia"/>
          <w:b w:val="0"/>
          <w:highlight w:val="none"/>
        </w:rPr>
        <w:t xml:space="preserve">采购项目的名称：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 xml:space="preserve">采购项目的编号：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pPr>
        <w:pStyle w:val="24"/>
        <w:spacing w:before="0" w:after="0" w:line="360" w:lineRule="exact"/>
        <w:ind w:firstLine="480"/>
        <w:rPr>
          <w:rFonts w:hint="eastAsia"/>
          <w:b w:val="0"/>
          <w:highlight w:val="none"/>
        </w:rPr>
      </w:pPr>
      <w:r>
        <w:rPr>
          <w:rFonts w:hint="eastAsia"/>
          <w:b w:val="0"/>
          <w:highlight w:val="none"/>
        </w:rPr>
        <w:t>采购人名称：</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代理机构名称：</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招标文件公告：是/否公告期限：</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采购结果公告：是/否公告期限：</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三、质疑基本情况</w:t>
      </w:r>
    </w:p>
    <w:p>
      <w:pPr>
        <w:pStyle w:val="24"/>
        <w:spacing w:before="0" w:after="0" w:line="360" w:lineRule="exact"/>
        <w:ind w:firstLine="480"/>
        <w:rPr>
          <w:rFonts w:hint="eastAsia"/>
          <w:b w:val="0"/>
          <w:highlight w:val="none"/>
          <w:u w:val="single"/>
        </w:rPr>
      </w:pPr>
      <w:r>
        <w:rPr>
          <w:rFonts w:hint="eastAsia"/>
          <w:b w:val="0"/>
          <w:highlight w:val="none"/>
        </w:rPr>
        <w:t>投诉人于</w:t>
      </w:r>
      <w:r>
        <w:rPr>
          <w:b w:val="0"/>
          <w:highlight w:val="none"/>
          <w:u w:val="single"/>
        </w:rPr>
        <w:t xml:space="preserve">     </w:t>
      </w:r>
      <w:r>
        <w:rPr>
          <w:rFonts w:hint="eastAsia"/>
          <w:b w:val="0"/>
          <w:highlight w:val="none"/>
        </w:rPr>
        <w:t>年</w:t>
      </w:r>
      <w:r>
        <w:rPr>
          <w:b w:val="0"/>
          <w:highlight w:val="none"/>
          <w:u w:val="single"/>
        </w:rPr>
        <w:t xml:space="preserve">    </w:t>
      </w:r>
      <w:r>
        <w:rPr>
          <w:rFonts w:hint="eastAsia"/>
          <w:b w:val="0"/>
          <w:highlight w:val="none"/>
        </w:rPr>
        <w:t>月</w:t>
      </w:r>
      <w:r>
        <w:rPr>
          <w:b w:val="0"/>
          <w:highlight w:val="none"/>
          <w:u w:val="single"/>
        </w:rPr>
        <w:t xml:space="preserve">   </w:t>
      </w:r>
      <w:r>
        <w:rPr>
          <w:rFonts w:hint="eastAsia"/>
          <w:b w:val="0"/>
          <w:highlight w:val="none"/>
        </w:rPr>
        <w:t>日，向</w:t>
      </w:r>
      <w:r>
        <w:rPr>
          <w:b w:val="0"/>
          <w:highlight w:val="none"/>
          <w:u w:val="single"/>
        </w:rPr>
        <w:t xml:space="preserve">         </w:t>
      </w:r>
      <w:r>
        <w:rPr>
          <w:rFonts w:hint="eastAsia"/>
          <w:b w:val="0"/>
          <w:highlight w:val="none"/>
        </w:rPr>
        <w:t>提出质疑，质疑事项为：</w:t>
      </w:r>
      <w:r>
        <w:rPr>
          <w:b w:val="0"/>
          <w:highlight w:val="none"/>
          <w:u w:val="single"/>
        </w:rPr>
        <w:t xml:space="preserve">                </w:t>
      </w:r>
    </w:p>
    <w:p>
      <w:pPr>
        <w:pStyle w:val="24"/>
        <w:spacing w:before="0" w:after="0" w:line="360" w:lineRule="exact"/>
        <w:ind w:firstLine="0" w:firstLineChars="0"/>
        <w:jc w:val="left"/>
        <w:rPr>
          <w:rFonts w:hint="eastAsia"/>
          <w:b w:val="0"/>
          <w:highlight w:val="none"/>
          <w:u w:val="single"/>
        </w:rPr>
      </w:pPr>
      <w:r>
        <w:rPr>
          <w:b w:val="0"/>
          <w:highlight w:val="none"/>
          <w:u w:val="single"/>
        </w:rPr>
        <w:t xml:space="preserve">                                                                                 </w:t>
      </w:r>
    </w:p>
    <w:p>
      <w:pPr>
        <w:spacing w:line="360" w:lineRule="exact"/>
        <w:rPr>
          <w:highlight w:val="none"/>
        </w:rPr>
      </w:pPr>
      <w:r>
        <w:rPr>
          <w:b/>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u w:val="single"/>
        </w:rPr>
        <w:t>采购人/代理机构</w:t>
      </w:r>
      <w:r>
        <w:rPr>
          <w:rFonts w:hint="eastAsia"/>
          <w:b w:val="0"/>
          <w:highlight w:val="none"/>
        </w:rPr>
        <w:t>于</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 xml:space="preserve">日，就质疑事项作出了答复/没有在法定期限内作出答复。                                                                                             </w:t>
      </w:r>
    </w:p>
    <w:p>
      <w:pPr>
        <w:pStyle w:val="24"/>
        <w:spacing w:before="0" w:after="0" w:line="360" w:lineRule="exact"/>
        <w:ind w:firstLine="480"/>
        <w:rPr>
          <w:rFonts w:hint="eastAsia"/>
          <w:b w:val="0"/>
          <w:highlight w:val="none"/>
        </w:rPr>
      </w:pPr>
      <w:r>
        <w:rPr>
          <w:rFonts w:hint="eastAsia"/>
          <w:b w:val="0"/>
          <w:highlight w:val="none"/>
        </w:rPr>
        <w:t>四、投诉事项具体内容</w:t>
      </w:r>
    </w:p>
    <w:p>
      <w:pPr>
        <w:pStyle w:val="24"/>
        <w:spacing w:before="0" w:after="0" w:line="360" w:lineRule="exact"/>
        <w:ind w:firstLine="480"/>
        <w:rPr>
          <w:rFonts w:hint="eastAsia"/>
          <w:b w:val="0"/>
          <w:highlight w:val="none"/>
        </w:rPr>
      </w:pPr>
      <w:r>
        <w:rPr>
          <w:rFonts w:hint="eastAsia"/>
          <w:b w:val="0"/>
          <w:highlight w:val="none"/>
        </w:rPr>
        <w:t>投诉事项1：</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事实依据：</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法律依据：</w:t>
      </w:r>
      <w:r>
        <w:rPr>
          <w:b w:val="0"/>
          <w:highlight w:val="none"/>
          <w:u w:val="single"/>
        </w:rPr>
        <w:t xml:space="preserve">                                                          </w:t>
      </w:r>
    </w:p>
    <w:p>
      <w:pPr>
        <w:pStyle w:val="24"/>
        <w:spacing w:before="0" w:after="0" w:line="360" w:lineRule="exact"/>
        <w:ind w:firstLine="480"/>
        <w:rPr>
          <w:rFonts w:hint="eastAsia"/>
          <w:b w:val="0"/>
          <w:bCs/>
          <w:highlight w:val="none"/>
        </w:rPr>
      </w:pPr>
      <w:r>
        <w:rPr>
          <w:rFonts w:hint="eastAsia"/>
          <w:b w:val="0"/>
          <w:highlight w:val="none"/>
        </w:rPr>
        <w:t xml:space="preserve">投诉事项2  </w:t>
      </w:r>
      <w:r>
        <w:rPr>
          <w:rFonts w:hint="eastAsia"/>
          <w:b w:val="0"/>
          <w:bCs/>
          <w:highlight w:val="none"/>
        </w:rPr>
        <w:t xml:space="preserve"> </w:t>
      </w:r>
    </w:p>
    <w:p>
      <w:pPr>
        <w:pStyle w:val="24"/>
        <w:spacing w:before="0" w:after="0" w:line="360" w:lineRule="exact"/>
        <w:ind w:firstLine="480"/>
        <w:rPr>
          <w:rFonts w:hint="eastAsia"/>
          <w:b w:val="0"/>
          <w:highlight w:val="none"/>
        </w:rPr>
      </w:pPr>
      <w:r>
        <w:rPr>
          <w:b w:val="0"/>
          <w:highlight w:val="none"/>
        </w:rPr>
        <w:t>……</w:t>
      </w:r>
    </w:p>
    <w:p>
      <w:pPr>
        <w:pStyle w:val="24"/>
        <w:spacing w:before="0" w:after="0" w:line="360" w:lineRule="exact"/>
        <w:ind w:firstLine="480"/>
        <w:rPr>
          <w:rFonts w:hint="eastAsia"/>
          <w:b w:val="0"/>
          <w:highlight w:val="none"/>
        </w:rPr>
      </w:pPr>
      <w:r>
        <w:rPr>
          <w:rFonts w:hint="eastAsia"/>
          <w:b w:val="0"/>
          <w:highlight w:val="none"/>
        </w:rPr>
        <w:t>五、与投诉事项相关的投诉请求：</w:t>
      </w:r>
    </w:p>
    <w:p>
      <w:pPr>
        <w:pStyle w:val="24"/>
        <w:spacing w:before="0" w:after="0" w:line="360" w:lineRule="exact"/>
        <w:ind w:firstLine="480"/>
        <w:rPr>
          <w:rFonts w:hint="eastAsia"/>
          <w:b w:val="0"/>
          <w:highlight w:val="none"/>
        </w:rPr>
      </w:pPr>
      <w:r>
        <w:rPr>
          <w:rFonts w:hint="eastAsia"/>
          <w:b w:val="0"/>
          <w:highlight w:val="none"/>
        </w:rPr>
        <w:t>请求：</w:t>
      </w:r>
      <w:r>
        <w:rPr>
          <w:b w:val="0"/>
          <w:highlight w:val="none"/>
          <w:u w:val="single"/>
        </w:rPr>
        <w:t xml:space="preserve">                                                          </w:t>
      </w:r>
    </w:p>
    <w:p>
      <w:pPr>
        <w:pStyle w:val="24"/>
        <w:spacing w:before="0" w:after="0" w:line="360" w:lineRule="exact"/>
        <w:ind w:firstLine="480"/>
        <w:rPr>
          <w:rFonts w:hint="eastAsia"/>
          <w:b w:val="0"/>
          <w:highlight w:val="none"/>
        </w:rPr>
      </w:pPr>
    </w:p>
    <w:p>
      <w:pPr>
        <w:pStyle w:val="24"/>
        <w:spacing w:before="0" w:after="0" w:line="360" w:lineRule="exact"/>
        <w:ind w:firstLine="480"/>
        <w:rPr>
          <w:rFonts w:hint="eastAsia"/>
          <w:b w:val="0"/>
          <w:highlight w:val="none"/>
        </w:rPr>
      </w:pPr>
      <w:r>
        <w:rPr>
          <w:rFonts w:hint="eastAsia"/>
          <w:b w:val="0"/>
          <w:highlight w:val="none"/>
        </w:rPr>
        <w:t>签字（签章）：</w:t>
      </w:r>
      <w:r>
        <w:rPr>
          <w:b w:val="0"/>
          <w:highlight w:val="none"/>
          <w:u w:val="single"/>
        </w:rPr>
        <w:t xml:space="preserve">            </w:t>
      </w:r>
      <w:r>
        <w:rPr>
          <w:rFonts w:hint="eastAsia"/>
          <w:b w:val="0"/>
          <w:highlight w:val="none"/>
        </w:rPr>
        <w:t xml:space="preserve">  </w:t>
      </w:r>
    </w:p>
    <w:p>
      <w:pPr>
        <w:pStyle w:val="24"/>
        <w:spacing w:before="0" w:after="0" w:line="360" w:lineRule="exact"/>
        <w:ind w:firstLine="480"/>
        <w:rPr>
          <w:rFonts w:hint="eastAsia"/>
          <w:b w:val="0"/>
          <w:highlight w:val="none"/>
        </w:rPr>
      </w:pPr>
      <w:r>
        <w:rPr>
          <w:rFonts w:hint="eastAsia"/>
          <w:b w:val="0"/>
          <w:highlight w:val="none"/>
        </w:rPr>
        <w:t>公章：</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日期：</w:t>
      </w:r>
      <w:r>
        <w:rPr>
          <w:b w:val="0"/>
          <w:highlight w:val="none"/>
          <w:u w:val="single"/>
        </w:rPr>
        <w:t xml:space="preserve">                  </w:t>
      </w:r>
    </w:p>
    <w:p>
      <w:pPr>
        <w:pStyle w:val="24"/>
        <w:spacing w:before="0" w:after="0" w:line="320" w:lineRule="exact"/>
        <w:ind w:firstLine="480"/>
        <w:rPr>
          <w:rFonts w:hint="eastAsia"/>
          <w:b w:val="0"/>
          <w:highlight w:val="none"/>
        </w:rPr>
      </w:pPr>
    </w:p>
    <w:p>
      <w:pPr>
        <w:pStyle w:val="24"/>
        <w:spacing w:before="0" w:after="0" w:line="320" w:lineRule="exact"/>
        <w:ind w:firstLine="480"/>
        <w:rPr>
          <w:rFonts w:hint="eastAsia"/>
          <w:b w:val="0"/>
          <w:highlight w:val="none"/>
        </w:rPr>
      </w:pPr>
      <w:r>
        <w:rPr>
          <w:rFonts w:hint="eastAsia"/>
          <w:b w:val="0"/>
          <w:highlight w:val="none"/>
        </w:rPr>
        <w:t>说明：</w:t>
      </w:r>
    </w:p>
    <w:p>
      <w:pPr>
        <w:pStyle w:val="24"/>
        <w:spacing w:before="0" w:after="0" w:line="320" w:lineRule="exact"/>
        <w:ind w:firstLine="480"/>
        <w:rPr>
          <w:rFonts w:hint="eastAsia"/>
          <w:b w:val="0"/>
          <w:bCs/>
          <w:highlight w:val="none"/>
        </w:rPr>
      </w:pPr>
      <w:r>
        <w:rPr>
          <w:rFonts w:hint="eastAsia"/>
          <w:b w:val="0"/>
          <w:highlight w:val="none"/>
        </w:rPr>
        <w:t>1.投诉人提起投诉时，应当提交投诉书和必要的证明材料，并按照被投诉人和与投诉事项有关的供应商数量提供投诉书副本</w:t>
      </w:r>
      <w:r>
        <w:rPr>
          <w:rFonts w:hint="eastAsia"/>
          <w:b w:val="0"/>
          <w:bCs/>
          <w:highlight w:val="none"/>
        </w:rPr>
        <w:t>。</w:t>
      </w:r>
    </w:p>
    <w:p>
      <w:pPr>
        <w:pStyle w:val="24"/>
        <w:spacing w:before="0" w:after="0" w:line="320" w:lineRule="exact"/>
        <w:ind w:firstLine="480"/>
        <w:rPr>
          <w:rFonts w:hint="eastAsia"/>
          <w:b w:val="0"/>
          <w:highlight w:val="none"/>
        </w:rPr>
      </w:pPr>
      <w:r>
        <w:rPr>
          <w:rFonts w:hint="eastAsia"/>
          <w:b w:val="0"/>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4"/>
        <w:spacing w:before="0" w:after="0" w:line="320" w:lineRule="exact"/>
        <w:ind w:firstLine="480"/>
        <w:rPr>
          <w:rFonts w:hint="eastAsia"/>
          <w:b w:val="0"/>
          <w:highlight w:val="none"/>
        </w:rPr>
      </w:pPr>
      <w:r>
        <w:rPr>
          <w:rFonts w:hint="eastAsia"/>
          <w:b w:val="0"/>
          <w:highlight w:val="none"/>
        </w:rPr>
        <w:t>3.投诉书应简要列明质疑事项，质疑函、质疑答复等作为附件材料提供。</w:t>
      </w:r>
    </w:p>
    <w:p>
      <w:pPr>
        <w:pStyle w:val="24"/>
        <w:spacing w:before="0" w:after="0" w:line="320" w:lineRule="exact"/>
        <w:ind w:firstLine="480"/>
        <w:rPr>
          <w:rFonts w:hint="eastAsia"/>
          <w:b w:val="0"/>
          <w:highlight w:val="none"/>
        </w:rPr>
      </w:pPr>
      <w:r>
        <w:rPr>
          <w:rFonts w:hint="eastAsia"/>
          <w:b w:val="0"/>
          <w:highlight w:val="none"/>
        </w:rPr>
        <w:t>4.投诉书的投诉事项应具体、明确，并有必要的事实依据和法律依据。</w:t>
      </w:r>
    </w:p>
    <w:p>
      <w:pPr>
        <w:pStyle w:val="24"/>
        <w:spacing w:before="0" w:after="0" w:line="320" w:lineRule="exact"/>
        <w:ind w:firstLine="480"/>
        <w:rPr>
          <w:rFonts w:hint="eastAsia"/>
          <w:b w:val="0"/>
          <w:highlight w:val="none"/>
        </w:rPr>
      </w:pPr>
      <w:r>
        <w:rPr>
          <w:rFonts w:hint="eastAsia"/>
          <w:b w:val="0"/>
          <w:highlight w:val="none"/>
        </w:rPr>
        <w:t>5.投诉书的投诉请求应与投诉事项相关。</w:t>
      </w:r>
    </w:p>
    <w:p>
      <w:pPr>
        <w:pStyle w:val="24"/>
        <w:spacing w:before="0" w:after="0" w:line="320" w:lineRule="exact"/>
        <w:ind w:firstLine="480"/>
        <w:rPr>
          <w:rFonts w:hint="eastAsia"/>
          <w:b w:val="0"/>
          <w:highlight w:val="none"/>
        </w:rPr>
      </w:pPr>
      <w:r>
        <w:rPr>
          <w:rFonts w:hint="eastAsia"/>
          <w:b w:val="0"/>
          <w:highlight w:val="none"/>
        </w:rPr>
        <w:t>6.投诉人为法人或者其他组织的，投诉书应由法定代表人、主要负责人，或者其授权代表签字或者盖章，并加盖公章。</w:t>
      </w:r>
    </w:p>
    <w:sectPr>
      <w:footerReference r:id="rId10" w:type="first"/>
      <w:headerReference r:id="rId7" w:type="default"/>
      <w:footerReference r:id="rId8" w:type="default"/>
      <w:footerReference r:id="rId9" w:type="even"/>
      <w:pgSz w:w="11906" w:h="16838"/>
      <w:pgMar w:top="993" w:right="1080" w:bottom="993" w:left="1080" w:header="851" w:footer="510"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9D9D797-0FFB-4400-B6AB-3B8BD0980EB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F44D0750-B680-4F88-A639-B974B128C16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202540B-D16C-4F2E-8FC5-D4EDF959C45A}"/>
  </w:font>
  <w:font w:name="仿宋_GB2312">
    <w:panose1 w:val="02010609030101010101"/>
    <w:charset w:val="86"/>
    <w:family w:val="modern"/>
    <w:pitch w:val="default"/>
    <w:sig w:usb0="00000000" w:usb1="00000000" w:usb2="00000000" w:usb3="00000000" w:csb0="00000000" w:csb1="00000000"/>
    <w:embedRegular r:id="rId4" w:fontKey="{B7B31885-35E4-4AB1-A471-52BE8D6417FC}"/>
  </w:font>
  <w:font w:name="仿宋">
    <w:panose1 w:val="02010609060101010101"/>
    <w:charset w:val="86"/>
    <w:family w:val="modern"/>
    <w:pitch w:val="default"/>
    <w:sig w:usb0="800002BF" w:usb1="38CF7CFA" w:usb2="00000016" w:usb3="00000000" w:csb0="00040001" w:csb1="00000000"/>
    <w:embedRegular r:id="rId5" w:fontKey="{A72114F3-0505-40B7-8AD4-38E8C732809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2000009F" w:csb1="DFD70000"/>
  </w:font>
  <w:font w:name="Arial Unicode MS">
    <w:altName w:val="Arial"/>
    <w:panose1 w:val="020B0604020202020204"/>
    <w:charset w:val="80"/>
    <w:family w:val="swiss"/>
    <w:pitch w:val="default"/>
    <w:sig w:usb0="00000000" w:usb1="00000000" w:usb2="0000003F" w:usb3="00000000" w:csb0="603F01FF" w:csb1="FFFF0000"/>
    <w:embedRegular r:id="rId6" w:fontKey="{47624FAF-C350-44D6-B652-4396FBAE880A}"/>
  </w:font>
  <w:font w:name="等线">
    <w:panose1 w:val="02010600030101010101"/>
    <w:charset w:val="86"/>
    <w:family w:val="auto"/>
    <w:pitch w:val="default"/>
    <w:sig w:usb0="A00002BF" w:usb1="38CF7CFA" w:usb2="00000016" w:usb3="00000000" w:csb0="0004000F" w:csb1="00000000"/>
    <w:embedRegular r:id="rId7" w:fontKey="{6D2C887F-A876-4B3B-86FE-E90AA5AAA20B}"/>
  </w:font>
  <w:font w:name="微软雅黑">
    <w:panose1 w:val="020B0503020204020204"/>
    <w:charset w:val="86"/>
    <w:family w:val="swiss"/>
    <w:pitch w:val="default"/>
    <w:sig w:usb0="80000287" w:usb1="2ACF3C50" w:usb2="00000016" w:usb3="00000000" w:csb0="0004001F" w:csb1="00000000"/>
    <w:embedRegular r:id="rId8" w:fontKey="{B8CA3FA0-73F7-4655-9140-3E681A23228C}"/>
  </w:font>
  <w:font w:name="Helvetica">
    <w:altName w:val="Arial"/>
    <w:panose1 w:val="020B0604020202020204"/>
    <w:charset w:val="00"/>
    <w:family w:val="swiss"/>
    <w:pitch w:val="default"/>
    <w:sig w:usb0="00000000" w:usb1="00000000" w:usb2="00000009" w:usb3="00000000" w:csb0="000001FF" w:csb1="00000000"/>
    <w:embedRegular r:id="rId9" w:fontKey="{FDBD1BDF-ED06-42C2-ADD2-A067EE2A748E}"/>
  </w:font>
  <w:font w:name="Segoe UI Symbol">
    <w:panose1 w:val="020B0502040204020203"/>
    <w:charset w:val="00"/>
    <w:family w:val="swiss"/>
    <w:pitch w:val="default"/>
    <w:sig w:usb0="800001E3" w:usb1="1200FFEF" w:usb2="00040000" w:usb3="04000000" w:csb0="00000001" w:csb1="40000000"/>
    <w:embedRegular r:id="rId10" w:fontKey="{247BCFDD-5EFE-437B-885B-F3A396939C59}"/>
  </w:font>
  <w:font w:name="方正小标宋简体">
    <w:panose1 w:val="03000509000000000000"/>
    <w:charset w:val="86"/>
    <w:family w:val="script"/>
    <w:pitch w:val="default"/>
    <w:sig w:usb0="00000000" w:usb1="00000000" w:usb2="00000000" w:usb3="00000000" w:csb0="00000000" w:csb1="00000000"/>
    <w:embedRegular r:id="rId11" w:fontKey="{2CA34DED-1B49-4928-9071-6139C98EEB9D}"/>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45952"/>
    </w:sdtPr>
    <w:sdtEndPr>
      <w:rPr>
        <w:rFonts w:ascii="仿宋" w:hAnsi="仿宋" w:eastAsia="仿宋"/>
        <w:sz w:val="21"/>
        <w:szCs w:val="21"/>
      </w:rPr>
    </w:sdtEndPr>
    <w:sdtContent>
      <w:p>
        <w:pPr>
          <w:pStyle w:val="30"/>
          <w:jc w:val="center"/>
          <w:rPr>
            <w:rFonts w:hint="eastAsia"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PAGE   \* MERGEFORMAT</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115 -</w:t>
        </w:r>
        <w:r>
          <w:rPr>
            <w:rFonts w:ascii="仿宋" w:hAnsi="仿宋" w:eastAsia="仿宋"/>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46"/>
      </w:rPr>
    </w:pPr>
    <w:r>
      <w:fldChar w:fldCharType="begin"/>
    </w:r>
    <w:r>
      <w:rPr>
        <w:rStyle w:val="46"/>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hint="eastAsia"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123 -</w:t>
    </w:r>
    <w:r>
      <w:rPr>
        <w:rFonts w:ascii="仿宋" w:hAnsi="仿宋" w:eastAsia="仿宋"/>
        <w:sz w:val="21"/>
        <w:szCs w:val="21"/>
      </w:rP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46"/>
      </w:rPr>
    </w:pPr>
    <w:r>
      <w:fldChar w:fldCharType="begin"/>
    </w:r>
    <w:r>
      <w:rPr>
        <w:rStyle w:val="46"/>
      </w:rPr>
      <w:instrText xml:space="preserve">PAGE  </w:instrText>
    </w:r>
    <w:r>
      <w:fldChar w:fldCharType="end"/>
    </w:r>
  </w:p>
  <w:p>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265A91"/>
    <w:multiLevelType w:val="singleLevel"/>
    <w:tmpl w:val="9B265A91"/>
    <w:lvl w:ilvl="0" w:tentative="0">
      <w:start w:val="1"/>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3">
    <w:nsid w:val="4C601917"/>
    <w:multiLevelType w:val="singleLevel"/>
    <w:tmpl w:val="4C601917"/>
    <w:lvl w:ilvl="0" w:tentative="0">
      <w:start w:val="1"/>
      <w:numFmt w:val="decimal"/>
      <w:suff w:val="nothing"/>
      <w:lvlText w:val="（%1）"/>
      <w:lvlJc w:val="left"/>
      <w:pPr>
        <w:ind w:left="-2"/>
      </w:pPr>
    </w:lvl>
  </w:abstractNum>
  <w:abstractNum w:abstractNumId="4">
    <w:nsid w:val="5FABD14B"/>
    <w:multiLevelType w:val="singleLevel"/>
    <w:tmpl w:val="5FABD14B"/>
    <w:lvl w:ilvl="0" w:tentative="0">
      <w:start w:val="1"/>
      <w:numFmt w:val="decimal"/>
      <w:suff w:val="nothing"/>
      <w:lvlText w:val="（%1）"/>
      <w:lvlJc w:val="left"/>
    </w:lvl>
  </w:abstractNum>
  <w:abstractNum w:abstractNumId="5">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2"/>
  </w:num>
  <w:num w:numId="2">
    <w:abstractNumId w:val="1"/>
  </w:num>
  <w:num w:numId="3">
    <w:abstractNumId w:val="0"/>
  </w:num>
  <w:num w:numId="4">
    <w:abstractNumId w:val="3"/>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TrueTypeFonts/>
  <w:saveSubsetFonts/>
  <w:bordersDoNotSurroundHeader w:val="1"/>
  <w:bordersDoNotSurroundFooter w:val="1"/>
  <w:hideSpellingErrors/>
  <w:hideGrammaticalError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mNTY2MTJjMDRkYzdhZTA3ZTViOGRlNjk0Y2NmNzgifQ=="/>
  </w:docVars>
  <w:rsids>
    <w:rsidRoot w:val="00F9008B"/>
    <w:rsid w:val="0000010C"/>
    <w:rsid w:val="000004FE"/>
    <w:rsid w:val="00000FE0"/>
    <w:rsid w:val="00001068"/>
    <w:rsid w:val="0000114A"/>
    <w:rsid w:val="00001417"/>
    <w:rsid w:val="00001731"/>
    <w:rsid w:val="00001C2D"/>
    <w:rsid w:val="00001C55"/>
    <w:rsid w:val="00001CA8"/>
    <w:rsid w:val="00001ED4"/>
    <w:rsid w:val="00001FAE"/>
    <w:rsid w:val="00002291"/>
    <w:rsid w:val="00002DBF"/>
    <w:rsid w:val="00002EC0"/>
    <w:rsid w:val="00003224"/>
    <w:rsid w:val="000033F5"/>
    <w:rsid w:val="0000358C"/>
    <w:rsid w:val="0000361D"/>
    <w:rsid w:val="00003BEF"/>
    <w:rsid w:val="00004130"/>
    <w:rsid w:val="0000431F"/>
    <w:rsid w:val="00004369"/>
    <w:rsid w:val="00004634"/>
    <w:rsid w:val="000046FA"/>
    <w:rsid w:val="00004D8B"/>
    <w:rsid w:val="000059E2"/>
    <w:rsid w:val="00005E6D"/>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83A"/>
    <w:rsid w:val="00014D89"/>
    <w:rsid w:val="00014DD9"/>
    <w:rsid w:val="00014EE0"/>
    <w:rsid w:val="000151E4"/>
    <w:rsid w:val="00015577"/>
    <w:rsid w:val="000156E4"/>
    <w:rsid w:val="000159A7"/>
    <w:rsid w:val="00015EA2"/>
    <w:rsid w:val="00015FB8"/>
    <w:rsid w:val="0001609F"/>
    <w:rsid w:val="0001611C"/>
    <w:rsid w:val="0001635B"/>
    <w:rsid w:val="00016549"/>
    <w:rsid w:val="00016814"/>
    <w:rsid w:val="00016BF7"/>
    <w:rsid w:val="000171A4"/>
    <w:rsid w:val="0001720C"/>
    <w:rsid w:val="0001767E"/>
    <w:rsid w:val="0001776D"/>
    <w:rsid w:val="00017F31"/>
    <w:rsid w:val="00020252"/>
    <w:rsid w:val="00020607"/>
    <w:rsid w:val="00020CBB"/>
    <w:rsid w:val="0002103A"/>
    <w:rsid w:val="000217E4"/>
    <w:rsid w:val="00021852"/>
    <w:rsid w:val="00021A12"/>
    <w:rsid w:val="000223BF"/>
    <w:rsid w:val="00022622"/>
    <w:rsid w:val="00023363"/>
    <w:rsid w:val="000235F3"/>
    <w:rsid w:val="00023644"/>
    <w:rsid w:val="00023712"/>
    <w:rsid w:val="00023856"/>
    <w:rsid w:val="00024E3C"/>
    <w:rsid w:val="00024EB0"/>
    <w:rsid w:val="00025471"/>
    <w:rsid w:val="00025604"/>
    <w:rsid w:val="00025DAF"/>
    <w:rsid w:val="0002646A"/>
    <w:rsid w:val="0002651D"/>
    <w:rsid w:val="00026C90"/>
    <w:rsid w:val="00026CFD"/>
    <w:rsid w:val="00027C8B"/>
    <w:rsid w:val="00027CD9"/>
    <w:rsid w:val="00027E96"/>
    <w:rsid w:val="00030242"/>
    <w:rsid w:val="00030422"/>
    <w:rsid w:val="00030B06"/>
    <w:rsid w:val="0003183A"/>
    <w:rsid w:val="00031CDC"/>
    <w:rsid w:val="00032416"/>
    <w:rsid w:val="00032461"/>
    <w:rsid w:val="0003263B"/>
    <w:rsid w:val="0003282C"/>
    <w:rsid w:val="000329E7"/>
    <w:rsid w:val="00032F6D"/>
    <w:rsid w:val="0003304A"/>
    <w:rsid w:val="0003317E"/>
    <w:rsid w:val="00033413"/>
    <w:rsid w:val="000337F3"/>
    <w:rsid w:val="00033DDB"/>
    <w:rsid w:val="00034499"/>
    <w:rsid w:val="000345AB"/>
    <w:rsid w:val="00034B24"/>
    <w:rsid w:val="00034C27"/>
    <w:rsid w:val="00034E2A"/>
    <w:rsid w:val="0003577F"/>
    <w:rsid w:val="00035B29"/>
    <w:rsid w:val="00035DFD"/>
    <w:rsid w:val="000363B6"/>
    <w:rsid w:val="00036466"/>
    <w:rsid w:val="0003675E"/>
    <w:rsid w:val="00036ED3"/>
    <w:rsid w:val="00037F87"/>
    <w:rsid w:val="00037FA2"/>
    <w:rsid w:val="000400D0"/>
    <w:rsid w:val="000402BE"/>
    <w:rsid w:val="00040343"/>
    <w:rsid w:val="000425AC"/>
    <w:rsid w:val="000427B8"/>
    <w:rsid w:val="000429F6"/>
    <w:rsid w:val="00042F4A"/>
    <w:rsid w:val="00043AC8"/>
    <w:rsid w:val="00043BE5"/>
    <w:rsid w:val="00044003"/>
    <w:rsid w:val="00044527"/>
    <w:rsid w:val="000447E8"/>
    <w:rsid w:val="00044897"/>
    <w:rsid w:val="00044ACF"/>
    <w:rsid w:val="00045465"/>
    <w:rsid w:val="000454F4"/>
    <w:rsid w:val="00045789"/>
    <w:rsid w:val="00045D1E"/>
    <w:rsid w:val="00045E69"/>
    <w:rsid w:val="00045E97"/>
    <w:rsid w:val="00045EF4"/>
    <w:rsid w:val="00046547"/>
    <w:rsid w:val="000466D7"/>
    <w:rsid w:val="00046753"/>
    <w:rsid w:val="00047103"/>
    <w:rsid w:val="00047254"/>
    <w:rsid w:val="00047E41"/>
    <w:rsid w:val="0005022B"/>
    <w:rsid w:val="00050450"/>
    <w:rsid w:val="00050771"/>
    <w:rsid w:val="000509BA"/>
    <w:rsid w:val="0005137A"/>
    <w:rsid w:val="000513F3"/>
    <w:rsid w:val="00052287"/>
    <w:rsid w:val="000522E0"/>
    <w:rsid w:val="00052FED"/>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27"/>
    <w:rsid w:val="00056FE2"/>
    <w:rsid w:val="000570FB"/>
    <w:rsid w:val="000575B8"/>
    <w:rsid w:val="00060131"/>
    <w:rsid w:val="0006026B"/>
    <w:rsid w:val="00060293"/>
    <w:rsid w:val="00061341"/>
    <w:rsid w:val="00061AA1"/>
    <w:rsid w:val="00061B7F"/>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5EB1"/>
    <w:rsid w:val="000661CA"/>
    <w:rsid w:val="0006668D"/>
    <w:rsid w:val="000667B3"/>
    <w:rsid w:val="00066896"/>
    <w:rsid w:val="00067002"/>
    <w:rsid w:val="00067993"/>
    <w:rsid w:val="00067B1C"/>
    <w:rsid w:val="00067CED"/>
    <w:rsid w:val="00067F66"/>
    <w:rsid w:val="0007041A"/>
    <w:rsid w:val="00070634"/>
    <w:rsid w:val="0007063F"/>
    <w:rsid w:val="00070883"/>
    <w:rsid w:val="00070C3F"/>
    <w:rsid w:val="0007102C"/>
    <w:rsid w:val="00071D68"/>
    <w:rsid w:val="00071FCE"/>
    <w:rsid w:val="00072661"/>
    <w:rsid w:val="00072CCC"/>
    <w:rsid w:val="0007308C"/>
    <w:rsid w:val="0007315D"/>
    <w:rsid w:val="00073549"/>
    <w:rsid w:val="000737BE"/>
    <w:rsid w:val="0007483E"/>
    <w:rsid w:val="000751DB"/>
    <w:rsid w:val="0007542D"/>
    <w:rsid w:val="0007578F"/>
    <w:rsid w:val="000758C2"/>
    <w:rsid w:val="00075E43"/>
    <w:rsid w:val="00077706"/>
    <w:rsid w:val="00077878"/>
    <w:rsid w:val="00077E81"/>
    <w:rsid w:val="000804EF"/>
    <w:rsid w:val="00080558"/>
    <w:rsid w:val="0008069D"/>
    <w:rsid w:val="00080DCC"/>
    <w:rsid w:val="00081230"/>
    <w:rsid w:val="000812A8"/>
    <w:rsid w:val="000814E2"/>
    <w:rsid w:val="000818C9"/>
    <w:rsid w:val="00081CBB"/>
    <w:rsid w:val="00081D42"/>
    <w:rsid w:val="000822EF"/>
    <w:rsid w:val="0008241E"/>
    <w:rsid w:val="000826F5"/>
    <w:rsid w:val="000829B1"/>
    <w:rsid w:val="00082AAB"/>
    <w:rsid w:val="0008307D"/>
    <w:rsid w:val="000831E9"/>
    <w:rsid w:val="000833BB"/>
    <w:rsid w:val="000839FD"/>
    <w:rsid w:val="00083F72"/>
    <w:rsid w:val="0008452D"/>
    <w:rsid w:val="0008467B"/>
    <w:rsid w:val="000850FA"/>
    <w:rsid w:val="000857A6"/>
    <w:rsid w:val="00085C12"/>
    <w:rsid w:val="00085DA0"/>
    <w:rsid w:val="00085F82"/>
    <w:rsid w:val="00086506"/>
    <w:rsid w:val="00086B6E"/>
    <w:rsid w:val="00086C2F"/>
    <w:rsid w:val="00086C64"/>
    <w:rsid w:val="000874BB"/>
    <w:rsid w:val="0008781A"/>
    <w:rsid w:val="00087FF8"/>
    <w:rsid w:val="00090951"/>
    <w:rsid w:val="00090A61"/>
    <w:rsid w:val="000918F5"/>
    <w:rsid w:val="000919B5"/>
    <w:rsid w:val="00091C1D"/>
    <w:rsid w:val="00091E08"/>
    <w:rsid w:val="00092100"/>
    <w:rsid w:val="000922D8"/>
    <w:rsid w:val="000932E7"/>
    <w:rsid w:val="0009333A"/>
    <w:rsid w:val="000933C3"/>
    <w:rsid w:val="00093459"/>
    <w:rsid w:val="00093A93"/>
    <w:rsid w:val="00093B4E"/>
    <w:rsid w:val="00093B8B"/>
    <w:rsid w:val="000944C3"/>
    <w:rsid w:val="000951E7"/>
    <w:rsid w:val="00095B82"/>
    <w:rsid w:val="00096098"/>
    <w:rsid w:val="000961B2"/>
    <w:rsid w:val="000969D9"/>
    <w:rsid w:val="00096F37"/>
    <w:rsid w:val="00097FE5"/>
    <w:rsid w:val="000A0354"/>
    <w:rsid w:val="000A091F"/>
    <w:rsid w:val="000A0958"/>
    <w:rsid w:val="000A0FCC"/>
    <w:rsid w:val="000A1033"/>
    <w:rsid w:val="000A2712"/>
    <w:rsid w:val="000A2877"/>
    <w:rsid w:val="000A355D"/>
    <w:rsid w:val="000A35DA"/>
    <w:rsid w:val="000A371E"/>
    <w:rsid w:val="000A3B88"/>
    <w:rsid w:val="000A3DE5"/>
    <w:rsid w:val="000A4011"/>
    <w:rsid w:val="000A45D5"/>
    <w:rsid w:val="000A46CD"/>
    <w:rsid w:val="000A490E"/>
    <w:rsid w:val="000A4B64"/>
    <w:rsid w:val="000A529E"/>
    <w:rsid w:val="000A57C9"/>
    <w:rsid w:val="000A5B49"/>
    <w:rsid w:val="000A5FE5"/>
    <w:rsid w:val="000A62C4"/>
    <w:rsid w:val="000A6684"/>
    <w:rsid w:val="000A7194"/>
    <w:rsid w:val="000A7218"/>
    <w:rsid w:val="000A740A"/>
    <w:rsid w:val="000A7446"/>
    <w:rsid w:val="000A7E7F"/>
    <w:rsid w:val="000A7ECD"/>
    <w:rsid w:val="000B04DD"/>
    <w:rsid w:val="000B09EE"/>
    <w:rsid w:val="000B0F01"/>
    <w:rsid w:val="000B1346"/>
    <w:rsid w:val="000B1914"/>
    <w:rsid w:val="000B19DC"/>
    <w:rsid w:val="000B1B44"/>
    <w:rsid w:val="000B1CA2"/>
    <w:rsid w:val="000B202E"/>
    <w:rsid w:val="000B2293"/>
    <w:rsid w:val="000B24A4"/>
    <w:rsid w:val="000B255C"/>
    <w:rsid w:val="000B395E"/>
    <w:rsid w:val="000B39C3"/>
    <w:rsid w:val="000B3A00"/>
    <w:rsid w:val="000B3A65"/>
    <w:rsid w:val="000B3D8D"/>
    <w:rsid w:val="000B4840"/>
    <w:rsid w:val="000B4D79"/>
    <w:rsid w:val="000B53E8"/>
    <w:rsid w:val="000B5627"/>
    <w:rsid w:val="000B5671"/>
    <w:rsid w:val="000B5A2F"/>
    <w:rsid w:val="000B6BF0"/>
    <w:rsid w:val="000B6CE8"/>
    <w:rsid w:val="000B7DAF"/>
    <w:rsid w:val="000C005F"/>
    <w:rsid w:val="000C006F"/>
    <w:rsid w:val="000C071C"/>
    <w:rsid w:val="000C0931"/>
    <w:rsid w:val="000C0BB4"/>
    <w:rsid w:val="000C0BEE"/>
    <w:rsid w:val="000C11BE"/>
    <w:rsid w:val="000C1CB9"/>
    <w:rsid w:val="000C2159"/>
    <w:rsid w:val="000C21BB"/>
    <w:rsid w:val="000C289B"/>
    <w:rsid w:val="000C2EB4"/>
    <w:rsid w:val="000C352F"/>
    <w:rsid w:val="000C3895"/>
    <w:rsid w:val="000C3F01"/>
    <w:rsid w:val="000C410D"/>
    <w:rsid w:val="000C420D"/>
    <w:rsid w:val="000C4773"/>
    <w:rsid w:val="000C4944"/>
    <w:rsid w:val="000C4E24"/>
    <w:rsid w:val="000C52D0"/>
    <w:rsid w:val="000C5851"/>
    <w:rsid w:val="000C591E"/>
    <w:rsid w:val="000C5C4A"/>
    <w:rsid w:val="000C5F01"/>
    <w:rsid w:val="000C63C4"/>
    <w:rsid w:val="000C66C1"/>
    <w:rsid w:val="000C69CE"/>
    <w:rsid w:val="000C6F0B"/>
    <w:rsid w:val="000C6F32"/>
    <w:rsid w:val="000C6FEF"/>
    <w:rsid w:val="000C7084"/>
    <w:rsid w:val="000C7324"/>
    <w:rsid w:val="000C778C"/>
    <w:rsid w:val="000C7833"/>
    <w:rsid w:val="000C7E1B"/>
    <w:rsid w:val="000C7E73"/>
    <w:rsid w:val="000D001B"/>
    <w:rsid w:val="000D0A45"/>
    <w:rsid w:val="000D136E"/>
    <w:rsid w:val="000D14AC"/>
    <w:rsid w:val="000D15BA"/>
    <w:rsid w:val="000D15BE"/>
    <w:rsid w:val="000D1C25"/>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979"/>
    <w:rsid w:val="000D69DF"/>
    <w:rsid w:val="000D6CE7"/>
    <w:rsid w:val="000D6E38"/>
    <w:rsid w:val="000D6E63"/>
    <w:rsid w:val="000D711C"/>
    <w:rsid w:val="000D7B6E"/>
    <w:rsid w:val="000E0644"/>
    <w:rsid w:val="000E076D"/>
    <w:rsid w:val="000E087C"/>
    <w:rsid w:val="000E1300"/>
    <w:rsid w:val="000E187C"/>
    <w:rsid w:val="000E1AF6"/>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64B2"/>
    <w:rsid w:val="000E65D2"/>
    <w:rsid w:val="000E6919"/>
    <w:rsid w:val="000E6B1B"/>
    <w:rsid w:val="000E6F0C"/>
    <w:rsid w:val="000E7215"/>
    <w:rsid w:val="000E732D"/>
    <w:rsid w:val="000F07ED"/>
    <w:rsid w:val="000F0CF2"/>
    <w:rsid w:val="000F1401"/>
    <w:rsid w:val="000F1A32"/>
    <w:rsid w:val="000F1CC2"/>
    <w:rsid w:val="000F1D15"/>
    <w:rsid w:val="000F270A"/>
    <w:rsid w:val="000F2FA3"/>
    <w:rsid w:val="000F34C8"/>
    <w:rsid w:val="000F38BC"/>
    <w:rsid w:val="000F3BF8"/>
    <w:rsid w:val="000F3E2A"/>
    <w:rsid w:val="000F46AF"/>
    <w:rsid w:val="000F4D26"/>
    <w:rsid w:val="000F5639"/>
    <w:rsid w:val="000F5645"/>
    <w:rsid w:val="000F58A4"/>
    <w:rsid w:val="000F5CD6"/>
    <w:rsid w:val="000F5F99"/>
    <w:rsid w:val="000F6833"/>
    <w:rsid w:val="000F6A24"/>
    <w:rsid w:val="000F7502"/>
    <w:rsid w:val="000F7616"/>
    <w:rsid w:val="000F767F"/>
    <w:rsid w:val="000F7DE9"/>
    <w:rsid w:val="000F7F7A"/>
    <w:rsid w:val="001002F4"/>
    <w:rsid w:val="001004C7"/>
    <w:rsid w:val="0010050C"/>
    <w:rsid w:val="001006CB"/>
    <w:rsid w:val="001011FC"/>
    <w:rsid w:val="0010165F"/>
    <w:rsid w:val="00101E3C"/>
    <w:rsid w:val="00101E7C"/>
    <w:rsid w:val="001023DC"/>
    <w:rsid w:val="001024A7"/>
    <w:rsid w:val="00102572"/>
    <w:rsid w:val="00102946"/>
    <w:rsid w:val="001029A0"/>
    <w:rsid w:val="00102FBF"/>
    <w:rsid w:val="0010333D"/>
    <w:rsid w:val="0010372A"/>
    <w:rsid w:val="00103F41"/>
    <w:rsid w:val="00104662"/>
    <w:rsid w:val="001047D9"/>
    <w:rsid w:val="00104F34"/>
    <w:rsid w:val="001053C5"/>
    <w:rsid w:val="001055AD"/>
    <w:rsid w:val="00105C14"/>
    <w:rsid w:val="001065A3"/>
    <w:rsid w:val="00106610"/>
    <w:rsid w:val="00106831"/>
    <w:rsid w:val="0010683E"/>
    <w:rsid w:val="0010691D"/>
    <w:rsid w:val="00106931"/>
    <w:rsid w:val="00106B33"/>
    <w:rsid w:val="00106E69"/>
    <w:rsid w:val="00110AC5"/>
    <w:rsid w:val="00110E95"/>
    <w:rsid w:val="00110F0B"/>
    <w:rsid w:val="0011108B"/>
    <w:rsid w:val="00111136"/>
    <w:rsid w:val="00111164"/>
    <w:rsid w:val="00111761"/>
    <w:rsid w:val="00112164"/>
    <w:rsid w:val="0011241F"/>
    <w:rsid w:val="001128BF"/>
    <w:rsid w:val="00112D09"/>
    <w:rsid w:val="00112E8F"/>
    <w:rsid w:val="00112F03"/>
    <w:rsid w:val="00112F38"/>
    <w:rsid w:val="0011374E"/>
    <w:rsid w:val="00113821"/>
    <w:rsid w:val="00114058"/>
    <w:rsid w:val="0011449E"/>
    <w:rsid w:val="00114B4E"/>
    <w:rsid w:val="001153EF"/>
    <w:rsid w:val="00115AEE"/>
    <w:rsid w:val="00115D55"/>
    <w:rsid w:val="00115E45"/>
    <w:rsid w:val="00115F85"/>
    <w:rsid w:val="0011688E"/>
    <w:rsid w:val="00116A8B"/>
    <w:rsid w:val="00116ACD"/>
    <w:rsid w:val="00116AF0"/>
    <w:rsid w:val="00116E19"/>
    <w:rsid w:val="0011718F"/>
    <w:rsid w:val="00117B7D"/>
    <w:rsid w:val="00117D52"/>
    <w:rsid w:val="00117EC7"/>
    <w:rsid w:val="00117EFC"/>
    <w:rsid w:val="00120023"/>
    <w:rsid w:val="001205A8"/>
    <w:rsid w:val="00120792"/>
    <w:rsid w:val="00120D46"/>
    <w:rsid w:val="00121766"/>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700"/>
    <w:rsid w:val="00127F09"/>
    <w:rsid w:val="0013002A"/>
    <w:rsid w:val="001300D8"/>
    <w:rsid w:val="0013013C"/>
    <w:rsid w:val="0013085D"/>
    <w:rsid w:val="0013089C"/>
    <w:rsid w:val="00130A2D"/>
    <w:rsid w:val="00130CEA"/>
    <w:rsid w:val="00130F54"/>
    <w:rsid w:val="00131888"/>
    <w:rsid w:val="00131B07"/>
    <w:rsid w:val="00131F17"/>
    <w:rsid w:val="0013212F"/>
    <w:rsid w:val="00132284"/>
    <w:rsid w:val="001323F9"/>
    <w:rsid w:val="0013251F"/>
    <w:rsid w:val="001328AD"/>
    <w:rsid w:val="00133088"/>
    <w:rsid w:val="00133346"/>
    <w:rsid w:val="001335B1"/>
    <w:rsid w:val="00133668"/>
    <w:rsid w:val="00133B4E"/>
    <w:rsid w:val="0013410F"/>
    <w:rsid w:val="001346AF"/>
    <w:rsid w:val="00134990"/>
    <w:rsid w:val="00134BAD"/>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5EF"/>
    <w:rsid w:val="00141854"/>
    <w:rsid w:val="00141A3A"/>
    <w:rsid w:val="00141FD4"/>
    <w:rsid w:val="001423FA"/>
    <w:rsid w:val="001427B5"/>
    <w:rsid w:val="001428CF"/>
    <w:rsid w:val="00142D0C"/>
    <w:rsid w:val="00142E3C"/>
    <w:rsid w:val="00143387"/>
    <w:rsid w:val="001439BA"/>
    <w:rsid w:val="00144013"/>
    <w:rsid w:val="0014557F"/>
    <w:rsid w:val="001455C3"/>
    <w:rsid w:val="00145A17"/>
    <w:rsid w:val="00145BBE"/>
    <w:rsid w:val="001460B5"/>
    <w:rsid w:val="0014641F"/>
    <w:rsid w:val="001464A8"/>
    <w:rsid w:val="001467BB"/>
    <w:rsid w:val="00146CA8"/>
    <w:rsid w:val="00146DB9"/>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828"/>
    <w:rsid w:val="00153956"/>
    <w:rsid w:val="00153B95"/>
    <w:rsid w:val="00154146"/>
    <w:rsid w:val="00154190"/>
    <w:rsid w:val="00154396"/>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752"/>
    <w:rsid w:val="00161793"/>
    <w:rsid w:val="0016194E"/>
    <w:rsid w:val="00161B1E"/>
    <w:rsid w:val="0016236C"/>
    <w:rsid w:val="00162625"/>
    <w:rsid w:val="0016280E"/>
    <w:rsid w:val="001630A8"/>
    <w:rsid w:val="00163826"/>
    <w:rsid w:val="00163943"/>
    <w:rsid w:val="00163BA1"/>
    <w:rsid w:val="00163C89"/>
    <w:rsid w:val="00163EB2"/>
    <w:rsid w:val="00163F22"/>
    <w:rsid w:val="0016417B"/>
    <w:rsid w:val="001643A6"/>
    <w:rsid w:val="0016470E"/>
    <w:rsid w:val="001649D3"/>
    <w:rsid w:val="00164E0A"/>
    <w:rsid w:val="001652A9"/>
    <w:rsid w:val="001652D7"/>
    <w:rsid w:val="00165A5F"/>
    <w:rsid w:val="00166223"/>
    <w:rsid w:val="0016793E"/>
    <w:rsid w:val="00167D4D"/>
    <w:rsid w:val="0017054C"/>
    <w:rsid w:val="00170635"/>
    <w:rsid w:val="0017070D"/>
    <w:rsid w:val="00170837"/>
    <w:rsid w:val="00171035"/>
    <w:rsid w:val="001713B7"/>
    <w:rsid w:val="00171ADB"/>
    <w:rsid w:val="00171E2C"/>
    <w:rsid w:val="00172029"/>
    <w:rsid w:val="001721CA"/>
    <w:rsid w:val="0017234A"/>
    <w:rsid w:val="001733A4"/>
    <w:rsid w:val="00173AB9"/>
    <w:rsid w:val="00173BED"/>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0CC5"/>
    <w:rsid w:val="00181178"/>
    <w:rsid w:val="0018119E"/>
    <w:rsid w:val="0018152C"/>
    <w:rsid w:val="00181DBA"/>
    <w:rsid w:val="00181EEF"/>
    <w:rsid w:val="00181F3E"/>
    <w:rsid w:val="00182456"/>
    <w:rsid w:val="00182AA4"/>
    <w:rsid w:val="00182FE0"/>
    <w:rsid w:val="00183911"/>
    <w:rsid w:val="00184418"/>
    <w:rsid w:val="001845FB"/>
    <w:rsid w:val="00184B61"/>
    <w:rsid w:val="001857FB"/>
    <w:rsid w:val="00185DA6"/>
    <w:rsid w:val="00185F64"/>
    <w:rsid w:val="00186096"/>
    <w:rsid w:val="001862FE"/>
    <w:rsid w:val="001864AC"/>
    <w:rsid w:val="00187317"/>
    <w:rsid w:val="0018772E"/>
    <w:rsid w:val="00187765"/>
    <w:rsid w:val="00187A4E"/>
    <w:rsid w:val="00187A94"/>
    <w:rsid w:val="0019029E"/>
    <w:rsid w:val="00190804"/>
    <w:rsid w:val="0019088F"/>
    <w:rsid w:val="00190C51"/>
    <w:rsid w:val="00190D98"/>
    <w:rsid w:val="001916BE"/>
    <w:rsid w:val="001922CF"/>
    <w:rsid w:val="0019285F"/>
    <w:rsid w:val="00192F00"/>
    <w:rsid w:val="00193ACC"/>
    <w:rsid w:val="00193BFE"/>
    <w:rsid w:val="001943CA"/>
    <w:rsid w:val="00195062"/>
    <w:rsid w:val="00195322"/>
    <w:rsid w:val="0019560E"/>
    <w:rsid w:val="001958E3"/>
    <w:rsid w:val="00195FFA"/>
    <w:rsid w:val="0019601B"/>
    <w:rsid w:val="00196048"/>
    <w:rsid w:val="00196A82"/>
    <w:rsid w:val="0019769B"/>
    <w:rsid w:val="001978D1"/>
    <w:rsid w:val="001979F9"/>
    <w:rsid w:val="00197FFE"/>
    <w:rsid w:val="001A0D25"/>
    <w:rsid w:val="001A0E14"/>
    <w:rsid w:val="001A1570"/>
    <w:rsid w:val="001A1917"/>
    <w:rsid w:val="001A1C64"/>
    <w:rsid w:val="001A1DFB"/>
    <w:rsid w:val="001A1E7F"/>
    <w:rsid w:val="001A2466"/>
    <w:rsid w:val="001A2918"/>
    <w:rsid w:val="001A2D02"/>
    <w:rsid w:val="001A2DF0"/>
    <w:rsid w:val="001A2FD7"/>
    <w:rsid w:val="001A3076"/>
    <w:rsid w:val="001A3163"/>
    <w:rsid w:val="001A31A5"/>
    <w:rsid w:val="001A389C"/>
    <w:rsid w:val="001A3B75"/>
    <w:rsid w:val="001A403E"/>
    <w:rsid w:val="001A42A3"/>
    <w:rsid w:val="001A46FB"/>
    <w:rsid w:val="001A4EC9"/>
    <w:rsid w:val="001A5482"/>
    <w:rsid w:val="001A5944"/>
    <w:rsid w:val="001A5FB1"/>
    <w:rsid w:val="001A5FD2"/>
    <w:rsid w:val="001A618F"/>
    <w:rsid w:val="001A698A"/>
    <w:rsid w:val="001A6CCC"/>
    <w:rsid w:val="001A6E3B"/>
    <w:rsid w:val="001A70C8"/>
    <w:rsid w:val="001A71C9"/>
    <w:rsid w:val="001A7429"/>
    <w:rsid w:val="001A760C"/>
    <w:rsid w:val="001A76F0"/>
    <w:rsid w:val="001A7977"/>
    <w:rsid w:val="001A799B"/>
    <w:rsid w:val="001A7AC7"/>
    <w:rsid w:val="001A7C38"/>
    <w:rsid w:val="001B011F"/>
    <w:rsid w:val="001B02F8"/>
    <w:rsid w:val="001B2104"/>
    <w:rsid w:val="001B2279"/>
    <w:rsid w:val="001B2729"/>
    <w:rsid w:val="001B2866"/>
    <w:rsid w:val="001B2881"/>
    <w:rsid w:val="001B2B73"/>
    <w:rsid w:val="001B3282"/>
    <w:rsid w:val="001B3675"/>
    <w:rsid w:val="001B37C8"/>
    <w:rsid w:val="001B3B29"/>
    <w:rsid w:val="001B48BA"/>
    <w:rsid w:val="001B4B2C"/>
    <w:rsid w:val="001B4F10"/>
    <w:rsid w:val="001B5154"/>
    <w:rsid w:val="001B5323"/>
    <w:rsid w:val="001B592B"/>
    <w:rsid w:val="001B5AC2"/>
    <w:rsid w:val="001B6DCE"/>
    <w:rsid w:val="001B6E30"/>
    <w:rsid w:val="001B7060"/>
    <w:rsid w:val="001B7BF7"/>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4F5"/>
    <w:rsid w:val="001C3BBB"/>
    <w:rsid w:val="001C40D1"/>
    <w:rsid w:val="001C468A"/>
    <w:rsid w:val="001C4805"/>
    <w:rsid w:val="001C4834"/>
    <w:rsid w:val="001C4A38"/>
    <w:rsid w:val="001C4A9E"/>
    <w:rsid w:val="001C5001"/>
    <w:rsid w:val="001C5103"/>
    <w:rsid w:val="001C52A8"/>
    <w:rsid w:val="001C5ADF"/>
    <w:rsid w:val="001C5E8E"/>
    <w:rsid w:val="001C6120"/>
    <w:rsid w:val="001C6248"/>
    <w:rsid w:val="001C6516"/>
    <w:rsid w:val="001C6B5C"/>
    <w:rsid w:val="001C7155"/>
    <w:rsid w:val="001C7E48"/>
    <w:rsid w:val="001D0190"/>
    <w:rsid w:val="001D039B"/>
    <w:rsid w:val="001D0425"/>
    <w:rsid w:val="001D05A3"/>
    <w:rsid w:val="001D0849"/>
    <w:rsid w:val="001D1258"/>
    <w:rsid w:val="001D18BA"/>
    <w:rsid w:val="001D1AB8"/>
    <w:rsid w:val="001D26F5"/>
    <w:rsid w:val="001D286F"/>
    <w:rsid w:val="001D2C94"/>
    <w:rsid w:val="001D33D9"/>
    <w:rsid w:val="001D36F6"/>
    <w:rsid w:val="001D3C75"/>
    <w:rsid w:val="001D4303"/>
    <w:rsid w:val="001D45E5"/>
    <w:rsid w:val="001D461A"/>
    <w:rsid w:val="001D4A9D"/>
    <w:rsid w:val="001D4AAD"/>
    <w:rsid w:val="001D4E16"/>
    <w:rsid w:val="001D5AFA"/>
    <w:rsid w:val="001D652D"/>
    <w:rsid w:val="001D72D9"/>
    <w:rsid w:val="001D7421"/>
    <w:rsid w:val="001D757E"/>
    <w:rsid w:val="001D784A"/>
    <w:rsid w:val="001E04A4"/>
    <w:rsid w:val="001E07C5"/>
    <w:rsid w:val="001E0B45"/>
    <w:rsid w:val="001E0BF4"/>
    <w:rsid w:val="001E176D"/>
    <w:rsid w:val="001E196E"/>
    <w:rsid w:val="001E1BCE"/>
    <w:rsid w:val="001E1E05"/>
    <w:rsid w:val="001E2086"/>
    <w:rsid w:val="001E339F"/>
    <w:rsid w:val="001E3629"/>
    <w:rsid w:val="001E3785"/>
    <w:rsid w:val="001E3E7D"/>
    <w:rsid w:val="001E40F0"/>
    <w:rsid w:val="001E4172"/>
    <w:rsid w:val="001E4978"/>
    <w:rsid w:val="001E4C01"/>
    <w:rsid w:val="001E4F08"/>
    <w:rsid w:val="001E5366"/>
    <w:rsid w:val="001E5490"/>
    <w:rsid w:val="001E5730"/>
    <w:rsid w:val="001E5D2B"/>
    <w:rsid w:val="001E5E2E"/>
    <w:rsid w:val="001E6352"/>
    <w:rsid w:val="001E6EA5"/>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F7E"/>
    <w:rsid w:val="0020125C"/>
    <w:rsid w:val="0020130D"/>
    <w:rsid w:val="00201916"/>
    <w:rsid w:val="00201D06"/>
    <w:rsid w:val="00201E9F"/>
    <w:rsid w:val="00202071"/>
    <w:rsid w:val="00202695"/>
    <w:rsid w:val="00202F25"/>
    <w:rsid w:val="002035B3"/>
    <w:rsid w:val="00203929"/>
    <w:rsid w:val="00203CD6"/>
    <w:rsid w:val="00203D01"/>
    <w:rsid w:val="00204460"/>
    <w:rsid w:val="002049B5"/>
    <w:rsid w:val="002051EA"/>
    <w:rsid w:val="00205CBC"/>
    <w:rsid w:val="00206259"/>
    <w:rsid w:val="002074B7"/>
    <w:rsid w:val="0020758D"/>
    <w:rsid w:val="00207C7B"/>
    <w:rsid w:val="002102F4"/>
    <w:rsid w:val="00211470"/>
    <w:rsid w:val="0021168C"/>
    <w:rsid w:val="00211922"/>
    <w:rsid w:val="00211DF3"/>
    <w:rsid w:val="0021213A"/>
    <w:rsid w:val="00212197"/>
    <w:rsid w:val="0021265F"/>
    <w:rsid w:val="00213232"/>
    <w:rsid w:val="00213817"/>
    <w:rsid w:val="00214428"/>
    <w:rsid w:val="002145A8"/>
    <w:rsid w:val="002145EB"/>
    <w:rsid w:val="00214F82"/>
    <w:rsid w:val="00214FE7"/>
    <w:rsid w:val="00215033"/>
    <w:rsid w:val="00215834"/>
    <w:rsid w:val="002158AA"/>
    <w:rsid w:val="00215CC2"/>
    <w:rsid w:val="00215D95"/>
    <w:rsid w:val="00215ED8"/>
    <w:rsid w:val="00215FAF"/>
    <w:rsid w:val="002175F1"/>
    <w:rsid w:val="00217700"/>
    <w:rsid w:val="002177E2"/>
    <w:rsid w:val="0021783B"/>
    <w:rsid w:val="00217B43"/>
    <w:rsid w:val="002200C0"/>
    <w:rsid w:val="002201C3"/>
    <w:rsid w:val="002205F3"/>
    <w:rsid w:val="0022085B"/>
    <w:rsid w:val="00220E53"/>
    <w:rsid w:val="0022176C"/>
    <w:rsid w:val="002225D1"/>
    <w:rsid w:val="002230FA"/>
    <w:rsid w:val="0022319D"/>
    <w:rsid w:val="002232B9"/>
    <w:rsid w:val="00223DF2"/>
    <w:rsid w:val="002249A2"/>
    <w:rsid w:val="00224C0C"/>
    <w:rsid w:val="002256C2"/>
    <w:rsid w:val="002256D0"/>
    <w:rsid w:val="00225C8E"/>
    <w:rsid w:val="00226428"/>
    <w:rsid w:val="002265A9"/>
    <w:rsid w:val="002266CB"/>
    <w:rsid w:val="0022697C"/>
    <w:rsid w:val="00227052"/>
    <w:rsid w:val="002272D5"/>
    <w:rsid w:val="0022738E"/>
    <w:rsid w:val="00227906"/>
    <w:rsid w:val="00227934"/>
    <w:rsid w:val="00227E21"/>
    <w:rsid w:val="0023008A"/>
    <w:rsid w:val="002318EC"/>
    <w:rsid w:val="00231927"/>
    <w:rsid w:val="00231D05"/>
    <w:rsid w:val="0023241A"/>
    <w:rsid w:val="002336E2"/>
    <w:rsid w:val="00233AC2"/>
    <w:rsid w:val="00233BAF"/>
    <w:rsid w:val="00233CD8"/>
    <w:rsid w:val="00233E1B"/>
    <w:rsid w:val="00233F80"/>
    <w:rsid w:val="0023423A"/>
    <w:rsid w:val="0023430F"/>
    <w:rsid w:val="00235420"/>
    <w:rsid w:val="00235700"/>
    <w:rsid w:val="00236DA1"/>
    <w:rsid w:val="0023788D"/>
    <w:rsid w:val="00237E96"/>
    <w:rsid w:val="00240422"/>
    <w:rsid w:val="0024065B"/>
    <w:rsid w:val="002409A6"/>
    <w:rsid w:val="00240C63"/>
    <w:rsid w:val="00240D91"/>
    <w:rsid w:val="00240EA5"/>
    <w:rsid w:val="00241132"/>
    <w:rsid w:val="002411BB"/>
    <w:rsid w:val="00241205"/>
    <w:rsid w:val="002418C5"/>
    <w:rsid w:val="002419CC"/>
    <w:rsid w:val="00241D9D"/>
    <w:rsid w:val="002424CA"/>
    <w:rsid w:val="0024261D"/>
    <w:rsid w:val="00242712"/>
    <w:rsid w:val="00242DFB"/>
    <w:rsid w:val="00243807"/>
    <w:rsid w:val="002440AC"/>
    <w:rsid w:val="00244365"/>
    <w:rsid w:val="00244535"/>
    <w:rsid w:val="0024459A"/>
    <w:rsid w:val="0024459B"/>
    <w:rsid w:val="002446A3"/>
    <w:rsid w:val="00244771"/>
    <w:rsid w:val="00244903"/>
    <w:rsid w:val="00244AFB"/>
    <w:rsid w:val="002453DF"/>
    <w:rsid w:val="0024545D"/>
    <w:rsid w:val="00245A81"/>
    <w:rsid w:val="002462A5"/>
    <w:rsid w:val="00246B86"/>
    <w:rsid w:val="00247335"/>
    <w:rsid w:val="002473EF"/>
    <w:rsid w:val="00247538"/>
    <w:rsid w:val="002477B9"/>
    <w:rsid w:val="00247B69"/>
    <w:rsid w:val="00247CBE"/>
    <w:rsid w:val="00247E69"/>
    <w:rsid w:val="00250A1F"/>
    <w:rsid w:val="00250ADA"/>
    <w:rsid w:val="00250D6E"/>
    <w:rsid w:val="00250F1D"/>
    <w:rsid w:val="00251DB0"/>
    <w:rsid w:val="00251FF1"/>
    <w:rsid w:val="002520BA"/>
    <w:rsid w:val="00252234"/>
    <w:rsid w:val="002528E3"/>
    <w:rsid w:val="00252944"/>
    <w:rsid w:val="00252D55"/>
    <w:rsid w:val="00252D82"/>
    <w:rsid w:val="00252FEA"/>
    <w:rsid w:val="00253006"/>
    <w:rsid w:val="00253165"/>
    <w:rsid w:val="002531EA"/>
    <w:rsid w:val="002533F5"/>
    <w:rsid w:val="00253C60"/>
    <w:rsid w:val="00253F21"/>
    <w:rsid w:val="0025429D"/>
    <w:rsid w:val="002549E9"/>
    <w:rsid w:val="00254FF6"/>
    <w:rsid w:val="00255099"/>
    <w:rsid w:val="002555C6"/>
    <w:rsid w:val="0025597E"/>
    <w:rsid w:val="00255C3E"/>
    <w:rsid w:val="00255E14"/>
    <w:rsid w:val="00255E45"/>
    <w:rsid w:val="00255FF9"/>
    <w:rsid w:val="00256F93"/>
    <w:rsid w:val="00257059"/>
    <w:rsid w:val="002570EF"/>
    <w:rsid w:val="0025712F"/>
    <w:rsid w:val="00257395"/>
    <w:rsid w:val="00257857"/>
    <w:rsid w:val="002578DA"/>
    <w:rsid w:val="00257CBC"/>
    <w:rsid w:val="002602C2"/>
    <w:rsid w:val="002602DA"/>
    <w:rsid w:val="0026040B"/>
    <w:rsid w:val="002604F2"/>
    <w:rsid w:val="00260802"/>
    <w:rsid w:val="002609BB"/>
    <w:rsid w:val="002609E3"/>
    <w:rsid w:val="002611AA"/>
    <w:rsid w:val="00261223"/>
    <w:rsid w:val="00261421"/>
    <w:rsid w:val="002616E6"/>
    <w:rsid w:val="002617AB"/>
    <w:rsid w:val="00261D08"/>
    <w:rsid w:val="00261DCC"/>
    <w:rsid w:val="002624D0"/>
    <w:rsid w:val="002630CE"/>
    <w:rsid w:val="00263CF7"/>
    <w:rsid w:val="00263EC7"/>
    <w:rsid w:val="0026491B"/>
    <w:rsid w:val="00264A36"/>
    <w:rsid w:val="00264B06"/>
    <w:rsid w:val="00264C1B"/>
    <w:rsid w:val="002657FB"/>
    <w:rsid w:val="00265D10"/>
    <w:rsid w:val="00265E2E"/>
    <w:rsid w:val="002661AB"/>
    <w:rsid w:val="0026742B"/>
    <w:rsid w:val="002674FE"/>
    <w:rsid w:val="00267A82"/>
    <w:rsid w:val="00267E59"/>
    <w:rsid w:val="002702F6"/>
    <w:rsid w:val="00270748"/>
    <w:rsid w:val="00270CAB"/>
    <w:rsid w:val="0027117F"/>
    <w:rsid w:val="00271264"/>
    <w:rsid w:val="002712DC"/>
    <w:rsid w:val="00271875"/>
    <w:rsid w:val="002718FF"/>
    <w:rsid w:val="00271955"/>
    <w:rsid w:val="00272278"/>
    <w:rsid w:val="00272432"/>
    <w:rsid w:val="00272633"/>
    <w:rsid w:val="00272D36"/>
    <w:rsid w:val="00272E48"/>
    <w:rsid w:val="00272F1C"/>
    <w:rsid w:val="00272FBF"/>
    <w:rsid w:val="00273599"/>
    <w:rsid w:val="00273A10"/>
    <w:rsid w:val="00273A58"/>
    <w:rsid w:val="00274630"/>
    <w:rsid w:val="00274C6E"/>
    <w:rsid w:val="00274CAB"/>
    <w:rsid w:val="00274E8A"/>
    <w:rsid w:val="002753C3"/>
    <w:rsid w:val="0027550D"/>
    <w:rsid w:val="002755A8"/>
    <w:rsid w:val="00275C21"/>
    <w:rsid w:val="00275FCE"/>
    <w:rsid w:val="0027617B"/>
    <w:rsid w:val="002766B8"/>
    <w:rsid w:val="0027680F"/>
    <w:rsid w:val="00276C2E"/>
    <w:rsid w:val="002777C0"/>
    <w:rsid w:val="0028076D"/>
    <w:rsid w:val="00280C16"/>
    <w:rsid w:val="00280F7D"/>
    <w:rsid w:val="00281006"/>
    <w:rsid w:val="002815B1"/>
    <w:rsid w:val="00281893"/>
    <w:rsid w:val="00281C1F"/>
    <w:rsid w:val="00281EEA"/>
    <w:rsid w:val="00281F88"/>
    <w:rsid w:val="00282250"/>
    <w:rsid w:val="0028240D"/>
    <w:rsid w:val="0028288D"/>
    <w:rsid w:val="00282967"/>
    <w:rsid w:val="002829B7"/>
    <w:rsid w:val="00282B82"/>
    <w:rsid w:val="00282BFB"/>
    <w:rsid w:val="00282C74"/>
    <w:rsid w:val="00282E5B"/>
    <w:rsid w:val="00283995"/>
    <w:rsid w:val="00283B11"/>
    <w:rsid w:val="002841A9"/>
    <w:rsid w:val="00284313"/>
    <w:rsid w:val="00284554"/>
    <w:rsid w:val="002848AD"/>
    <w:rsid w:val="00284DE4"/>
    <w:rsid w:val="00285099"/>
    <w:rsid w:val="00285154"/>
    <w:rsid w:val="00285BF2"/>
    <w:rsid w:val="00285C78"/>
    <w:rsid w:val="002863CE"/>
    <w:rsid w:val="00287E20"/>
    <w:rsid w:val="0029041D"/>
    <w:rsid w:val="0029061D"/>
    <w:rsid w:val="00290AEB"/>
    <w:rsid w:val="0029110F"/>
    <w:rsid w:val="00291492"/>
    <w:rsid w:val="00291527"/>
    <w:rsid w:val="00291574"/>
    <w:rsid w:val="002916B4"/>
    <w:rsid w:val="0029199A"/>
    <w:rsid w:val="00291BBE"/>
    <w:rsid w:val="00291FEB"/>
    <w:rsid w:val="00292E70"/>
    <w:rsid w:val="00293146"/>
    <w:rsid w:val="0029361E"/>
    <w:rsid w:val="00293D68"/>
    <w:rsid w:val="0029408A"/>
    <w:rsid w:val="00294352"/>
    <w:rsid w:val="002944A0"/>
    <w:rsid w:val="00294629"/>
    <w:rsid w:val="002946E4"/>
    <w:rsid w:val="0029495C"/>
    <w:rsid w:val="002957D9"/>
    <w:rsid w:val="0029596F"/>
    <w:rsid w:val="002959D4"/>
    <w:rsid w:val="00295B52"/>
    <w:rsid w:val="00296024"/>
    <w:rsid w:val="00296293"/>
    <w:rsid w:val="002969C7"/>
    <w:rsid w:val="00296AF7"/>
    <w:rsid w:val="00297021"/>
    <w:rsid w:val="002970F3"/>
    <w:rsid w:val="002972F9"/>
    <w:rsid w:val="00297612"/>
    <w:rsid w:val="002977CA"/>
    <w:rsid w:val="00297ED7"/>
    <w:rsid w:val="002A0007"/>
    <w:rsid w:val="002A03AA"/>
    <w:rsid w:val="002A056D"/>
    <w:rsid w:val="002A07FE"/>
    <w:rsid w:val="002A094D"/>
    <w:rsid w:val="002A0CAF"/>
    <w:rsid w:val="002A0DDB"/>
    <w:rsid w:val="002A1316"/>
    <w:rsid w:val="002A1565"/>
    <w:rsid w:val="002A16A9"/>
    <w:rsid w:val="002A2941"/>
    <w:rsid w:val="002A2C69"/>
    <w:rsid w:val="002A2DC4"/>
    <w:rsid w:val="002A3703"/>
    <w:rsid w:val="002A3817"/>
    <w:rsid w:val="002A3E69"/>
    <w:rsid w:val="002A44F9"/>
    <w:rsid w:val="002A4946"/>
    <w:rsid w:val="002A49EF"/>
    <w:rsid w:val="002A4B8B"/>
    <w:rsid w:val="002A5107"/>
    <w:rsid w:val="002A535E"/>
    <w:rsid w:val="002A5DBD"/>
    <w:rsid w:val="002A5EF6"/>
    <w:rsid w:val="002A6406"/>
    <w:rsid w:val="002A6432"/>
    <w:rsid w:val="002A68FB"/>
    <w:rsid w:val="002A6CF0"/>
    <w:rsid w:val="002A6DDE"/>
    <w:rsid w:val="002A6FFC"/>
    <w:rsid w:val="002A7010"/>
    <w:rsid w:val="002A70BA"/>
    <w:rsid w:val="002A7A57"/>
    <w:rsid w:val="002A7BB2"/>
    <w:rsid w:val="002A7CC1"/>
    <w:rsid w:val="002A7DCB"/>
    <w:rsid w:val="002B0685"/>
    <w:rsid w:val="002B0794"/>
    <w:rsid w:val="002B0B53"/>
    <w:rsid w:val="002B1617"/>
    <w:rsid w:val="002B1A90"/>
    <w:rsid w:val="002B1D11"/>
    <w:rsid w:val="002B273B"/>
    <w:rsid w:val="002B29AA"/>
    <w:rsid w:val="002B2A7E"/>
    <w:rsid w:val="002B2F1B"/>
    <w:rsid w:val="002B3332"/>
    <w:rsid w:val="002B34C7"/>
    <w:rsid w:val="002B3F25"/>
    <w:rsid w:val="002B5918"/>
    <w:rsid w:val="002B5AFB"/>
    <w:rsid w:val="002B62DA"/>
    <w:rsid w:val="002B6320"/>
    <w:rsid w:val="002B66AC"/>
    <w:rsid w:val="002B6852"/>
    <w:rsid w:val="002B6923"/>
    <w:rsid w:val="002B74EF"/>
    <w:rsid w:val="002B77E1"/>
    <w:rsid w:val="002C039C"/>
    <w:rsid w:val="002C0656"/>
    <w:rsid w:val="002C0714"/>
    <w:rsid w:val="002C0796"/>
    <w:rsid w:val="002C0A96"/>
    <w:rsid w:val="002C13C6"/>
    <w:rsid w:val="002C1503"/>
    <w:rsid w:val="002C1BF4"/>
    <w:rsid w:val="002C1E0D"/>
    <w:rsid w:val="002C2266"/>
    <w:rsid w:val="002C2356"/>
    <w:rsid w:val="002C238F"/>
    <w:rsid w:val="002C23C2"/>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603"/>
    <w:rsid w:val="002D19D1"/>
    <w:rsid w:val="002D1B26"/>
    <w:rsid w:val="002D1F35"/>
    <w:rsid w:val="002D1FA3"/>
    <w:rsid w:val="002D20CD"/>
    <w:rsid w:val="002D22DA"/>
    <w:rsid w:val="002D23C6"/>
    <w:rsid w:val="002D24F0"/>
    <w:rsid w:val="002D25EB"/>
    <w:rsid w:val="002D29F3"/>
    <w:rsid w:val="002D3126"/>
    <w:rsid w:val="002D3529"/>
    <w:rsid w:val="002D37C1"/>
    <w:rsid w:val="002D3D0A"/>
    <w:rsid w:val="002D3EF0"/>
    <w:rsid w:val="002D478E"/>
    <w:rsid w:val="002D4799"/>
    <w:rsid w:val="002D47AE"/>
    <w:rsid w:val="002D4A94"/>
    <w:rsid w:val="002D4AFE"/>
    <w:rsid w:val="002D55BB"/>
    <w:rsid w:val="002D5D85"/>
    <w:rsid w:val="002D65FF"/>
    <w:rsid w:val="002D6C1F"/>
    <w:rsid w:val="002D6D10"/>
    <w:rsid w:val="002D71E2"/>
    <w:rsid w:val="002D79C9"/>
    <w:rsid w:val="002D7B6A"/>
    <w:rsid w:val="002E0026"/>
    <w:rsid w:val="002E08E8"/>
    <w:rsid w:val="002E0918"/>
    <w:rsid w:val="002E0BAA"/>
    <w:rsid w:val="002E0D96"/>
    <w:rsid w:val="002E0EA5"/>
    <w:rsid w:val="002E0F1C"/>
    <w:rsid w:val="002E16BE"/>
    <w:rsid w:val="002E1BF0"/>
    <w:rsid w:val="002E1E19"/>
    <w:rsid w:val="002E1FAC"/>
    <w:rsid w:val="002E2572"/>
    <w:rsid w:val="002E283F"/>
    <w:rsid w:val="002E2854"/>
    <w:rsid w:val="002E2E74"/>
    <w:rsid w:val="002E32D2"/>
    <w:rsid w:val="002E361B"/>
    <w:rsid w:val="002E37AB"/>
    <w:rsid w:val="002E3A80"/>
    <w:rsid w:val="002E3D4C"/>
    <w:rsid w:val="002E3FE4"/>
    <w:rsid w:val="002E41C7"/>
    <w:rsid w:val="002E51DF"/>
    <w:rsid w:val="002E57B9"/>
    <w:rsid w:val="002E5A56"/>
    <w:rsid w:val="002E6127"/>
    <w:rsid w:val="002E6885"/>
    <w:rsid w:val="002E6E86"/>
    <w:rsid w:val="002E72E4"/>
    <w:rsid w:val="002E739D"/>
    <w:rsid w:val="002F0F36"/>
    <w:rsid w:val="002F1276"/>
    <w:rsid w:val="002F1986"/>
    <w:rsid w:val="002F1E5F"/>
    <w:rsid w:val="002F2A49"/>
    <w:rsid w:val="002F3550"/>
    <w:rsid w:val="002F3A5A"/>
    <w:rsid w:val="002F3B63"/>
    <w:rsid w:val="002F3C0E"/>
    <w:rsid w:val="002F3C56"/>
    <w:rsid w:val="002F4271"/>
    <w:rsid w:val="002F46B0"/>
    <w:rsid w:val="002F477E"/>
    <w:rsid w:val="002F4B17"/>
    <w:rsid w:val="002F5086"/>
    <w:rsid w:val="002F5150"/>
    <w:rsid w:val="002F5463"/>
    <w:rsid w:val="002F58C2"/>
    <w:rsid w:val="002F5932"/>
    <w:rsid w:val="002F5C85"/>
    <w:rsid w:val="002F603B"/>
    <w:rsid w:val="002F61A3"/>
    <w:rsid w:val="002F61D4"/>
    <w:rsid w:val="002F6201"/>
    <w:rsid w:val="002F6493"/>
    <w:rsid w:val="002F724B"/>
    <w:rsid w:val="002F72BA"/>
    <w:rsid w:val="002F7F79"/>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3B9"/>
    <w:rsid w:val="0030555B"/>
    <w:rsid w:val="003061F5"/>
    <w:rsid w:val="00306A49"/>
    <w:rsid w:val="00306D27"/>
    <w:rsid w:val="0030731E"/>
    <w:rsid w:val="0030739C"/>
    <w:rsid w:val="00307ABE"/>
    <w:rsid w:val="003103A9"/>
    <w:rsid w:val="003108E8"/>
    <w:rsid w:val="00310A50"/>
    <w:rsid w:val="00310D51"/>
    <w:rsid w:val="00310FFF"/>
    <w:rsid w:val="0031118F"/>
    <w:rsid w:val="00311B36"/>
    <w:rsid w:val="00311C92"/>
    <w:rsid w:val="00313321"/>
    <w:rsid w:val="003133AE"/>
    <w:rsid w:val="0031371B"/>
    <w:rsid w:val="00313E5C"/>
    <w:rsid w:val="00314156"/>
    <w:rsid w:val="00314CF8"/>
    <w:rsid w:val="0031535B"/>
    <w:rsid w:val="003154DD"/>
    <w:rsid w:val="00315FCF"/>
    <w:rsid w:val="003161A6"/>
    <w:rsid w:val="00316B42"/>
    <w:rsid w:val="00316F76"/>
    <w:rsid w:val="003170D7"/>
    <w:rsid w:val="003170F4"/>
    <w:rsid w:val="00317552"/>
    <w:rsid w:val="0031755B"/>
    <w:rsid w:val="0032035D"/>
    <w:rsid w:val="003204EB"/>
    <w:rsid w:val="003205E9"/>
    <w:rsid w:val="00320B28"/>
    <w:rsid w:val="0032123E"/>
    <w:rsid w:val="003216D5"/>
    <w:rsid w:val="003216FF"/>
    <w:rsid w:val="00321866"/>
    <w:rsid w:val="00321A83"/>
    <w:rsid w:val="00321C1A"/>
    <w:rsid w:val="00321F6B"/>
    <w:rsid w:val="003220D3"/>
    <w:rsid w:val="00322389"/>
    <w:rsid w:val="003223CA"/>
    <w:rsid w:val="00322458"/>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02C5"/>
    <w:rsid w:val="00330411"/>
    <w:rsid w:val="003310AB"/>
    <w:rsid w:val="00331415"/>
    <w:rsid w:val="003314D2"/>
    <w:rsid w:val="00331712"/>
    <w:rsid w:val="00331A3F"/>
    <w:rsid w:val="00331D94"/>
    <w:rsid w:val="00332191"/>
    <w:rsid w:val="00332720"/>
    <w:rsid w:val="00332EBD"/>
    <w:rsid w:val="00332EED"/>
    <w:rsid w:val="00333195"/>
    <w:rsid w:val="003334A7"/>
    <w:rsid w:val="003336E8"/>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8EC"/>
    <w:rsid w:val="00337D75"/>
    <w:rsid w:val="00340020"/>
    <w:rsid w:val="00340AFD"/>
    <w:rsid w:val="00341162"/>
    <w:rsid w:val="00341181"/>
    <w:rsid w:val="00341866"/>
    <w:rsid w:val="00341DAF"/>
    <w:rsid w:val="003420F2"/>
    <w:rsid w:val="00342181"/>
    <w:rsid w:val="00342B37"/>
    <w:rsid w:val="00343560"/>
    <w:rsid w:val="00343A20"/>
    <w:rsid w:val="0034402B"/>
    <w:rsid w:val="0034449E"/>
    <w:rsid w:val="003449F4"/>
    <w:rsid w:val="00344D46"/>
    <w:rsid w:val="00344E22"/>
    <w:rsid w:val="00345337"/>
    <w:rsid w:val="003465A5"/>
    <w:rsid w:val="00346817"/>
    <w:rsid w:val="00347440"/>
    <w:rsid w:val="003475EA"/>
    <w:rsid w:val="00347A27"/>
    <w:rsid w:val="00347CD4"/>
    <w:rsid w:val="00347E2E"/>
    <w:rsid w:val="00350A55"/>
    <w:rsid w:val="00350DF8"/>
    <w:rsid w:val="0035189D"/>
    <w:rsid w:val="00351A8A"/>
    <w:rsid w:val="003523FD"/>
    <w:rsid w:val="003524B2"/>
    <w:rsid w:val="0035266A"/>
    <w:rsid w:val="0035279C"/>
    <w:rsid w:val="003535D2"/>
    <w:rsid w:val="0035384D"/>
    <w:rsid w:val="0035396D"/>
    <w:rsid w:val="00353C0B"/>
    <w:rsid w:val="00353EE5"/>
    <w:rsid w:val="00354472"/>
    <w:rsid w:val="00354AE4"/>
    <w:rsid w:val="00354B0A"/>
    <w:rsid w:val="00355350"/>
    <w:rsid w:val="0035551B"/>
    <w:rsid w:val="003555ED"/>
    <w:rsid w:val="00355756"/>
    <w:rsid w:val="00355911"/>
    <w:rsid w:val="00355BFC"/>
    <w:rsid w:val="00355FE2"/>
    <w:rsid w:val="0035636B"/>
    <w:rsid w:val="003564CC"/>
    <w:rsid w:val="003568D7"/>
    <w:rsid w:val="0035690F"/>
    <w:rsid w:val="00356D16"/>
    <w:rsid w:val="00357424"/>
    <w:rsid w:val="00357BE9"/>
    <w:rsid w:val="003601A2"/>
    <w:rsid w:val="00360D1B"/>
    <w:rsid w:val="00361474"/>
    <w:rsid w:val="00361789"/>
    <w:rsid w:val="0036196D"/>
    <w:rsid w:val="00361A59"/>
    <w:rsid w:val="00361AA1"/>
    <w:rsid w:val="00362136"/>
    <w:rsid w:val="00362336"/>
    <w:rsid w:val="003627BD"/>
    <w:rsid w:val="00362997"/>
    <w:rsid w:val="00362C59"/>
    <w:rsid w:val="00363040"/>
    <w:rsid w:val="003630B7"/>
    <w:rsid w:val="00363786"/>
    <w:rsid w:val="003638A4"/>
    <w:rsid w:val="003639BF"/>
    <w:rsid w:val="00363E41"/>
    <w:rsid w:val="00363FD2"/>
    <w:rsid w:val="00364653"/>
    <w:rsid w:val="00364D36"/>
    <w:rsid w:val="003653EC"/>
    <w:rsid w:val="0036572E"/>
    <w:rsid w:val="00366168"/>
    <w:rsid w:val="003663D9"/>
    <w:rsid w:val="003666BF"/>
    <w:rsid w:val="00366707"/>
    <w:rsid w:val="00366BD3"/>
    <w:rsid w:val="00366FA9"/>
    <w:rsid w:val="00367B19"/>
    <w:rsid w:val="00367E49"/>
    <w:rsid w:val="003700E6"/>
    <w:rsid w:val="0037017C"/>
    <w:rsid w:val="00370490"/>
    <w:rsid w:val="003712A9"/>
    <w:rsid w:val="00371C86"/>
    <w:rsid w:val="0037236C"/>
    <w:rsid w:val="003729DE"/>
    <w:rsid w:val="00372EA2"/>
    <w:rsid w:val="003735D3"/>
    <w:rsid w:val="0037386D"/>
    <w:rsid w:val="00373956"/>
    <w:rsid w:val="00373BE1"/>
    <w:rsid w:val="00374153"/>
    <w:rsid w:val="003741BC"/>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579"/>
    <w:rsid w:val="00382657"/>
    <w:rsid w:val="00382708"/>
    <w:rsid w:val="00382B82"/>
    <w:rsid w:val="00382C37"/>
    <w:rsid w:val="00383446"/>
    <w:rsid w:val="003844BF"/>
    <w:rsid w:val="003854D5"/>
    <w:rsid w:val="0038552A"/>
    <w:rsid w:val="003859EA"/>
    <w:rsid w:val="0038709E"/>
    <w:rsid w:val="00387623"/>
    <w:rsid w:val="00387D30"/>
    <w:rsid w:val="003909BE"/>
    <w:rsid w:val="00391753"/>
    <w:rsid w:val="00391C7F"/>
    <w:rsid w:val="00392454"/>
    <w:rsid w:val="00392C85"/>
    <w:rsid w:val="00392FD8"/>
    <w:rsid w:val="00393923"/>
    <w:rsid w:val="00393E11"/>
    <w:rsid w:val="00393FE3"/>
    <w:rsid w:val="00394475"/>
    <w:rsid w:val="00394514"/>
    <w:rsid w:val="0039517A"/>
    <w:rsid w:val="003954FE"/>
    <w:rsid w:val="00395B51"/>
    <w:rsid w:val="003961D4"/>
    <w:rsid w:val="00396796"/>
    <w:rsid w:val="00396EC6"/>
    <w:rsid w:val="003970BA"/>
    <w:rsid w:val="0039746C"/>
    <w:rsid w:val="00397C31"/>
    <w:rsid w:val="00397DC6"/>
    <w:rsid w:val="003A0E82"/>
    <w:rsid w:val="003A0FAC"/>
    <w:rsid w:val="003A184D"/>
    <w:rsid w:val="003A1FB7"/>
    <w:rsid w:val="003A2773"/>
    <w:rsid w:val="003A371E"/>
    <w:rsid w:val="003A3957"/>
    <w:rsid w:val="003A3E29"/>
    <w:rsid w:val="003A439B"/>
    <w:rsid w:val="003A462A"/>
    <w:rsid w:val="003A595F"/>
    <w:rsid w:val="003A5EEC"/>
    <w:rsid w:val="003A6AB9"/>
    <w:rsid w:val="003A6B7A"/>
    <w:rsid w:val="003A748F"/>
    <w:rsid w:val="003A79AE"/>
    <w:rsid w:val="003A7BB0"/>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7FD"/>
    <w:rsid w:val="003B5E21"/>
    <w:rsid w:val="003B5F6A"/>
    <w:rsid w:val="003B6049"/>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193"/>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2B82"/>
    <w:rsid w:val="003D2DF6"/>
    <w:rsid w:val="003D2F93"/>
    <w:rsid w:val="003D3414"/>
    <w:rsid w:val="003D3426"/>
    <w:rsid w:val="003D3654"/>
    <w:rsid w:val="003D3721"/>
    <w:rsid w:val="003D413A"/>
    <w:rsid w:val="003D643B"/>
    <w:rsid w:val="003D6722"/>
    <w:rsid w:val="003D7428"/>
    <w:rsid w:val="003D77F2"/>
    <w:rsid w:val="003D78CC"/>
    <w:rsid w:val="003D7D01"/>
    <w:rsid w:val="003D7ED8"/>
    <w:rsid w:val="003E0003"/>
    <w:rsid w:val="003E0099"/>
    <w:rsid w:val="003E08C7"/>
    <w:rsid w:val="003E122B"/>
    <w:rsid w:val="003E1427"/>
    <w:rsid w:val="003E1A72"/>
    <w:rsid w:val="003E1DDC"/>
    <w:rsid w:val="003E27B8"/>
    <w:rsid w:val="003E283C"/>
    <w:rsid w:val="003E2880"/>
    <w:rsid w:val="003E28FB"/>
    <w:rsid w:val="003E2A00"/>
    <w:rsid w:val="003E2ECC"/>
    <w:rsid w:val="003E334A"/>
    <w:rsid w:val="003E382C"/>
    <w:rsid w:val="003E3B8C"/>
    <w:rsid w:val="003E3D00"/>
    <w:rsid w:val="003E4487"/>
    <w:rsid w:val="003E4531"/>
    <w:rsid w:val="003E4771"/>
    <w:rsid w:val="003E52E3"/>
    <w:rsid w:val="003E541C"/>
    <w:rsid w:val="003E54A8"/>
    <w:rsid w:val="003E5833"/>
    <w:rsid w:val="003E5DA8"/>
    <w:rsid w:val="003E7059"/>
    <w:rsid w:val="003E7109"/>
    <w:rsid w:val="003E77DC"/>
    <w:rsid w:val="003E7BC1"/>
    <w:rsid w:val="003F0453"/>
    <w:rsid w:val="003F0A07"/>
    <w:rsid w:val="003F0C9F"/>
    <w:rsid w:val="003F0F83"/>
    <w:rsid w:val="003F1359"/>
    <w:rsid w:val="003F144A"/>
    <w:rsid w:val="003F1B02"/>
    <w:rsid w:val="003F1EFE"/>
    <w:rsid w:val="003F221B"/>
    <w:rsid w:val="003F2240"/>
    <w:rsid w:val="003F2460"/>
    <w:rsid w:val="003F2E7B"/>
    <w:rsid w:val="003F3CD5"/>
    <w:rsid w:val="003F3E0C"/>
    <w:rsid w:val="003F3ED4"/>
    <w:rsid w:val="003F4473"/>
    <w:rsid w:val="003F4CF5"/>
    <w:rsid w:val="003F4E31"/>
    <w:rsid w:val="003F51EE"/>
    <w:rsid w:val="003F574E"/>
    <w:rsid w:val="003F60D6"/>
    <w:rsid w:val="003F6244"/>
    <w:rsid w:val="003F68E9"/>
    <w:rsid w:val="003F728C"/>
    <w:rsid w:val="003F7704"/>
    <w:rsid w:val="003F7E15"/>
    <w:rsid w:val="003F7FDA"/>
    <w:rsid w:val="004008BC"/>
    <w:rsid w:val="00400B19"/>
    <w:rsid w:val="00400E65"/>
    <w:rsid w:val="00400EED"/>
    <w:rsid w:val="004013AD"/>
    <w:rsid w:val="00401E20"/>
    <w:rsid w:val="00401E9C"/>
    <w:rsid w:val="004021C0"/>
    <w:rsid w:val="004024F9"/>
    <w:rsid w:val="004028CE"/>
    <w:rsid w:val="0040313D"/>
    <w:rsid w:val="004043FA"/>
    <w:rsid w:val="00404970"/>
    <w:rsid w:val="00405181"/>
    <w:rsid w:val="0040567F"/>
    <w:rsid w:val="00405727"/>
    <w:rsid w:val="00405873"/>
    <w:rsid w:val="00405F09"/>
    <w:rsid w:val="004066F4"/>
    <w:rsid w:val="00406A32"/>
    <w:rsid w:val="0040760B"/>
    <w:rsid w:val="00410117"/>
    <w:rsid w:val="00410C32"/>
    <w:rsid w:val="0041108F"/>
    <w:rsid w:val="00411237"/>
    <w:rsid w:val="0041152F"/>
    <w:rsid w:val="00411557"/>
    <w:rsid w:val="0041192A"/>
    <w:rsid w:val="00411994"/>
    <w:rsid w:val="00411D74"/>
    <w:rsid w:val="00411DDE"/>
    <w:rsid w:val="00411F84"/>
    <w:rsid w:val="00412069"/>
    <w:rsid w:val="004121A1"/>
    <w:rsid w:val="00412477"/>
    <w:rsid w:val="00412570"/>
    <w:rsid w:val="004127A2"/>
    <w:rsid w:val="0041280A"/>
    <w:rsid w:val="00412850"/>
    <w:rsid w:val="00412A9D"/>
    <w:rsid w:val="00412CB1"/>
    <w:rsid w:val="004133A5"/>
    <w:rsid w:val="00413D45"/>
    <w:rsid w:val="00414197"/>
    <w:rsid w:val="004144D7"/>
    <w:rsid w:val="00414D68"/>
    <w:rsid w:val="00414FD9"/>
    <w:rsid w:val="004150F8"/>
    <w:rsid w:val="004151D4"/>
    <w:rsid w:val="00415773"/>
    <w:rsid w:val="00415CAE"/>
    <w:rsid w:val="00415EE7"/>
    <w:rsid w:val="00415FD6"/>
    <w:rsid w:val="00415FE9"/>
    <w:rsid w:val="004160FA"/>
    <w:rsid w:val="0041669E"/>
    <w:rsid w:val="00416ACA"/>
    <w:rsid w:val="00416C56"/>
    <w:rsid w:val="00417294"/>
    <w:rsid w:val="00417416"/>
    <w:rsid w:val="004176B8"/>
    <w:rsid w:val="00417B99"/>
    <w:rsid w:val="00417CE0"/>
    <w:rsid w:val="0042002F"/>
    <w:rsid w:val="004209D5"/>
    <w:rsid w:val="00420FAF"/>
    <w:rsid w:val="00421184"/>
    <w:rsid w:val="004212C1"/>
    <w:rsid w:val="004214B7"/>
    <w:rsid w:val="00421510"/>
    <w:rsid w:val="00421892"/>
    <w:rsid w:val="00421EA6"/>
    <w:rsid w:val="00421FB5"/>
    <w:rsid w:val="004226ED"/>
    <w:rsid w:val="00422AF4"/>
    <w:rsid w:val="00422F3B"/>
    <w:rsid w:val="004235F4"/>
    <w:rsid w:val="004236C9"/>
    <w:rsid w:val="00423CF3"/>
    <w:rsid w:val="00423E18"/>
    <w:rsid w:val="0042454E"/>
    <w:rsid w:val="004245E4"/>
    <w:rsid w:val="00424B7C"/>
    <w:rsid w:val="0042500C"/>
    <w:rsid w:val="00425514"/>
    <w:rsid w:val="004256BD"/>
    <w:rsid w:val="004256E9"/>
    <w:rsid w:val="00425863"/>
    <w:rsid w:val="00425D02"/>
    <w:rsid w:val="00425EDC"/>
    <w:rsid w:val="00426C3E"/>
    <w:rsid w:val="00426CF3"/>
    <w:rsid w:val="00426E85"/>
    <w:rsid w:val="004275CD"/>
    <w:rsid w:val="00427CC6"/>
    <w:rsid w:val="00427E74"/>
    <w:rsid w:val="00427FEB"/>
    <w:rsid w:val="00427FF2"/>
    <w:rsid w:val="004305C0"/>
    <w:rsid w:val="00430B20"/>
    <w:rsid w:val="00430B6C"/>
    <w:rsid w:val="0043227C"/>
    <w:rsid w:val="00432E94"/>
    <w:rsid w:val="004330B1"/>
    <w:rsid w:val="004335C0"/>
    <w:rsid w:val="00433B34"/>
    <w:rsid w:val="00434046"/>
    <w:rsid w:val="00434B9D"/>
    <w:rsid w:val="00435121"/>
    <w:rsid w:val="00435715"/>
    <w:rsid w:val="0043571B"/>
    <w:rsid w:val="00435EE0"/>
    <w:rsid w:val="00435F29"/>
    <w:rsid w:val="0043610C"/>
    <w:rsid w:val="004366AA"/>
    <w:rsid w:val="004366FF"/>
    <w:rsid w:val="00437D83"/>
    <w:rsid w:val="004401DD"/>
    <w:rsid w:val="00440344"/>
    <w:rsid w:val="00440790"/>
    <w:rsid w:val="0044083D"/>
    <w:rsid w:val="00441264"/>
    <w:rsid w:val="00441B0F"/>
    <w:rsid w:val="00441F06"/>
    <w:rsid w:val="004425C6"/>
    <w:rsid w:val="0044395E"/>
    <w:rsid w:val="00443D5D"/>
    <w:rsid w:val="004445C6"/>
    <w:rsid w:val="00445CBA"/>
    <w:rsid w:val="004463CB"/>
    <w:rsid w:val="004466F7"/>
    <w:rsid w:val="00446858"/>
    <w:rsid w:val="00447304"/>
    <w:rsid w:val="004476F6"/>
    <w:rsid w:val="00447CDD"/>
    <w:rsid w:val="00450127"/>
    <w:rsid w:val="0045075F"/>
    <w:rsid w:val="004516AD"/>
    <w:rsid w:val="00451E84"/>
    <w:rsid w:val="00451EA3"/>
    <w:rsid w:val="00451F01"/>
    <w:rsid w:val="004533E2"/>
    <w:rsid w:val="00454660"/>
    <w:rsid w:val="004546A7"/>
    <w:rsid w:val="00454831"/>
    <w:rsid w:val="004548DF"/>
    <w:rsid w:val="00454937"/>
    <w:rsid w:val="00455407"/>
    <w:rsid w:val="00456CC0"/>
    <w:rsid w:val="00457933"/>
    <w:rsid w:val="00457C78"/>
    <w:rsid w:val="0046068D"/>
    <w:rsid w:val="00460735"/>
    <w:rsid w:val="00460AD5"/>
    <w:rsid w:val="00460D6A"/>
    <w:rsid w:val="00460E4C"/>
    <w:rsid w:val="00460EB8"/>
    <w:rsid w:val="00461090"/>
    <w:rsid w:val="0046112B"/>
    <w:rsid w:val="00461952"/>
    <w:rsid w:val="00461991"/>
    <w:rsid w:val="00461ACB"/>
    <w:rsid w:val="00461C43"/>
    <w:rsid w:val="00461FF2"/>
    <w:rsid w:val="00462125"/>
    <w:rsid w:val="00463216"/>
    <w:rsid w:val="0046334D"/>
    <w:rsid w:val="00463911"/>
    <w:rsid w:val="00463C95"/>
    <w:rsid w:val="00463E1C"/>
    <w:rsid w:val="00464052"/>
    <w:rsid w:val="00465153"/>
    <w:rsid w:val="00465602"/>
    <w:rsid w:val="004656A4"/>
    <w:rsid w:val="0046616F"/>
    <w:rsid w:val="00466A4A"/>
    <w:rsid w:val="00466AFD"/>
    <w:rsid w:val="00466D18"/>
    <w:rsid w:val="004704DE"/>
    <w:rsid w:val="00470696"/>
    <w:rsid w:val="004713A5"/>
    <w:rsid w:val="0047162F"/>
    <w:rsid w:val="00471B47"/>
    <w:rsid w:val="00472177"/>
    <w:rsid w:val="00472234"/>
    <w:rsid w:val="004724C9"/>
    <w:rsid w:val="00472515"/>
    <w:rsid w:val="00472585"/>
    <w:rsid w:val="00473036"/>
    <w:rsid w:val="00474130"/>
    <w:rsid w:val="004746D5"/>
    <w:rsid w:val="00474EDD"/>
    <w:rsid w:val="00475A6C"/>
    <w:rsid w:val="004761F5"/>
    <w:rsid w:val="004764AF"/>
    <w:rsid w:val="00476D04"/>
    <w:rsid w:val="00476F58"/>
    <w:rsid w:val="0047775E"/>
    <w:rsid w:val="00477AAE"/>
    <w:rsid w:val="00477AF6"/>
    <w:rsid w:val="00477B3B"/>
    <w:rsid w:val="00477BCB"/>
    <w:rsid w:val="004801A7"/>
    <w:rsid w:val="004807CA"/>
    <w:rsid w:val="00480C45"/>
    <w:rsid w:val="00480E47"/>
    <w:rsid w:val="00481666"/>
    <w:rsid w:val="0048180C"/>
    <w:rsid w:val="0048181B"/>
    <w:rsid w:val="00481F2B"/>
    <w:rsid w:val="004820C5"/>
    <w:rsid w:val="00482198"/>
    <w:rsid w:val="004823D8"/>
    <w:rsid w:val="0048252D"/>
    <w:rsid w:val="00482F20"/>
    <w:rsid w:val="00483086"/>
    <w:rsid w:val="00483196"/>
    <w:rsid w:val="0048340F"/>
    <w:rsid w:val="0048423C"/>
    <w:rsid w:val="00484449"/>
    <w:rsid w:val="0048500B"/>
    <w:rsid w:val="004850BD"/>
    <w:rsid w:val="004852CE"/>
    <w:rsid w:val="0048540C"/>
    <w:rsid w:val="00485F92"/>
    <w:rsid w:val="004860BD"/>
    <w:rsid w:val="004866E1"/>
    <w:rsid w:val="00486C72"/>
    <w:rsid w:val="00486F9C"/>
    <w:rsid w:val="00487639"/>
    <w:rsid w:val="00487D3A"/>
    <w:rsid w:val="00487F7F"/>
    <w:rsid w:val="00490954"/>
    <w:rsid w:val="00490F94"/>
    <w:rsid w:val="0049102F"/>
    <w:rsid w:val="00491754"/>
    <w:rsid w:val="00491A90"/>
    <w:rsid w:val="0049277A"/>
    <w:rsid w:val="00492B38"/>
    <w:rsid w:val="00492FE4"/>
    <w:rsid w:val="00493035"/>
    <w:rsid w:val="0049330F"/>
    <w:rsid w:val="00493321"/>
    <w:rsid w:val="004936DE"/>
    <w:rsid w:val="004949B0"/>
    <w:rsid w:val="00494A50"/>
    <w:rsid w:val="00494E6C"/>
    <w:rsid w:val="00494F03"/>
    <w:rsid w:val="0049544E"/>
    <w:rsid w:val="00495670"/>
    <w:rsid w:val="0049567B"/>
    <w:rsid w:val="0049604B"/>
    <w:rsid w:val="00496666"/>
    <w:rsid w:val="00496AC9"/>
    <w:rsid w:val="00496B28"/>
    <w:rsid w:val="00496D27"/>
    <w:rsid w:val="004A040E"/>
    <w:rsid w:val="004A042D"/>
    <w:rsid w:val="004A0ECB"/>
    <w:rsid w:val="004A11E0"/>
    <w:rsid w:val="004A18B3"/>
    <w:rsid w:val="004A1953"/>
    <w:rsid w:val="004A1FC5"/>
    <w:rsid w:val="004A2158"/>
    <w:rsid w:val="004A29A5"/>
    <w:rsid w:val="004A3225"/>
    <w:rsid w:val="004A374A"/>
    <w:rsid w:val="004A395B"/>
    <w:rsid w:val="004A3C59"/>
    <w:rsid w:val="004A3F68"/>
    <w:rsid w:val="004A3FE2"/>
    <w:rsid w:val="004A4195"/>
    <w:rsid w:val="004A480D"/>
    <w:rsid w:val="004A48F4"/>
    <w:rsid w:val="004A4D76"/>
    <w:rsid w:val="004A5851"/>
    <w:rsid w:val="004A5A91"/>
    <w:rsid w:val="004A5B0F"/>
    <w:rsid w:val="004A5CF1"/>
    <w:rsid w:val="004A66E0"/>
    <w:rsid w:val="004A7045"/>
    <w:rsid w:val="004A7A9F"/>
    <w:rsid w:val="004A7AAE"/>
    <w:rsid w:val="004A7D49"/>
    <w:rsid w:val="004A7E52"/>
    <w:rsid w:val="004A7F21"/>
    <w:rsid w:val="004B08DB"/>
    <w:rsid w:val="004B0D73"/>
    <w:rsid w:val="004B1422"/>
    <w:rsid w:val="004B15C5"/>
    <w:rsid w:val="004B176D"/>
    <w:rsid w:val="004B1DF2"/>
    <w:rsid w:val="004B24EB"/>
    <w:rsid w:val="004B29AC"/>
    <w:rsid w:val="004B322B"/>
    <w:rsid w:val="004B3C8B"/>
    <w:rsid w:val="004B44A9"/>
    <w:rsid w:val="004B4509"/>
    <w:rsid w:val="004B452A"/>
    <w:rsid w:val="004B4871"/>
    <w:rsid w:val="004B4ADF"/>
    <w:rsid w:val="004B4C00"/>
    <w:rsid w:val="004B4E06"/>
    <w:rsid w:val="004B5493"/>
    <w:rsid w:val="004B5914"/>
    <w:rsid w:val="004B6C77"/>
    <w:rsid w:val="004B6D0A"/>
    <w:rsid w:val="004B6DA4"/>
    <w:rsid w:val="004B794C"/>
    <w:rsid w:val="004B7995"/>
    <w:rsid w:val="004C02B3"/>
    <w:rsid w:val="004C098E"/>
    <w:rsid w:val="004C0BBE"/>
    <w:rsid w:val="004C0E2F"/>
    <w:rsid w:val="004C1705"/>
    <w:rsid w:val="004C172A"/>
    <w:rsid w:val="004C222E"/>
    <w:rsid w:val="004C2561"/>
    <w:rsid w:val="004C25B4"/>
    <w:rsid w:val="004C2806"/>
    <w:rsid w:val="004C2F87"/>
    <w:rsid w:val="004C3386"/>
    <w:rsid w:val="004C3A7A"/>
    <w:rsid w:val="004C3ADD"/>
    <w:rsid w:val="004C3CB1"/>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8B7"/>
    <w:rsid w:val="004D0C9F"/>
    <w:rsid w:val="004D15FD"/>
    <w:rsid w:val="004D1A0A"/>
    <w:rsid w:val="004D2369"/>
    <w:rsid w:val="004D2485"/>
    <w:rsid w:val="004D25D5"/>
    <w:rsid w:val="004D2C9C"/>
    <w:rsid w:val="004D3A57"/>
    <w:rsid w:val="004D3AED"/>
    <w:rsid w:val="004D47FF"/>
    <w:rsid w:val="004D4D35"/>
    <w:rsid w:val="004D518F"/>
    <w:rsid w:val="004D54D7"/>
    <w:rsid w:val="004D5BB7"/>
    <w:rsid w:val="004D6053"/>
    <w:rsid w:val="004D68FE"/>
    <w:rsid w:val="004D6FA4"/>
    <w:rsid w:val="004D715B"/>
    <w:rsid w:val="004D7C23"/>
    <w:rsid w:val="004E01C6"/>
    <w:rsid w:val="004E0212"/>
    <w:rsid w:val="004E0ADC"/>
    <w:rsid w:val="004E0C4E"/>
    <w:rsid w:val="004E0FB1"/>
    <w:rsid w:val="004E1043"/>
    <w:rsid w:val="004E14C8"/>
    <w:rsid w:val="004E1DCA"/>
    <w:rsid w:val="004E1E38"/>
    <w:rsid w:val="004E21B4"/>
    <w:rsid w:val="004E22AE"/>
    <w:rsid w:val="004E252B"/>
    <w:rsid w:val="004E2861"/>
    <w:rsid w:val="004E2A85"/>
    <w:rsid w:val="004E2CE4"/>
    <w:rsid w:val="004E3F72"/>
    <w:rsid w:val="004E4A78"/>
    <w:rsid w:val="004E551E"/>
    <w:rsid w:val="004E584D"/>
    <w:rsid w:val="004E58F6"/>
    <w:rsid w:val="004E5E37"/>
    <w:rsid w:val="004E5E4C"/>
    <w:rsid w:val="004E5F79"/>
    <w:rsid w:val="004E623E"/>
    <w:rsid w:val="004E6589"/>
    <w:rsid w:val="004E6A74"/>
    <w:rsid w:val="004E6CF9"/>
    <w:rsid w:val="004E7152"/>
    <w:rsid w:val="004E734E"/>
    <w:rsid w:val="004E7EC0"/>
    <w:rsid w:val="004E7F48"/>
    <w:rsid w:val="004F014E"/>
    <w:rsid w:val="004F01EA"/>
    <w:rsid w:val="004F023B"/>
    <w:rsid w:val="004F042D"/>
    <w:rsid w:val="004F0BC6"/>
    <w:rsid w:val="004F1123"/>
    <w:rsid w:val="004F12D3"/>
    <w:rsid w:val="004F1715"/>
    <w:rsid w:val="004F17DA"/>
    <w:rsid w:val="004F2F17"/>
    <w:rsid w:val="004F355B"/>
    <w:rsid w:val="004F39D2"/>
    <w:rsid w:val="004F3BD2"/>
    <w:rsid w:val="004F4372"/>
    <w:rsid w:val="004F43E0"/>
    <w:rsid w:val="004F45EB"/>
    <w:rsid w:val="004F5079"/>
    <w:rsid w:val="004F50F4"/>
    <w:rsid w:val="004F521B"/>
    <w:rsid w:val="004F52BB"/>
    <w:rsid w:val="004F5582"/>
    <w:rsid w:val="004F56B1"/>
    <w:rsid w:val="004F59B8"/>
    <w:rsid w:val="004F62A7"/>
    <w:rsid w:val="004F62F9"/>
    <w:rsid w:val="004F66B3"/>
    <w:rsid w:val="004F696B"/>
    <w:rsid w:val="004F6A72"/>
    <w:rsid w:val="004F6AC3"/>
    <w:rsid w:val="004F6FA7"/>
    <w:rsid w:val="004F71EF"/>
    <w:rsid w:val="004F72DA"/>
    <w:rsid w:val="004F7352"/>
    <w:rsid w:val="004F7889"/>
    <w:rsid w:val="0050015C"/>
    <w:rsid w:val="00500418"/>
    <w:rsid w:val="0050042C"/>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F64"/>
    <w:rsid w:val="00506DCD"/>
    <w:rsid w:val="00507325"/>
    <w:rsid w:val="00507583"/>
    <w:rsid w:val="00507C56"/>
    <w:rsid w:val="00507F13"/>
    <w:rsid w:val="005109D4"/>
    <w:rsid w:val="00510CF4"/>
    <w:rsid w:val="00510FE1"/>
    <w:rsid w:val="0051160A"/>
    <w:rsid w:val="005118BA"/>
    <w:rsid w:val="00511C56"/>
    <w:rsid w:val="00512385"/>
    <w:rsid w:val="005128B7"/>
    <w:rsid w:val="00512A4D"/>
    <w:rsid w:val="00512D87"/>
    <w:rsid w:val="005130DA"/>
    <w:rsid w:val="00513DDA"/>
    <w:rsid w:val="00513E19"/>
    <w:rsid w:val="005148B4"/>
    <w:rsid w:val="00514B29"/>
    <w:rsid w:val="00514E8C"/>
    <w:rsid w:val="00514F52"/>
    <w:rsid w:val="005152B1"/>
    <w:rsid w:val="005152F0"/>
    <w:rsid w:val="0051532D"/>
    <w:rsid w:val="00515856"/>
    <w:rsid w:val="00515CD7"/>
    <w:rsid w:val="00515FD2"/>
    <w:rsid w:val="005163E6"/>
    <w:rsid w:val="00516D23"/>
    <w:rsid w:val="005172EC"/>
    <w:rsid w:val="0051740D"/>
    <w:rsid w:val="005178CE"/>
    <w:rsid w:val="00517CA0"/>
    <w:rsid w:val="00521356"/>
    <w:rsid w:val="00521583"/>
    <w:rsid w:val="00521CAB"/>
    <w:rsid w:val="00521DFB"/>
    <w:rsid w:val="005224EF"/>
    <w:rsid w:val="00522654"/>
    <w:rsid w:val="00522835"/>
    <w:rsid w:val="0052293D"/>
    <w:rsid w:val="00522AF4"/>
    <w:rsid w:val="00523499"/>
    <w:rsid w:val="00523BC7"/>
    <w:rsid w:val="00523C08"/>
    <w:rsid w:val="00523C10"/>
    <w:rsid w:val="00523E23"/>
    <w:rsid w:val="005241C4"/>
    <w:rsid w:val="005242F0"/>
    <w:rsid w:val="005245D5"/>
    <w:rsid w:val="005247FE"/>
    <w:rsid w:val="00524889"/>
    <w:rsid w:val="00524E6D"/>
    <w:rsid w:val="0052575D"/>
    <w:rsid w:val="00525773"/>
    <w:rsid w:val="0052582C"/>
    <w:rsid w:val="005259FC"/>
    <w:rsid w:val="00525A0E"/>
    <w:rsid w:val="00525A53"/>
    <w:rsid w:val="00525DDA"/>
    <w:rsid w:val="005260F1"/>
    <w:rsid w:val="00526569"/>
    <w:rsid w:val="00526726"/>
    <w:rsid w:val="00526DB5"/>
    <w:rsid w:val="00526F91"/>
    <w:rsid w:val="00527256"/>
    <w:rsid w:val="00527934"/>
    <w:rsid w:val="00527B57"/>
    <w:rsid w:val="00527C8D"/>
    <w:rsid w:val="00527C9C"/>
    <w:rsid w:val="00530217"/>
    <w:rsid w:val="00530AC4"/>
    <w:rsid w:val="00531F7B"/>
    <w:rsid w:val="00532064"/>
    <w:rsid w:val="0053268A"/>
    <w:rsid w:val="0053309E"/>
    <w:rsid w:val="00533169"/>
    <w:rsid w:val="00533194"/>
    <w:rsid w:val="005332C8"/>
    <w:rsid w:val="00534021"/>
    <w:rsid w:val="0053464E"/>
    <w:rsid w:val="00534CBD"/>
    <w:rsid w:val="00534EA3"/>
    <w:rsid w:val="005352C8"/>
    <w:rsid w:val="005354C1"/>
    <w:rsid w:val="00535CAE"/>
    <w:rsid w:val="00535F99"/>
    <w:rsid w:val="005361DE"/>
    <w:rsid w:val="005362E9"/>
    <w:rsid w:val="00536356"/>
    <w:rsid w:val="00536C03"/>
    <w:rsid w:val="00536CBB"/>
    <w:rsid w:val="00536DDD"/>
    <w:rsid w:val="00537033"/>
    <w:rsid w:val="00540847"/>
    <w:rsid w:val="00540A37"/>
    <w:rsid w:val="00540B49"/>
    <w:rsid w:val="005418DB"/>
    <w:rsid w:val="0054230B"/>
    <w:rsid w:val="005426B9"/>
    <w:rsid w:val="005434EA"/>
    <w:rsid w:val="00544ABA"/>
    <w:rsid w:val="00544C06"/>
    <w:rsid w:val="00545D55"/>
    <w:rsid w:val="005461AB"/>
    <w:rsid w:val="00546C6A"/>
    <w:rsid w:val="00546FBA"/>
    <w:rsid w:val="0054753B"/>
    <w:rsid w:val="00547F04"/>
    <w:rsid w:val="00550924"/>
    <w:rsid w:val="00550D63"/>
    <w:rsid w:val="00550EF1"/>
    <w:rsid w:val="00551075"/>
    <w:rsid w:val="005513C8"/>
    <w:rsid w:val="00551846"/>
    <w:rsid w:val="00551D0E"/>
    <w:rsid w:val="0055236E"/>
    <w:rsid w:val="0055352C"/>
    <w:rsid w:val="005538A6"/>
    <w:rsid w:val="00554536"/>
    <w:rsid w:val="00554F94"/>
    <w:rsid w:val="00555016"/>
    <w:rsid w:val="00555161"/>
    <w:rsid w:val="005551D2"/>
    <w:rsid w:val="00555A59"/>
    <w:rsid w:val="00555DE6"/>
    <w:rsid w:val="00555EB3"/>
    <w:rsid w:val="005567F6"/>
    <w:rsid w:val="00556E29"/>
    <w:rsid w:val="00557474"/>
    <w:rsid w:val="00557C6F"/>
    <w:rsid w:val="00557DAA"/>
    <w:rsid w:val="00557DAD"/>
    <w:rsid w:val="005604AD"/>
    <w:rsid w:val="005607F0"/>
    <w:rsid w:val="00561138"/>
    <w:rsid w:val="00561699"/>
    <w:rsid w:val="0056194F"/>
    <w:rsid w:val="005619E1"/>
    <w:rsid w:val="00561A8B"/>
    <w:rsid w:val="00562629"/>
    <w:rsid w:val="005628FE"/>
    <w:rsid w:val="005629C4"/>
    <w:rsid w:val="0056364B"/>
    <w:rsid w:val="00563D49"/>
    <w:rsid w:val="00564191"/>
    <w:rsid w:val="00564557"/>
    <w:rsid w:val="0056458C"/>
    <w:rsid w:val="00564628"/>
    <w:rsid w:val="0056465D"/>
    <w:rsid w:val="005648B9"/>
    <w:rsid w:val="00564A3C"/>
    <w:rsid w:val="00564F82"/>
    <w:rsid w:val="00564FF6"/>
    <w:rsid w:val="0056538E"/>
    <w:rsid w:val="005653AE"/>
    <w:rsid w:val="005653AF"/>
    <w:rsid w:val="00565501"/>
    <w:rsid w:val="00565755"/>
    <w:rsid w:val="00565FB7"/>
    <w:rsid w:val="0056601E"/>
    <w:rsid w:val="00566406"/>
    <w:rsid w:val="005664A6"/>
    <w:rsid w:val="00566538"/>
    <w:rsid w:val="005667CE"/>
    <w:rsid w:val="00566C9E"/>
    <w:rsid w:val="0056725A"/>
    <w:rsid w:val="005672D9"/>
    <w:rsid w:val="0056741F"/>
    <w:rsid w:val="00567647"/>
    <w:rsid w:val="0056781B"/>
    <w:rsid w:val="00567BE2"/>
    <w:rsid w:val="00570102"/>
    <w:rsid w:val="00570505"/>
    <w:rsid w:val="0057106A"/>
    <w:rsid w:val="005712E6"/>
    <w:rsid w:val="00571F80"/>
    <w:rsid w:val="00572942"/>
    <w:rsid w:val="005730DB"/>
    <w:rsid w:val="00573251"/>
    <w:rsid w:val="005733A8"/>
    <w:rsid w:val="005734F9"/>
    <w:rsid w:val="00573B5B"/>
    <w:rsid w:val="00573F55"/>
    <w:rsid w:val="00574070"/>
    <w:rsid w:val="00574E16"/>
    <w:rsid w:val="00574FD2"/>
    <w:rsid w:val="00575148"/>
    <w:rsid w:val="0057540E"/>
    <w:rsid w:val="005757B6"/>
    <w:rsid w:val="005761E2"/>
    <w:rsid w:val="0058000F"/>
    <w:rsid w:val="00580557"/>
    <w:rsid w:val="0058074F"/>
    <w:rsid w:val="00580A76"/>
    <w:rsid w:val="00581042"/>
    <w:rsid w:val="005816AE"/>
    <w:rsid w:val="00581703"/>
    <w:rsid w:val="00581B15"/>
    <w:rsid w:val="005821DD"/>
    <w:rsid w:val="00582D5C"/>
    <w:rsid w:val="00583908"/>
    <w:rsid w:val="00583C9C"/>
    <w:rsid w:val="00584757"/>
    <w:rsid w:val="00584E21"/>
    <w:rsid w:val="0058608B"/>
    <w:rsid w:val="005863C1"/>
    <w:rsid w:val="0058654D"/>
    <w:rsid w:val="00586786"/>
    <w:rsid w:val="0058759C"/>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3E3F"/>
    <w:rsid w:val="005941E1"/>
    <w:rsid w:val="005943E2"/>
    <w:rsid w:val="005946E1"/>
    <w:rsid w:val="00594B8A"/>
    <w:rsid w:val="00595009"/>
    <w:rsid w:val="005954B7"/>
    <w:rsid w:val="00595A05"/>
    <w:rsid w:val="00595AA4"/>
    <w:rsid w:val="00595CBC"/>
    <w:rsid w:val="00595F17"/>
    <w:rsid w:val="00595F3D"/>
    <w:rsid w:val="00595F89"/>
    <w:rsid w:val="005960C7"/>
    <w:rsid w:val="005963FB"/>
    <w:rsid w:val="00596873"/>
    <w:rsid w:val="00596B85"/>
    <w:rsid w:val="00596BB3"/>
    <w:rsid w:val="00596BD4"/>
    <w:rsid w:val="00596FA8"/>
    <w:rsid w:val="005971A7"/>
    <w:rsid w:val="00597310"/>
    <w:rsid w:val="005977AB"/>
    <w:rsid w:val="005A01C5"/>
    <w:rsid w:val="005A0532"/>
    <w:rsid w:val="005A071C"/>
    <w:rsid w:val="005A07E7"/>
    <w:rsid w:val="005A0A26"/>
    <w:rsid w:val="005A0A57"/>
    <w:rsid w:val="005A0B9F"/>
    <w:rsid w:val="005A0DBB"/>
    <w:rsid w:val="005A0EBD"/>
    <w:rsid w:val="005A1270"/>
    <w:rsid w:val="005A1295"/>
    <w:rsid w:val="005A1370"/>
    <w:rsid w:val="005A1711"/>
    <w:rsid w:val="005A1F08"/>
    <w:rsid w:val="005A1FBF"/>
    <w:rsid w:val="005A1FD5"/>
    <w:rsid w:val="005A24B2"/>
    <w:rsid w:val="005A29B1"/>
    <w:rsid w:val="005A2EBF"/>
    <w:rsid w:val="005A3750"/>
    <w:rsid w:val="005A380B"/>
    <w:rsid w:val="005A4890"/>
    <w:rsid w:val="005A49D4"/>
    <w:rsid w:val="005A4D7C"/>
    <w:rsid w:val="005A51C9"/>
    <w:rsid w:val="005A5A96"/>
    <w:rsid w:val="005A5D7F"/>
    <w:rsid w:val="005A5DC0"/>
    <w:rsid w:val="005A643E"/>
    <w:rsid w:val="005A65C3"/>
    <w:rsid w:val="005A6B6D"/>
    <w:rsid w:val="005A6ED5"/>
    <w:rsid w:val="005A6F0E"/>
    <w:rsid w:val="005A6F57"/>
    <w:rsid w:val="005A7213"/>
    <w:rsid w:val="005A7235"/>
    <w:rsid w:val="005A795B"/>
    <w:rsid w:val="005A7BAF"/>
    <w:rsid w:val="005B05FA"/>
    <w:rsid w:val="005B0652"/>
    <w:rsid w:val="005B1213"/>
    <w:rsid w:val="005B1B55"/>
    <w:rsid w:val="005B1DBD"/>
    <w:rsid w:val="005B26B0"/>
    <w:rsid w:val="005B3937"/>
    <w:rsid w:val="005B3EBD"/>
    <w:rsid w:val="005B3F0C"/>
    <w:rsid w:val="005B3F56"/>
    <w:rsid w:val="005B48E8"/>
    <w:rsid w:val="005B4E38"/>
    <w:rsid w:val="005B564F"/>
    <w:rsid w:val="005B56D9"/>
    <w:rsid w:val="005B5BA3"/>
    <w:rsid w:val="005B5E62"/>
    <w:rsid w:val="005B6BE5"/>
    <w:rsid w:val="005B6DBE"/>
    <w:rsid w:val="005B787D"/>
    <w:rsid w:val="005B7E97"/>
    <w:rsid w:val="005B7F46"/>
    <w:rsid w:val="005C059E"/>
    <w:rsid w:val="005C060F"/>
    <w:rsid w:val="005C07D2"/>
    <w:rsid w:val="005C09A7"/>
    <w:rsid w:val="005C0EA8"/>
    <w:rsid w:val="005C102D"/>
    <w:rsid w:val="005C106A"/>
    <w:rsid w:val="005C132C"/>
    <w:rsid w:val="005C17FB"/>
    <w:rsid w:val="005C1833"/>
    <w:rsid w:val="005C1838"/>
    <w:rsid w:val="005C18C2"/>
    <w:rsid w:val="005C1E72"/>
    <w:rsid w:val="005C2063"/>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802"/>
    <w:rsid w:val="005C7B50"/>
    <w:rsid w:val="005C7F44"/>
    <w:rsid w:val="005D029E"/>
    <w:rsid w:val="005D0427"/>
    <w:rsid w:val="005D0776"/>
    <w:rsid w:val="005D07AE"/>
    <w:rsid w:val="005D08FD"/>
    <w:rsid w:val="005D0C83"/>
    <w:rsid w:val="005D113B"/>
    <w:rsid w:val="005D1732"/>
    <w:rsid w:val="005D19C7"/>
    <w:rsid w:val="005D2856"/>
    <w:rsid w:val="005D2D9A"/>
    <w:rsid w:val="005D3A6E"/>
    <w:rsid w:val="005D3B21"/>
    <w:rsid w:val="005D4019"/>
    <w:rsid w:val="005D4050"/>
    <w:rsid w:val="005D41DC"/>
    <w:rsid w:val="005D460F"/>
    <w:rsid w:val="005D4DC5"/>
    <w:rsid w:val="005D5442"/>
    <w:rsid w:val="005D5C22"/>
    <w:rsid w:val="005D5E6C"/>
    <w:rsid w:val="005D63A9"/>
    <w:rsid w:val="005D65AF"/>
    <w:rsid w:val="005D65D5"/>
    <w:rsid w:val="005D6AD4"/>
    <w:rsid w:val="005D6C56"/>
    <w:rsid w:val="005D6CED"/>
    <w:rsid w:val="005D6F49"/>
    <w:rsid w:val="005D7E8A"/>
    <w:rsid w:val="005E0687"/>
    <w:rsid w:val="005E06FA"/>
    <w:rsid w:val="005E07F6"/>
    <w:rsid w:val="005E11A5"/>
    <w:rsid w:val="005E13D4"/>
    <w:rsid w:val="005E1435"/>
    <w:rsid w:val="005E21F3"/>
    <w:rsid w:val="005E235C"/>
    <w:rsid w:val="005E2703"/>
    <w:rsid w:val="005E2DA0"/>
    <w:rsid w:val="005E3078"/>
    <w:rsid w:val="005E34C0"/>
    <w:rsid w:val="005E45F3"/>
    <w:rsid w:val="005E4757"/>
    <w:rsid w:val="005E4785"/>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42B2"/>
    <w:rsid w:val="005F47C1"/>
    <w:rsid w:val="005F4926"/>
    <w:rsid w:val="005F4B6F"/>
    <w:rsid w:val="005F5009"/>
    <w:rsid w:val="005F5054"/>
    <w:rsid w:val="005F530F"/>
    <w:rsid w:val="005F5D2A"/>
    <w:rsid w:val="005F5FE6"/>
    <w:rsid w:val="005F65D9"/>
    <w:rsid w:val="005F6768"/>
    <w:rsid w:val="005F69CF"/>
    <w:rsid w:val="005F6E39"/>
    <w:rsid w:val="005F6E58"/>
    <w:rsid w:val="005F7031"/>
    <w:rsid w:val="005F704C"/>
    <w:rsid w:val="005F7A22"/>
    <w:rsid w:val="005F7B9D"/>
    <w:rsid w:val="00600501"/>
    <w:rsid w:val="00600B0C"/>
    <w:rsid w:val="00602440"/>
    <w:rsid w:val="00602DFA"/>
    <w:rsid w:val="006031D1"/>
    <w:rsid w:val="006033BF"/>
    <w:rsid w:val="00603702"/>
    <w:rsid w:val="00603B4B"/>
    <w:rsid w:val="00603F20"/>
    <w:rsid w:val="006046A9"/>
    <w:rsid w:val="0060471B"/>
    <w:rsid w:val="00604F37"/>
    <w:rsid w:val="0060508A"/>
    <w:rsid w:val="006055AF"/>
    <w:rsid w:val="00605942"/>
    <w:rsid w:val="00605C9F"/>
    <w:rsid w:val="00605F43"/>
    <w:rsid w:val="00605F95"/>
    <w:rsid w:val="006068E8"/>
    <w:rsid w:val="00606ADB"/>
    <w:rsid w:val="006072DE"/>
    <w:rsid w:val="006075F4"/>
    <w:rsid w:val="006078A8"/>
    <w:rsid w:val="00607BAD"/>
    <w:rsid w:val="00607EC7"/>
    <w:rsid w:val="006102BC"/>
    <w:rsid w:val="0061048A"/>
    <w:rsid w:val="00610AE7"/>
    <w:rsid w:val="00611178"/>
    <w:rsid w:val="0061148D"/>
    <w:rsid w:val="00611CFC"/>
    <w:rsid w:val="00611D01"/>
    <w:rsid w:val="006122EC"/>
    <w:rsid w:val="006124B3"/>
    <w:rsid w:val="00612611"/>
    <w:rsid w:val="0061279A"/>
    <w:rsid w:val="00612A10"/>
    <w:rsid w:val="00613009"/>
    <w:rsid w:val="006132EA"/>
    <w:rsid w:val="00613481"/>
    <w:rsid w:val="006134F0"/>
    <w:rsid w:val="00613BB0"/>
    <w:rsid w:val="00613CA5"/>
    <w:rsid w:val="0061401C"/>
    <w:rsid w:val="0061420B"/>
    <w:rsid w:val="00614A59"/>
    <w:rsid w:val="00614BD4"/>
    <w:rsid w:val="00614D33"/>
    <w:rsid w:val="00614E7E"/>
    <w:rsid w:val="0061537D"/>
    <w:rsid w:val="0061537F"/>
    <w:rsid w:val="006156D7"/>
    <w:rsid w:val="00615CF1"/>
    <w:rsid w:val="00615DEA"/>
    <w:rsid w:val="0061652F"/>
    <w:rsid w:val="006165A4"/>
    <w:rsid w:val="00616A60"/>
    <w:rsid w:val="00616D0C"/>
    <w:rsid w:val="00616D43"/>
    <w:rsid w:val="00616EE6"/>
    <w:rsid w:val="006171FB"/>
    <w:rsid w:val="00617283"/>
    <w:rsid w:val="0061747F"/>
    <w:rsid w:val="00617488"/>
    <w:rsid w:val="00617A2A"/>
    <w:rsid w:val="006206F3"/>
    <w:rsid w:val="006207F4"/>
    <w:rsid w:val="00620C67"/>
    <w:rsid w:val="00620CD9"/>
    <w:rsid w:val="00621451"/>
    <w:rsid w:val="006214E3"/>
    <w:rsid w:val="00621646"/>
    <w:rsid w:val="00621803"/>
    <w:rsid w:val="00621A34"/>
    <w:rsid w:val="006220F1"/>
    <w:rsid w:val="006222C3"/>
    <w:rsid w:val="00623E46"/>
    <w:rsid w:val="00624604"/>
    <w:rsid w:val="00624A9E"/>
    <w:rsid w:val="00624D2C"/>
    <w:rsid w:val="00624F7F"/>
    <w:rsid w:val="00625142"/>
    <w:rsid w:val="00625145"/>
    <w:rsid w:val="00625FC9"/>
    <w:rsid w:val="00626768"/>
    <w:rsid w:val="00626F9D"/>
    <w:rsid w:val="00627402"/>
    <w:rsid w:val="00627403"/>
    <w:rsid w:val="00627474"/>
    <w:rsid w:val="0062759B"/>
    <w:rsid w:val="00627AE2"/>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669"/>
    <w:rsid w:val="00635B15"/>
    <w:rsid w:val="00636037"/>
    <w:rsid w:val="00636269"/>
    <w:rsid w:val="006362E1"/>
    <w:rsid w:val="006367DA"/>
    <w:rsid w:val="00636F62"/>
    <w:rsid w:val="006370E1"/>
    <w:rsid w:val="00637382"/>
    <w:rsid w:val="006375B2"/>
    <w:rsid w:val="006375BB"/>
    <w:rsid w:val="006409EE"/>
    <w:rsid w:val="00640BF7"/>
    <w:rsid w:val="00640C5F"/>
    <w:rsid w:val="00640FFF"/>
    <w:rsid w:val="00641761"/>
    <w:rsid w:val="006419AF"/>
    <w:rsid w:val="006425FC"/>
    <w:rsid w:val="00642631"/>
    <w:rsid w:val="00642DF5"/>
    <w:rsid w:val="0064304A"/>
    <w:rsid w:val="0064380B"/>
    <w:rsid w:val="00643A4F"/>
    <w:rsid w:val="00643F2A"/>
    <w:rsid w:val="00643FF5"/>
    <w:rsid w:val="006441FD"/>
    <w:rsid w:val="00644E5A"/>
    <w:rsid w:val="00644F2C"/>
    <w:rsid w:val="00645065"/>
    <w:rsid w:val="006450DD"/>
    <w:rsid w:val="00645107"/>
    <w:rsid w:val="00645141"/>
    <w:rsid w:val="00645AEE"/>
    <w:rsid w:val="00645F2F"/>
    <w:rsid w:val="00646428"/>
    <w:rsid w:val="00646AFD"/>
    <w:rsid w:val="0064707F"/>
    <w:rsid w:val="006471E8"/>
    <w:rsid w:val="00647E90"/>
    <w:rsid w:val="00647FA3"/>
    <w:rsid w:val="006500F7"/>
    <w:rsid w:val="00650769"/>
    <w:rsid w:val="0065106D"/>
    <w:rsid w:val="00651555"/>
    <w:rsid w:val="006516B7"/>
    <w:rsid w:val="006518E4"/>
    <w:rsid w:val="006519F4"/>
    <w:rsid w:val="00651FB8"/>
    <w:rsid w:val="00652036"/>
    <w:rsid w:val="0065203F"/>
    <w:rsid w:val="006520D5"/>
    <w:rsid w:val="0065239B"/>
    <w:rsid w:val="006527DD"/>
    <w:rsid w:val="00652BA0"/>
    <w:rsid w:val="00653045"/>
    <w:rsid w:val="0065349A"/>
    <w:rsid w:val="00653A25"/>
    <w:rsid w:val="00653D93"/>
    <w:rsid w:val="00653FDA"/>
    <w:rsid w:val="00654079"/>
    <w:rsid w:val="006541A0"/>
    <w:rsid w:val="00654E99"/>
    <w:rsid w:val="00655104"/>
    <w:rsid w:val="0065548F"/>
    <w:rsid w:val="0065552E"/>
    <w:rsid w:val="00655633"/>
    <w:rsid w:val="006557BB"/>
    <w:rsid w:val="006559BB"/>
    <w:rsid w:val="00655D93"/>
    <w:rsid w:val="00655E86"/>
    <w:rsid w:val="00655ED0"/>
    <w:rsid w:val="00656044"/>
    <w:rsid w:val="00656614"/>
    <w:rsid w:val="00656C4D"/>
    <w:rsid w:val="006577CD"/>
    <w:rsid w:val="00657C69"/>
    <w:rsid w:val="00657CCC"/>
    <w:rsid w:val="00660162"/>
    <w:rsid w:val="0066036D"/>
    <w:rsid w:val="006604FA"/>
    <w:rsid w:val="00660879"/>
    <w:rsid w:val="00660B3F"/>
    <w:rsid w:val="006610B1"/>
    <w:rsid w:val="00661639"/>
    <w:rsid w:val="00661655"/>
    <w:rsid w:val="0066174D"/>
    <w:rsid w:val="006618D9"/>
    <w:rsid w:val="00661E36"/>
    <w:rsid w:val="00662254"/>
    <w:rsid w:val="0066263D"/>
    <w:rsid w:val="0066288A"/>
    <w:rsid w:val="0066318A"/>
    <w:rsid w:val="006631D3"/>
    <w:rsid w:val="00663D0F"/>
    <w:rsid w:val="00664525"/>
    <w:rsid w:val="0066465B"/>
    <w:rsid w:val="00664C81"/>
    <w:rsid w:val="0066521A"/>
    <w:rsid w:val="0066540C"/>
    <w:rsid w:val="006656E2"/>
    <w:rsid w:val="00665EAE"/>
    <w:rsid w:val="00666123"/>
    <w:rsid w:val="006661EA"/>
    <w:rsid w:val="0066655C"/>
    <w:rsid w:val="00666909"/>
    <w:rsid w:val="00666EBC"/>
    <w:rsid w:val="00667189"/>
    <w:rsid w:val="0066749E"/>
    <w:rsid w:val="00667CCB"/>
    <w:rsid w:val="00667EFD"/>
    <w:rsid w:val="00670475"/>
    <w:rsid w:val="00670725"/>
    <w:rsid w:val="00670B8C"/>
    <w:rsid w:val="00670C4A"/>
    <w:rsid w:val="006712FE"/>
    <w:rsid w:val="00671F3E"/>
    <w:rsid w:val="00672482"/>
    <w:rsid w:val="00672A18"/>
    <w:rsid w:val="006735D0"/>
    <w:rsid w:val="00673954"/>
    <w:rsid w:val="006739E9"/>
    <w:rsid w:val="00674D52"/>
    <w:rsid w:val="00674F93"/>
    <w:rsid w:val="0067546F"/>
    <w:rsid w:val="00676287"/>
    <w:rsid w:val="00676CE4"/>
    <w:rsid w:val="00676EC2"/>
    <w:rsid w:val="00676F61"/>
    <w:rsid w:val="00676FA5"/>
    <w:rsid w:val="006771A4"/>
    <w:rsid w:val="006771AD"/>
    <w:rsid w:val="006774A8"/>
    <w:rsid w:val="00677572"/>
    <w:rsid w:val="00677885"/>
    <w:rsid w:val="00677F2E"/>
    <w:rsid w:val="00681156"/>
    <w:rsid w:val="00681229"/>
    <w:rsid w:val="0068122F"/>
    <w:rsid w:val="00681514"/>
    <w:rsid w:val="0068185E"/>
    <w:rsid w:val="00681BE5"/>
    <w:rsid w:val="00681E30"/>
    <w:rsid w:val="00682B8F"/>
    <w:rsid w:val="0068379B"/>
    <w:rsid w:val="00683C54"/>
    <w:rsid w:val="00683D98"/>
    <w:rsid w:val="00683D99"/>
    <w:rsid w:val="00684079"/>
    <w:rsid w:val="006848EE"/>
    <w:rsid w:val="00685336"/>
    <w:rsid w:val="006860E2"/>
    <w:rsid w:val="0068629B"/>
    <w:rsid w:val="00686425"/>
    <w:rsid w:val="00686C12"/>
    <w:rsid w:val="00686D75"/>
    <w:rsid w:val="0068736A"/>
    <w:rsid w:val="00687D17"/>
    <w:rsid w:val="00690024"/>
    <w:rsid w:val="006903A4"/>
    <w:rsid w:val="00690CAA"/>
    <w:rsid w:val="00690EFB"/>
    <w:rsid w:val="00690F28"/>
    <w:rsid w:val="0069137B"/>
    <w:rsid w:val="006913EC"/>
    <w:rsid w:val="006914B7"/>
    <w:rsid w:val="00691742"/>
    <w:rsid w:val="00691DEE"/>
    <w:rsid w:val="00692242"/>
    <w:rsid w:val="0069236E"/>
    <w:rsid w:val="00692704"/>
    <w:rsid w:val="00692755"/>
    <w:rsid w:val="00692E67"/>
    <w:rsid w:val="0069381A"/>
    <w:rsid w:val="00693ACF"/>
    <w:rsid w:val="00693EE5"/>
    <w:rsid w:val="00694314"/>
    <w:rsid w:val="006944C5"/>
    <w:rsid w:val="00694B8D"/>
    <w:rsid w:val="0069532F"/>
    <w:rsid w:val="0069561C"/>
    <w:rsid w:val="00695634"/>
    <w:rsid w:val="00695768"/>
    <w:rsid w:val="0069600D"/>
    <w:rsid w:val="00696016"/>
    <w:rsid w:val="006963AE"/>
    <w:rsid w:val="006965AC"/>
    <w:rsid w:val="0069689C"/>
    <w:rsid w:val="00697053"/>
    <w:rsid w:val="006A066A"/>
    <w:rsid w:val="006A06CA"/>
    <w:rsid w:val="006A083E"/>
    <w:rsid w:val="006A0FFD"/>
    <w:rsid w:val="006A1170"/>
    <w:rsid w:val="006A12CA"/>
    <w:rsid w:val="006A14A3"/>
    <w:rsid w:val="006A159D"/>
    <w:rsid w:val="006A1819"/>
    <w:rsid w:val="006A18BF"/>
    <w:rsid w:val="006A1F58"/>
    <w:rsid w:val="006A242E"/>
    <w:rsid w:val="006A26AB"/>
    <w:rsid w:val="006A298D"/>
    <w:rsid w:val="006A2F80"/>
    <w:rsid w:val="006A347A"/>
    <w:rsid w:val="006A3809"/>
    <w:rsid w:val="006A3A48"/>
    <w:rsid w:val="006A3FD6"/>
    <w:rsid w:val="006A4076"/>
    <w:rsid w:val="006A436F"/>
    <w:rsid w:val="006A4E5B"/>
    <w:rsid w:val="006A5675"/>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106"/>
    <w:rsid w:val="006B53DC"/>
    <w:rsid w:val="006B5423"/>
    <w:rsid w:val="006B5855"/>
    <w:rsid w:val="006B5AB2"/>
    <w:rsid w:val="006B5C67"/>
    <w:rsid w:val="006B6B5D"/>
    <w:rsid w:val="006B6BF6"/>
    <w:rsid w:val="006B6C0D"/>
    <w:rsid w:val="006B7657"/>
    <w:rsid w:val="006C04BD"/>
    <w:rsid w:val="006C0B49"/>
    <w:rsid w:val="006C11D4"/>
    <w:rsid w:val="006C166D"/>
    <w:rsid w:val="006C1818"/>
    <w:rsid w:val="006C1C4F"/>
    <w:rsid w:val="006C1F8B"/>
    <w:rsid w:val="006C2633"/>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7EF"/>
    <w:rsid w:val="006C69A5"/>
    <w:rsid w:val="006C7740"/>
    <w:rsid w:val="006D0389"/>
    <w:rsid w:val="006D0848"/>
    <w:rsid w:val="006D0BA5"/>
    <w:rsid w:val="006D0C15"/>
    <w:rsid w:val="006D0D8B"/>
    <w:rsid w:val="006D0FBF"/>
    <w:rsid w:val="006D10DC"/>
    <w:rsid w:val="006D1586"/>
    <w:rsid w:val="006D19C1"/>
    <w:rsid w:val="006D222C"/>
    <w:rsid w:val="006D2538"/>
    <w:rsid w:val="006D2827"/>
    <w:rsid w:val="006D2848"/>
    <w:rsid w:val="006D2B19"/>
    <w:rsid w:val="006D2EC9"/>
    <w:rsid w:val="006D3A05"/>
    <w:rsid w:val="006D3B62"/>
    <w:rsid w:val="006D3FDF"/>
    <w:rsid w:val="006D4527"/>
    <w:rsid w:val="006D4B05"/>
    <w:rsid w:val="006D4F86"/>
    <w:rsid w:val="006D5464"/>
    <w:rsid w:val="006D5F98"/>
    <w:rsid w:val="006D6665"/>
    <w:rsid w:val="006D7098"/>
    <w:rsid w:val="006D740E"/>
    <w:rsid w:val="006D767A"/>
    <w:rsid w:val="006D7AA0"/>
    <w:rsid w:val="006D7F72"/>
    <w:rsid w:val="006E00B7"/>
    <w:rsid w:val="006E0767"/>
    <w:rsid w:val="006E0E5B"/>
    <w:rsid w:val="006E228A"/>
    <w:rsid w:val="006E2562"/>
    <w:rsid w:val="006E2F3F"/>
    <w:rsid w:val="006E3023"/>
    <w:rsid w:val="006E31AB"/>
    <w:rsid w:val="006E3369"/>
    <w:rsid w:val="006E3C34"/>
    <w:rsid w:val="006E3D00"/>
    <w:rsid w:val="006E3D12"/>
    <w:rsid w:val="006E449C"/>
    <w:rsid w:val="006E4726"/>
    <w:rsid w:val="006E4E72"/>
    <w:rsid w:val="006E50D0"/>
    <w:rsid w:val="006E5976"/>
    <w:rsid w:val="006E5EDA"/>
    <w:rsid w:val="006E663E"/>
    <w:rsid w:val="006E6994"/>
    <w:rsid w:val="006E6EDF"/>
    <w:rsid w:val="006E7A77"/>
    <w:rsid w:val="006E7BA5"/>
    <w:rsid w:val="006E7E85"/>
    <w:rsid w:val="006F01E8"/>
    <w:rsid w:val="006F02D7"/>
    <w:rsid w:val="006F03EC"/>
    <w:rsid w:val="006F059F"/>
    <w:rsid w:val="006F0EBB"/>
    <w:rsid w:val="006F1E96"/>
    <w:rsid w:val="006F1F7D"/>
    <w:rsid w:val="006F2D24"/>
    <w:rsid w:val="006F3117"/>
    <w:rsid w:val="006F352A"/>
    <w:rsid w:val="006F37F7"/>
    <w:rsid w:val="006F3909"/>
    <w:rsid w:val="006F4036"/>
    <w:rsid w:val="006F428E"/>
    <w:rsid w:val="006F48E1"/>
    <w:rsid w:val="006F4FA0"/>
    <w:rsid w:val="006F5096"/>
    <w:rsid w:val="006F5160"/>
    <w:rsid w:val="006F5374"/>
    <w:rsid w:val="006F5534"/>
    <w:rsid w:val="006F57D7"/>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128"/>
    <w:rsid w:val="0070495F"/>
    <w:rsid w:val="00704B6E"/>
    <w:rsid w:val="00704F73"/>
    <w:rsid w:val="0070508D"/>
    <w:rsid w:val="007050C6"/>
    <w:rsid w:val="0070542E"/>
    <w:rsid w:val="0070604A"/>
    <w:rsid w:val="007060D4"/>
    <w:rsid w:val="0070624C"/>
    <w:rsid w:val="00706451"/>
    <w:rsid w:val="00707E0F"/>
    <w:rsid w:val="0071068A"/>
    <w:rsid w:val="00710E19"/>
    <w:rsid w:val="00710E52"/>
    <w:rsid w:val="0071114B"/>
    <w:rsid w:val="0071122A"/>
    <w:rsid w:val="0071154B"/>
    <w:rsid w:val="0071174F"/>
    <w:rsid w:val="0071196A"/>
    <w:rsid w:val="00711B11"/>
    <w:rsid w:val="0071219C"/>
    <w:rsid w:val="00712385"/>
    <w:rsid w:val="0071277C"/>
    <w:rsid w:val="007131CF"/>
    <w:rsid w:val="007133C0"/>
    <w:rsid w:val="0071342C"/>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25B"/>
    <w:rsid w:val="00717880"/>
    <w:rsid w:val="0071791C"/>
    <w:rsid w:val="00717CA8"/>
    <w:rsid w:val="007202CB"/>
    <w:rsid w:val="007205E7"/>
    <w:rsid w:val="007209C4"/>
    <w:rsid w:val="00720A9F"/>
    <w:rsid w:val="00721E9E"/>
    <w:rsid w:val="007227FE"/>
    <w:rsid w:val="00722CD6"/>
    <w:rsid w:val="007233C3"/>
    <w:rsid w:val="00723C95"/>
    <w:rsid w:val="00723E9E"/>
    <w:rsid w:val="007244E7"/>
    <w:rsid w:val="00724F31"/>
    <w:rsid w:val="0072505F"/>
    <w:rsid w:val="00725B00"/>
    <w:rsid w:val="0072680C"/>
    <w:rsid w:val="00726B3D"/>
    <w:rsid w:val="00726C64"/>
    <w:rsid w:val="0072733B"/>
    <w:rsid w:val="00730E71"/>
    <w:rsid w:val="0073108F"/>
    <w:rsid w:val="007310B7"/>
    <w:rsid w:val="00731237"/>
    <w:rsid w:val="00731A22"/>
    <w:rsid w:val="0073207E"/>
    <w:rsid w:val="00732523"/>
    <w:rsid w:val="0073254B"/>
    <w:rsid w:val="00732664"/>
    <w:rsid w:val="00732B9E"/>
    <w:rsid w:val="00732BA7"/>
    <w:rsid w:val="0073318D"/>
    <w:rsid w:val="007333EA"/>
    <w:rsid w:val="00733601"/>
    <w:rsid w:val="00733A57"/>
    <w:rsid w:val="00733F36"/>
    <w:rsid w:val="007340CE"/>
    <w:rsid w:val="00734781"/>
    <w:rsid w:val="007349FC"/>
    <w:rsid w:val="00734B6F"/>
    <w:rsid w:val="007351A5"/>
    <w:rsid w:val="00735293"/>
    <w:rsid w:val="00735376"/>
    <w:rsid w:val="00735D05"/>
    <w:rsid w:val="007363EA"/>
    <w:rsid w:val="007363FF"/>
    <w:rsid w:val="0073668E"/>
    <w:rsid w:val="00736A02"/>
    <w:rsid w:val="00736E06"/>
    <w:rsid w:val="00736E37"/>
    <w:rsid w:val="00737286"/>
    <w:rsid w:val="007373DB"/>
    <w:rsid w:val="00737847"/>
    <w:rsid w:val="00737F27"/>
    <w:rsid w:val="00737FD3"/>
    <w:rsid w:val="00740240"/>
    <w:rsid w:val="007407DB"/>
    <w:rsid w:val="00740BFC"/>
    <w:rsid w:val="00740F76"/>
    <w:rsid w:val="00741032"/>
    <w:rsid w:val="00741037"/>
    <w:rsid w:val="00741D3F"/>
    <w:rsid w:val="007422B3"/>
    <w:rsid w:val="007424BF"/>
    <w:rsid w:val="00742FFB"/>
    <w:rsid w:val="007435F1"/>
    <w:rsid w:val="00743BC1"/>
    <w:rsid w:val="00743DDD"/>
    <w:rsid w:val="00744625"/>
    <w:rsid w:val="007446BB"/>
    <w:rsid w:val="00744AF1"/>
    <w:rsid w:val="00745882"/>
    <w:rsid w:val="00745A04"/>
    <w:rsid w:val="00745A0F"/>
    <w:rsid w:val="00745DFD"/>
    <w:rsid w:val="00745F2E"/>
    <w:rsid w:val="00745F88"/>
    <w:rsid w:val="00746197"/>
    <w:rsid w:val="0074689C"/>
    <w:rsid w:val="00746AC3"/>
    <w:rsid w:val="00746B3F"/>
    <w:rsid w:val="00747117"/>
    <w:rsid w:val="007479C2"/>
    <w:rsid w:val="00747B0D"/>
    <w:rsid w:val="0075001A"/>
    <w:rsid w:val="00751452"/>
    <w:rsid w:val="007521A5"/>
    <w:rsid w:val="007525CB"/>
    <w:rsid w:val="00752B03"/>
    <w:rsid w:val="00752E99"/>
    <w:rsid w:val="00753959"/>
    <w:rsid w:val="00753DD6"/>
    <w:rsid w:val="00754A4A"/>
    <w:rsid w:val="00755BCF"/>
    <w:rsid w:val="00755F9F"/>
    <w:rsid w:val="007566FB"/>
    <w:rsid w:val="007567A8"/>
    <w:rsid w:val="00756D6A"/>
    <w:rsid w:val="00757EE2"/>
    <w:rsid w:val="0076043F"/>
    <w:rsid w:val="00760F66"/>
    <w:rsid w:val="007611F8"/>
    <w:rsid w:val="00761200"/>
    <w:rsid w:val="00761931"/>
    <w:rsid w:val="00761BD1"/>
    <w:rsid w:val="007627BA"/>
    <w:rsid w:val="0076291E"/>
    <w:rsid w:val="00762C76"/>
    <w:rsid w:val="00762D81"/>
    <w:rsid w:val="0076317B"/>
    <w:rsid w:val="007643D5"/>
    <w:rsid w:val="00764F2A"/>
    <w:rsid w:val="00765366"/>
    <w:rsid w:val="00765914"/>
    <w:rsid w:val="00765998"/>
    <w:rsid w:val="00765AC2"/>
    <w:rsid w:val="0076614D"/>
    <w:rsid w:val="0076624C"/>
    <w:rsid w:val="0076627D"/>
    <w:rsid w:val="00766304"/>
    <w:rsid w:val="0076691C"/>
    <w:rsid w:val="00766A02"/>
    <w:rsid w:val="00767A28"/>
    <w:rsid w:val="00767DD2"/>
    <w:rsid w:val="00770264"/>
    <w:rsid w:val="0077082B"/>
    <w:rsid w:val="00770E60"/>
    <w:rsid w:val="007710CB"/>
    <w:rsid w:val="00771324"/>
    <w:rsid w:val="00771C8F"/>
    <w:rsid w:val="0077266E"/>
    <w:rsid w:val="0077292E"/>
    <w:rsid w:val="007737D4"/>
    <w:rsid w:val="007737D8"/>
    <w:rsid w:val="0077391C"/>
    <w:rsid w:val="00773D24"/>
    <w:rsid w:val="00774387"/>
    <w:rsid w:val="00774576"/>
    <w:rsid w:val="007745DA"/>
    <w:rsid w:val="0077508A"/>
    <w:rsid w:val="00775475"/>
    <w:rsid w:val="00775567"/>
    <w:rsid w:val="00775E0D"/>
    <w:rsid w:val="00776343"/>
    <w:rsid w:val="00776416"/>
    <w:rsid w:val="00776C7B"/>
    <w:rsid w:val="00776CEF"/>
    <w:rsid w:val="00776E9C"/>
    <w:rsid w:val="007774AE"/>
    <w:rsid w:val="00777E7E"/>
    <w:rsid w:val="00777EFA"/>
    <w:rsid w:val="007804DD"/>
    <w:rsid w:val="00780EC1"/>
    <w:rsid w:val="00780F3B"/>
    <w:rsid w:val="0078115B"/>
    <w:rsid w:val="007816EE"/>
    <w:rsid w:val="0078180C"/>
    <w:rsid w:val="00782071"/>
    <w:rsid w:val="00782783"/>
    <w:rsid w:val="00782946"/>
    <w:rsid w:val="00782E6F"/>
    <w:rsid w:val="00782ECD"/>
    <w:rsid w:val="00782F44"/>
    <w:rsid w:val="007830C6"/>
    <w:rsid w:val="0078363B"/>
    <w:rsid w:val="00783CCF"/>
    <w:rsid w:val="00783F5B"/>
    <w:rsid w:val="007842AE"/>
    <w:rsid w:val="00784609"/>
    <w:rsid w:val="00784720"/>
    <w:rsid w:val="0078481D"/>
    <w:rsid w:val="007859FC"/>
    <w:rsid w:val="00785F1E"/>
    <w:rsid w:val="00785F4C"/>
    <w:rsid w:val="00785F85"/>
    <w:rsid w:val="0078609C"/>
    <w:rsid w:val="00786355"/>
    <w:rsid w:val="00786932"/>
    <w:rsid w:val="00787370"/>
    <w:rsid w:val="007874AE"/>
    <w:rsid w:val="0078750B"/>
    <w:rsid w:val="00787F5E"/>
    <w:rsid w:val="0079024D"/>
    <w:rsid w:val="00790925"/>
    <w:rsid w:val="00790EB4"/>
    <w:rsid w:val="00791069"/>
    <w:rsid w:val="007911B8"/>
    <w:rsid w:val="0079129C"/>
    <w:rsid w:val="007917FF"/>
    <w:rsid w:val="00791DAE"/>
    <w:rsid w:val="007930E8"/>
    <w:rsid w:val="00793A57"/>
    <w:rsid w:val="00793A9C"/>
    <w:rsid w:val="00793AA3"/>
    <w:rsid w:val="00793F28"/>
    <w:rsid w:val="007944D2"/>
    <w:rsid w:val="00794B19"/>
    <w:rsid w:val="00794FFA"/>
    <w:rsid w:val="00795ABD"/>
    <w:rsid w:val="00795B8D"/>
    <w:rsid w:val="00795E34"/>
    <w:rsid w:val="00795F0E"/>
    <w:rsid w:val="00796168"/>
    <w:rsid w:val="00796495"/>
    <w:rsid w:val="00797063"/>
    <w:rsid w:val="00797D8F"/>
    <w:rsid w:val="007A0C00"/>
    <w:rsid w:val="007A0E15"/>
    <w:rsid w:val="007A176E"/>
    <w:rsid w:val="007A19BF"/>
    <w:rsid w:val="007A2A69"/>
    <w:rsid w:val="007A2CF1"/>
    <w:rsid w:val="007A355F"/>
    <w:rsid w:val="007A384E"/>
    <w:rsid w:val="007A41B5"/>
    <w:rsid w:val="007A4486"/>
    <w:rsid w:val="007A4682"/>
    <w:rsid w:val="007A4F27"/>
    <w:rsid w:val="007A5879"/>
    <w:rsid w:val="007A58A8"/>
    <w:rsid w:val="007A5BDC"/>
    <w:rsid w:val="007A6047"/>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32"/>
    <w:rsid w:val="007B1DBB"/>
    <w:rsid w:val="007B2319"/>
    <w:rsid w:val="007B2FBF"/>
    <w:rsid w:val="007B3E13"/>
    <w:rsid w:val="007B4044"/>
    <w:rsid w:val="007B4046"/>
    <w:rsid w:val="007B4300"/>
    <w:rsid w:val="007B565C"/>
    <w:rsid w:val="007B595F"/>
    <w:rsid w:val="007B5B7E"/>
    <w:rsid w:val="007B5D75"/>
    <w:rsid w:val="007B5EA7"/>
    <w:rsid w:val="007B6D5E"/>
    <w:rsid w:val="007B7115"/>
    <w:rsid w:val="007B736B"/>
    <w:rsid w:val="007B78AD"/>
    <w:rsid w:val="007B79BE"/>
    <w:rsid w:val="007B7AE1"/>
    <w:rsid w:val="007C012E"/>
    <w:rsid w:val="007C055A"/>
    <w:rsid w:val="007C0853"/>
    <w:rsid w:val="007C0C90"/>
    <w:rsid w:val="007C0E07"/>
    <w:rsid w:val="007C0E86"/>
    <w:rsid w:val="007C192C"/>
    <w:rsid w:val="007C249E"/>
    <w:rsid w:val="007C26CF"/>
    <w:rsid w:val="007C271B"/>
    <w:rsid w:val="007C2C14"/>
    <w:rsid w:val="007C39F1"/>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33"/>
    <w:rsid w:val="007D19EC"/>
    <w:rsid w:val="007D2608"/>
    <w:rsid w:val="007D30C3"/>
    <w:rsid w:val="007D316C"/>
    <w:rsid w:val="007D35AC"/>
    <w:rsid w:val="007D36B1"/>
    <w:rsid w:val="007D36D7"/>
    <w:rsid w:val="007D3BA1"/>
    <w:rsid w:val="007D3BBB"/>
    <w:rsid w:val="007D3EC8"/>
    <w:rsid w:val="007D40AC"/>
    <w:rsid w:val="007D4317"/>
    <w:rsid w:val="007D4C12"/>
    <w:rsid w:val="007D555C"/>
    <w:rsid w:val="007D57E0"/>
    <w:rsid w:val="007D5946"/>
    <w:rsid w:val="007D5962"/>
    <w:rsid w:val="007D5A2B"/>
    <w:rsid w:val="007D5E79"/>
    <w:rsid w:val="007D6213"/>
    <w:rsid w:val="007D63B2"/>
    <w:rsid w:val="007D651D"/>
    <w:rsid w:val="007D69E5"/>
    <w:rsid w:val="007D6F49"/>
    <w:rsid w:val="007D71B7"/>
    <w:rsid w:val="007D7C66"/>
    <w:rsid w:val="007D7CF3"/>
    <w:rsid w:val="007E0274"/>
    <w:rsid w:val="007E02A7"/>
    <w:rsid w:val="007E0415"/>
    <w:rsid w:val="007E0991"/>
    <w:rsid w:val="007E0AFE"/>
    <w:rsid w:val="007E0B2C"/>
    <w:rsid w:val="007E0BD1"/>
    <w:rsid w:val="007E107F"/>
    <w:rsid w:val="007E2FD7"/>
    <w:rsid w:val="007E310B"/>
    <w:rsid w:val="007E32A5"/>
    <w:rsid w:val="007E38DA"/>
    <w:rsid w:val="007E3D65"/>
    <w:rsid w:val="007E3EE2"/>
    <w:rsid w:val="007E47E7"/>
    <w:rsid w:val="007E4A68"/>
    <w:rsid w:val="007E4A98"/>
    <w:rsid w:val="007E4EB6"/>
    <w:rsid w:val="007E5912"/>
    <w:rsid w:val="007E5DD7"/>
    <w:rsid w:val="007E6FB9"/>
    <w:rsid w:val="007E7139"/>
    <w:rsid w:val="007E7366"/>
    <w:rsid w:val="007E7EA1"/>
    <w:rsid w:val="007E7EA4"/>
    <w:rsid w:val="007E7EBC"/>
    <w:rsid w:val="007F03CE"/>
    <w:rsid w:val="007F04D3"/>
    <w:rsid w:val="007F0DEE"/>
    <w:rsid w:val="007F137D"/>
    <w:rsid w:val="007F165A"/>
    <w:rsid w:val="007F17B5"/>
    <w:rsid w:val="007F20E8"/>
    <w:rsid w:val="007F245F"/>
    <w:rsid w:val="007F2569"/>
    <w:rsid w:val="007F25D5"/>
    <w:rsid w:val="007F2D8D"/>
    <w:rsid w:val="007F2EBF"/>
    <w:rsid w:val="007F2F23"/>
    <w:rsid w:val="007F3044"/>
    <w:rsid w:val="007F3249"/>
    <w:rsid w:val="007F3448"/>
    <w:rsid w:val="007F3704"/>
    <w:rsid w:val="007F4464"/>
    <w:rsid w:val="007F4657"/>
    <w:rsid w:val="007F482E"/>
    <w:rsid w:val="007F5609"/>
    <w:rsid w:val="007F5625"/>
    <w:rsid w:val="007F568A"/>
    <w:rsid w:val="007F59F7"/>
    <w:rsid w:val="007F5E21"/>
    <w:rsid w:val="007F6413"/>
    <w:rsid w:val="007F6519"/>
    <w:rsid w:val="007F6761"/>
    <w:rsid w:val="007F676E"/>
    <w:rsid w:val="007F6B11"/>
    <w:rsid w:val="007F6E2B"/>
    <w:rsid w:val="007F786F"/>
    <w:rsid w:val="007F7D12"/>
    <w:rsid w:val="007F7EDC"/>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E48"/>
    <w:rsid w:val="00806E84"/>
    <w:rsid w:val="00807ADD"/>
    <w:rsid w:val="00810BC2"/>
    <w:rsid w:val="00811683"/>
    <w:rsid w:val="00811AFF"/>
    <w:rsid w:val="00812024"/>
    <w:rsid w:val="00812373"/>
    <w:rsid w:val="00812D30"/>
    <w:rsid w:val="00813F3A"/>
    <w:rsid w:val="008140E8"/>
    <w:rsid w:val="008146D8"/>
    <w:rsid w:val="008148D4"/>
    <w:rsid w:val="0081491F"/>
    <w:rsid w:val="00814941"/>
    <w:rsid w:val="00814A65"/>
    <w:rsid w:val="00814BD9"/>
    <w:rsid w:val="00814D72"/>
    <w:rsid w:val="008158AC"/>
    <w:rsid w:val="00815E41"/>
    <w:rsid w:val="008160DF"/>
    <w:rsid w:val="0081612D"/>
    <w:rsid w:val="00816805"/>
    <w:rsid w:val="00816BE8"/>
    <w:rsid w:val="00816CD5"/>
    <w:rsid w:val="00816DBD"/>
    <w:rsid w:val="00816FE2"/>
    <w:rsid w:val="0081700C"/>
    <w:rsid w:val="00817062"/>
    <w:rsid w:val="00817991"/>
    <w:rsid w:val="00817F58"/>
    <w:rsid w:val="008203C5"/>
    <w:rsid w:val="0082045D"/>
    <w:rsid w:val="0082046A"/>
    <w:rsid w:val="00820B20"/>
    <w:rsid w:val="00820B84"/>
    <w:rsid w:val="0082199B"/>
    <w:rsid w:val="00821C2A"/>
    <w:rsid w:val="008227B7"/>
    <w:rsid w:val="008232F6"/>
    <w:rsid w:val="00823440"/>
    <w:rsid w:val="00823D9C"/>
    <w:rsid w:val="0082403A"/>
    <w:rsid w:val="008243A8"/>
    <w:rsid w:val="00824925"/>
    <w:rsid w:val="00824C8B"/>
    <w:rsid w:val="008252E8"/>
    <w:rsid w:val="00825BA8"/>
    <w:rsid w:val="00825C14"/>
    <w:rsid w:val="0082641D"/>
    <w:rsid w:val="008266D7"/>
    <w:rsid w:val="008267CA"/>
    <w:rsid w:val="00826E45"/>
    <w:rsid w:val="008270EE"/>
    <w:rsid w:val="0082711C"/>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7D3"/>
    <w:rsid w:val="00833852"/>
    <w:rsid w:val="00833AB9"/>
    <w:rsid w:val="00833B62"/>
    <w:rsid w:val="00833C9D"/>
    <w:rsid w:val="00834820"/>
    <w:rsid w:val="00834C82"/>
    <w:rsid w:val="00834DB6"/>
    <w:rsid w:val="00834F93"/>
    <w:rsid w:val="00834FA5"/>
    <w:rsid w:val="00835F6D"/>
    <w:rsid w:val="00836C50"/>
    <w:rsid w:val="008375DA"/>
    <w:rsid w:val="0084023A"/>
    <w:rsid w:val="00840C4A"/>
    <w:rsid w:val="008411B9"/>
    <w:rsid w:val="0084122F"/>
    <w:rsid w:val="00841325"/>
    <w:rsid w:val="00841573"/>
    <w:rsid w:val="00841D08"/>
    <w:rsid w:val="00842D43"/>
    <w:rsid w:val="00842F64"/>
    <w:rsid w:val="00843108"/>
    <w:rsid w:val="0084323E"/>
    <w:rsid w:val="008432A5"/>
    <w:rsid w:val="0084399E"/>
    <w:rsid w:val="00843ACF"/>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4F"/>
    <w:rsid w:val="00854965"/>
    <w:rsid w:val="00855298"/>
    <w:rsid w:val="008554D1"/>
    <w:rsid w:val="00855770"/>
    <w:rsid w:val="008558E0"/>
    <w:rsid w:val="008569E0"/>
    <w:rsid w:val="008572BA"/>
    <w:rsid w:val="00857AF7"/>
    <w:rsid w:val="00857BE5"/>
    <w:rsid w:val="00860109"/>
    <w:rsid w:val="008601BD"/>
    <w:rsid w:val="00860359"/>
    <w:rsid w:val="00860E43"/>
    <w:rsid w:val="00861252"/>
    <w:rsid w:val="0086171A"/>
    <w:rsid w:val="0086226C"/>
    <w:rsid w:val="00862553"/>
    <w:rsid w:val="00863237"/>
    <w:rsid w:val="00863C07"/>
    <w:rsid w:val="00863E55"/>
    <w:rsid w:val="008640B7"/>
    <w:rsid w:val="008644A4"/>
    <w:rsid w:val="0086472F"/>
    <w:rsid w:val="00864A6C"/>
    <w:rsid w:val="00864BB1"/>
    <w:rsid w:val="00864DF7"/>
    <w:rsid w:val="00865278"/>
    <w:rsid w:val="008654F9"/>
    <w:rsid w:val="008658C0"/>
    <w:rsid w:val="0086597A"/>
    <w:rsid w:val="00865B6E"/>
    <w:rsid w:val="00865E91"/>
    <w:rsid w:val="008660F7"/>
    <w:rsid w:val="00866388"/>
    <w:rsid w:val="0086644B"/>
    <w:rsid w:val="00866FE3"/>
    <w:rsid w:val="0086722D"/>
    <w:rsid w:val="008677FB"/>
    <w:rsid w:val="00867AD8"/>
    <w:rsid w:val="00867D56"/>
    <w:rsid w:val="00867D70"/>
    <w:rsid w:val="00870646"/>
    <w:rsid w:val="008706C3"/>
    <w:rsid w:val="00870BAA"/>
    <w:rsid w:val="00870D91"/>
    <w:rsid w:val="008716D1"/>
    <w:rsid w:val="008716ED"/>
    <w:rsid w:val="008717C8"/>
    <w:rsid w:val="008718AD"/>
    <w:rsid w:val="0087193F"/>
    <w:rsid w:val="00871DFB"/>
    <w:rsid w:val="008724E6"/>
    <w:rsid w:val="008728C8"/>
    <w:rsid w:val="0087313D"/>
    <w:rsid w:val="00873205"/>
    <w:rsid w:val="00873301"/>
    <w:rsid w:val="008735E8"/>
    <w:rsid w:val="0087377E"/>
    <w:rsid w:val="00874594"/>
    <w:rsid w:val="00874776"/>
    <w:rsid w:val="0087485D"/>
    <w:rsid w:val="0087487C"/>
    <w:rsid w:val="00874A07"/>
    <w:rsid w:val="00874B75"/>
    <w:rsid w:val="00875007"/>
    <w:rsid w:val="008750DB"/>
    <w:rsid w:val="008751B4"/>
    <w:rsid w:val="0087527F"/>
    <w:rsid w:val="0087535E"/>
    <w:rsid w:val="00875370"/>
    <w:rsid w:val="008754B5"/>
    <w:rsid w:val="008756EF"/>
    <w:rsid w:val="00875AF3"/>
    <w:rsid w:val="0087646D"/>
    <w:rsid w:val="008765E9"/>
    <w:rsid w:val="00876605"/>
    <w:rsid w:val="00876B13"/>
    <w:rsid w:val="008774FF"/>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48E9"/>
    <w:rsid w:val="00884FD8"/>
    <w:rsid w:val="0088515A"/>
    <w:rsid w:val="00885209"/>
    <w:rsid w:val="00885244"/>
    <w:rsid w:val="00885282"/>
    <w:rsid w:val="008857C7"/>
    <w:rsid w:val="008858B3"/>
    <w:rsid w:val="00885BF6"/>
    <w:rsid w:val="008866CF"/>
    <w:rsid w:val="00886782"/>
    <w:rsid w:val="008869A1"/>
    <w:rsid w:val="00886B3F"/>
    <w:rsid w:val="0088727A"/>
    <w:rsid w:val="00887964"/>
    <w:rsid w:val="00887A09"/>
    <w:rsid w:val="00887B10"/>
    <w:rsid w:val="00887D76"/>
    <w:rsid w:val="00887D7A"/>
    <w:rsid w:val="0089015D"/>
    <w:rsid w:val="0089021A"/>
    <w:rsid w:val="0089022E"/>
    <w:rsid w:val="00890475"/>
    <w:rsid w:val="00890A7C"/>
    <w:rsid w:val="00890D11"/>
    <w:rsid w:val="008910EE"/>
    <w:rsid w:val="00891A26"/>
    <w:rsid w:val="008923F8"/>
    <w:rsid w:val="008928F1"/>
    <w:rsid w:val="00892BBF"/>
    <w:rsid w:val="00892DB5"/>
    <w:rsid w:val="008930AF"/>
    <w:rsid w:val="0089398A"/>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16F"/>
    <w:rsid w:val="008A02FA"/>
    <w:rsid w:val="008A06A8"/>
    <w:rsid w:val="008A0E81"/>
    <w:rsid w:val="008A1AAC"/>
    <w:rsid w:val="008A20CA"/>
    <w:rsid w:val="008A239B"/>
    <w:rsid w:val="008A2505"/>
    <w:rsid w:val="008A28CC"/>
    <w:rsid w:val="008A2956"/>
    <w:rsid w:val="008A2EA1"/>
    <w:rsid w:val="008A2EF6"/>
    <w:rsid w:val="008A3480"/>
    <w:rsid w:val="008A3642"/>
    <w:rsid w:val="008A4E5B"/>
    <w:rsid w:val="008A4F3C"/>
    <w:rsid w:val="008A51AD"/>
    <w:rsid w:val="008A53BA"/>
    <w:rsid w:val="008A551D"/>
    <w:rsid w:val="008A56BA"/>
    <w:rsid w:val="008A570A"/>
    <w:rsid w:val="008A58E4"/>
    <w:rsid w:val="008A58E7"/>
    <w:rsid w:val="008A5C1D"/>
    <w:rsid w:val="008A615A"/>
    <w:rsid w:val="008A6357"/>
    <w:rsid w:val="008A637B"/>
    <w:rsid w:val="008A650C"/>
    <w:rsid w:val="008A6A36"/>
    <w:rsid w:val="008A6CB9"/>
    <w:rsid w:val="008A6DC1"/>
    <w:rsid w:val="008A7083"/>
    <w:rsid w:val="008A7100"/>
    <w:rsid w:val="008A7139"/>
    <w:rsid w:val="008A776D"/>
    <w:rsid w:val="008A7C74"/>
    <w:rsid w:val="008B03BD"/>
    <w:rsid w:val="008B04C0"/>
    <w:rsid w:val="008B09E1"/>
    <w:rsid w:val="008B0A83"/>
    <w:rsid w:val="008B0AD0"/>
    <w:rsid w:val="008B0DCF"/>
    <w:rsid w:val="008B0E93"/>
    <w:rsid w:val="008B0F8D"/>
    <w:rsid w:val="008B198D"/>
    <w:rsid w:val="008B1D01"/>
    <w:rsid w:val="008B2269"/>
    <w:rsid w:val="008B23A8"/>
    <w:rsid w:val="008B29A4"/>
    <w:rsid w:val="008B2BB4"/>
    <w:rsid w:val="008B2C30"/>
    <w:rsid w:val="008B3A74"/>
    <w:rsid w:val="008B3C2B"/>
    <w:rsid w:val="008B4679"/>
    <w:rsid w:val="008B4D00"/>
    <w:rsid w:val="008B4D13"/>
    <w:rsid w:val="008B4E78"/>
    <w:rsid w:val="008B4FE2"/>
    <w:rsid w:val="008B503D"/>
    <w:rsid w:val="008B61A1"/>
    <w:rsid w:val="008B66D8"/>
    <w:rsid w:val="008B66EE"/>
    <w:rsid w:val="008B6793"/>
    <w:rsid w:val="008B6E62"/>
    <w:rsid w:val="008B6E87"/>
    <w:rsid w:val="008B75C2"/>
    <w:rsid w:val="008B787A"/>
    <w:rsid w:val="008C0029"/>
    <w:rsid w:val="008C0A89"/>
    <w:rsid w:val="008C0AA9"/>
    <w:rsid w:val="008C0E71"/>
    <w:rsid w:val="008C1852"/>
    <w:rsid w:val="008C2CFF"/>
    <w:rsid w:val="008C2E1E"/>
    <w:rsid w:val="008C2E22"/>
    <w:rsid w:val="008C2ED2"/>
    <w:rsid w:val="008C3612"/>
    <w:rsid w:val="008C38FE"/>
    <w:rsid w:val="008C3D4D"/>
    <w:rsid w:val="008C3DB0"/>
    <w:rsid w:val="008C4026"/>
    <w:rsid w:val="008C417E"/>
    <w:rsid w:val="008C4E31"/>
    <w:rsid w:val="008C5B51"/>
    <w:rsid w:val="008C5F0A"/>
    <w:rsid w:val="008C6105"/>
    <w:rsid w:val="008C6124"/>
    <w:rsid w:val="008C6334"/>
    <w:rsid w:val="008C66BD"/>
    <w:rsid w:val="008C68D6"/>
    <w:rsid w:val="008C6968"/>
    <w:rsid w:val="008C742A"/>
    <w:rsid w:val="008C74C7"/>
    <w:rsid w:val="008C7714"/>
    <w:rsid w:val="008C7A17"/>
    <w:rsid w:val="008C7F4F"/>
    <w:rsid w:val="008D00F3"/>
    <w:rsid w:val="008D0241"/>
    <w:rsid w:val="008D0B34"/>
    <w:rsid w:val="008D0F27"/>
    <w:rsid w:val="008D11F0"/>
    <w:rsid w:val="008D15A2"/>
    <w:rsid w:val="008D18CD"/>
    <w:rsid w:val="008D1A16"/>
    <w:rsid w:val="008D1E7C"/>
    <w:rsid w:val="008D1F86"/>
    <w:rsid w:val="008D20E0"/>
    <w:rsid w:val="008D2B6E"/>
    <w:rsid w:val="008D31EC"/>
    <w:rsid w:val="008D335C"/>
    <w:rsid w:val="008D35B7"/>
    <w:rsid w:val="008D3F12"/>
    <w:rsid w:val="008D4007"/>
    <w:rsid w:val="008D436A"/>
    <w:rsid w:val="008D49AB"/>
    <w:rsid w:val="008D4C72"/>
    <w:rsid w:val="008D4CF8"/>
    <w:rsid w:val="008D4D6B"/>
    <w:rsid w:val="008D5246"/>
    <w:rsid w:val="008D5291"/>
    <w:rsid w:val="008D5368"/>
    <w:rsid w:val="008D561B"/>
    <w:rsid w:val="008D577B"/>
    <w:rsid w:val="008D582B"/>
    <w:rsid w:val="008D5CF9"/>
    <w:rsid w:val="008D5D0A"/>
    <w:rsid w:val="008D6199"/>
    <w:rsid w:val="008D64B9"/>
    <w:rsid w:val="008D6794"/>
    <w:rsid w:val="008D77A6"/>
    <w:rsid w:val="008D7F65"/>
    <w:rsid w:val="008E0178"/>
    <w:rsid w:val="008E02F8"/>
    <w:rsid w:val="008E0557"/>
    <w:rsid w:val="008E07AE"/>
    <w:rsid w:val="008E12AF"/>
    <w:rsid w:val="008E1311"/>
    <w:rsid w:val="008E1342"/>
    <w:rsid w:val="008E1A49"/>
    <w:rsid w:val="008E1C73"/>
    <w:rsid w:val="008E1DC9"/>
    <w:rsid w:val="008E211C"/>
    <w:rsid w:val="008E23F9"/>
    <w:rsid w:val="008E28EC"/>
    <w:rsid w:val="008E2BB3"/>
    <w:rsid w:val="008E2BC5"/>
    <w:rsid w:val="008E2C79"/>
    <w:rsid w:val="008E3176"/>
    <w:rsid w:val="008E3564"/>
    <w:rsid w:val="008E3A0B"/>
    <w:rsid w:val="008E3A90"/>
    <w:rsid w:val="008E3AAB"/>
    <w:rsid w:val="008E3BE5"/>
    <w:rsid w:val="008E3F34"/>
    <w:rsid w:val="008E4003"/>
    <w:rsid w:val="008E4043"/>
    <w:rsid w:val="008E4520"/>
    <w:rsid w:val="008E4D3D"/>
    <w:rsid w:val="008E54E8"/>
    <w:rsid w:val="008E55AA"/>
    <w:rsid w:val="008E5740"/>
    <w:rsid w:val="008E5868"/>
    <w:rsid w:val="008E5ADB"/>
    <w:rsid w:val="008E5DC8"/>
    <w:rsid w:val="008E5EAD"/>
    <w:rsid w:val="008E6465"/>
    <w:rsid w:val="008E6C57"/>
    <w:rsid w:val="008E7082"/>
    <w:rsid w:val="008E72AF"/>
    <w:rsid w:val="008F0952"/>
    <w:rsid w:val="008F0EC4"/>
    <w:rsid w:val="008F1154"/>
    <w:rsid w:val="008F1B84"/>
    <w:rsid w:val="008F1B9D"/>
    <w:rsid w:val="008F1DB6"/>
    <w:rsid w:val="008F289E"/>
    <w:rsid w:val="008F337C"/>
    <w:rsid w:val="008F33FB"/>
    <w:rsid w:val="008F39C0"/>
    <w:rsid w:val="008F39E4"/>
    <w:rsid w:val="008F51F0"/>
    <w:rsid w:val="008F57CD"/>
    <w:rsid w:val="008F5960"/>
    <w:rsid w:val="008F5CD0"/>
    <w:rsid w:val="008F629A"/>
    <w:rsid w:val="008F62B4"/>
    <w:rsid w:val="008F667F"/>
    <w:rsid w:val="008F6A9B"/>
    <w:rsid w:val="008F6F03"/>
    <w:rsid w:val="008F7603"/>
    <w:rsid w:val="008F769D"/>
    <w:rsid w:val="008F76B7"/>
    <w:rsid w:val="008F76DC"/>
    <w:rsid w:val="008F793D"/>
    <w:rsid w:val="008F7D2F"/>
    <w:rsid w:val="008F7E49"/>
    <w:rsid w:val="008F7E68"/>
    <w:rsid w:val="009013C5"/>
    <w:rsid w:val="0090147B"/>
    <w:rsid w:val="00901649"/>
    <w:rsid w:val="00901CBA"/>
    <w:rsid w:val="00901CF1"/>
    <w:rsid w:val="00901DC6"/>
    <w:rsid w:val="009021DC"/>
    <w:rsid w:val="009025E1"/>
    <w:rsid w:val="00902EFD"/>
    <w:rsid w:val="00903026"/>
    <w:rsid w:val="0090357B"/>
    <w:rsid w:val="00903832"/>
    <w:rsid w:val="00903905"/>
    <w:rsid w:val="009042D0"/>
    <w:rsid w:val="009044BE"/>
    <w:rsid w:val="009048EB"/>
    <w:rsid w:val="00904905"/>
    <w:rsid w:val="00904913"/>
    <w:rsid w:val="00904C15"/>
    <w:rsid w:val="009050B3"/>
    <w:rsid w:val="00905298"/>
    <w:rsid w:val="00905945"/>
    <w:rsid w:val="00905FEB"/>
    <w:rsid w:val="00906164"/>
    <w:rsid w:val="00906252"/>
    <w:rsid w:val="0090672E"/>
    <w:rsid w:val="00906A4F"/>
    <w:rsid w:val="00906BD6"/>
    <w:rsid w:val="00907074"/>
    <w:rsid w:val="009073C7"/>
    <w:rsid w:val="00907868"/>
    <w:rsid w:val="009078BA"/>
    <w:rsid w:val="009079C7"/>
    <w:rsid w:val="009079F7"/>
    <w:rsid w:val="00907B44"/>
    <w:rsid w:val="00907C33"/>
    <w:rsid w:val="00907C8A"/>
    <w:rsid w:val="009108D2"/>
    <w:rsid w:val="00910C20"/>
    <w:rsid w:val="00910FE1"/>
    <w:rsid w:val="0091106A"/>
    <w:rsid w:val="00911C09"/>
    <w:rsid w:val="00911D1C"/>
    <w:rsid w:val="00912D2F"/>
    <w:rsid w:val="00912F38"/>
    <w:rsid w:val="0091338E"/>
    <w:rsid w:val="0091340D"/>
    <w:rsid w:val="00913C58"/>
    <w:rsid w:val="009140B4"/>
    <w:rsid w:val="00914174"/>
    <w:rsid w:val="0091428A"/>
    <w:rsid w:val="009143AF"/>
    <w:rsid w:val="00914733"/>
    <w:rsid w:val="0091495E"/>
    <w:rsid w:val="00914AA5"/>
    <w:rsid w:val="00914EAF"/>
    <w:rsid w:val="00915428"/>
    <w:rsid w:val="00915E20"/>
    <w:rsid w:val="009162DD"/>
    <w:rsid w:val="009163E7"/>
    <w:rsid w:val="00916445"/>
    <w:rsid w:val="0091670A"/>
    <w:rsid w:val="0091671A"/>
    <w:rsid w:val="009169F6"/>
    <w:rsid w:val="0091719D"/>
    <w:rsid w:val="00917903"/>
    <w:rsid w:val="00917BEA"/>
    <w:rsid w:val="00920189"/>
    <w:rsid w:val="00920203"/>
    <w:rsid w:val="00920997"/>
    <w:rsid w:val="00920B1E"/>
    <w:rsid w:val="00920DD5"/>
    <w:rsid w:val="00921161"/>
    <w:rsid w:val="00921228"/>
    <w:rsid w:val="00921B3D"/>
    <w:rsid w:val="00922492"/>
    <w:rsid w:val="009224EB"/>
    <w:rsid w:val="0092272F"/>
    <w:rsid w:val="00922BE2"/>
    <w:rsid w:val="00922EDE"/>
    <w:rsid w:val="009237D9"/>
    <w:rsid w:val="00923C5D"/>
    <w:rsid w:val="0092406C"/>
    <w:rsid w:val="00924096"/>
    <w:rsid w:val="009242B9"/>
    <w:rsid w:val="009243BC"/>
    <w:rsid w:val="009244D5"/>
    <w:rsid w:val="00924503"/>
    <w:rsid w:val="009248E8"/>
    <w:rsid w:val="0092523A"/>
    <w:rsid w:val="009252F1"/>
    <w:rsid w:val="00925588"/>
    <w:rsid w:val="00925733"/>
    <w:rsid w:val="00925AF5"/>
    <w:rsid w:val="00926268"/>
    <w:rsid w:val="009264A2"/>
    <w:rsid w:val="0092715D"/>
    <w:rsid w:val="00927299"/>
    <w:rsid w:val="0092755B"/>
    <w:rsid w:val="009276F3"/>
    <w:rsid w:val="009302E9"/>
    <w:rsid w:val="00930632"/>
    <w:rsid w:val="00930850"/>
    <w:rsid w:val="00930AD7"/>
    <w:rsid w:val="00930CBF"/>
    <w:rsid w:val="009310BC"/>
    <w:rsid w:val="009313CA"/>
    <w:rsid w:val="00931AB7"/>
    <w:rsid w:val="00931AB8"/>
    <w:rsid w:val="00931D3F"/>
    <w:rsid w:val="00931FEE"/>
    <w:rsid w:val="009324C4"/>
    <w:rsid w:val="00932671"/>
    <w:rsid w:val="00932A7A"/>
    <w:rsid w:val="00932D26"/>
    <w:rsid w:val="009330BF"/>
    <w:rsid w:val="009333ED"/>
    <w:rsid w:val="00933817"/>
    <w:rsid w:val="009340EB"/>
    <w:rsid w:val="00934510"/>
    <w:rsid w:val="0093476C"/>
    <w:rsid w:val="00935A1E"/>
    <w:rsid w:val="00935AA3"/>
    <w:rsid w:val="00935B7C"/>
    <w:rsid w:val="00935CBC"/>
    <w:rsid w:val="00935E3A"/>
    <w:rsid w:val="00936005"/>
    <w:rsid w:val="0093607C"/>
    <w:rsid w:val="009366EC"/>
    <w:rsid w:val="00940008"/>
    <w:rsid w:val="009401CC"/>
    <w:rsid w:val="00940FFA"/>
    <w:rsid w:val="00941010"/>
    <w:rsid w:val="00941503"/>
    <w:rsid w:val="0094187D"/>
    <w:rsid w:val="009423ED"/>
    <w:rsid w:val="009425E1"/>
    <w:rsid w:val="0094263C"/>
    <w:rsid w:val="00942C90"/>
    <w:rsid w:val="00942F29"/>
    <w:rsid w:val="00942FB6"/>
    <w:rsid w:val="009430E1"/>
    <w:rsid w:val="009434EB"/>
    <w:rsid w:val="00943EA6"/>
    <w:rsid w:val="009443F2"/>
    <w:rsid w:val="00944489"/>
    <w:rsid w:val="009448F2"/>
    <w:rsid w:val="00945141"/>
    <w:rsid w:val="009451E0"/>
    <w:rsid w:val="0094524B"/>
    <w:rsid w:val="009456E3"/>
    <w:rsid w:val="00945759"/>
    <w:rsid w:val="00945925"/>
    <w:rsid w:val="00945A90"/>
    <w:rsid w:val="009466E9"/>
    <w:rsid w:val="00946CB3"/>
    <w:rsid w:val="00946D20"/>
    <w:rsid w:val="00946E51"/>
    <w:rsid w:val="009473F4"/>
    <w:rsid w:val="0094767D"/>
    <w:rsid w:val="00950231"/>
    <w:rsid w:val="00950794"/>
    <w:rsid w:val="009507AA"/>
    <w:rsid w:val="009509EF"/>
    <w:rsid w:val="009511AE"/>
    <w:rsid w:val="009515CA"/>
    <w:rsid w:val="00951691"/>
    <w:rsid w:val="00951ABF"/>
    <w:rsid w:val="00951FCE"/>
    <w:rsid w:val="009521CC"/>
    <w:rsid w:val="0095226C"/>
    <w:rsid w:val="0095269B"/>
    <w:rsid w:val="00952C05"/>
    <w:rsid w:val="00952D52"/>
    <w:rsid w:val="00954000"/>
    <w:rsid w:val="009540B7"/>
    <w:rsid w:val="009543D0"/>
    <w:rsid w:val="00954AF9"/>
    <w:rsid w:val="00954DAE"/>
    <w:rsid w:val="00955304"/>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1AF"/>
    <w:rsid w:val="0096023A"/>
    <w:rsid w:val="009607AB"/>
    <w:rsid w:val="00961154"/>
    <w:rsid w:val="009615DB"/>
    <w:rsid w:val="0096163F"/>
    <w:rsid w:val="00962683"/>
    <w:rsid w:val="00962ADC"/>
    <w:rsid w:val="00962E23"/>
    <w:rsid w:val="009644A8"/>
    <w:rsid w:val="0096487C"/>
    <w:rsid w:val="00964BC2"/>
    <w:rsid w:val="00964D4A"/>
    <w:rsid w:val="00964EAE"/>
    <w:rsid w:val="00964F88"/>
    <w:rsid w:val="00965023"/>
    <w:rsid w:val="009650B7"/>
    <w:rsid w:val="0096515D"/>
    <w:rsid w:val="0096554B"/>
    <w:rsid w:val="00965841"/>
    <w:rsid w:val="00966623"/>
    <w:rsid w:val="00966E78"/>
    <w:rsid w:val="00967182"/>
    <w:rsid w:val="009678DB"/>
    <w:rsid w:val="00967D5F"/>
    <w:rsid w:val="00967E6C"/>
    <w:rsid w:val="00970728"/>
    <w:rsid w:val="009707C9"/>
    <w:rsid w:val="00971303"/>
    <w:rsid w:val="00971CCB"/>
    <w:rsid w:val="00971E0B"/>
    <w:rsid w:val="00972101"/>
    <w:rsid w:val="00972285"/>
    <w:rsid w:val="00972796"/>
    <w:rsid w:val="00972FB5"/>
    <w:rsid w:val="00973607"/>
    <w:rsid w:val="009736FE"/>
    <w:rsid w:val="00973988"/>
    <w:rsid w:val="00973B96"/>
    <w:rsid w:val="00973E3C"/>
    <w:rsid w:val="0097401A"/>
    <w:rsid w:val="0097411A"/>
    <w:rsid w:val="00974763"/>
    <w:rsid w:val="009757CA"/>
    <w:rsid w:val="00975EAA"/>
    <w:rsid w:val="00976E76"/>
    <w:rsid w:val="00977A14"/>
    <w:rsid w:val="00977E9B"/>
    <w:rsid w:val="009807BF"/>
    <w:rsid w:val="009809CE"/>
    <w:rsid w:val="0098131F"/>
    <w:rsid w:val="00981479"/>
    <w:rsid w:val="00981F74"/>
    <w:rsid w:val="009821E8"/>
    <w:rsid w:val="0098237C"/>
    <w:rsid w:val="009829B3"/>
    <w:rsid w:val="00982C31"/>
    <w:rsid w:val="00982D45"/>
    <w:rsid w:val="00983165"/>
    <w:rsid w:val="00983343"/>
    <w:rsid w:val="009833C4"/>
    <w:rsid w:val="009834E0"/>
    <w:rsid w:val="009836EC"/>
    <w:rsid w:val="009838FF"/>
    <w:rsid w:val="00983999"/>
    <w:rsid w:val="00984149"/>
    <w:rsid w:val="00984788"/>
    <w:rsid w:val="00984909"/>
    <w:rsid w:val="00984C4E"/>
    <w:rsid w:val="00984FF3"/>
    <w:rsid w:val="00984FF9"/>
    <w:rsid w:val="009850C5"/>
    <w:rsid w:val="0098516C"/>
    <w:rsid w:val="00986326"/>
    <w:rsid w:val="00986849"/>
    <w:rsid w:val="00986BB7"/>
    <w:rsid w:val="00986D4B"/>
    <w:rsid w:val="00986ED2"/>
    <w:rsid w:val="00986F6D"/>
    <w:rsid w:val="0098727C"/>
    <w:rsid w:val="00987708"/>
    <w:rsid w:val="009877BF"/>
    <w:rsid w:val="00987DF0"/>
    <w:rsid w:val="00987E2E"/>
    <w:rsid w:val="0099008B"/>
    <w:rsid w:val="00990387"/>
    <w:rsid w:val="0099157B"/>
    <w:rsid w:val="0099177B"/>
    <w:rsid w:val="00991B8C"/>
    <w:rsid w:val="0099367E"/>
    <w:rsid w:val="00993DDA"/>
    <w:rsid w:val="00993FE4"/>
    <w:rsid w:val="0099423E"/>
    <w:rsid w:val="0099425E"/>
    <w:rsid w:val="00994CDC"/>
    <w:rsid w:val="00995A48"/>
    <w:rsid w:val="009969CD"/>
    <w:rsid w:val="009976A7"/>
    <w:rsid w:val="0099770A"/>
    <w:rsid w:val="00997769"/>
    <w:rsid w:val="00997A15"/>
    <w:rsid w:val="00997A2E"/>
    <w:rsid w:val="009A048E"/>
    <w:rsid w:val="009A0D54"/>
    <w:rsid w:val="009A119F"/>
    <w:rsid w:val="009A1609"/>
    <w:rsid w:val="009A16A3"/>
    <w:rsid w:val="009A18E7"/>
    <w:rsid w:val="009A1A7E"/>
    <w:rsid w:val="009A1D8A"/>
    <w:rsid w:val="009A1EB5"/>
    <w:rsid w:val="009A3480"/>
    <w:rsid w:val="009A3DB8"/>
    <w:rsid w:val="009A3DCC"/>
    <w:rsid w:val="009A43B3"/>
    <w:rsid w:val="009A464D"/>
    <w:rsid w:val="009A496F"/>
    <w:rsid w:val="009A4AE9"/>
    <w:rsid w:val="009A4B78"/>
    <w:rsid w:val="009A4D28"/>
    <w:rsid w:val="009A4D73"/>
    <w:rsid w:val="009A4E41"/>
    <w:rsid w:val="009A51FD"/>
    <w:rsid w:val="009A5297"/>
    <w:rsid w:val="009A5851"/>
    <w:rsid w:val="009A5C0C"/>
    <w:rsid w:val="009A5D40"/>
    <w:rsid w:val="009A5E10"/>
    <w:rsid w:val="009A5FB8"/>
    <w:rsid w:val="009A6665"/>
    <w:rsid w:val="009A743F"/>
    <w:rsid w:val="009A74F7"/>
    <w:rsid w:val="009B00F2"/>
    <w:rsid w:val="009B0E67"/>
    <w:rsid w:val="009B0FB2"/>
    <w:rsid w:val="009B1113"/>
    <w:rsid w:val="009B1C34"/>
    <w:rsid w:val="009B1D22"/>
    <w:rsid w:val="009B1D4B"/>
    <w:rsid w:val="009B1E86"/>
    <w:rsid w:val="009B2222"/>
    <w:rsid w:val="009B2356"/>
    <w:rsid w:val="009B27C4"/>
    <w:rsid w:val="009B2BE6"/>
    <w:rsid w:val="009B2D92"/>
    <w:rsid w:val="009B31DE"/>
    <w:rsid w:val="009B3250"/>
    <w:rsid w:val="009B35A6"/>
    <w:rsid w:val="009B3A5F"/>
    <w:rsid w:val="009B42A4"/>
    <w:rsid w:val="009B42D2"/>
    <w:rsid w:val="009B44D0"/>
    <w:rsid w:val="009B4A06"/>
    <w:rsid w:val="009B60EA"/>
    <w:rsid w:val="009B63AE"/>
    <w:rsid w:val="009B6FFC"/>
    <w:rsid w:val="009B70C8"/>
    <w:rsid w:val="009B737C"/>
    <w:rsid w:val="009B742E"/>
    <w:rsid w:val="009C0AC6"/>
    <w:rsid w:val="009C11B2"/>
    <w:rsid w:val="009C1456"/>
    <w:rsid w:val="009C1577"/>
    <w:rsid w:val="009C164F"/>
    <w:rsid w:val="009C1C30"/>
    <w:rsid w:val="009C22DD"/>
    <w:rsid w:val="009C272A"/>
    <w:rsid w:val="009C29D5"/>
    <w:rsid w:val="009C3005"/>
    <w:rsid w:val="009C30A0"/>
    <w:rsid w:val="009C3182"/>
    <w:rsid w:val="009C359E"/>
    <w:rsid w:val="009C37FE"/>
    <w:rsid w:val="009C3EDC"/>
    <w:rsid w:val="009C4082"/>
    <w:rsid w:val="009C4A38"/>
    <w:rsid w:val="009C4A72"/>
    <w:rsid w:val="009C4AD8"/>
    <w:rsid w:val="009C4C29"/>
    <w:rsid w:val="009C4C8B"/>
    <w:rsid w:val="009C4D3D"/>
    <w:rsid w:val="009C5111"/>
    <w:rsid w:val="009C55E2"/>
    <w:rsid w:val="009C5918"/>
    <w:rsid w:val="009C5A4E"/>
    <w:rsid w:val="009C5EE5"/>
    <w:rsid w:val="009C605A"/>
    <w:rsid w:val="009C61E3"/>
    <w:rsid w:val="009C6B56"/>
    <w:rsid w:val="009C7DB8"/>
    <w:rsid w:val="009C7FF0"/>
    <w:rsid w:val="009D010D"/>
    <w:rsid w:val="009D0244"/>
    <w:rsid w:val="009D08F9"/>
    <w:rsid w:val="009D0F71"/>
    <w:rsid w:val="009D111C"/>
    <w:rsid w:val="009D137D"/>
    <w:rsid w:val="009D17A0"/>
    <w:rsid w:val="009D1F7A"/>
    <w:rsid w:val="009D2873"/>
    <w:rsid w:val="009D2942"/>
    <w:rsid w:val="009D2BB8"/>
    <w:rsid w:val="009D2FF8"/>
    <w:rsid w:val="009D3562"/>
    <w:rsid w:val="009D3A1A"/>
    <w:rsid w:val="009D3E31"/>
    <w:rsid w:val="009D426A"/>
    <w:rsid w:val="009D5B2E"/>
    <w:rsid w:val="009D5BDB"/>
    <w:rsid w:val="009D6B03"/>
    <w:rsid w:val="009D6B3D"/>
    <w:rsid w:val="009D7422"/>
    <w:rsid w:val="009D78E7"/>
    <w:rsid w:val="009E0742"/>
    <w:rsid w:val="009E0B29"/>
    <w:rsid w:val="009E1291"/>
    <w:rsid w:val="009E12BC"/>
    <w:rsid w:val="009E139D"/>
    <w:rsid w:val="009E1549"/>
    <w:rsid w:val="009E1A9E"/>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60"/>
    <w:rsid w:val="009E4E90"/>
    <w:rsid w:val="009E4EB7"/>
    <w:rsid w:val="009E57C1"/>
    <w:rsid w:val="009E624A"/>
    <w:rsid w:val="009E6B32"/>
    <w:rsid w:val="009E7039"/>
    <w:rsid w:val="009E70F3"/>
    <w:rsid w:val="009E7C40"/>
    <w:rsid w:val="009E7E98"/>
    <w:rsid w:val="009F00EE"/>
    <w:rsid w:val="009F0827"/>
    <w:rsid w:val="009F0BED"/>
    <w:rsid w:val="009F1673"/>
    <w:rsid w:val="009F23E6"/>
    <w:rsid w:val="009F3255"/>
    <w:rsid w:val="009F341D"/>
    <w:rsid w:val="009F34AA"/>
    <w:rsid w:val="009F3942"/>
    <w:rsid w:val="009F3D86"/>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F86"/>
    <w:rsid w:val="00A0034D"/>
    <w:rsid w:val="00A00BFB"/>
    <w:rsid w:val="00A00DCF"/>
    <w:rsid w:val="00A0126C"/>
    <w:rsid w:val="00A012DA"/>
    <w:rsid w:val="00A016E9"/>
    <w:rsid w:val="00A0187E"/>
    <w:rsid w:val="00A023AB"/>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99F"/>
    <w:rsid w:val="00A06A80"/>
    <w:rsid w:val="00A06D8A"/>
    <w:rsid w:val="00A0711F"/>
    <w:rsid w:val="00A07B0B"/>
    <w:rsid w:val="00A1015D"/>
    <w:rsid w:val="00A102A0"/>
    <w:rsid w:val="00A10860"/>
    <w:rsid w:val="00A114FA"/>
    <w:rsid w:val="00A11AF3"/>
    <w:rsid w:val="00A12ACF"/>
    <w:rsid w:val="00A12B42"/>
    <w:rsid w:val="00A12B8A"/>
    <w:rsid w:val="00A12BD4"/>
    <w:rsid w:val="00A12C09"/>
    <w:rsid w:val="00A13084"/>
    <w:rsid w:val="00A1327F"/>
    <w:rsid w:val="00A136D0"/>
    <w:rsid w:val="00A13817"/>
    <w:rsid w:val="00A138D3"/>
    <w:rsid w:val="00A139F6"/>
    <w:rsid w:val="00A13E0F"/>
    <w:rsid w:val="00A144B7"/>
    <w:rsid w:val="00A149B4"/>
    <w:rsid w:val="00A152D3"/>
    <w:rsid w:val="00A15F4F"/>
    <w:rsid w:val="00A160AB"/>
    <w:rsid w:val="00A16419"/>
    <w:rsid w:val="00A16745"/>
    <w:rsid w:val="00A16747"/>
    <w:rsid w:val="00A17E93"/>
    <w:rsid w:val="00A20013"/>
    <w:rsid w:val="00A2056F"/>
    <w:rsid w:val="00A20582"/>
    <w:rsid w:val="00A20C65"/>
    <w:rsid w:val="00A212A6"/>
    <w:rsid w:val="00A21767"/>
    <w:rsid w:val="00A21826"/>
    <w:rsid w:val="00A21FD5"/>
    <w:rsid w:val="00A22729"/>
    <w:rsid w:val="00A22751"/>
    <w:rsid w:val="00A22940"/>
    <w:rsid w:val="00A23102"/>
    <w:rsid w:val="00A233D8"/>
    <w:rsid w:val="00A2343F"/>
    <w:rsid w:val="00A23505"/>
    <w:rsid w:val="00A2428B"/>
    <w:rsid w:val="00A247E5"/>
    <w:rsid w:val="00A248BD"/>
    <w:rsid w:val="00A24D81"/>
    <w:rsid w:val="00A24EA5"/>
    <w:rsid w:val="00A25173"/>
    <w:rsid w:val="00A25253"/>
    <w:rsid w:val="00A252F0"/>
    <w:rsid w:val="00A2530C"/>
    <w:rsid w:val="00A259F2"/>
    <w:rsid w:val="00A26463"/>
    <w:rsid w:val="00A2660E"/>
    <w:rsid w:val="00A26916"/>
    <w:rsid w:val="00A26B47"/>
    <w:rsid w:val="00A26B5D"/>
    <w:rsid w:val="00A26FF1"/>
    <w:rsid w:val="00A27547"/>
    <w:rsid w:val="00A2770B"/>
    <w:rsid w:val="00A27806"/>
    <w:rsid w:val="00A302A9"/>
    <w:rsid w:val="00A3068C"/>
    <w:rsid w:val="00A3127F"/>
    <w:rsid w:val="00A315BC"/>
    <w:rsid w:val="00A31922"/>
    <w:rsid w:val="00A31A86"/>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25E"/>
    <w:rsid w:val="00A36696"/>
    <w:rsid w:val="00A36724"/>
    <w:rsid w:val="00A367AF"/>
    <w:rsid w:val="00A36977"/>
    <w:rsid w:val="00A36C13"/>
    <w:rsid w:val="00A377C2"/>
    <w:rsid w:val="00A37A31"/>
    <w:rsid w:val="00A401F1"/>
    <w:rsid w:val="00A40B1F"/>
    <w:rsid w:val="00A40B4D"/>
    <w:rsid w:val="00A40BB0"/>
    <w:rsid w:val="00A411E2"/>
    <w:rsid w:val="00A41373"/>
    <w:rsid w:val="00A41638"/>
    <w:rsid w:val="00A41B15"/>
    <w:rsid w:val="00A41D2F"/>
    <w:rsid w:val="00A4224E"/>
    <w:rsid w:val="00A4229F"/>
    <w:rsid w:val="00A4244B"/>
    <w:rsid w:val="00A428A9"/>
    <w:rsid w:val="00A42ACA"/>
    <w:rsid w:val="00A4327C"/>
    <w:rsid w:val="00A4332A"/>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9D7"/>
    <w:rsid w:val="00A47E44"/>
    <w:rsid w:val="00A47F91"/>
    <w:rsid w:val="00A507D7"/>
    <w:rsid w:val="00A50A5C"/>
    <w:rsid w:val="00A50B75"/>
    <w:rsid w:val="00A50BE2"/>
    <w:rsid w:val="00A50CC6"/>
    <w:rsid w:val="00A50E40"/>
    <w:rsid w:val="00A51462"/>
    <w:rsid w:val="00A51946"/>
    <w:rsid w:val="00A5197B"/>
    <w:rsid w:val="00A51FF7"/>
    <w:rsid w:val="00A52079"/>
    <w:rsid w:val="00A52143"/>
    <w:rsid w:val="00A521E9"/>
    <w:rsid w:val="00A5298E"/>
    <w:rsid w:val="00A52B3E"/>
    <w:rsid w:val="00A5313B"/>
    <w:rsid w:val="00A5320E"/>
    <w:rsid w:val="00A53F7B"/>
    <w:rsid w:val="00A54090"/>
    <w:rsid w:val="00A541F3"/>
    <w:rsid w:val="00A54282"/>
    <w:rsid w:val="00A549D3"/>
    <w:rsid w:val="00A54C5D"/>
    <w:rsid w:val="00A54C76"/>
    <w:rsid w:val="00A54DF0"/>
    <w:rsid w:val="00A5504C"/>
    <w:rsid w:val="00A556BE"/>
    <w:rsid w:val="00A55C36"/>
    <w:rsid w:val="00A55E02"/>
    <w:rsid w:val="00A57E98"/>
    <w:rsid w:val="00A60017"/>
    <w:rsid w:val="00A60849"/>
    <w:rsid w:val="00A6105B"/>
    <w:rsid w:val="00A61355"/>
    <w:rsid w:val="00A61668"/>
    <w:rsid w:val="00A621D3"/>
    <w:rsid w:val="00A624B3"/>
    <w:rsid w:val="00A628F8"/>
    <w:rsid w:val="00A62B7A"/>
    <w:rsid w:val="00A62CC0"/>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E37"/>
    <w:rsid w:val="00A66ECF"/>
    <w:rsid w:val="00A67681"/>
    <w:rsid w:val="00A67E38"/>
    <w:rsid w:val="00A703E4"/>
    <w:rsid w:val="00A704C9"/>
    <w:rsid w:val="00A707AF"/>
    <w:rsid w:val="00A70DC6"/>
    <w:rsid w:val="00A71080"/>
    <w:rsid w:val="00A71986"/>
    <w:rsid w:val="00A71E3D"/>
    <w:rsid w:val="00A71E73"/>
    <w:rsid w:val="00A720BB"/>
    <w:rsid w:val="00A72740"/>
    <w:rsid w:val="00A73581"/>
    <w:rsid w:val="00A73A64"/>
    <w:rsid w:val="00A73C0E"/>
    <w:rsid w:val="00A741AA"/>
    <w:rsid w:val="00A742AD"/>
    <w:rsid w:val="00A74354"/>
    <w:rsid w:val="00A74425"/>
    <w:rsid w:val="00A746D7"/>
    <w:rsid w:val="00A74AB2"/>
    <w:rsid w:val="00A751E1"/>
    <w:rsid w:val="00A75A27"/>
    <w:rsid w:val="00A75A46"/>
    <w:rsid w:val="00A75B36"/>
    <w:rsid w:val="00A7623B"/>
    <w:rsid w:val="00A7660A"/>
    <w:rsid w:val="00A7663A"/>
    <w:rsid w:val="00A7696B"/>
    <w:rsid w:val="00A769D4"/>
    <w:rsid w:val="00A77945"/>
    <w:rsid w:val="00A8008F"/>
    <w:rsid w:val="00A804C7"/>
    <w:rsid w:val="00A80857"/>
    <w:rsid w:val="00A80A39"/>
    <w:rsid w:val="00A80AF2"/>
    <w:rsid w:val="00A80DF0"/>
    <w:rsid w:val="00A80E64"/>
    <w:rsid w:val="00A81A15"/>
    <w:rsid w:val="00A81A16"/>
    <w:rsid w:val="00A823A7"/>
    <w:rsid w:val="00A823B8"/>
    <w:rsid w:val="00A824D4"/>
    <w:rsid w:val="00A825C8"/>
    <w:rsid w:val="00A82742"/>
    <w:rsid w:val="00A82A29"/>
    <w:rsid w:val="00A83340"/>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138A"/>
    <w:rsid w:val="00A916AB"/>
    <w:rsid w:val="00A920E1"/>
    <w:rsid w:val="00A92998"/>
    <w:rsid w:val="00A933AE"/>
    <w:rsid w:val="00A93863"/>
    <w:rsid w:val="00A93928"/>
    <w:rsid w:val="00A93A14"/>
    <w:rsid w:val="00A93ACD"/>
    <w:rsid w:val="00A93F73"/>
    <w:rsid w:val="00A9415E"/>
    <w:rsid w:val="00A9423F"/>
    <w:rsid w:val="00A94EBD"/>
    <w:rsid w:val="00A9510D"/>
    <w:rsid w:val="00A95117"/>
    <w:rsid w:val="00A95580"/>
    <w:rsid w:val="00A956AC"/>
    <w:rsid w:val="00A95D2A"/>
    <w:rsid w:val="00A961D6"/>
    <w:rsid w:val="00A96214"/>
    <w:rsid w:val="00A967E8"/>
    <w:rsid w:val="00A97CAB"/>
    <w:rsid w:val="00A97F4B"/>
    <w:rsid w:val="00AA04C5"/>
    <w:rsid w:val="00AA1002"/>
    <w:rsid w:val="00AA10B1"/>
    <w:rsid w:val="00AA143B"/>
    <w:rsid w:val="00AA274F"/>
    <w:rsid w:val="00AA2803"/>
    <w:rsid w:val="00AA2BF2"/>
    <w:rsid w:val="00AA2D68"/>
    <w:rsid w:val="00AA2D6F"/>
    <w:rsid w:val="00AA2E92"/>
    <w:rsid w:val="00AA3987"/>
    <w:rsid w:val="00AA3B68"/>
    <w:rsid w:val="00AA3E79"/>
    <w:rsid w:val="00AA4918"/>
    <w:rsid w:val="00AA4FB4"/>
    <w:rsid w:val="00AA51C3"/>
    <w:rsid w:val="00AA5C0B"/>
    <w:rsid w:val="00AA5E3B"/>
    <w:rsid w:val="00AA63AD"/>
    <w:rsid w:val="00AA65B4"/>
    <w:rsid w:val="00AA6604"/>
    <w:rsid w:val="00AA6A75"/>
    <w:rsid w:val="00AA745E"/>
    <w:rsid w:val="00AB04AB"/>
    <w:rsid w:val="00AB05A3"/>
    <w:rsid w:val="00AB0636"/>
    <w:rsid w:val="00AB0733"/>
    <w:rsid w:val="00AB09D2"/>
    <w:rsid w:val="00AB0B64"/>
    <w:rsid w:val="00AB0C30"/>
    <w:rsid w:val="00AB176B"/>
    <w:rsid w:val="00AB210F"/>
    <w:rsid w:val="00AB2C5F"/>
    <w:rsid w:val="00AB37E6"/>
    <w:rsid w:val="00AB3DBA"/>
    <w:rsid w:val="00AB431C"/>
    <w:rsid w:val="00AB470E"/>
    <w:rsid w:val="00AB4C80"/>
    <w:rsid w:val="00AB506B"/>
    <w:rsid w:val="00AB5467"/>
    <w:rsid w:val="00AB5720"/>
    <w:rsid w:val="00AB5883"/>
    <w:rsid w:val="00AB5A7E"/>
    <w:rsid w:val="00AB7538"/>
    <w:rsid w:val="00AB77F3"/>
    <w:rsid w:val="00AC0256"/>
    <w:rsid w:val="00AC0630"/>
    <w:rsid w:val="00AC0AAD"/>
    <w:rsid w:val="00AC1231"/>
    <w:rsid w:val="00AC1992"/>
    <w:rsid w:val="00AC1E14"/>
    <w:rsid w:val="00AC2CFA"/>
    <w:rsid w:val="00AC3263"/>
    <w:rsid w:val="00AC337E"/>
    <w:rsid w:val="00AC3A13"/>
    <w:rsid w:val="00AC3CB7"/>
    <w:rsid w:val="00AC3E12"/>
    <w:rsid w:val="00AC406E"/>
    <w:rsid w:val="00AC417C"/>
    <w:rsid w:val="00AC430C"/>
    <w:rsid w:val="00AC43DF"/>
    <w:rsid w:val="00AC4951"/>
    <w:rsid w:val="00AC49C9"/>
    <w:rsid w:val="00AC4A6B"/>
    <w:rsid w:val="00AC50A1"/>
    <w:rsid w:val="00AC5BAA"/>
    <w:rsid w:val="00AC5C19"/>
    <w:rsid w:val="00AC60F0"/>
    <w:rsid w:val="00AC63C7"/>
    <w:rsid w:val="00AC6657"/>
    <w:rsid w:val="00AC6D7A"/>
    <w:rsid w:val="00AC7363"/>
    <w:rsid w:val="00AC7401"/>
    <w:rsid w:val="00AC78B4"/>
    <w:rsid w:val="00AC7901"/>
    <w:rsid w:val="00AC79F3"/>
    <w:rsid w:val="00AC7FDD"/>
    <w:rsid w:val="00AC7FFA"/>
    <w:rsid w:val="00AD05BF"/>
    <w:rsid w:val="00AD0949"/>
    <w:rsid w:val="00AD0F1D"/>
    <w:rsid w:val="00AD1179"/>
    <w:rsid w:val="00AD1359"/>
    <w:rsid w:val="00AD19F0"/>
    <w:rsid w:val="00AD1FCE"/>
    <w:rsid w:val="00AD26E1"/>
    <w:rsid w:val="00AD29CC"/>
    <w:rsid w:val="00AD3268"/>
    <w:rsid w:val="00AD341B"/>
    <w:rsid w:val="00AD3652"/>
    <w:rsid w:val="00AD3DE2"/>
    <w:rsid w:val="00AD4261"/>
    <w:rsid w:val="00AD46F5"/>
    <w:rsid w:val="00AD490A"/>
    <w:rsid w:val="00AD504C"/>
    <w:rsid w:val="00AD51A3"/>
    <w:rsid w:val="00AD5502"/>
    <w:rsid w:val="00AD598B"/>
    <w:rsid w:val="00AD5D76"/>
    <w:rsid w:val="00AD60B6"/>
    <w:rsid w:val="00AD66EC"/>
    <w:rsid w:val="00AD7154"/>
    <w:rsid w:val="00AD797D"/>
    <w:rsid w:val="00AD7E02"/>
    <w:rsid w:val="00AE0034"/>
    <w:rsid w:val="00AE0085"/>
    <w:rsid w:val="00AE0483"/>
    <w:rsid w:val="00AE08DD"/>
    <w:rsid w:val="00AE13BD"/>
    <w:rsid w:val="00AE158F"/>
    <w:rsid w:val="00AE1ABF"/>
    <w:rsid w:val="00AE1AF9"/>
    <w:rsid w:val="00AE1E60"/>
    <w:rsid w:val="00AE2068"/>
    <w:rsid w:val="00AE2258"/>
    <w:rsid w:val="00AE277E"/>
    <w:rsid w:val="00AE2A36"/>
    <w:rsid w:val="00AE2AC6"/>
    <w:rsid w:val="00AE2BC6"/>
    <w:rsid w:val="00AE3251"/>
    <w:rsid w:val="00AE33DA"/>
    <w:rsid w:val="00AE3FE0"/>
    <w:rsid w:val="00AE4D55"/>
    <w:rsid w:val="00AE5058"/>
    <w:rsid w:val="00AE51CD"/>
    <w:rsid w:val="00AE5268"/>
    <w:rsid w:val="00AE5471"/>
    <w:rsid w:val="00AE54AA"/>
    <w:rsid w:val="00AE5CA5"/>
    <w:rsid w:val="00AE60E4"/>
    <w:rsid w:val="00AE6872"/>
    <w:rsid w:val="00AE6C58"/>
    <w:rsid w:val="00AE72C4"/>
    <w:rsid w:val="00AE75AB"/>
    <w:rsid w:val="00AE7F05"/>
    <w:rsid w:val="00AE7F38"/>
    <w:rsid w:val="00AF054D"/>
    <w:rsid w:val="00AF0939"/>
    <w:rsid w:val="00AF0981"/>
    <w:rsid w:val="00AF0F9C"/>
    <w:rsid w:val="00AF10F0"/>
    <w:rsid w:val="00AF1779"/>
    <w:rsid w:val="00AF18E2"/>
    <w:rsid w:val="00AF24E7"/>
    <w:rsid w:val="00AF272B"/>
    <w:rsid w:val="00AF291B"/>
    <w:rsid w:val="00AF2DAA"/>
    <w:rsid w:val="00AF2EBD"/>
    <w:rsid w:val="00AF33AE"/>
    <w:rsid w:val="00AF3CDC"/>
    <w:rsid w:val="00AF44B1"/>
    <w:rsid w:val="00AF49C2"/>
    <w:rsid w:val="00AF5800"/>
    <w:rsid w:val="00AF6986"/>
    <w:rsid w:val="00AF69FE"/>
    <w:rsid w:val="00AF6A77"/>
    <w:rsid w:val="00AF6D1B"/>
    <w:rsid w:val="00AF73ED"/>
    <w:rsid w:val="00AF77E3"/>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DA4"/>
    <w:rsid w:val="00B05F1A"/>
    <w:rsid w:val="00B073CB"/>
    <w:rsid w:val="00B07B33"/>
    <w:rsid w:val="00B07FA2"/>
    <w:rsid w:val="00B100CF"/>
    <w:rsid w:val="00B1074F"/>
    <w:rsid w:val="00B10999"/>
    <w:rsid w:val="00B10E82"/>
    <w:rsid w:val="00B111A6"/>
    <w:rsid w:val="00B113A4"/>
    <w:rsid w:val="00B115E5"/>
    <w:rsid w:val="00B118EE"/>
    <w:rsid w:val="00B11B03"/>
    <w:rsid w:val="00B11C5B"/>
    <w:rsid w:val="00B11F2B"/>
    <w:rsid w:val="00B121CD"/>
    <w:rsid w:val="00B12343"/>
    <w:rsid w:val="00B12529"/>
    <w:rsid w:val="00B128C5"/>
    <w:rsid w:val="00B129A4"/>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628C"/>
    <w:rsid w:val="00B1745A"/>
    <w:rsid w:val="00B17785"/>
    <w:rsid w:val="00B17A4E"/>
    <w:rsid w:val="00B17B30"/>
    <w:rsid w:val="00B17C2F"/>
    <w:rsid w:val="00B20CA8"/>
    <w:rsid w:val="00B2130E"/>
    <w:rsid w:val="00B2153E"/>
    <w:rsid w:val="00B218CB"/>
    <w:rsid w:val="00B21FA7"/>
    <w:rsid w:val="00B22022"/>
    <w:rsid w:val="00B225E4"/>
    <w:rsid w:val="00B22C88"/>
    <w:rsid w:val="00B23223"/>
    <w:rsid w:val="00B2373E"/>
    <w:rsid w:val="00B23F7A"/>
    <w:rsid w:val="00B240B1"/>
    <w:rsid w:val="00B24208"/>
    <w:rsid w:val="00B24374"/>
    <w:rsid w:val="00B24728"/>
    <w:rsid w:val="00B248A9"/>
    <w:rsid w:val="00B2490A"/>
    <w:rsid w:val="00B24BE3"/>
    <w:rsid w:val="00B24D28"/>
    <w:rsid w:val="00B24F1C"/>
    <w:rsid w:val="00B25B7A"/>
    <w:rsid w:val="00B25D76"/>
    <w:rsid w:val="00B27032"/>
    <w:rsid w:val="00B27085"/>
    <w:rsid w:val="00B27583"/>
    <w:rsid w:val="00B30003"/>
    <w:rsid w:val="00B3015C"/>
    <w:rsid w:val="00B30642"/>
    <w:rsid w:val="00B31201"/>
    <w:rsid w:val="00B31B4B"/>
    <w:rsid w:val="00B31E36"/>
    <w:rsid w:val="00B32CD7"/>
    <w:rsid w:val="00B32DC3"/>
    <w:rsid w:val="00B32E26"/>
    <w:rsid w:val="00B338B7"/>
    <w:rsid w:val="00B34061"/>
    <w:rsid w:val="00B34376"/>
    <w:rsid w:val="00B3440A"/>
    <w:rsid w:val="00B34441"/>
    <w:rsid w:val="00B35533"/>
    <w:rsid w:val="00B35534"/>
    <w:rsid w:val="00B35A87"/>
    <w:rsid w:val="00B35AFD"/>
    <w:rsid w:val="00B35DAB"/>
    <w:rsid w:val="00B35F9A"/>
    <w:rsid w:val="00B3609C"/>
    <w:rsid w:val="00B36236"/>
    <w:rsid w:val="00B3662E"/>
    <w:rsid w:val="00B36645"/>
    <w:rsid w:val="00B366D2"/>
    <w:rsid w:val="00B366FA"/>
    <w:rsid w:val="00B36E86"/>
    <w:rsid w:val="00B379BA"/>
    <w:rsid w:val="00B37B76"/>
    <w:rsid w:val="00B37D00"/>
    <w:rsid w:val="00B40B30"/>
    <w:rsid w:val="00B40E47"/>
    <w:rsid w:val="00B412FD"/>
    <w:rsid w:val="00B41E1C"/>
    <w:rsid w:val="00B422BE"/>
    <w:rsid w:val="00B4241D"/>
    <w:rsid w:val="00B426BB"/>
    <w:rsid w:val="00B42EB9"/>
    <w:rsid w:val="00B430B5"/>
    <w:rsid w:val="00B436F0"/>
    <w:rsid w:val="00B441FE"/>
    <w:rsid w:val="00B44821"/>
    <w:rsid w:val="00B44AD3"/>
    <w:rsid w:val="00B450EB"/>
    <w:rsid w:val="00B45152"/>
    <w:rsid w:val="00B454DD"/>
    <w:rsid w:val="00B45E54"/>
    <w:rsid w:val="00B460B8"/>
    <w:rsid w:val="00B464E4"/>
    <w:rsid w:val="00B4689A"/>
    <w:rsid w:val="00B46D5F"/>
    <w:rsid w:val="00B46E7B"/>
    <w:rsid w:val="00B477B2"/>
    <w:rsid w:val="00B47DC5"/>
    <w:rsid w:val="00B50395"/>
    <w:rsid w:val="00B505B3"/>
    <w:rsid w:val="00B50882"/>
    <w:rsid w:val="00B50A74"/>
    <w:rsid w:val="00B5199C"/>
    <w:rsid w:val="00B520A0"/>
    <w:rsid w:val="00B5257E"/>
    <w:rsid w:val="00B525CE"/>
    <w:rsid w:val="00B52CFD"/>
    <w:rsid w:val="00B545A8"/>
    <w:rsid w:val="00B56527"/>
    <w:rsid w:val="00B56706"/>
    <w:rsid w:val="00B57019"/>
    <w:rsid w:val="00B576DA"/>
    <w:rsid w:val="00B57710"/>
    <w:rsid w:val="00B601C9"/>
    <w:rsid w:val="00B60D04"/>
    <w:rsid w:val="00B612FB"/>
    <w:rsid w:val="00B6158F"/>
    <w:rsid w:val="00B61EE8"/>
    <w:rsid w:val="00B633A3"/>
    <w:rsid w:val="00B634A6"/>
    <w:rsid w:val="00B63533"/>
    <w:rsid w:val="00B638BB"/>
    <w:rsid w:val="00B63BDB"/>
    <w:rsid w:val="00B6480A"/>
    <w:rsid w:val="00B64A0E"/>
    <w:rsid w:val="00B64DDF"/>
    <w:rsid w:val="00B65633"/>
    <w:rsid w:val="00B6601E"/>
    <w:rsid w:val="00B663AA"/>
    <w:rsid w:val="00B66DD5"/>
    <w:rsid w:val="00B67722"/>
    <w:rsid w:val="00B67A6C"/>
    <w:rsid w:val="00B67B97"/>
    <w:rsid w:val="00B67F01"/>
    <w:rsid w:val="00B70166"/>
    <w:rsid w:val="00B70329"/>
    <w:rsid w:val="00B70A02"/>
    <w:rsid w:val="00B710E9"/>
    <w:rsid w:val="00B711AB"/>
    <w:rsid w:val="00B714F0"/>
    <w:rsid w:val="00B71A40"/>
    <w:rsid w:val="00B71BCA"/>
    <w:rsid w:val="00B71C8C"/>
    <w:rsid w:val="00B71CB4"/>
    <w:rsid w:val="00B71FD7"/>
    <w:rsid w:val="00B725E7"/>
    <w:rsid w:val="00B7278D"/>
    <w:rsid w:val="00B72C07"/>
    <w:rsid w:val="00B72DF7"/>
    <w:rsid w:val="00B72F42"/>
    <w:rsid w:val="00B73E44"/>
    <w:rsid w:val="00B74290"/>
    <w:rsid w:val="00B74510"/>
    <w:rsid w:val="00B74BD4"/>
    <w:rsid w:val="00B74BF7"/>
    <w:rsid w:val="00B760FD"/>
    <w:rsid w:val="00B76185"/>
    <w:rsid w:val="00B766EB"/>
    <w:rsid w:val="00B76BCD"/>
    <w:rsid w:val="00B76D04"/>
    <w:rsid w:val="00B7780D"/>
    <w:rsid w:val="00B779E6"/>
    <w:rsid w:val="00B804E2"/>
    <w:rsid w:val="00B80A54"/>
    <w:rsid w:val="00B811B2"/>
    <w:rsid w:val="00B81213"/>
    <w:rsid w:val="00B81700"/>
    <w:rsid w:val="00B81BA3"/>
    <w:rsid w:val="00B82213"/>
    <w:rsid w:val="00B8276E"/>
    <w:rsid w:val="00B82912"/>
    <w:rsid w:val="00B82FF3"/>
    <w:rsid w:val="00B839A9"/>
    <w:rsid w:val="00B83A62"/>
    <w:rsid w:val="00B83B59"/>
    <w:rsid w:val="00B84252"/>
    <w:rsid w:val="00B8468F"/>
    <w:rsid w:val="00B849F1"/>
    <w:rsid w:val="00B84FC6"/>
    <w:rsid w:val="00B857F5"/>
    <w:rsid w:val="00B862EF"/>
    <w:rsid w:val="00B86D6C"/>
    <w:rsid w:val="00B86EB5"/>
    <w:rsid w:val="00B86F47"/>
    <w:rsid w:val="00B874B4"/>
    <w:rsid w:val="00B876E8"/>
    <w:rsid w:val="00B8787A"/>
    <w:rsid w:val="00B87887"/>
    <w:rsid w:val="00B90123"/>
    <w:rsid w:val="00B90196"/>
    <w:rsid w:val="00B911C1"/>
    <w:rsid w:val="00B91374"/>
    <w:rsid w:val="00B9216A"/>
    <w:rsid w:val="00B922C3"/>
    <w:rsid w:val="00B9272E"/>
    <w:rsid w:val="00B927A7"/>
    <w:rsid w:val="00B92B9E"/>
    <w:rsid w:val="00B93315"/>
    <w:rsid w:val="00B93519"/>
    <w:rsid w:val="00B9372A"/>
    <w:rsid w:val="00B9425C"/>
    <w:rsid w:val="00B94AAF"/>
    <w:rsid w:val="00B953FF"/>
    <w:rsid w:val="00B956EA"/>
    <w:rsid w:val="00B9622D"/>
    <w:rsid w:val="00B96263"/>
    <w:rsid w:val="00B96716"/>
    <w:rsid w:val="00B968A5"/>
    <w:rsid w:val="00B97188"/>
    <w:rsid w:val="00B972CD"/>
    <w:rsid w:val="00B97D02"/>
    <w:rsid w:val="00BA0296"/>
    <w:rsid w:val="00BA0304"/>
    <w:rsid w:val="00BA0557"/>
    <w:rsid w:val="00BA079E"/>
    <w:rsid w:val="00BA19C4"/>
    <w:rsid w:val="00BA3038"/>
    <w:rsid w:val="00BA3248"/>
    <w:rsid w:val="00BA3443"/>
    <w:rsid w:val="00BA370A"/>
    <w:rsid w:val="00BA48BC"/>
    <w:rsid w:val="00BA4A29"/>
    <w:rsid w:val="00BA4BE7"/>
    <w:rsid w:val="00BA5F20"/>
    <w:rsid w:val="00BA5F44"/>
    <w:rsid w:val="00BA676C"/>
    <w:rsid w:val="00BA68D9"/>
    <w:rsid w:val="00BA695F"/>
    <w:rsid w:val="00BA6FD8"/>
    <w:rsid w:val="00BA7172"/>
    <w:rsid w:val="00BA7B01"/>
    <w:rsid w:val="00BB02D7"/>
    <w:rsid w:val="00BB0D9F"/>
    <w:rsid w:val="00BB0DEE"/>
    <w:rsid w:val="00BB0F93"/>
    <w:rsid w:val="00BB1031"/>
    <w:rsid w:val="00BB1B33"/>
    <w:rsid w:val="00BB2480"/>
    <w:rsid w:val="00BB27FD"/>
    <w:rsid w:val="00BB2857"/>
    <w:rsid w:val="00BB2C4E"/>
    <w:rsid w:val="00BB2E29"/>
    <w:rsid w:val="00BB2F74"/>
    <w:rsid w:val="00BB3206"/>
    <w:rsid w:val="00BB3277"/>
    <w:rsid w:val="00BB32C2"/>
    <w:rsid w:val="00BB39BF"/>
    <w:rsid w:val="00BB3B0D"/>
    <w:rsid w:val="00BB524C"/>
    <w:rsid w:val="00BB57D2"/>
    <w:rsid w:val="00BB5DAB"/>
    <w:rsid w:val="00BB6195"/>
    <w:rsid w:val="00BB61A3"/>
    <w:rsid w:val="00BB67EA"/>
    <w:rsid w:val="00BB6A45"/>
    <w:rsid w:val="00BB6A83"/>
    <w:rsid w:val="00BB6E26"/>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570"/>
    <w:rsid w:val="00BD0853"/>
    <w:rsid w:val="00BD0EAD"/>
    <w:rsid w:val="00BD112D"/>
    <w:rsid w:val="00BD214E"/>
    <w:rsid w:val="00BD2395"/>
    <w:rsid w:val="00BD25B8"/>
    <w:rsid w:val="00BD2842"/>
    <w:rsid w:val="00BD28C3"/>
    <w:rsid w:val="00BD2DEB"/>
    <w:rsid w:val="00BD3120"/>
    <w:rsid w:val="00BD3354"/>
    <w:rsid w:val="00BD384E"/>
    <w:rsid w:val="00BD3BC1"/>
    <w:rsid w:val="00BD3E76"/>
    <w:rsid w:val="00BD3EE2"/>
    <w:rsid w:val="00BD3FCF"/>
    <w:rsid w:val="00BD42D2"/>
    <w:rsid w:val="00BD47D7"/>
    <w:rsid w:val="00BD4EFB"/>
    <w:rsid w:val="00BD5076"/>
    <w:rsid w:val="00BD5551"/>
    <w:rsid w:val="00BD55AE"/>
    <w:rsid w:val="00BD690D"/>
    <w:rsid w:val="00BD6D43"/>
    <w:rsid w:val="00BD7090"/>
    <w:rsid w:val="00BD7490"/>
    <w:rsid w:val="00BD767F"/>
    <w:rsid w:val="00BD7DA0"/>
    <w:rsid w:val="00BE096B"/>
    <w:rsid w:val="00BE09C3"/>
    <w:rsid w:val="00BE0C27"/>
    <w:rsid w:val="00BE0F9B"/>
    <w:rsid w:val="00BE1534"/>
    <w:rsid w:val="00BE15BB"/>
    <w:rsid w:val="00BE198F"/>
    <w:rsid w:val="00BE4875"/>
    <w:rsid w:val="00BE4CCF"/>
    <w:rsid w:val="00BE5913"/>
    <w:rsid w:val="00BE5964"/>
    <w:rsid w:val="00BE60F2"/>
    <w:rsid w:val="00BE660B"/>
    <w:rsid w:val="00BE67F3"/>
    <w:rsid w:val="00BE6AFE"/>
    <w:rsid w:val="00BE6BBE"/>
    <w:rsid w:val="00BE7021"/>
    <w:rsid w:val="00BE7300"/>
    <w:rsid w:val="00BE76F7"/>
    <w:rsid w:val="00BE784F"/>
    <w:rsid w:val="00BE79C6"/>
    <w:rsid w:val="00BF01AF"/>
    <w:rsid w:val="00BF0238"/>
    <w:rsid w:val="00BF0717"/>
    <w:rsid w:val="00BF1750"/>
    <w:rsid w:val="00BF178E"/>
    <w:rsid w:val="00BF189F"/>
    <w:rsid w:val="00BF1AFA"/>
    <w:rsid w:val="00BF1B44"/>
    <w:rsid w:val="00BF1D88"/>
    <w:rsid w:val="00BF1F01"/>
    <w:rsid w:val="00BF1FC2"/>
    <w:rsid w:val="00BF23CC"/>
    <w:rsid w:val="00BF243F"/>
    <w:rsid w:val="00BF2708"/>
    <w:rsid w:val="00BF3284"/>
    <w:rsid w:val="00BF4C2B"/>
    <w:rsid w:val="00BF507A"/>
    <w:rsid w:val="00BF52D8"/>
    <w:rsid w:val="00BF53F1"/>
    <w:rsid w:val="00BF5717"/>
    <w:rsid w:val="00BF5B9D"/>
    <w:rsid w:val="00BF5C45"/>
    <w:rsid w:val="00BF5FA3"/>
    <w:rsid w:val="00BF62F2"/>
    <w:rsid w:val="00BF63A5"/>
    <w:rsid w:val="00BF72A7"/>
    <w:rsid w:val="00BF7558"/>
    <w:rsid w:val="00BF7C6B"/>
    <w:rsid w:val="00BF7DD2"/>
    <w:rsid w:val="00C0111E"/>
    <w:rsid w:val="00C01C34"/>
    <w:rsid w:val="00C02676"/>
    <w:rsid w:val="00C029AB"/>
    <w:rsid w:val="00C02D74"/>
    <w:rsid w:val="00C03BD5"/>
    <w:rsid w:val="00C03C8B"/>
    <w:rsid w:val="00C03F3C"/>
    <w:rsid w:val="00C0422C"/>
    <w:rsid w:val="00C0425C"/>
    <w:rsid w:val="00C049BE"/>
    <w:rsid w:val="00C04A71"/>
    <w:rsid w:val="00C04DF0"/>
    <w:rsid w:val="00C050CF"/>
    <w:rsid w:val="00C054CB"/>
    <w:rsid w:val="00C05A4C"/>
    <w:rsid w:val="00C05A67"/>
    <w:rsid w:val="00C0632D"/>
    <w:rsid w:val="00C0641F"/>
    <w:rsid w:val="00C06C9A"/>
    <w:rsid w:val="00C06E1B"/>
    <w:rsid w:val="00C06E6F"/>
    <w:rsid w:val="00C075DB"/>
    <w:rsid w:val="00C07EBA"/>
    <w:rsid w:val="00C07FBC"/>
    <w:rsid w:val="00C100E2"/>
    <w:rsid w:val="00C100E7"/>
    <w:rsid w:val="00C11113"/>
    <w:rsid w:val="00C114BF"/>
    <w:rsid w:val="00C11687"/>
    <w:rsid w:val="00C11B3F"/>
    <w:rsid w:val="00C11D41"/>
    <w:rsid w:val="00C11E28"/>
    <w:rsid w:val="00C11F66"/>
    <w:rsid w:val="00C1225B"/>
    <w:rsid w:val="00C122F9"/>
    <w:rsid w:val="00C1253A"/>
    <w:rsid w:val="00C128C9"/>
    <w:rsid w:val="00C12CF3"/>
    <w:rsid w:val="00C12F88"/>
    <w:rsid w:val="00C131A8"/>
    <w:rsid w:val="00C1322D"/>
    <w:rsid w:val="00C135A3"/>
    <w:rsid w:val="00C13655"/>
    <w:rsid w:val="00C13806"/>
    <w:rsid w:val="00C14730"/>
    <w:rsid w:val="00C1477A"/>
    <w:rsid w:val="00C14A62"/>
    <w:rsid w:val="00C158EB"/>
    <w:rsid w:val="00C159B1"/>
    <w:rsid w:val="00C15B67"/>
    <w:rsid w:val="00C15C04"/>
    <w:rsid w:val="00C15D51"/>
    <w:rsid w:val="00C161F5"/>
    <w:rsid w:val="00C16C92"/>
    <w:rsid w:val="00C16ED6"/>
    <w:rsid w:val="00C16F3A"/>
    <w:rsid w:val="00C1706B"/>
    <w:rsid w:val="00C17DB0"/>
    <w:rsid w:val="00C17DB7"/>
    <w:rsid w:val="00C17E48"/>
    <w:rsid w:val="00C17E9C"/>
    <w:rsid w:val="00C17F0B"/>
    <w:rsid w:val="00C201E7"/>
    <w:rsid w:val="00C20506"/>
    <w:rsid w:val="00C20AA2"/>
    <w:rsid w:val="00C20B91"/>
    <w:rsid w:val="00C21155"/>
    <w:rsid w:val="00C2146C"/>
    <w:rsid w:val="00C214D7"/>
    <w:rsid w:val="00C21561"/>
    <w:rsid w:val="00C217EE"/>
    <w:rsid w:val="00C2220F"/>
    <w:rsid w:val="00C22784"/>
    <w:rsid w:val="00C228E8"/>
    <w:rsid w:val="00C22FAA"/>
    <w:rsid w:val="00C23A4C"/>
    <w:rsid w:val="00C24068"/>
    <w:rsid w:val="00C2419D"/>
    <w:rsid w:val="00C243A4"/>
    <w:rsid w:val="00C243D4"/>
    <w:rsid w:val="00C24416"/>
    <w:rsid w:val="00C24511"/>
    <w:rsid w:val="00C248DB"/>
    <w:rsid w:val="00C26170"/>
    <w:rsid w:val="00C26B5A"/>
    <w:rsid w:val="00C26BB1"/>
    <w:rsid w:val="00C26D52"/>
    <w:rsid w:val="00C27A41"/>
    <w:rsid w:val="00C303E4"/>
    <w:rsid w:val="00C30775"/>
    <w:rsid w:val="00C30B8D"/>
    <w:rsid w:val="00C30DBE"/>
    <w:rsid w:val="00C3134E"/>
    <w:rsid w:val="00C315D8"/>
    <w:rsid w:val="00C31C4A"/>
    <w:rsid w:val="00C31D2D"/>
    <w:rsid w:val="00C3209A"/>
    <w:rsid w:val="00C32639"/>
    <w:rsid w:val="00C32808"/>
    <w:rsid w:val="00C32AD2"/>
    <w:rsid w:val="00C32B3F"/>
    <w:rsid w:val="00C33114"/>
    <w:rsid w:val="00C332EF"/>
    <w:rsid w:val="00C33E5C"/>
    <w:rsid w:val="00C3415E"/>
    <w:rsid w:val="00C34193"/>
    <w:rsid w:val="00C347FD"/>
    <w:rsid w:val="00C34DAD"/>
    <w:rsid w:val="00C34DAE"/>
    <w:rsid w:val="00C34E1E"/>
    <w:rsid w:val="00C34E5A"/>
    <w:rsid w:val="00C35553"/>
    <w:rsid w:val="00C35D9C"/>
    <w:rsid w:val="00C35E13"/>
    <w:rsid w:val="00C36219"/>
    <w:rsid w:val="00C36656"/>
    <w:rsid w:val="00C36965"/>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56C"/>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BD1"/>
    <w:rsid w:val="00C51D73"/>
    <w:rsid w:val="00C52076"/>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B42"/>
    <w:rsid w:val="00C56BD1"/>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3A1F"/>
    <w:rsid w:val="00C74310"/>
    <w:rsid w:val="00C744E9"/>
    <w:rsid w:val="00C74520"/>
    <w:rsid w:val="00C74954"/>
    <w:rsid w:val="00C75765"/>
    <w:rsid w:val="00C75EEE"/>
    <w:rsid w:val="00C76028"/>
    <w:rsid w:val="00C76184"/>
    <w:rsid w:val="00C76462"/>
    <w:rsid w:val="00C7673D"/>
    <w:rsid w:val="00C76A80"/>
    <w:rsid w:val="00C76C27"/>
    <w:rsid w:val="00C76E09"/>
    <w:rsid w:val="00C76F07"/>
    <w:rsid w:val="00C77324"/>
    <w:rsid w:val="00C77EF6"/>
    <w:rsid w:val="00C80B4B"/>
    <w:rsid w:val="00C80D63"/>
    <w:rsid w:val="00C80E85"/>
    <w:rsid w:val="00C811D6"/>
    <w:rsid w:val="00C8129D"/>
    <w:rsid w:val="00C812D5"/>
    <w:rsid w:val="00C81536"/>
    <w:rsid w:val="00C81565"/>
    <w:rsid w:val="00C81BEA"/>
    <w:rsid w:val="00C81DF5"/>
    <w:rsid w:val="00C82188"/>
    <w:rsid w:val="00C8242B"/>
    <w:rsid w:val="00C82A50"/>
    <w:rsid w:val="00C83240"/>
    <w:rsid w:val="00C83381"/>
    <w:rsid w:val="00C83607"/>
    <w:rsid w:val="00C83768"/>
    <w:rsid w:val="00C83A38"/>
    <w:rsid w:val="00C83B18"/>
    <w:rsid w:val="00C84032"/>
    <w:rsid w:val="00C840C3"/>
    <w:rsid w:val="00C841B4"/>
    <w:rsid w:val="00C84266"/>
    <w:rsid w:val="00C8466F"/>
    <w:rsid w:val="00C8489E"/>
    <w:rsid w:val="00C849E0"/>
    <w:rsid w:val="00C84A69"/>
    <w:rsid w:val="00C84B74"/>
    <w:rsid w:val="00C8512A"/>
    <w:rsid w:val="00C85378"/>
    <w:rsid w:val="00C85970"/>
    <w:rsid w:val="00C85E9B"/>
    <w:rsid w:val="00C86BDC"/>
    <w:rsid w:val="00C86BE9"/>
    <w:rsid w:val="00C874C8"/>
    <w:rsid w:val="00C90165"/>
    <w:rsid w:val="00C902DA"/>
    <w:rsid w:val="00C90733"/>
    <w:rsid w:val="00C921C4"/>
    <w:rsid w:val="00C9235F"/>
    <w:rsid w:val="00C9257F"/>
    <w:rsid w:val="00C9319C"/>
    <w:rsid w:val="00C9330C"/>
    <w:rsid w:val="00C934F6"/>
    <w:rsid w:val="00C93874"/>
    <w:rsid w:val="00C93A4C"/>
    <w:rsid w:val="00C944EB"/>
    <w:rsid w:val="00C94DE5"/>
    <w:rsid w:val="00C94FD2"/>
    <w:rsid w:val="00C95341"/>
    <w:rsid w:val="00C954F0"/>
    <w:rsid w:val="00C95B76"/>
    <w:rsid w:val="00C95F94"/>
    <w:rsid w:val="00C964C3"/>
    <w:rsid w:val="00C964D6"/>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9B5"/>
    <w:rsid w:val="00CA3EEE"/>
    <w:rsid w:val="00CA4223"/>
    <w:rsid w:val="00CA5098"/>
    <w:rsid w:val="00CA50DF"/>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592"/>
    <w:rsid w:val="00CB59E7"/>
    <w:rsid w:val="00CB5D27"/>
    <w:rsid w:val="00CB5E4A"/>
    <w:rsid w:val="00CB6FCA"/>
    <w:rsid w:val="00CB724D"/>
    <w:rsid w:val="00CB7340"/>
    <w:rsid w:val="00CB73EA"/>
    <w:rsid w:val="00CB76E3"/>
    <w:rsid w:val="00CB7D4E"/>
    <w:rsid w:val="00CB7F1F"/>
    <w:rsid w:val="00CC002B"/>
    <w:rsid w:val="00CC07E5"/>
    <w:rsid w:val="00CC09F0"/>
    <w:rsid w:val="00CC0C11"/>
    <w:rsid w:val="00CC18EB"/>
    <w:rsid w:val="00CC1F52"/>
    <w:rsid w:val="00CC233F"/>
    <w:rsid w:val="00CC27FD"/>
    <w:rsid w:val="00CC29A4"/>
    <w:rsid w:val="00CC31E8"/>
    <w:rsid w:val="00CC3AB9"/>
    <w:rsid w:val="00CC3C9E"/>
    <w:rsid w:val="00CC3F1C"/>
    <w:rsid w:val="00CC45E0"/>
    <w:rsid w:val="00CC4BBE"/>
    <w:rsid w:val="00CC4BC3"/>
    <w:rsid w:val="00CC4D5D"/>
    <w:rsid w:val="00CC4F5A"/>
    <w:rsid w:val="00CC50C7"/>
    <w:rsid w:val="00CC55AC"/>
    <w:rsid w:val="00CC5859"/>
    <w:rsid w:val="00CC649E"/>
    <w:rsid w:val="00CC66CB"/>
    <w:rsid w:val="00CC6D1C"/>
    <w:rsid w:val="00CC71DD"/>
    <w:rsid w:val="00CC71F3"/>
    <w:rsid w:val="00CC72C0"/>
    <w:rsid w:val="00CC757D"/>
    <w:rsid w:val="00CC7C74"/>
    <w:rsid w:val="00CC7E7D"/>
    <w:rsid w:val="00CD00DB"/>
    <w:rsid w:val="00CD0119"/>
    <w:rsid w:val="00CD02C5"/>
    <w:rsid w:val="00CD07FD"/>
    <w:rsid w:val="00CD0866"/>
    <w:rsid w:val="00CD1169"/>
    <w:rsid w:val="00CD15F1"/>
    <w:rsid w:val="00CD16C7"/>
    <w:rsid w:val="00CD1788"/>
    <w:rsid w:val="00CD1A40"/>
    <w:rsid w:val="00CD1AA8"/>
    <w:rsid w:val="00CD1B33"/>
    <w:rsid w:val="00CD24A8"/>
    <w:rsid w:val="00CD25F3"/>
    <w:rsid w:val="00CD2628"/>
    <w:rsid w:val="00CD2796"/>
    <w:rsid w:val="00CD27FF"/>
    <w:rsid w:val="00CD2875"/>
    <w:rsid w:val="00CD2C93"/>
    <w:rsid w:val="00CD2DF3"/>
    <w:rsid w:val="00CD2E7E"/>
    <w:rsid w:val="00CD305C"/>
    <w:rsid w:val="00CD3A6D"/>
    <w:rsid w:val="00CD3DB2"/>
    <w:rsid w:val="00CD3E5A"/>
    <w:rsid w:val="00CD3E63"/>
    <w:rsid w:val="00CD40A3"/>
    <w:rsid w:val="00CD457E"/>
    <w:rsid w:val="00CD461B"/>
    <w:rsid w:val="00CD4CD3"/>
    <w:rsid w:val="00CD5608"/>
    <w:rsid w:val="00CD589F"/>
    <w:rsid w:val="00CD60C9"/>
    <w:rsid w:val="00CD6345"/>
    <w:rsid w:val="00CD6835"/>
    <w:rsid w:val="00CD6BBB"/>
    <w:rsid w:val="00CD7482"/>
    <w:rsid w:val="00CD74BE"/>
    <w:rsid w:val="00CD75C1"/>
    <w:rsid w:val="00CE05BD"/>
    <w:rsid w:val="00CE07C1"/>
    <w:rsid w:val="00CE1567"/>
    <w:rsid w:val="00CE1859"/>
    <w:rsid w:val="00CE186F"/>
    <w:rsid w:val="00CE20E3"/>
    <w:rsid w:val="00CE273A"/>
    <w:rsid w:val="00CE2C37"/>
    <w:rsid w:val="00CE321C"/>
    <w:rsid w:val="00CE32E8"/>
    <w:rsid w:val="00CE353C"/>
    <w:rsid w:val="00CE3700"/>
    <w:rsid w:val="00CE3B69"/>
    <w:rsid w:val="00CE4559"/>
    <w:rsid w:val="00CE4B49"/>
    <w:rsid w:val="00CE5118"/>
    <w:rsid w:val="00CE5487"/>
    <w:rsid w:val="00CE59B5"/>
    <w:rsid w:val="00CE59DB"/>
    <w:rsid w:val="00CE5D3A"/>
    <w:rsid w:val="00CE67D8"/>
    <w:rsid w:val="00CE68EA"/>
    <w:rsid w:val="00CE7381"/>
    <w:rsid w:val="00CE7447"/>
    <w:rsid w:val="00CE74CE"/>
    <w:rsid w:val="00CE7510"/>
    <w:rsid w:val="00CE7AB0"/>
    <w:rsid w:val="00CF07CB"/>
    <w:rsid w:val="00CF0829"/>
    <w:rsid w:val="00CF0E74"/>
    <w:rsid w:val="00CF1833"/>
    <w:rsid w:val="00CF1AEA"/>
    <w:rsid w:val="00CF1E3B"/>
    <w:rsid w:val="00CF1FF2"/>
    <w:rsid w:val="00CF2091"/>
    <w:rsid w:val="00CF21F6"/>
    <w:rsid w:val="00CF2278"/>
    <w:rsid w:val="00CF267C"/>
    <w:rsid w:val="00CF2C62"/>
    <w:rsid w:val="00CF2F66"/>
    <w:rsid w:val="00CF3345"/>
    <w:rsid w:val="00CF337B"/>
    <w:rsid w:val="00CF3FE7"/>
    <w:rsid w:val="00CF40BE"/>
    <w:rsid w:val="00CF4416"/>
    <w:rsid w:val="00CF4740"/>
    <w:rsid w:val="00CF5221"/>
    <w:rsid w:val="00CF5762"/>
    <w:rsid w:val="00CF65B4"/>
    <w:rsid w:val="00CF6806"/>
    <w:rsid w:val="00CF69B0"/>
    <w:rsid w:val="00CF6C05"/>
    <w:rsid w:val="00CF709F"/>
    <w:rsid w:val="00CF7485"/>
    <w:rsid w:val="00CF7787"/>
    <w:rsid w:val="00CF7E56"/>
    <w:rsid w:val="00D0115E"/>
    <w:rsid w:val="00D01744"/>
    <w:rsid w:val="00D01C03"/>
    <w:rsid w:val="00D020B5"/>
    <w:rsid w:val="00D0250B"/>
    <w:rsid w:val="00D025CE"/>
    <w:rsid w:val="00D026A3"/>
    <w:rsid w:val="00D02A0F"/>
    <w:rsid w:val="00D02CA6"/>
    <w:rsid w:val="00D02DF3"/>
    <w:rsid w:val="00D03181"/>
    <w:rsid w:val="00D037DC"/>
    <w:rsid w:val="00D0383B"/>
    <w:rsid w:val="00D03A8A"/>
    <w:rsid w:val="00D03DA5"/>
    <w:rsid w:val="00D03F27"/>
    <w:rsid w:val="00D043EE"/>
    <w:rsid w:val="00D0470D"/>
    <w:rsid w:val="00D04EB6"/>
    <w:rsid w:val="00D05130"/>
    <w:rsid w:val="00D05249"/>
    <w:rsid w:val="00D05332"/>
    <w:rsid w:val="00D055CA"/>
    <w:rsid w:val="00D059FC"/>
    <w:rsid w:val="00D05DEF"/>
    <w:rsid w:val="00D0681E"/>
    <w:rsid w:val="00D06861"/>
    <w:rsid w:val="00D0688A"/>
    <w:rsid w:val="00D06F22"/>
    <w:rsid w:val="00D07A9C"/>
    <w:rsid w:val="00D07B44"/>
    <w:rsid w:val="00D10076"/>
    <w:rsid w:val="00D1033B"/>
    <w:rsid w:val="00D10477"/>
    <w:rsid w:val="00D107E2"/>
    <w:rsid w:val="00D119E2"/>
    <w:rsid w:val="00D11D76"/>
    <w:rsid w:val="00D121F5"/>
    <w:rsid w:val="00D126E4"/>
    <w:rsid w:val="00D12ACB"/>
    <w:rsid w:val="00D12C29"/>
    <w:rsid w:val="00D131BF"/>
    <w:rsid w:val="00D13A90"/>
    <w:rsid w:val="00D1404F"/>
    <w:rsid w:val="00D140E6"/>
    <w:rsid w:val="00D147E0"/>
    <w:rsid w:val="00D14AD2"/>
    <w:rsid w:val="00D14C7E"/>
    <w:rsid w:val="00D1505E"/>
    <w:rsid w:val="00D1529E"/>
    <w:rsid w:val="00D158E6"/>
    <w:rsid w:val="00D158EF"/>
    <w:rsid w:val="00D15C14"/>
    <w:rsid w:val="00D15E74"/>
    <w:rsid w:val="00D15FAA"/>
    <w:rsid w:val="00D16A14"/>
    <w:rsid w:val="00D16ECB"/>
    <w:rsid w:val="00D16EEE"/>
    <w:rsid w:val="00D17167"/>
    <w:rsid w:val="00D17BA5"/>
    <w:rsid w:val="00D2058D"/>
    <w:rsid w:val="00D2176E"/>
    <w:rsid w:val="00D2182A"/>
    <w:rsid w:val="00D218BC"/>
    <w:rsid w:val="00D2193D"/>
    <w:rsid w:val="00D21D28"/>
    <w:rsid w:val="00D21F25"/>
    <w:rsid w:val="00D22105"/>
    <w:rsid w:val="00D2211C"/>
    <w:rsid w:val="00D22564"/>
    <w:rsid w:val="00D22B55"/>
    <w:rsid w:val="00D22BDD"/>
    <w:rsid w:val="00D22C81"/>
    <w:rsid w:val="00D23055"/>
    <w:rsid w:val="00D230AD"/>
    <w:rsid w:val="00D2320E"/>
    <w:rsid w:val="00D2327A"/>
    <w:rsid w:val="00D251AB"/>
    <w:rsid w:val="00D25240"/>
    <w:rsid w:val="00D25AC6"/>
    <w:rsid w:val="00D25BF1"/>
    <w:rsid w:val="00D261D3"/>
    <w:rsid w:val="00D2693B"/>
    <w:rsid w:val="00D27086"/>
    <w:rsid w:val="00D276D0"/>
    <w:rsid w:val="00D27D4F"/>
    <w:rsid w:val="00D27FDD"/>
    <w:rsid w:val="00D305BE"/>
    <w:rsid w:val="00D31048"/>
    <w:rsid w:val="00D319DF"/>
    <w:rsid w:val="00D31C02"/>
    <w:rsid w:val="00D3225E"/>
    <w:rsid w:val="00D324BC"/>
    <w:rsid w:val="00D32B9F"/>
    <w:rsid w:val="00D331A5"/>
    <w:rsid w:val="00D33565"/>
    <w:rsid w:val="00D33761"/>
    <w:rsid w:val="00D33762"/>
    <w:rsid w:val="00D3451C"/>
    <w:rsid w:val="00D34BD1"/>
    <w:rsid w:val="00D35177"/>
    <w:rsid w:val="00D356E1"/>
    <w:rsid w:val="00D364FD"/>
    <w:rsid w:val="00D40609"/>
    <w:rsid w:val="00D40983"/>
    <w:rsid w:val="00D40B3B"/>
    <w:rsid w:val="00D40DD8"/>
    <w:rsid w:val="00D40E43"/>
    <w:rsid w:val="00D41188"/>
    <w:rsid w:val="00D41228"/>
    <w:rsid w:val="00D41576"/>
    <w:rsid w:val="00D417D3"/>
    <w:rsid w:val="00D418D5"/>
    <w:rsid w:val="00D41DB1"/>
    <w:rsid w:val="00D4276D"/>
    <w:rsid w:val="00D42798"/>
    <w:rsid w:val="00D42970"/>
    <w:rsid w:val="00D42A21"/>
    <w:rsid w:val="00D43047"/>
    <w:rsid w:val="00D43468"/>
    <w:rsid w:val="00D43AED"/>
    <w:rsid w:val="00D44916"/>
    <w:rsid w:val="00D458BD"/>
    <w:rsid w:val="00D45AE4"/>
    <w:rsid w:val="00D45CA4"/>
    <w:rsid w:val="00D45EA7"/>
    <w:rsid w:val="00D45F22"/>
    <w:rsid w:val="00D47178"/>
    <w:rsid w:val="00D4752E"/>
    <w:rsid w:val="00D47842"/>
    <w:rsid w:val="00D47BEF"/>
    <w:rsid w:val="00D47C0D"/>
    <w:rsid w:val="00D47E67"/>
    <w:rsid w:val="00D50826"/>
    <w:rsid w:val="00D5150A"/>
    <w:rsid w:val="00D51675"/>
    <w:rsid w:val="00D51F73"/>
    <w:rsid w:val="00D52827"/>
    <w:rsid w:val="00D529BE"/>
    <w:rsid w:val="00D52CF6"/>
    <w:rsid w:val="00D53D3E"/>
    <w:rsid w:val="00D54457"/>
    <w:rsid w:val="00D547E0"/>
    <w:rsid w:val="00D54992"/>
    <w:rsid w:val="00D55291"/>
    <w:rsid w:val="00D55C48"/>
    <w:rsid w:val="00D55E47"/>
    <w:rsid w:val="00D56180"/>
    <w:rsid w:val="00D56392"/>
    <w:rsid w:val="00D56997"/>
    <w:rsid w:val="00D569A3"/>
    <w:rsid w:val="00D56BF7"/>
    <w:rsid w:val="00D570E6"/>
    <w:rsid w:val="00D5730F"/>
    <w:rsid w:val="00D5774F"/>
    <w:rsid w:val="00D60809"/>
    <w:rsid w:val="00D60D7F"/>
    <w:rsid w:val="00D61066"/>
    <w:rsid w:val="00D61458"/>
    <w:rsid w:val="00D61C9C"/>
    <w:rsid w:val="00D61E7B"/>
    <w:rsid w:val="00D62065"/>
    <w:rsid w:val="00D62111"/>
    <w:rsid w:val="00D62229"/>
    <w:rsid w:val="00D625B8"/>
    <w:rsid w:val="00D626F8"/>
    <w:rsid w:val="00D63458"/>
    <w:rsid w:val="00D636C2"/>
    <w:rsid w:val="00D636DC"/>
    <w:rsid w:val="00D63CC7"/>
    <w:rsid w:val="00D63F4C"/>
    <w:rsid w:val="00D64613"/>
    <w:rsid w:val="00D64702"/>
    <w:rsid w:val="00D649DC"/>
    <w:rsid w:val="00D65A6A"/>
    <w:rsid w:val="00D65D66"/>
    <w:rsid w:val="00D65EDA"/>
    <w:rsid w:val="00D66BFD"/>
    <w:rsid w:val="00D66C91"/>
    <w:rsid w:val="00D66D46"/>
    <w:rsid w:val="00D66D70"/>
    <w:rsid w:val="00D674EE"/>
    <w:rsid w:val="00D67535"/>
    <w:rsid w:val="00D67BC9"/>
    <w:rsid w:val="00D67DBC"/>
    <w:rsid w:val="00D704D9"/>
    <w:rsid w:val="00D70612"/>
    <w:rsid w:val="00D70934"/>
    <w:rsid w:val="00D70BD2"/>
    <w:rsid w:val="00D713F2"/>
    <w:rsid w:val="00D71B32"/>
    <w:rsid w:val="00D71DC6"/>
    <w:rsid w:val="00D71E85"/>
    <w:rsid w:val="00D721B1"/>
    <w:rsid w:val="00D72705"/>
    <w:rsid w:val="00D738BF"/>
    <w:rsid w:val="00D73B93"/>
    <w:rsid w:val="00D73C95"/>
    <w:rsid w:val="00D7400F"/>
    <w:rsid w:val="00D745C1"/>
    <w:rsid w:val="00D74784"/>
    <w:rsid w:val="00D74C0D"/>
    <w:rsid w:val="00D75053"/>
    <w:rsid w:val="00D756F6"/>
    <w:rsid w:val="00D75731"/>
    <w:rsid w:val="00D75B45"/>
    <w:rsid w:val="00D75B5C"/>
    <w:rsid w:val="00D75F8C"/>
    <w:rsid w:val="00D76050"/>
    <w:rsid w:val="00D76210"/>
    <w:rsid w:val="00D76309"/>
    <w:rsid w:val="00D76423"/>
    <w:rsid w:val="00D767BF"/>
    <w:rsid w:val="00D77278"/>
    <w:rsid w:val="00D775B5"/>
    <w:rsid w:val="00D7782E"/>
    <w:rsid w:val="00D77961"/>
    <w:rsid w:val="00D77A47"/>
    <w:rsid w:val="00D77B20"/>
    <w:rsid w:val="00D77B3B"/>
    <w:rsid w:val="00D77D1C"/>
    <w:rsid w:val="00D8007C"/>
    <w:rsid w:val="00D8079F"/>
    <w:rsid w:val="00D8103B"/>
    <w:rsid w:val="00D8111B"/>
    <w:rsid w:val="00D81242"/>
    <w:rsid w:val="00D812D2"/>
    <w:rsid w:val="00D81F1B"/>
    <w:rsid w:val="00D822E5"/>
    <w:rsid w:val="00D82C80"/>
    <w:rsid w:val="00D82D02"/>
    <w:rsid w:val="00D82D0F"/>
    <w:rsid w:val="00D8336C"/>
    <w:rsid w:val="00D83A5A"/>
    <w:rsid w:val="00D83E12"/>
    <w:rsid w:val="00D84157"/>
    <w:rsid w:val="00D84AB8"/>
    <w:rsid w:val="00D84BD7"/>
    <w:rsid w:val="00D84DCA"/>
    <w:rsid w:val="00D85114"/>
    <w:rsid w:val="00D857BC"/>
    <w:rsid w:val="00D85CC6"/>
    <w:rsid w:val="00D866CC"/>
    <w:rsid w:val="00D86A92"/>
    <w:rsid w:val="00D871B6"/>
    <w:rsid w:val="00D875E1"/>
    <w:rsid w:val="00D90052"/>
    <w:rsid w:val="00D90275"/>
    <w:rsid w:val="00D902F5"/>
    <w:rsid w:val="00D9075D"/>
    <w:rsid w:val="00D90959"/>
    <w:rsid w:val="00D91410"/>
    <w:rsid w:val="00D91438"/>
    <w:rsid w:val="00D91594"/>
    <w:rsid w:val="00D91ABE"/>
    <w:rsid w:val="00D91DFB"/>
    <w:rsid w:val="00D921DA"/>
    <w:rsid w:val="00D929A2"/>
    <w:rsid w:val="00D92A4A"/>
    <w:rsid w:val="00D92C2F"/>
    <w:rsid w:val="00D92DE4"/>
    <w:rsid w:val="00D92F7F"/>
    <w:rsid w:val="00D930AC"/>
    <w:rsid w:val="00D9459D"/>
    <w:rsid w:val="00D94730"/>
    <w:rsid w:val="00D94858"/>
    <w:rsid w:val="00D9487D"/>
    <w:rsid w:val="00D94972"/>
    <w:rsid w:val="00D9535B"/>
    <w:rsid w:val="00D954A1"/>
    <w:rsid w:val="00D95519"/>
    <w:rsid w:val="00D95744"/>
    <w:rsid w:val="00D958FC"/>
    <w:rsid w:val="00D959AE"/>
    <w:rsid w:val="00D95DC2"/>
    <w:rsid w:val="00D96678"/>
    <w:rsid w:val="00D9673A"/>
    <w:rsid w:val="00D96A3F"/>
    <w:rsid w:val="00D96C73"/>
    <w:rsid w:val="00D96D46"/>
    <w:rsid w:val="00D97A3A"/>
    <w:rsid w:val="00D97C27"/>
    <w:rsid w:val="00DA032C"/>
    <w:rsid w:val="00DA0526"/>
    <w:rsid w:val="00DA0639"/>
    <w:rsid w:val="00DA0B8C"/>
    <w:rsid w:val="00DA0CF7"/>
    <w:rsid w:val="00DA0E96"/>
    <w:rsid w:val="00DA1203"/>
    <w:rsid w:val="00DA14A0"/>
    <w:rsid w:val="00DA15AC"/>
    <w:rsid w:val="00DA18DA"/>
    <w:rsid w:val="00DA1F0C"/>
    <w:rsid w:val="00DA24E9"/>
    <w:rsid w:val="00DA25E6"/>
    <w:rsid w:val="00DA2935"/>
    <w:rsid w:val="00DA2B06"/>
    <w:rsid w:val="00DA2B20"/>
    <w:rsid w:val="00DA2D97"/>
    <w:rsid w:val="00DA3565"/>
    <w:rsid w:val="00DA359C"/>
    <w:rsid w:val="00DA36A9"/>
    <w:rsid w:val="00DA3A5B"/>
    <w:rsid w:val="00DA3D0B"/>
    <w:rsid w:val="00DA3F51"/>
    <w:rsid w:val="00DA41AA"/>
    <w:rsid w:val="00DA45A0"/>
    <w:rsid w:val="00DA45DB"/>
    <w:rsid w:val="00DA48D9"/>
    <w:rsid w:val="00DA49F8"/>
    <w:rsid w:val="00DA4AAE"/>
    <w:rsid w:val="00DA5572"/>
    <w:rsid w:val="00DA5BFE"/>
    <w:rsid w:val="00DA5D5D"/>
    <w:rsid w:val="00DA6A15"/>
    <w:rsid w:val="00DA6B3A"/>
    <w:rsid w:val="00DA6CC2"/>
    <w:rsid w:val="00DA7029"/>
    <w:rsid w:val="00DA70B9"/>
    <w:rsid w:val="00DA77A0"/>
    <w:rsid w:val="00DB09A2"/>
    <w:rsid w:val="00DB103D"/>
    <w:rsid w:val="00DB1420"/>
    <w:rsid w:val="00DB1448"/>
    <w:rsid w:val="00DB1907"/>
    <w:rsid w:val="00DB1998"/>
    <w:rsid w:val="00DB1FC4"/>
    <w:rsid w:val="00DB21F0"/>
    <w:rsid w:val="00DB25DB"/>
    <w:rsid w:val="00DB2C5F"/>
    <w:rsid w:val="00DB34B1"/>
    <w:rsid w:val="00DB3A58"/>
    <w:rsid w:val="00DB3BDF"/>
    <w:rsid w:val="00DB3C58"/>
    <w:rsid w:val="00DB3D46"/>
    <w:rsid w:val="00DB401C"/>
    <w:rsid w:val="00DB46C8"/>
    <w:rsid w:val="00DB4837"/>
    <w:rsid w:val="00DB52F0"/>
    <w:rsid w:val="00DB540E"/>
    <w:rsid w:val="00DB5A63"/>
    <w:rsid w:val="00DB6166"/>
    <w:rsid w:val="00DB6520"/>
    <w:rsid w:val="00DB656B"/>
    <w:rsid w:val="00DB6803"/>
    <w:rsid w:val="00DB691E"/>
    <w:rsid w:val="00DB6C99"/>
    <w:rsid w:val="00DB6EB1"/>
    <w:rsid w:val="00DB74A9"/>
    <w:rsid w:val="00DB75A3"/>
    <w:rsid w:val="00DC02F5"/>
    <w:rsid w:val="00DC0574"/>
    <w:rsid w:val="00DC0C65"/>
    <w:rsid w:val="00DC10E5"/>
    <w:rsid w:val="00DC16BF"/>
    <w:rsid w:val="00DC16E1"/>
    <w:rsid w:val="00DC16FC"/>
    <w:rsid w:val="00DC1881"/>
    <w:rsid w:val="00DC19CB"/>
    <w:rsid w:val="00DC1ED7"/>
    <w:rsid w:val="00DC209D"/>
    <w:rsid w:val="00DC294E"/>
    <w:rsid w:val="00DC37B9"/>
    <w:rsid w:val="00DC3954"/>
    <w:rsid w:val="00DC3A6F"/>
    <w:rsid w:val="00DC3D1C"/>
    <w:rsid w:val="00DC43E1"/>
    <w:rsid w:val="00DC50E9"/>
    <w:rsid w:val="00DC5199"/>
    <w:rsid w:val="00DC5A32"/>
    <w:rsid w:val="00DC5E4E"/>
    <w:rsid w:val="00DC63ED"/>
    <w:rsid w:val="00DC651B"/>
    <w:rsid w:val="00DC662F"/>
    <w:rsid w:val="00DC6961"/>
    <w:rsid w:val="00DC6E78"/>
    <w:rsid w:val="00DC707F"/>
    <w:rsid w:val="00DC729A"/>
    <w:rsid w:val="00DC73B1"/>
    <w:rsid w:val="00DC7519"/>
    <w:rsid w:val="00DC7630"/>
    <w:rsid w:val="00DC7EB5"/>
    <w:rsid w:val="00DD04AC"/>
    <w:rsid w:val="00DD04DD"/>
    <w:rsid w:val="00DD0891"/>
    <w:rsid w:val="00DD0AB4"/>
    <w:rsid w:val="00DD0B35"/>
    <w:rsid w:val="00DD0C4D"/>
    <w:rsid w:val="00DD0F9F"/>
    <w:rsid w:val="00DD11A7"/>
    <w:rsid w:val="00DD1298"/>
    <w:rsid w:val="00DD2300"/>
    <w:rsid w:val="00DD2309"/>
    <w:rsid w:val="00DD28B3"/>
    <w:rsid w:val="00DD2DE3"/>
    <w:rsid w:val="00DD2DE8"/>
    <w:rsid w:val="00DD316F"/>
    <w:rsid w:val="00DD357C"/>
    <w:rsid w:val="00DD370C"/>
    <w:rsid w:val="00DD37CA"/>
    <w:rsid w:val="00DD3D55"/>
    <w:rsid w:val="00DD3DF7"/>
    <w:rsid w:val="00DD3E58"/>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BDD"/>
    <w:rsid w:val="00DE2C45"/>
    <w:rsid w:val="00DE2D49"/>
    <w:rsid w:val="00DE2ED5"/>
    <w:rsid w:val="00DE2F4E"/>
    <w:rsid w:val="00DE30CE"/>
    <w:rsid w:val="00DE3E66"/>
    <w:rsid w:val="00DE3F75"/>
    <w:rsid w:val="00DE41FC"/>
    <w:rsid w:val="00DE45F5"/>
    <w:rsid w:val="00DE4AAD"/>
    <w:rsid w:val="00DE4C0C"/>
    <w:rsid w:val="00DE4D46"/>
    <w:rsid w:val="00DE4FC8"/>
    <w:rsid w:val="00DE53B5"/>
    <w:rsid w:val="00DE5A50"/>
    <w:rsid w:val="00DE5AFF"/>
    <w:rsid w:val="00DE60C5"/>
    <w:rsid w:val="00DE6E27"/>
    <w:rsid w:val="00DE7323"/>
    <w:rsid w:val="00DE75F0"/>
    <w:rsid w:val="00DE77CB"/>
    <w:rsid w:val="00DE7EBA"/>
    <w:rsid w:val="00DE7EF8"/>
    <w:rsid w:val="00DF04BD"/>
    <w:rsid w:val="00DF050A"/>
    <w:rsid w:val="00DF068D"/>
    <w:rsid w:val="00DF0D3A"/>
    <w:rsid w:val="00DF140A"/>
    <w:rsid w:val="00DF1A9A"/>
    <w:rsid w:val="00DF1C2D"/>
    <w:rsid w:val="00DF1F8A"/>
    <w:rsid w:val="00DF2209"/>
    <w:rsid w:val="00DF248E"/>
    <w:rsid w:val="00DF2715"/>
    <w:rsid w:val="00DF3577"/>
    <w:rsid w:val="00DF4063"/>
    <w:rsid w:val="00DF4CDC"/>
    <w:rsid w:val="00DF4EE1"/>
    <w:rsid w:val="00DF58A3"/>
    <w:rsid w:val="00DF5965"/>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D3F"/>
    <w:rsid w:val="00E03DED"/>
    <w:rsid w:val="00E03EB7"/>
    <w:rsid w:val="00E03F32"/>
    <w:rsid w:val="00E0437C"/>
    <w:rsid w:val="00E0452C"/>
    <w:rsid w:val="00E04D61"/>
    <w:rsid w:val="00E0504C"/>
    <w:rsid w:val="00E05074"/>
    <w:rsid w:val="00E052DA"/>
    <w:rsid w:val="00E05489"/>
    <w:rsid w:val="00E05741"/>
    <w:rsid w:val="00E05F7F"/>
    <w:rsid w:val="00E060B5"/>
    <w:rsid w:val="00E06549"/>
    <w:rsid w:val="00E06930"/>
    <w:rsid w:val="00E06971"/>
    <w:rsid w:val="00E073F2"/>
    <w:rsid w:val="00E075FA"/>
    <w:rsid w:val="00E07B27"/>
    <w:rsid w:val="00E07CAF"/>
    <w:rsid w:val="00E07D90"/>
    <w:rsid w:val="00E105B3"/>
    <w:rsid w:val="00E10846"/>
    <w:rsid w:val="00E10883"/>
    <w:rsid w:val="00E108F4"/>
    <w:rsid w:val="00E10D4E"/>
    <w:rsid w:val="00E1100C"/>
    <w:rsid w:val="00E11489"/>
    <w:rsid w:val="00E11711"/>
    <w:rsid w:val="00E11E63"/>
    <w:rsid w:val="00E11F94"/>
    <w:rsid w:val="00E12696"/>
    <w:rsid w:val="00E12E58"/>
    <w:rsid w:val="00E1310D"/>
    <w:rsid w:val="00E13359"/>
    <w:rsid w:val="00E138BF"/>
    <w:rsid w:val="00E14EFA"/>
    <w:rsid w:val="00E151B9"/>
    <w:rsid w:val="00E158C4"/>
    <w:rsid w:val="00E15CC4"/>
    <w:rsid w:val="00E161E6"/>
    <w:rsid w:val="00E167C9"/>
    <w:rsid w:val="00E1698C"/>
    <w:rsid w:val="00E16BDB"/>
    <w:rsid w:val="00E16CE4"/>
    <w:rsid w:val="00E172BE"/>
    <w:rsid w:val="00E17CF7"/>
    <w:rsid w:val="00E2013E"/>
    <w:rsid w:val="00E205D6"/>
    <w:rsid w:val="00E206E3"/>
    <w:rsid w:val="00E209AB"/>
    <w:rsid w:val="00E216EC"/>
    <w:rsid w:val="00E2189A"/>
    <w:rsid w:val="00E21A60"/>
    <w:rsid w:val="00E21CF8"/>
    <w:rsid w:val="00E224CE"/>
    <w:rsid w:val="00E22B5A"/>
    <w:rsid w:val="00E22B68"/>
    <w:rsid w:val="00E231C9"/>
    <w:rsid w:val="00E23640"/>
    <w:rsid w:val="00E23EBF"/>
    <w:rsid w:val="00E23FD5"/>
    <w:rsid w:val="00E24669"/>
    <w:rsid w:val="00E246FB"/>
    <w:rsid w:val="00E24A70"/>
    <w:rsid w:val="00E24C48"/>
    <w:rsid w:val="00E24EE4"/>
    <w:rsid w:val="00E25981"/>
    <w:rsid w:val="00E25A1E"/>
    <w:rsid w:val="00E26056"/>
    <w:rsid w:val="00E26141"/>
    <w:rsid w:val="00E266F5"/>
    <w:rsid w:val="00E2673E"/>
    <w:rsid w:val="00E270D3"/>
    <w:rsid w:val="00E27CC8"/>
    <w:rsid w:val="00E27FC7"/>
    <w:rsid w:val="00E3050B"/>
    <w:rsid w:val="00E30700"/>
    <w:rsid w:val="00E31115"/>
    <w:rsid w:val="00E31141"/>
    <w:rsid w:val="00E31360"/>
    <w:rsid w:val="00E31D28"/>
    <w:rsid w:val="00E32425"/>
    <w:rsid w:val="00E32443"/>
    <w:rsid w:val="00E3252C"/>
    <w:rsid w:val="00E325FF"/>
    <w:rsid w:val="00E32A93"/>
    <w:rsid w:val="00E32CB8"/>
    <w:rsid w:val="00E32F67"/>
    <w:rsid w:val="00E33B78"/>
    <w:rsid w:val="00E3440F"/>
    <w:rsid w:val="00E34F3A"/>
    <w:rsid w:val="00E35F99"/>
    <w:rsid w:val="00E35F9A"/>
    <w:rsid w:val="00E3637F"/>
    <w:rsid w:val="00E364B6"/>
    <w:rsid w:val="00E36723"/>
    <w:rsid w:val="00E36BC3"/>
    <w:rsid w:val="00E3713C"/>
    <w:rsid w:val="00E372F3"/>
    <w:rsid w:val="00E3767B"/>
    <w:rsid w:val="00E37E1C"/>
    <w:rsid w:val="00E40079"/>
    <w:rsid w:val="00E40126"/>
    <w:rsid w:val="00E4013B"/>
    <w:rsid w:val="00E40C85"/>
    <w:rsid w:val="00E40CBF"/>
    <w:rsid w:val="00E40E7D"/>
    <w:rsid w:val="00E40EE4"/>
    <w:rsid w:val="00E413C6"/>
    <w:rsid w:val="00E420D5"/>
    <w:rsid w:val="00E42517"/>
    <w:rsid w:val="00E42948"/>
    <w:rsid w:val="00E42B77"/>
    <w:rsid w:val="00E42D55"/>
    <w:rsid w:val="00E42FFE"/>
    <w:rsid w:val="00E4316E"/>
    <w:rsid w:val="00E435AB"/>
    <w:rsid w:val="00E44275"/>
    <w:rsid w:val="00E445B6"/>
    <w:rsid w:val="00E44705"/>
    <w:rsid w:val="00E44777"/>
    <w:rsid w:val="00E44F67"/>
    <w:rsid w:val="00E4535F"/>
    <w:rsid w:val="00E455E3"/>
    <w:rsid w:val="00E45F9D"/>
    <w:rsid w:val="00E466BC"/>
    <w:rsid w:val="00E4686A"/>
    <w:rsid w:val="00E4791C"/>
    <w:rsid w:val="00E479FD"/>
    <w:rsid w:val="00E47A76"/>
    <w:rsid w:val="00E504D6"/>
    <w:rsid w:val="00E50B6F"/>
    <w:rsid w:val="00E50EBE"/>
    <w:rsid w:val="00E50F69"/>
    <w:rsid w:val="00E50FC6"/>
    <w:rsid w:val="00E510AC"/>
    <w:rsid w:val="00E52372"/>
    <w:rsid w:val="00E5272D"/>
    <w:rsid w:val="00E52786"/>
    <w:rsid w:val="00E52F05"/>
    <w:rsid w:val="00E53844"/>
    <w:rsid w:val="00E53EF7"/>
    <w:rsid w:val="00E540CA"/>
    <w:rsid w:val="00E54C83"/>
    <w:rsid w:val="00E55460"/>
    <w:rsid w:val="00E558BA"/>
    <w:rsid w:val="00E55B28"/>
    <w:rsid w:val="00E56D4A"/>
    <w:rsid w:val="00E57119"/>
    <w:rsid w:val="00E5719E"/>
    <w:rsid w:val="00E57D7B"/>
    <w:rsid w:val="00E57F4B"/>
    <w:rsid w:val="00E602E5"/>
    <w:rsid w:val="00E602F8"/>
    <w:rsid w:val="00E6085B"/>
    <w:rsid w:val="00E60FBA"/>
    <w:rsid w:val="00E60FBF"/>
    <w:rsid w:val="00E6108D"/>
    <w:rsid w:val="00E611AE"/>
    <w:rsid w:val="00E616F9"/>
    <w:rsid w:val="00E61852"/>
    <w:rsid w:val="00E61A0C"/>
    <w:rsid w:val="00E61D22"/>
    <w:rsid w:val="00E61D96"/>
    <w:rsid w:val="00E61E4B"/>
    <w:rsid w:val="00E61E57"/>
    <w:rsid w:val="00E625B6"/>
    <w:rsid w:val="00E62F6E"/>
    <w:rsid w:val="00E630F3"/>
    <w:rsid w:val="00E63DA2"/>
    <w:rsid w:val="00E641E8"/>
    <w:rsid w:val="00E642AF"/>
    <w:rsid w:val="00E644C6"/>
    <w:rsid w:val="00E64555"/>
    <w:rsid w:val="00E64595"/>
    <w:rsid w:val="00E646BB"/>
    <w:rsid w:val="00E64B83"/>
    <w:rsid w:val="00E64D24"/>
    <w:rsid w:val="00E64FAF"/>
    <w:rsid w:val="00E6532C"/>
    <w:rsid w:val="00E653A6"/>
    <w:rsid w:val="00E6549C"/>
    <w:rsid w:val="00E654B9"/>
    <w:rsid w:val="00E6589D"/>
    <w:rsid w:val="00E65E8C"/>
    <w:rsid w:val="00E665E7"/>
    <w:rsid w:val="00E6661C"/>
    <w:rsid w:val="00E66795"/>
    <w:rsid w:val="00E66C96"/>
    <w:rsid w:val="00E67D37"/>
    <w:rsid w:val="00E70130"/>
    <w:rsid w:val="00E706DE"/>
    <w:rsid w:val="00E70875"/>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5FF5"/>
    <w:rsid w:val="00E76A3C"/>
    <w:rsid w:val="00E76F9B"/>
    <w:rsid w:val="00E771FC"/>
    <w:rsid w:val="00E773E5"/>
    <w:rsid w:val="00E77BDD"/>
    <w:rsid w:val="00E80112"/>
    <w:rsid w:val="00E806D3"/>
    <w:rsid w:val="00E8104D"/>
    <w:rsid w:val="00E81C34"/>
    <w:rsid w:val="00E81D83"/>
    <w:rsid w:val="00E821BB"/>
    <w:rsid w:val="00E822E9"/>
    <w:rsid w:val="00E826FE"/>
    <w:rsid w:val="00E8275E"/>
    <w:rsid w:val="00E827AF"/>
    <w:rsid w:val="00E82CA0"/>
    <w:rsid w:val="00E82DE9"/>
    <w:rsid w:val="00E83253"/>
    <w:rsid w:val="00E83714"/>
    <w:rsid w:val="00E83831"/>
    <w:rsid w:val="00E83C91"/>
    <w:rsid w:val="00E83D91"/>
    <w:rsid w:val="00E844AB"/>
    <w:rsid w:val="00E84851"/>
    <w:rsid w:val="00E84C97"/>
    <w:rsid w:val="00E84C98"/>
    <w:rsid w:val="00E85005"/>
    <w:rsid w:val="00E85296"/>
    <w:rsid w:val="00E8533B"/>
    <w:rsid w:val="00E85BD0"/>
    <w:rsid w:val="00E85E4E"/>
    <w:rsid w:val="00E86327"/>
    <w:rsid w:val="00E86DF0"/>
    <w:rsid w:val="00E87711"/>
    <w:rsid w:val="00E87BD2"/>
    <w:rsid w:val="00E87CDC"/>
    <w:rsid w:val="00E90A2A"/>
    <w:rsid w:val="00E90B33"/>
    <w:rsid w:val="00E90D2E"/>
    <w:rsid w:val="00E910E4"/>
    <w:rsid w:val="00E911E0"/>
    <w:rsid w:val="00E92115"/>
    <w:rsid w:val="00E921F9"/>
    <w:rsid w:val="00E92938"/>
    <w:rsid w:val="00E931A3"/>
    <w:rsid w:val="00E93407"/>
    <w:rsid w:val="00E93572"/>
    <w:rsid w:val="00E93640"/>
    <w:rsid w:val="00E940A8"/>
    <w:rsid w:val="00E94307"/>
    <w:rsid w:val="00E947E8"/>
    <w:rsid w:val="00E94B0F"/>
    <w:rsid w:val="00E94EF6"/>
    <w:rsid w:val="00E9503F"/>
    <w:rsid w:val="00E954DF"/>
    <w:rsid w:val="00E956F3"/>
    <w:rsid w:val="00E95AA7"/>
    <w:rsid w:val="00E967C0"/>
    <w:rsid w:val="00E96E68"/>
    <w:rsid w:val="00E97013"/>
    <w:rsid w:val="00E97EA1"/>
    <w:rsid w:val="00EA0BBE"/>
    <w:rsid w:val="00EA18B9"/>
    <w:rsid w:val="00EA193E"/>
    <w:rsid w:val="00EA1D70"/>
    <w:rsid w:val="00EA1FBC"/>
    <w:rsid w:val="00EA20A1"/>
    <w:rsid w:val="00EA212B"/>
    <w:rsid w:val="00EA24B5"/>
    <w:rsid w:val="00EA2AAA"/>
    <w:rsid w:val="00EA2D41"/>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2F9"/>
    <w:rsid w:val="00EB0A47"/>
    <w:rsid w:val="00EB0F0F"/>
    <w:rsid w:val="00EB12A5"/>
    <w:rsid w:val="00EB24D8"/>
    <w:rsid w:val="00EB277B"/>
    <w:rsid w:val="00EB2F20"/>
    <w:rsid w:val="00EB2F35"/>
    <w:rsid w:val="00EB31DB"/>
    <w:rsid w:val="00EB3422"/>
    <w:rsid w:val="00EB3A31"/>
    <w:rsid w:val="00EB4389"/>
    <w:rsid w:val="00EB4EAF"/>
    <w:rsid w:val="00EB548E"/>
    <w:rsid w:val="00EB584B"/>
    <w:rsid w:val="00EB5C41"/>
    <w:rsid w:val="00EB5F5A"/>
    <w:rsid w:val="00EB647F"/>
    <w:rsid w:val="00EB656C"/>
    <w:rsid w:val="00EB657E"/>
    <w:rsid w:val="00EB695E"/>
    <w:rsid w:val="00EB69D1"/>
    <w:rsid w:val="00EB69D4"/>
    <w:rsid w:val="00EB6FE9"/>
    <w:rsid w:val="00EB72FF"/>
    <w:rsid w:val="00EB756F"/>
    <w:rsid w:val="00EB79C8"/>
    <w:rsid w:val="00EB7E3F"/>
    <w:rsid w:val="00EB7E78"/>
    <w:rsid w:val="00EC013A"/>
    <w:rsid w:val="00EC0301"/>
    <w:rsid w:val="00EC08B5"/>
    <w:rsid w:val="00EC09C6"/>
    <w:rsid w:val="00EC0EA5"/>
    <w:rsid w:val="00EC1056"/>
    <w:rsid w:val="00EC1470"/>
    <w:rsid w:val="00EC164F"/>
    <w:rsid w:val="00EC222E"/>
    <w:rsid w:val="00EC2716"/>
    <w:rsid w:val="00EC2DBB"/>
    <w:rsid w:val="00EC3517"/>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C7F10"/>
    <w:rsid w:val="00ED04FE"/>
    <w:rsid w:val="00ED0DD0"/>
    <w:rsid w:val="00ED1122"/>
    <w:rsid w:val="00ED1989"/>
    <w:rsid w:val="00ED28F2"/>
    <w:rsid w:val="00ED2F3E"/>
    <w:rsid w:val="00ED3145"/>
    <w:rsid w:val="00ED3219"/>
    <w:rsid w:val="00ED3309"/>
    <w:rsid w:val="00ED356E"/>
    <w:rsid w:val="00ED3792"/>
    <w:rsid w:val="00ED3B83"/>
    <w:rsid w:val="00ED3BDA"/>
    <w:rsid w:val="00ED56F9"/>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1E6"/>
    <w:rsid w:val="00EE0786"/>
    <w:rsid w:val="00EE1B0E"/>
    <w:rsid w:val="00EE22FB"/>
    <w:rsid w:val="00EE2407"/>
    <w:rsid w:val="00EE26AE"/>
    <w:rsid w:val="00EE29C8"/>
    <w:rsid w:val="00EE2A54"/>
    <w:rsid w:val="00EE2FC2"/>
    <w:rsid w:val="00EE310D"/>
    <w:rsid w:val="00EE3AAF"/>
    <w:rsid w:val="00EE3B6B"/>
    <w:rsid w:val="00EE3B88"/>
    <w:rsid w:val="00EE4550"/>
    <w:rsid w:val="00EE4635"/>
    <w:rsid w:val="00EE4B75"/>
    <w:rsid w:val="00EE4D34"/>
    <w:rsid w:val="00EE4DBD"/>
    <w:rsid w:val="00EE4FAC"/>
    <w:rsid w:val="00EE649F"/>
    <w:rsid w:val="00EE6AC6"/>
    <w:rsid w:val="00EE6E26"/>
    <w:rsid w:val="00EE784F"/>
    <w:rsid w:val="00EE7A1D"/>
    <w:rsid w:val="00EE7DBD"/>
    <w:rsid w:val="00EE7E40"/>
    <w:rsid w:val="00EF0500"/>
    <w:rsid w:val="00EF0808"/>
    <w:rsid w:val="00EF0A68"/>
    <w:rsid w:val="00EF1002"/>
    <w:rsid w:val="00EF143F"/>
    <w:rsid w:val="00EF1710"/>
    <w:rsid w:val="00EF1D3B"/>
    <w:rsid w:val="00EF23D8"/>
    <w:rsid w:val="00EF2A5A"/>
    <w:rsid w:val="00EF2A87"/>
    <w:rsid w:val="00EF3A74"/>
    <w:rsid w:val="00EF3AE9"/>
    <w:rsid w:val="00EF3EA5"/>
    <w:rsid w:val="00EF49FB"/>
    <w:rsid w:val="00EF55D6"/>
    <w:rsid w:val="00EF5788"/>
    <w:rsid w:val="00EF644D"/>
    <w:rsid w:val="00EF64D4"/>
    <w:rsid w:val="00EF6BAD"/>
    <w:rsid w:val="00EF6D29"/>
    <w:rsid w:val="00EF6E79"/>
    <w:rsid w:val="00EF7138"/>
    <w:rsid w:val="00EF7E0B"/>
    <w:rsid w:val="00F00881"/>
    <w:rsid w:val="00F00917"/>
    <w:rsid w:val="00F00B65"/>
    <w:rsid w:val="00F010BB"/>
    <w:rsid w:val="00F012C1"/>
    <w:rsid w:val="00F0175F"/>
    <w:rsid w:val="00F01850"/>
    <w:rsid w:val="00F01A41"/>
    <w:rsid w:val="00F02CB5"/>
    <w:rsid w:val="00F03280"/>
    <w:rsid w:val="00F0362A"/>
    <w:rsid w:val="00F0385C"/>
    <w:rsid w:val="00F03ABE"/>
    <w:rsid w:val="00F03B69"/>
    <w:rsid w:val="00F04345"/>
    <w:rsid w:val="00F047A4"/>
    <w:rsid w:val="00F04DDA"/>
    <w:rsid w:val="00F04F52"/>
    <w:rsid w:val="00F0510F"/>
    <w:rsid w:val="00F0563F"/>
    <w:rsid w:val="00F05973"/>
    <w:rsid w:val="00F064EF"/>
    <w:rsid w:val="00F06558"/>
    <w:rsid w:val="00F06817"/>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91B"/>
    <w:rsid w:val="00F11D9F"/>
    <w:rsid w:val="00F11E31"/>
    <w:rsid w:val="00F12C53"/>
    <w:rsid w:val="00F1360C"/>
    <w:rsid w:val="00F13AA1"/>
    <w:rsid w:val="00F13F2A"/>
    <w:rsid w:val="00F148E4"/>
    <w:rsid w:val="00F14D9E"/>
    <w:rsid w:val="00F15097"/>
    <w:rsid w:val="00F152B7"/>
    <w:rsid w:val="00F153F8"/>
    <w:rsid w:val="00F15671"/>
    <w:rsid w:val="00F15FC8"/>
    <w:rsid w:val="00F1643E"/>
    <w:rsid w:val="00F16695"/>
    <w:rsid w:val="00F16CDE"/>
    <w:rsid w:val="00F17159"/>
    <w:rsid w:val="00F1733F"/>
    <w:rsid w:val="00F202E3"/>
    <w:rsid w:val="00F20C6E"/>
    <w:rsid w:val="00F20D2C"/>
    <w:rsid w:val="00F20D6C"/>
    <w:rsid w:val="00F20EDE"/>
    <w:rsid w:val="00F20F03"/>
    <w:rsid w:val="00F2255F"/>
    <w:rsid w:val="00F225CF"/>
    <w:rsid w:val="00F22882"/>
    <w:rsid w:val="00F22985"/>
    <w:rsid w:val="00F22AEF"/>
    <w:rsid w:val="00F22F7A"/>
    <w:rsid w:val="00F2343C"/>
    <w:rsid w:val="00F234DC"/>
    <w:rsid w:val="00F23A0A"/>
    <w:rsid w:val="00F23CFC"/>
    <w:rsid w:val="00F24076"/>
    <w:rsid w:val="00F240CB"/>
    <w:rsid w:val="00F2492F"/>
    <w:rsid w:val="00F2500D"/>
    <w:rsid w:val="00F251B2"/>
    <w:rsid w:val="00F2596D"/>
    <w:rsid w:val="00F25A3E"/>
    <w:rsid w:val="00F25CAA"/>
    <w:rsid w:val="00F26148"/>
    <w:rsid w:val="00F26AD6"/>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6F6"/>
    <w:rsid w:val="00F32AFF"/>
    <w:rsid w:val="00F33825"/>
    <w:rsid w:val="00F33A5E"/>
    <w:rsid w:val="00F33A8B"/>
    <w:rsid w:val="00F33D3B"/>
    <w:rsid w:val="00F33F50"/>
    <w:rsid w:val="00F34A96"/>
    <w:rsid w:val="00F34EBF"/>
    <w:rsid w:val="00F34F05"/>
    <w:rsid w:val="00F34F94"/>
    <w:rsid w:val="00F35467"/>
    <w:rsid w:val="00F356D5"/>
    <w:rsid w:val="00F35734"/>
    <w:rsid w:val="00F359A5"/>
    <w:rsid w:val="00F361AE"/>
    <w:rsid w:val="00F36240"/>
    <w:rsid w:val="00F363EB"/>
    <w:rsid w:val="00F365DE"/>
    <w:rsid w:val="00F366DA"/>
    <w:rsid w:val="00F367CF"/>
    <w:rsid w:val="00F36CCC"/>
    <w:rsid w:val="00F36D37"/>
    <w:rsid w:val="00F3719A"/>
    <w:rsid w:val="00F3791E"/>
    <w:rsid w:val="00F379BF"/>
    <w:rsid w:val="00F37EA7"/>
    <w:rsid w:val="00F37ECC"/>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372"/>
    <w:rsid w:val="00F44542"/>
    <w:rsid w:val="00F448DD"/>
    <w:rsid w:val="00F44D6A"/>
    <w:rsid w:val="00F44DB8"/>
    <w:rsid w:val="00F45392"/>
    <w:rsid w:val="00F45760"/>
    <w:rsid w:val="00F45847"/>
    <w:rsid w:val="00F45925"/>
    <w:rsid w:val="00F46BA6"/>
    <w:rsid w:val="00F46C97"/>
    <w:rsid w:val="00F4703E"/>
    <w:rsid w:val="00F4775F"/>
    <w:rsid w:val="00F478E7"/>
    <w:rsid w:val="00F47E6C"/>
    <w:rsid w:val="00F50781"/>
    <w:rsid w:val="00F50CA3"/>
    <w:rsid w:val="00F517ED"/>
    <w:rsid w:val="00F51F3F"/>
    <w:rsid w:val="00F528B5"/>
    <w:rsid w:val="00F528E7"/>
    <w:rsid w:val="00F52C8A"/>
    <w:rsid w:val="00F5352D"/>
    <w:rsid w:val="00F53615"/>
    <w:rsid w:val="00F53696"/>
    <w:rsid w:val="00F53A91"/>
    <w:rsid w:val="00F53D6E"/>
    <w:rsid w:val="00F54466"/>
    <w:rsid w:val="00F5447F"/>
    <w:rsid w:val="00F54783"/>
    <w:rsid w:val="00F547E9"/>
    <w:rsid w:val="00F5494E"/>
    <w:rsid w:val="00F54ABE"/>
    <w:rsid w:val="00F55804"/>
    <w:rsid w:val="00F5584C"/>
    <w:rsid w:val="00F55F1A"/>
    <w:rsid w:val="00F56310"/>
    <w:rsid w:val="00F5684C"/>
    <w:rsid w:val="00F57210"/>
    <w:rsid w:val="00F577FC"/>
    <w:rsid w:val="00F602F0"/>
    <w:rsid w:val="00F60AF2"/>
    <w:rsid w:val="00F60C90"/>
    <w:rsid w:val="00F612AA"/>
    <w:rsid w:val="00F619EE"/>
    <w:rsid w:val="00F61CF5"/>
    <w:rsid w:val="00F61FF9"/>
    <w:rsid w:val="00F62069"/>
    <w:rsid w:val="00F62159"/>
    <w:rsid w:val="00F62985"/>
    <w:rsid w:val="00F62A7C"/>
    <w:rsid w:val="00F62B93"/>
    <w:rsid w:val="00F633E5"/>
    <w:rsid w:val="00F63C89"/>
    <w:rsid w:val="00F647EC"/>
    <w:rsid w:val="00F64FAB"/>
    <w:rsid w:val="00F654F8"/>
    <w:rsid w:val="00F6583B"/>
    <w:rsid w:val="00F65AC8"/>
    <w:rsid w:val="00F65CEA"/>
    <w:rsid w:val="00F65F15"/>
    <w:rsid w:val="00F662C3"/>
    <w:rsid w:val="00F66443"/>
    <w:rsid w:val="00F6739B"/>
    <w:rsid w:val="00F675EA"/>
    <w:rsid w:val="00F7073B"/>
    <w:rsid w:val="00F7074A"/>
    <w:rsid w:val="00F70AD6"/>
    <w:rsid w:val="00F715BE"/>
    <w:rsid w:val="00F71687"/>
    <w:rsid w:val="00F71708"/>
    <w:rsid w:val="00F717C1"/>
    <w:rsid w:val="00F71AAE"/>
    <w:rsid w:val="00F71CDB"/>
    <w:rsid w:val="00F725D3"/>
    <w:rsid w:val="00F7281E"/>
    <w:rsid w:val="00F72C1A"/>
    <w:rsid w:val="00F72C3D"/>
    <w:rsid w:val="00F72CEE"/>
    <w:rsid w:val="00F737AB"/>
    <w:rsid w:val="00F74216"/>
    <w:rsid w:val="00F74F0F"/>
    <w:rsid w:val="00F75731"/>
    <w:rsid w:val="00F75841"/>
    <w:rsid w:val="00F7587E"/>
    <w:rsid w:val="00F75D7D"/>
    <w:rsid w:val="00F76333"/>
    <w:rsid w:val="00F770C6"/>
    <w:rsid w:val="00F77100"/>
    <w:rsid w:val="00F8090F"/>
    <w:rsid w:val="00F80A8A"/>
    <w:rsid w:val="00F8139A"/>
    <w:rsid w:val="00F82AAE"/>
    <w:rsid w:val="00F834BE"/>
    <w:rsid w:val="00F838A9"/>
    <w:rsid w:val="00F849E3"/>
    <w:rsid w:val="00F84AD6"/>
    <w:rsid w:val="00F84B4E"/>
    <w:rsid w:val="00F84C44"/>
    <w:rsid w:val="00F84F30"/>
    <w:rsid w:val="00F851B7"/>
    <w:rsid w:val="00F8566C"/>
    <w:rsid w:val="00F858D4"/>
    <w:rsid w:val="00F85C65"/>
    <w:rsid w:val="00F860EB"/>
    <w:rsid w:val="00F8615F"/>
    <w:rsid w:val="00F868B6"/>
    <w:rsid w:val="00F86968"/>
    <w:rsid w:val="00F86B7C"/>
    <w:rsid w:val="00F86E42"/>
    <w:rsid w:val="00F876E2"/>
    <w:rsid w:val="00F876E6"/>
    <w:rsid w:val="00F87825"/>
    <w:rsid w:val="00F87838"/>
    <w:rsid w:val="00F879E8"/>
    <w:rsid w:val="00F87FCE"/>
    <w:rsid w:val="00F9008B"/>
    <w:rsid w:val="00F909C7"/>
    <w:rsid w:val="00F90BA5"/>
    <w:rsid w:val="00F911B1"/>
    <w:rsid w:val="00F91669"/>
    <w:rsid w:val="00F916DE"/>
    <w:rsid w:val="00F9184F"/>
    <w:rsid w:val="00F91943"/>
    <w:rsid w:val="00F9219B"/>
    <w:rsid w:val="00F9231D"/>
    <w:rsid w:val="00F92A66"/>
    <w:rsid w:val="00F931CF"/>
    <w:rsid w:val="00F936C4"/>
    <w:rsid w:val="00F93A31"/>
    <w:rsid w:val="00F93D6E"/>
    <w:rsid w:val="00F94046"/>
    <w:rsid w:val="00F9423D"/>
    <w:rsid w:val="00F942C2"/>
    <w:rsid w:val="00F94609"/>
    <w:rsid w:val="00F94F16"/>
    <w:rsid w:val="00F95182"/>
    <w:rsid w:val="00F956E1"/>
    <w:rsid w:val="00F957D2"/>
    <w:rsid w:val="00F95D94"/>
    <w:rsid w:val="00F96F86"/>
    <w:rsid w:val="00F976DD"/>
    <w:rsid w:val="00FA0210"/>
    <w:rsid w:val="00FA02B8"/>
    <w:rsid w:val="00FA0980"/>
    <w:rsid w:val="00FA1028"/>
    <w:rsid w:val="00FA157E"/>
    <w:rsid w:val="00FA181F"/>
    <w:rsid w:val="00FA1C1F"/>
    <w:rsid w:val="00FA1DB0"/>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30F"/>
    <w:rsid w:val="00FB06E7"/>
    <w:rsid w:val="00FB0822"/>
    <w:rsid w:val="00FB0AC3"/>
    <w:rsid w:val="00FB0BFC"/>
    <w:rsid w:val="00FB1050"/>
    <w:rsid w:val="00FB1093"/>
    <w:rsid w:val="00FB13A0"/>
    <w:rsid w:val="00FB2142"/>
    <w:rsid w:val="00FB227E"/>
    <w:rsid w:val="00FB25DA"/>
    <w:rsid w:val="00FB267D"/>
    <w:rsid w:val="00FB2A18"/>
    <w:rsid w:val="00FB2BF4"/>
    <w:rsid w:val="00FB2C8D"/>
    <w:rsid w:val="00FB2DC6"/>
    <w:rsid w:val="00FB3F61"/>
    <w:rsid w:val="00FB4267"/>
    <w:rsid w:val="00FB45CC"/>
    <w:rsid w:val="00FB4C40"/>
    <w:rsid w:val="00FB59D4"/>
    <w:rsid w:val="00FB5E81"/>
    <w:rsid w:val="00FB6E6C"/>
    <w:rsid w:val="00FB71B0"/>
    <w:rsid w:val="00FB773D"/>
    <w:rsid w:val="00FB7ABA"/>
    <w:rsid w:val="00FB7C21"/>
    <w:rsid w:val="00FB7C46"/>
    <w:rsid w:val="00FC04E0"/>
    <w:rsid w:val="00FC06CE"/>
    <w:rsid w:val="00FC0D98"/>
    <w:rsid w:val="00FC0E2F"/>
    <w:rsid w:val="00FC1042"/>
    <w:rsid w:val="00FC10AD"/>
    <w:rsid w:val="00FC11C6"/>
    <w:rsid w:val="00FC17D8"/>
    <w:rsid w:val="00FC279A"/>
    <w:rsid w:val="00FC2A43"/>
    <w:rsid w:val="00FC324D"/>
    <w:rsid w:val="00FC39A1"/>
    <w:rsid w:val="00FC3BC3"/>
    <w:rsid w:val="00FC3E47"/>
    <w:rsid w:val="00FC41A0"/>
    <w:rsid w:val="00FC4B53"/>
    <w:rsid w:val="00FC4BAE"/>
    <w:rsid w:val="00FC4F75"/>
    <w:rsid w:val="00FC5160"/>
    <w:rsid w:val="00FC5A36"/>
    <w:rsid w:val="00FC6353"/>
    <w:rsid w:val="00FC69CF"/>
    <w:rsid w:val="00FC6B0B"/>
    <w:rsid w:val="00FC6BAF"/>
    <w:rsid w:val="00FC713B"/>
    <w:rsid w:val="00FC7862"/>
    <w:rsid w:val="00FC790D"/>
    <w:rsid w:val="00FC79D5"/>
    <w:rsid w:val="00FC7B35"/>
    <w:rsid w:val="00FC7B53"/>
    <w:rsid w:val="00FC7BD8"/>
    <w:rsid w:val="00FD0177"/>
    <w:rsid w:val="00FD031B"/>
    <w:rsid w:val="00FD0AE7"/>
    <w:rsid w:val="00FD0B44"/>
    <w:rsid w:val="00FD0F70"/>
    <w:rsid w:val="00FD2315"/>
    <w:rsid w:val="00FD29A7"/>
    <w:rsid w:val="00FD2B15"/>
    <w:rsid w:val="00FD3092"/>
    <w:rsid w:val="00FD3D48"/>
    <w:rsid w:val="00FD412E"/>
    <w:rsid w:val="00FD420F"/>
    <w:rsid w:val="00FD4339"/>
    <w:rsid w:val="00FD4959"/>
    <w:rsid w:val="00FD49FD"/>
    <w:rsid w:val="00FD4B0C"/>
    <w:rsid w:val="00FD4F2F"/>
    <w:rsid w:val="00FD51F7"/>
    <w:rsid w:val="00FD5258"/>
    <w:rsid w:val="00FD52D7"/>
    <w:rsid w:val="00FD549C"/>
    <w:rsid w:val="00FD5602"/>
    <w:rsid w:val="00FD5661"/>
    <w:rsid w:val="00FD5A2A"/>
    <w:rsid w:val="00FD5AE2"/>
    <w:rsid w:val="00FD62B4"/>
    <w:rsid w:val="00FD7142"/>
    <w:rsid w:val="00FD750F"/>
    <w:rsid w:val="00FD7DCA"/>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7B7"/>
    <w:rsid w:val="00FE48FF"/>
    <w:rsid w:val="00FE4ECD"/>
    <w:rsid w:val="00FE52B7"/>
    <w:rsid w:val="00FE53C5"/>
    <w:rsid w:val="00FE56A8"/>
    <w:rsid w:val="00FE5807"/>
    <w:rsid w:val="00FE5C39"/>
    <w:rsid w:val="00FE5C57"/>
    <w:rsid w:val="00FE624E"/>
    <w:rsid w:val="00FE6415"/>
    <w:rsid w:val="00FE69E7"/>
    <w:rsid w:val="00FE6BB8"/>
    <w:rsid w:val="00FE6E76"/>
    <w:rsid w:val="00FE7FB5"/>
    <w:rsid w:val="00FF027B"/>
    <w:rsid w:val="00FF0A67"/>
    <w:rsid w:val="00FF1174"/>
    <w:rsid w:val="00FF165A"/>
    <w:rsid w:val="00FF1B72"/>
    <w:rsid w:val="00FF1CF1"/>
    <w:rsid w:val="00FF1F4C"/>
    <w:rsid w:val="00FF1F90"/>
    <w:rsid w:val="00FF228F"/>
    <w:rsid w:val="00FF23EE"/>
    <w:rsid w:val="00FF2D63"/>
    <w:rsid w:val="00FF35DC"/>
    <w:rsid w:val="00FF390D"/>
    <w:rsid w:val="00FF3A6A"/>
    <w:rsid w:val="00FF3C7A"/>
    <w:rsid w:val="00FF3E09"/>
    <w:rsid w:val="00FF411C"/>
    <w:rsid w:val="00FF44C6"/>
    <w:rsid w:val="00FF4B2E"/>
    <w:rsid w:val="00FF4E4B"/>
    <w:rsid w:val="00FF4E4E"/>
    <w:rsid w:val="00FF5049"/>
    <w:rsid w:val="00FF519C"/>
    <w:rsid w:val="00FF59A6"/>
    <w:rsid w:val="00FF5D1F"/>
    <w:rsid w:val="00FF5F95"/>
    <w:rsid w:val="00FF6126"/>
    <w:rsid w:val="00FF61F5"/>
    <w:rsid w:val="00FF62AA"/>
    <w:rsid w:val="00FF64D7"/>
    <w:rsid w:val="00FF6B6C"/>
    <w:rsid w:val="00FF6DD4"/>
    <w:rsid w:val="00FF7DA6"/>
    <w:rsid w:val="011078C7"/>
    <w:rsid w:val="011E3D92"/>
    <w:rsid w:val="012A067A"/>
    <w:rsid w:val="013413A9"/>
    <w:rsid w:val="015E2FC2"/>
    <w:rsid w:val="015E6884"/>
    <w:rsid w:val="016C48A1"/>
    <w:rsid w:val="01787946"/>
    <w:rsid w:val="01853E11"/>
    <w:rsid w:val="019E4F83"/>
    <w:rsid w:val="01AA2C10"/>
    <w:rsid w:val="01AD5116"/>
    <w:rsid w:val="01B446F6"/>
    <w:rsid w:val="01CF7782"/>
    <w:rsid w:val="02182ED7"/>
    <w:rsid w:val="02201D8C"/>
    <w:rsid w:val="02223D56"/>
    <w:rsid w:val="022C5744"/>
    <w:rsid w:val="022F0983"/>
    <w:rsid w:val="02467A44"/>
    <w:rsid w:val="0247556A"/>
    <w:rsid w:val="02571C51"/>
    <w:rsid w:val="0270686F"/>
    <w:rsid w:val="02775E4F"/>
    <w:rsid w:val="0288005D"/>
    <w:rsid w:val="028E13EB"/>
    <w:rsid w:val="02994018"/>
    <w:rsid w:val="02A76009"/>
    <w:rsid w:val="02AB5AF9"/>
    <w:rsid w:val="02BC7D06"/>
    <w:rsid w:val="02BE582C"/>
    <w:rsid w:val="02BF0B9C"/>
    <w:rsid w:val="02DF39F5"/>
    <w:rsid w:val="02F41DB4"/>
    <w:rsid w:val="02FB6B16"/>
    <w:rsid w:val="02FE031F"/>
    <w:rsid w:val="030B2604"/>
    <w:rsid w:val="03144708"/>
    <w:rsid w:val="031D766C"/>
    <w:rsid w:val="03253AFD"/>
    <w:rsid w:val="033F6241"/>
    <w:rsid w:val="034D095E"/>
    <w:rsid w:val="037738D8"/>
    <w:rsid w:val="037B7BAD"/>
    <w:rsid w:val="03B804CE"/>
    <w:rsid w:val="03E160E0"/>
    <w:rsid w:val="03F54123"/>
    <w:rsid w:val="041651F4"/>
    <w:rsid w:val="04272850"/>
    <w:rsid w:val="044629E5"/>
    <w:rsid w:val="04510922"/>
    <w:rsid w:val="045524D4"/>
    <w:rsid w:val="048B7990"/>
    <w:rsid w:val="049C2396"/>
    <w:rsid w:val="05031C1C"/>
    <w:rsid w:val="051536FE"/>
    <w:rsid w:val="05687CD1"/>
    <w:rsid w:val="05746676"/>
    <w:rsid w:val="05A84572"/>
    <w:rsid w:val="05AD2F61"/>
    <w:rsid w:val="05B9677F"/>
    <w:rsid w:val="05C96278"/>
    <w:rsid w:val="05F15805"/>
    <w:rsid w:val="0600615C"/>
    <w:rsid w:val="060C4B01"/>
    <w:rsid w:val="06210E27"/>
    <w:rsid w:val="062A31D9"/>
    <w:rsid w:val="063D2F0C"/>
    <w:rsid w:val="065A220E"/>
    <w:rsid w:val="065B7836"/>
    <w:rsid w:val="065C064B"/>
    <w:rsid w:val="066B317C"/>
    <w:rsid w:val="066B5CCB"/>
    <w:rsid w:val="06734B80"/>
    <w:rsid w:val="06862B05"/>
    <w:rsid w:val="068955F4"/>
    <w:rsid w:val="06991648"/>
    <w:rsid w:val="06A13DF3"/>
    <w:rsid w:val="06BF1B73"/>
    <w:rsid w:val="06E521B8"/>
    <w:rsid w:val="07091040"/>
    <w:rsid w:val="07391925"/>
    <w:rsid w:val="075F0692"/>
    <w:rsid w:val="07726BE5"/>
    <w:rsid w:val="078828AD"/>
    <w:rsid w:val="07CD7F98"/>
    <w:rsid w:val="07D93108"/>
    <w:rsid w:val="07DB054A"/>
    <w:rsid w:val="08053C42"/>
    <w:rsid w:val="08145EEF"/>
    <w:rsid w:val="08377606"/>
    <w:rsid w:val="083D2AF4"/>
    <w:rsid w:val="08485B98"/>
    <w:rsid w:val="08493DEA"/>
    <w:rsid w:val="084A1DFF"/>
    <w:rsid w:val="08602EE2"/>
    <w:rsid w:val="08670714"/>
    <w:rsid w:val="087D1CE6"/>
    <w:rsid w:val="087E7C78"/>
    <w:rsid w:val="08874912"/>
    <w:rsid w:val="089C0A55"/>
    <w:rsid w:val="089C3D38"/>
    <w:rsid w:val="08AC25CB"/>
    <w:rsid w:val="08B31D4F"/>
    <w:rsid w:val="08E51639"/>
    <w:rsid w:val="08EC64D7"/>
    <w:rsid w:val="08F53B23"/>
    <w:rsid w:val="08F875BE"/>
    <w:rsid w:val="090030C8"/>
    <w:rsid w:val="09095C15"/>
    <w:rsid w:val="091B60CD"/>
    <w:rsid w:val="091D0DD3"/>
    <w:rsid w:val="091E5277"/>
    <w:rsid w:val="09AF4121"/>
    <w:rsid w:val="09B434E5"/>
    <w:rsid w:val="09C0632E"/>
    <w:rsid w:val="09C3197A"/>
    <w:rsid w:val="09C474A0"/>
    <w:rsid w:val="09E55D95"/>
    <w:rsid w:val="0A0124A3"/>
    <w:rsid w:val="0A053C89"/>
    <w:rsid w:val="0A070656"/>
    <w:rsid w:val="0A1711CD"/>
    <w:rsid w:val="0A206DCD"/>
    <w:rsid w:val="0A2166A1"/>
    <w:rsid w:val="0A27015B"/>
    <w:rsid w:val="0A283ED3"/>
    <w:rsid w:val="0A2D4C39"/>
    <w:rsid w:val="0A3463D4"/>
    <w:rsid w:val="0A424F95"/>
    <w:rsid w:val="0A4B7B0B"/>
    <w:rsid w:val="0A592595"/>
    <w:rsid w:val="0A670558"/>
    <w:rsid w:val="0A765F0A"/>
    <w:rsid w:val="0A8235E3"/>
    <w:rsid w:val="0A913ED8"/>
    <w:rsid w:val="0AB120A5"/>
    <w:rsid w:val="0ABF2169"/>
    <w:rsid w:val="0ADF0362"/>
    <w:rsid w:val="0AEB55DC"/>
    <w:rsid w:val="0B0A5387"/>
    <w:rsid w:val="0B0E30C9"/>
    <w:rsid w:val="0B13248D"/>
    <w:rsid w:val="0B1D330C"/>
    <w:rsid w:val="0B1D50BA"/>
    <w:rsid w:val="0B24171E"/>
    <w:rsid w:val="0B347187"/>
    <w:rsid w:val="0B3F7726"/>
    <w:rsid w:val="0B41349E"/>
    <w:rsid w:val="0B416FFB"/>
    <w:rsid w:val="0B512FB6"/>
    <w:rsid w:val="0B574F31"/>
    <w:rsid w:val="0B5C3243"/>
    <w:rsid w:val="0B5E59FA"/>
    <w:rsid w:val="0B7C44D7"/>
    <w:rsid w:val="0BAD59A4"/>
    <w:rsid w:val="0BBE4019"/>
    <w:rsid w:val="0C006EB6"/>
    <w:rsid w:val="0C2801BA"/>
    <w:rsid w:val="0C357211"/>
    <w:rsid w:val="0C3C0FE2"/>
    <w:rsid w:val="0C466B45"/>
    <w:rsid w:val="0C6D3E1F"/>
    <w:rsid w:val="0C727688"/>
    <w:rsid w:val="0C924779"/>
    <w:rsid w:val="0C985340"/>
    <w:rsid w:val="0CAD246E"/>
    <w:rsid w:val="0CC41D6A"/>
    <w:rsid w:val="0CC779D3"/>
    <w:rsid w:val="0CD56444"/>
    <w:rsid w:val="0CDE6ACB"/>
    <w:rsid w:val="0CE41365"/>
    <w:rsid w:val="0CE47624"/>
    <w:rsid w:val="0CEC568C"/>
    <w:rsid w:val="0D122CD5"/>
    <w:rsid w:val="0D1644B7"/>
    <w:rsid w:val="0D1B1ACD"/>
    <w:rsid w:val="0D523741"/>
    <w:rsid w:val="0D573276"/>
    <w:rsid w:val="0D576FA9"/>
    <w:rsid w:val="0D584403"/>
    <w:rsid w:val="0D5C6CAA"/>
    <w:rsid w:val="0D6D5D30"/>
    <w:rsid w:val="0D807EAC"/>
    <w:rsid w:val="0D815DD4"/>
    <w:rsid w:val="0DA74E51"/>
    <w:rsid w:val="0DAD4E1B"/>
    <w:rsid w:val="0DB00467"/>
    <w:rsid w:val="0DB5782C"/>
    <w:rsid w:val="0DD759F4"/>
    <w:rsid w:val="0DED5218"/>
    <w:rsid w:val="0DEE7765"/>
    <w:rsid w:val="0E1E3004"/>
    <w:rsid w:val="0E296B84"/>
    <w:rsid w:val="0E4868F2"/>
    <w:rsid w:val="0E6179B4"/>
    <w:rsid w:val="0E6E6D9E"/>
    <w:rsid w:val="0E924011"/>
    <w:rsid w:val="0E9733D5"/>
    <w:rsid w:val="0EB2020F"/>
    <w:rsid w:val="0EBD2E3C"/>
    <w:rsid w:val="0EC71E62"/>
    <w:rsid w:val="0F113188"/>
    <w:rsid w:val="0F204221"/>
    <w:rsid w:val="0F2733BC"/>
    <w:rsid w:val="0F2B5D1F"/>
    <w:rsid w:val="0F3E3C48"/>
    <w:rsid w:val="0F5A4B2F"/>
    <w:rsid w:val="0F6C4862"/>
    <w:rsid w:val="0F7200CA"/>
    <w:rsid w:val="0F946F1E"/>
    <w:rsid w:val="0F9F2542"/>
    <w:rsid w:val="0FD0094D"/>
    <w:rsid w:val="0FD77F2D"/>
    <w:rsid w:val="0FFF1232"/>
    <w:rsid w:val="100827DD"/>
    <w:rsid w:val="101C0A97"/>
    <w:rsid w:val="102A5643"/>
    <w:rsid w:val="10321608"/>
    <w:rsid w:val="108E223A"/>
    <w:rsid w:val="10A122E9"/>
    <w:rsid w:val="10AA3894"/>
    <w:rsid w:val="10B71B0D"/>
    <w:rsid w:val="10B95885"/>
    <w:rsid w:val="10C5247C"/>
    <w:rsid w:val="10CC380A"/>
    <w:rsid w:val="10E24DDC"/>
    <w:rsid w:val="10F67974"/>
    <w:rsid w:val="1109680C"/>
    <w:rsid w:val="11215618"/>
    <w:rsid w:val="113C56DA"/>
    <w:rsid w:val="11474599"/>
    <w:rsid w:val="11532670"/>
    <w:rsid w:val="115D4E4C"/>
    <w:rsid w:val="11836198"/>
    <w:rsid w:val="11851C0B"/>
    <w:rsid w:val="118C6B2A"/>
    <w:rsid w:val="11A93139"/>
    <w:rsid w:val="11AD363C"/>
    <w:rsid w:val="11BA18B5"/>
    <w:rsid w:val="11C664AC"/>
    <w:rsid w:val="11E9219A"/>
    <w:rsid w:val="11FA43A7"/>
    <w:rsid w:val="11FB4122"/>
    <w:rsid w:val="12096398"/>
    <w:rsid w:val="1211524D"/>
    <w:rsid w:val="121D0BF1"/>
    <w:rsid w:val="125A6BF4"/>
    <w:rsid w:val="12685FCD"/>
    <w:rsid w:val="12816876"/>
    <w:rsid w:val="12A460C1"/>
    <w:rsid w:val="12B74672"/>
    <w:rsid w:val="12D30948"/>
    <w:rsid w:val="12E0145C"/>
    <w:rsid w:val="12F232D0"/>
    <w:rsid w:val="13135EB3"/>
    <w:rsid w:val="13182014"/>
    <w:rsid w:val="132C5B6D"/>
    <w:rsid w:val="136A10B9"/>
    <w:rsid w:val="138137F3"/>
    <w:rsid w:val="138E06DF"/>
    <w:rsid w:val="139364DD"/>
    <w:rsid w:val="13A804B2"/>
    <w:rsid w:val="13C46448"/>
    <w:rsid w:val="13C82EA6"/>
    <w:rsid w:val="13EF0479"/>
    <w:rsid w:val="13FC7CE3"/>
    <w:rsid w:val="13FF7A53"/>
    <w:rsid w:val="140822FE"/>
    <w:rsid w:val="14095D3A"/>
    <w:rsid w:val="142D5F04"/>
    <w:rsid w:val="143363D6"/>
    <w:rsid w:val="143D4D2B"/>
    <w:rsid w:val="1461426A"/>
    <w:rsid w:val="146F2C7A"/>
    <w:rsid w:val="14762D3D"/>
    <w:rsid w:val="148D505F"/>
    <w:rsid w:val="148F0982"/>
    <w:rsid w:val="14977C8B"/>
    <w:rsid w:val="149D101A"/>
    <w:rsid w:val="149E4992"/>
    <w:rsid w:val="14AB1989"/>
    <w:rsid w:val="14B7032D"/>
    <w:rsid w:val="14B82F17"/>
    <w:rsid w:val="15063063"/>
    <w:rsid w:val="155F468B"/>
    <w:rsid w:val="157306F8"/>
    <w:rsid w:val="158226E9"/>
    <w:rsid w:val="159D4B97"/>
    <w:rsid w:val="15A563D8"/>
    <w:rsid w:val="15B14D7D"/>
    <w:rsid w:val="15BE749A"/>
    <w:rsid w:val="15BF393E"/>
    <w:rsid w:val="15EA64E1"/>
    <w:rsid w:val="160D3435"/>
    <w:rsid w:val="160E6673"/>
    <w:rsid w:val="16196349"/>
    <w:rsid w:val="16273291"/>
    <w:rsid w:val="162E461F"/>
    <w:rsid w:val="16482AEA"/>
    <w:rsid w:val="165A18B8"/>
    <w:rsid w:val="16730284"/>
    <w:rsid w:val="167C538B"/>
    <w:rsid w:val="16B34B25"/>
    <w:rsid w:val="16D927DD"/>
    <w:rsid w:val="16DC22CD"/>
    <w:rsid w:val="170E5D26"/>
    <w:rsid w:val="17285513"/>
    <w:rsid w:val="17451DB0"/>
    <w:rsid w:val="17514A69"/>
    <w:rsid w:val="17562080"/>
    <w:rsid w:val="17570260"/>
    <w:rsid w:val="17650515"/>
    <w:rsid w:val="17694B12"/>
    <w:rsid w:val="178C102A"/>
    <w:rsid w:val="1791130A"/>
    <w:rsid w:val="179670F4"/>
    <w:rsid w:val="179B1650"/>
    <w:rsid w:val="179B7A92"/>
    <w:rsid w:val="179E3336"/>
    <w:rsid w:val="17B15508"/>
    <w:rsid w:val="17BB6387"/>
    <w:rsid w:val="17BE59A2"/>
    <w:rsid w:val="17C77185"/>
    <w:rsid w:val="17D912A0"/>
    <w:rsid w:val="17DE3E23"/>
    <w:rsid w:val="17FB6783"/>
    <w:rsid w:val="18137F71"/>
    <w:rsid w:val="18185849"/>
    <w:rsid w:val="18245CDA"/>
    <w:rsid w:val="183F6A63"/>
    <w:rsid w:val="18E92A80"/>
    <w:rsid w:val="19267830"/>
    <w:rsid w:val="19526877"/>
    <w:rsid w:val="195E521C"/>
    <w:rsid w:val="19940C3D"/>
    <w:rsid w:val="19C332D1"/>
    <w:rsid w:val="19C534ED"/>
    <w:rsid w:val="19CA28B1"/>
    <w:rsid w:val="19CF6119"/>
    <w:rsid w:val="19F305A7"/>
    <w:rsid w:val="1A2376BA"/>
    <w:rsid w:val="1A365439"/>
    <w:rsid w:val="1A442DE9"/>
    <w:rsid w:val="1A6007B8"/>
    <w:rsid w:val="1A7C09DE"/>
    <w:rsid w:val="1AB0025A"/>
    <w:rsid w:val="1AB62E35"/>
    <w:rsid w:val="1ABC4611"/>
    <w:rsid w:val="1ABF1CEA"/>
    <w:rsid w:val="1AD12A8C"/>
    <w:rsid w:val="1AE370B9"/>
    <w:rsid w:val="1AF75334"/>
    <w:rsid w:val="1AF75928"/>
    <w:rsid w:val="1AFB2E83"/>
    <w:rsid w:val="1B090209"/>
    <w:rsid w:val="1B23671D"/>
    <w:rsid w:val="1B4560C7"/>
    <w:rsid w:val="1B5B5A5C"/>
    <w:rsid w:val="1B5F527B"/>
    <w:rsid w:val="1B7E1BA5"/>
    <w:rsid w:val="1B9C4411"/>
    <w:rsid w:val="1BC021BE"/>
    <w:rsid w:val="1BC305D3"/>
    <w:rsid w:val="1BEF65FF"/>
    <w:rsid w:val="1C42303D"/>
    <w:rsid w:val="1C645E03"/>
    <w:rsid w:val="1C6F7740"/>
    <w:rsid w:val="1C7F5BD5"/>
    <w:rsid w:val="1C8031AA"/>
    <w:rsid w:val="1C8925AF"/>
    <w:rsid w:val="1C901B90"/>
    <w:rsid w:val="1CB60005"/>
    <w:rsid w:val="1CC92887"/>
    <w:rsid w:val="1CD55680"/>
    <w:rsid w:val="1CDA105D"/>
    <w:rsid w:val="1CF10155"/>
    <w:rsid w:val="1D321E13"/>
    <w:rsid w:val="1D350989"/>
    <w:rsid w:val="1D5737D9"/>
    <w:rsid w:val="1D666D95"/>
    <w:rsid w:val="1D880AB9"/>
    <w:rsid w:val="1D882867"/>
    <w:rsid w:val="1D8A5B33"/>
    <w:rsid w:val="1D9531D6"/>
    <w:rsid w:val="1DA11B7B"/>
    <w:rsid w:val="1DBC044E"/>
    <w:rsid w:val="1DCA50C1"/>
    <w:rsid w:val="1DE5415D"/>
    <w:rsid w:val="1DE55F0B"/>
    <w:rsid w:val="1E032835"/>
    <w:rsid w:val="1E0D5462"/>
    <w:rsid w:val="1E1265D5"/>
    <w:rsid w:val="1E164317"/>
    <w:rsid w:val="1E2A7DC2"/>
    <w:rsid w:val="1E2B4B2D"/>
    <w:rsid w:val="1E650DFA"/>
    <w:rsid w:val="1E7C6117"/>
    <w:rsid w:val="1E831280"/>
    <w:rsid w:val="1E9B0CC0"/>
    <w:rsid w:val="1EE71D3C"/>
    <w:rsid w:val="1EEA12FF"/>
    <w:rsid w:val="1F040613"/>
    <w:rsid w:val="1F111A8D"/>
    <w:rsid w:val="1F120F82"/>
    <w:rsid w:val="1F15637C"/>
    <w:rsid w:val="1F264A2D"/>
    <w:rsid w:val="1F2C422B"/>
    <w:rsid w:val="1F4849CA"/>
    <w:rsid w:val="1F67390F"/>
    <w:rsid w:val="1F691F02"/>
    <w:rsid w:val="1F873477"/>
    <w:rsid w:val="1F896D6A"/>
    <w:rsid w:val="1F974FE3"/>
    <w:rsid w:val="1FB0481F"/>
    <w:rsid w:val="1FBE4C66"/>
    <w:rsid w:val="200308CB"/>
    <w:rsid w:val="201900EE"/>
    <w:rsid w:val="20312DAC"/>
    <w:rsid w:val="20360CA0"/>
    <w:rsid w:val="20364395"/>
    <w:rsid w:val="203D202F"/>
    <w:rsid w:val="2040730C"/>
    <w:rsid w:val="209E05F3"/>
    <w:rsid w:val="20B00655"/>
    <w:rsid w:val="20B61DE1"/>
    <w:rsid w:val="20D63E58"/>
    <w:rsid w:val="20F63F8C"/>
    <w:rsid w:val="20F85F56"/>
    <w:rsid w:val="21072C86"/>
    <w:rsid w:val="21455F84"/>
    <w:rsid w:val="21940835"/>
    <w:rsid w:val="219D08AB"/>
    <w:rsid w:val="21B34182"/>
    <w:rsid w:val="21B55BF5"/>
    <w:rsid w:val="21DC1B00"/>
    <w:rsid w:val="21E12E8E"/>
    <w:rsid w:val="22162B37"/>
    <w:rsid w:val="223A7B46"/>
    <w:rsid w:val="223F57F7"/>
    <w:rsid w:val="229D7F06"/>
    <w:rsid w:val="22EC1AEA"/>
    <w:rsid w:val="22EE7610"/>
    <w:rsid w:val="23076924"/>
    <w:rsid w:val="232653E3"/>
    <w:rsid w:val="233314C7"/>
    <w:rsid w:val="23377209"/>
    <w:rsid w:val="234B4A63"/>
    <w:rsid w:val="23585FFE"/>
    <w:rsid w:val="235A6A54"/>
    <w:rsid w:val="23665133"/>
    <w:rsid w:val="238166D6"/>
    <w:rsid w:val="2384381F"/>
    <w:rsid w:val="23846E58"/>
    <w:rsid w:val="238F638A"/>
    <w:rsid w:val="23CE7442"/>
    <w:rsid w:val="23EB7FF4"/>
    <w:rsid w:val="23F76998"/>
    <w:rsid w:val="24275EEE"/>
    <w:rsid w:val="242A66AC"/>
    <w:rsid w:val="242F6132"/>
    <w:rsid w:val="244250D8"/>
    <w:rsid w:val="24460F26"/>
    <w:rsid w:val="244C515E"/>
    <w:rsid w:val="244E33BB"/>
    <w:rsid w:val="246102B6"/>
    <w:rsid w:val="246444F3"/>
    <w:rsid w:val="248875F1"/>
    <w:rsid w:val="248B0E8F"/>
    <w:rsid w:val="24977600"/>
    <w:rsid w:val="24B14D99"/>
    <w:rsid w:val="24B831E2"/>
    <w:rsid w:val="24B93C4E"/>
    <w:rsid w:val="24BB3B05"/>
    <w:rsid w:val="24BB3DB3"/>
    <w:rsid w:val="24C26FA6"/>
    <w:rsid w:val="24CF3471"/>
    <w:rsid w:val="24FB7DC2"/>
    <w:rsid w:val="250B120F"/>
    <w:rsid w:val="25162E4E"/>
    <w:rsid w:val="25180C07"/>
    <w:rsid w:val="251A293E"/>
    <w:rsid w:val="252C7220"/>
    <w:rsid w:val="25337C48"/>
    <w:rsid w:val="255E3530"/>
    <w:rsid w:val="256C2A6E"/>
    <w:rsid w:val="25805BA9"/>
    <w:rsid w:val="258B7398"/>
    <w:rsid w:val="258C4EBE"/>
    <w:rsid w:val="25951FC5"/>
    <w:rsid w:val="259D70CC"/>
    <w:rsid w:val="25A57AD2"/>
    <w:rsid w:val="25B05051"/>
    <w:rsid w:val="25B34B41"/>
    <w:rsid w:val="25C74149"/>
    <w:rsid w:val="25CC175F"/>
    <w:rsid w:val="25D328A4"/>
    <w:rsid w:val="25FD7743"/>
    <w:rsid w:val="2604714B"/>
    <w:rsid w:val="26070462"/>
    <w:rsid w:val="26083CA4"/>
    <w:rsid w:val="26137B37"/>
    <w:rsid w:val="261750D0"/>
    <w:rsid w:val="263E440B"/>
    <w:rsid w:val="26720558"/>
    <w:rsid w:val="267772F8"/>
    <w:rsid w:val="269A7E40"/>
    <w:rsid w:val="26A50560"/>
    <w:rsid w:val="26A526DC"/>
    <w:rsid w:val="26B270EC"/>
    <w:rsid w:val="26CF59AB"/>
    <w:rsid w:val="26FE3B9A"/>
    <w:rsid w:val="270F55EE"/>
    <w:rsid w:val="272F1A96"/>
    <w:rsid w:val="273B3040"/>
    <w:rsid w:val="274C0DA9"/>
    <w:rsid w:val="276A7D1D"/>
    <w:rsid w:val="27702CEA"/>
    <w:rsid w:val="2781161A"/>
    <w:rsid w:val="278B0993"/>
    <w:rsid w:val="278C2DE6"/>
    <w:rsid w:val="27A2552D"/>
    <w:rsid w:val="27A2676A"/>
    <w:rsid w:val="27A72484"/>
    <w:rsid w:val="27C070A1"/>
    <w:rsid w:val="27C26A1C"/>
    <w:rsid w:val="27C9064C"/>
    <w:rsid w:val="27EB2370"/>
    <w:rsid w:val="27F52753"/>
    <w:rsid w:val="28060F58"/>
    <w:rsid w:val="281401A9"/>
    <w:rsid w:val="28481571"/>
    <w:rsid w:val="286B525F"/>
    <w:rsid w:val="286E4D4F"/>
    <w:rsid w:val="289A78F2"/>
    <w:rsid w:val="28A54C15"/>
    <w:rsid w:val="28AD1D1C"/>
    <w:rsid w:val="28CA642A"/>
    <w:rsid w:val="28CF3A40"/>
    <w:rsid w:val="28DE0127"/>
    <w:rsid w:val="28E62B38"/>
    <w:rsid w:val="28F05B32"/>
    <w:rsid w:val="292A6196"/>
    <w:rsid w:val="29377EB3"/>
    <w:rsid w:val="294F4B81"/>
    <w:rsid w:val="296B1DBE"/>
    <w:rsid w:val="296E036D"/>
    <w:rsid w:val="297367C9"/>
    <w:rsid w:val="297B0CF7"/>
    <w:rsid w:val="2984482A"/>
    <w:rsid w:val="29862181"/>
    <w:rsid w:val="29A273A6"/>
    <w:rsid w:val="29AC6EB1"/>
    <w:rsid w:val="29C769E3"/>
    <w:rsid w:val="29D638CD"/>
    <w:rsid w:val="29E057D9"/>
    <w:rsid w:val="29FE3507"/>
    <w:rsid w:val="2A0C65CE"/>
    <w:rsid w:val="2A1D4C7F"/>
    <w:rsid w:val="2A303607"/>
    <w:rsid w:val="2A44045E"/>
    <w:rsid w:val="2A5E151F"/>
    <w:rsid w:val="2A720B27"/>
    <w:rsid w:val="2A835621"/>
    <w:rsid w:val="2AA27121"/>
    <w:rsid w:val="2AA902C1"/>
    <w:rsid w:val="2ACD0453"/>
    <w:rsid w:val="2ADB4165"/>
    <w:rsid w:val="2ADB7F2F"/>
    <w:rsid w:val="2AEB78C2"/>
    <w:rsid w:val="2B0C0F7B"/>
    <w:rsid w:val="2B152D85"/>
    <w:rsid w:val="2B1B2F6C"/>
    <w:rsid w:val="2B3B53BD"/>
    <w:rsid w:val="2B486052"/>
    <w:rsid w:val="2B520958"/>
    <w:rsid w:val="2B5E72FD"/>
    <w:rsid w:val="2B6C7C6C"/>
    <w:rsid w:val="2B82123D"/>
    <w:rsid w:val="2B822DA1"/>
    <w:rsid w:val="2B886128"/>
    <w:rsid w:val="2B9D6077"/>
    <w:rsid w:val="2BD902A0"/>
    <w:rsid w:val="2BD91045"/>
    <w:rsid w:val="2BEA0B91"/>
    <w:rsid w:val="2BF5720F"/>
    <w:rsid w:val="2C1300E8"/>
    <w:rsid w:val="2C1978E8"/>
    <w:rsid w:val="2C335742"/>
    <w:rsid w:val="2C362090"/>
    <w:rsid w:val="2C3B13EC"/>
    <w:rsid w:val="2C4B162F"/>
    <w:rsid w:val="2C532973"/>
    <w:rsid w:val="2C7A3CC3"/>
    <w:rsid w:val="2C815051"/>
    <w:rsid w:val="2CAE64AB"/>
    <w:rsid w:val="2CE675AA"/>
    <w:rsid w:val="2CF2792E"/>
    <w:rsid w:val="2D113B67"/>
    <w:rsid w:val="2D3619B4"/>
    <w:rsid w:val="2D377E06"/>
    <w:rsid w:val="2D76092E"/>
    <w:rsid w:val="2D7B4196"/>
    <w:rsid w:val="2D7D7F0E"/>
    <w:rsid w:val="2DB25117"/>
    <w:rsid w:val="2DEC5D5C"/>
    <w:rsid w:val="2DF61A6F"/>
    <w:rsid w:val="2DFF6B75"/>
    <w:rsid w:val="2E1B7727"/>
    <w:rsid w:val="2E1F2D74"/>
    <w:rsid w:val="2E2C686E"/>
    <w:rsid w:val="2E36630F"/>
    <w:rsid w:val="2E374561"/>
    <w:rsid w:val="2E497DF1"/>
    <w:rsid w:val="2E5C5D76"/>
    <w:rsid w:val="2E7B1F74"/>
    <w:rsid w:val="2E7E3412"/>
    <w:rsid w:val="2E960B5C"/>
    <w:rsid w:val="2EA133AF"/>
    <w:rsid w:val="2EA339A5"/>
    <w:rsid w:val="2EA36628"/>
    <w:rsid w:val="2EDC0415"/>
    <w:rsid w:val="2EDD2DD9"/>
    <w:rsid w:val="2EE7237C"/>
    <w:rsid w:val="2F087CAC"/>
    <w:rsid w:val="2F0D52C2"/>
    <w:rsid w:val="2F2D7712"/>
    <w:rsid w:val="2F2F6A91"/>
    <w:rsid w:val="2F300FB0"/>
    <w:rsid w:val="2F4800A8"/>
    <w:rsid w:val="2F723467"/>
    <w:rsid w:val="2F815419"/>
    <w:rsid w:val="2F922149"/>
    <w:rsid w:val="2FA72ADC"/>
    <w:rsid w:val="2FC8743B"/>
    <w:rsid w:val="300852DE"/>
    <w:rsid w:val="30134377"/>
    <w:rsid w:val="30590E83"/>
    <w:rsid w:val="30640C78"/>
    <w:rsid w:val="306835D0"/>
    <w:rsid w:val="306E3B3E"/>
    <w:rsid w:val="30711881"/>
    <w:rsid w:val="30782BAF"/>
    <w:rsid w:val="3082583C"/>
    <w:rsid w:val="309C4B4F"/>
    <w:rsid w:val="30A657B3"/>
    <w:rsid w:val="30BA09FB"/>
    <w:rsid w:val="30DF2746"/>
    <w:rsid w:val="311F308B"/>
    <w:rsid w:val="31244E01"/>
    <w:rsid w:val="313257CB"/>
    <w:rsid w:val="31755829"/>
    <w:rsid w:val="317D7B05"/>
    <w:rsid w:val="31880C30"/>
    <w:rsid w:val="318C4BC4"/>
    <w:rsid w:val="318D6246"/>
    <w:rsid w:val="319C2593"/>
    <w:rsid w:val="31B9528D"/>
    <w:rsid w:val="31DC0F7C"/>
    <w:rsid w:val="31E83DC4"/>
    <w:rsid w:val="31F369F1"/>
    <w:rsid w:val="32153FA4"/>
    <w:rsid w:val="324575EB"/>
    <w:rsid w:val="32494863"/>
    <w:rsid w:val="325A081E"/>
    <w:rsid w:val="325B4596"/>
    <w:rsid w:val="3268280F"/>
    <w:rsid w:val="326E7E26"/>
    <w:rsid w:val="32700042"/>
    <w:rsid w:val="328F5FEE"/>
    <w:rsid w:val="32A0292F"/>
    <w:rsid w:val="32A02B99"/>
    <w:rsid w:val="32BC6D05"/>
    <w:rsid w:val="32C569CF"/>
    <w:rsid w:val="32CE6B16"/>
    <w:rsid w:val="32ED1692"/>
    <w:rsid w:val="32F01183"/>
    <w:rsid w:val="32FB4A31"/>
    <w:rsid w:val="330F2BAA"/>
    <w:rsid w:val="33154745"/>
    <w:rsid w:val="331F7372"/>
    <w:rsid w:val="333252F7"/>
    <w:rsid w:val="333F0BDD"/>
    <w:rsid w:val="33437504"/>
    <w:rsid w:val="33513ACD"/>
    <w:rsid w:val="335A65FC"/>
    <w:rsid w:val="336631F3"/>
    <w:rsid w:val="337D5F7B"/>
    <w:rsid w:val="3381627F"/>
    <w:rsid w:val="3382215E"/>
    <w:rsid w:val="33833DA5"/>
    <w:rsid w:val="33941B0E"/>
    <w:rsid w:val="33A83F0F"/>
    <w:rsid w:val="33B52F92"/>
    <w:rsid w:val="33D414D0"/>
    <w:rsid w:val="33F04662"/>
    <w:rsid w:val="33F94067"/>
    <w:rsid w:val="3411197D"/>
    <w:rsid w:val="344F1ED9"/>
    <w:rsid w:val="345C31CC"/>
    <w:rsid w:val="34603E67"/>
    <w:rsid w:val="34692F9B"/>
    <w:rsid w:val="3491429F"/>
    <w:rsid w:val="34981816"/>
    <w:rsid w:val="349873DC"/>
    <w:rsid w:val="34AE30A3"/>
    <w:rsid w:val="34C04B85"/>
    <w:rsid w:val="34E15227"/>
    <w:rsid w:val="34EE16F2"/>
    <w:rsid w:val="34FB796B"/>
    <w:rsid w:val="35260E8C"/>
    <w:rsid w:val="353C06AF"/>
    <w:rsid w:val="354B444E"/>
    <w:rsid w:val="358142E1"/>
    <w:rsid w:val="35944047"/>
    <w:rsid w:val="35CD358A"/>
    <w:rsid w:val="35DF3667"/>
    <w:rsid w:val="360A6B9A"/>
    <w:rsid w:val="36232DB0"/>
    <w:rsid w:val="362C0724"/>
    <w:rsid w:val="362C24D2"/>
    <w:rsid w:val="366559E4"/>
    <w:rsid w:val="368340BC"/>
    <w:rsid w:val="36856574"/>
    <w:rsid w:val="368B560A"/>
    <w:rsid w:val="36C94F33"/>
    <w:rsid w:val="36E96615"/>
    <w:rsid w:val="37093D6D"/>
    <w:rsid w:val="370C2303"/>
    <w:rsid w:val="37192419"/>
    <w:rsid w:val="372633C5"/>
    <w:rsid w:val="372E4027"/>
    <w:rsid w:val="374C0952"/>
    <w:rsid w:val="374E0226"/>
    <w:rsid w:val="375B2943"/>
    <w:rsid w:val="37702892"/>
    <w:rsid w:val="3793032E"/>
    <w:rsid w:val="37B409D1"/>
    <w:rsid w:val="37B7226F"/>
    <w:rsid w:val="37BE14E1"/>
    <w:rsid w:val="37EA2644"/>
    <w:rsid w:val="37F007A1"/>
    <w:rsid w:val="37F34BF4"/>
    <w:rsid w:val="37FC5ED4"/>
    <w:rsid w:val="380A05F1"/>
    <w:rsid w:val="380D6333"/>
    <w:rsid w:val="38163439"/>
    <w:rsid w:val="38367638"/>
    <w:rsid w:val="383C09C6"/>
    <w:rsid w:val="38451629"/>
    <w:rsid w:val="385F359C"/>
    <w:rsid w:val="38637D01"/>
    <w:rsid w:val="386F2B4A"/>
    <w:rsid w:val="387B329C"/>
    <w:rsid w:val="3885411B"/>
    <w:rsid w:val="389820A0"/>
    <w:rsid w:val="38B7004D"/>
    <w:rsid w:val="38BD5C39"/>
    <w:rsid w:val="38C34C43"/>
    <w:rsid w:val="390C65EA"/>
    <w:rsid w:val="39137979"/>
    <w:rsid w:val="39203E44"/>
    <w:rsid w:val="397F0B6A"/>
    <w:rsid w:val="398B705A"/>
    <w:rsid w:val="399565E0"/>
    <w:rsid w:val="39967186"/>
    <w:rsid w:val="39A22AAB"/>
    <w:rsid w:val="39B065A9"/>
    <w:rsid w:val="39C542C3"/>
    <w:rsid w:val="39D4535A"/>
    <w:rsid w:val="39EB26A4"/>
    <w:rsid w:val="39F33306"/>
    <w:rsid w:val="39F72DF7"/>
    <w:rsid w:val="39FC21BB"/>
    <w:rsid w:val="3A064DE8"/>
    <w:rsid w:val="3A1F234D"/>
    <w:rsid w:val="3A371445"/>
    <w:rsid w:val="3A411C9C"/>
    <w:rsid w:val="3A7461F5"/>
    <w:rsid w:val="3A894EF6"/>
    <w:rsid w:val="3A8B353F"/>
    <w:rsid w:val="3AA12D62"/>
    <w:rsid w:val="3AAF0DDB"/>
    <w:rsid w:val="3AB5065F"/>
    <w:rsid w:val="3ACD1DA9"/>
    <w:rsid w:val="3ACF63CB"/>
    <w:rsid w:val="3AEC0481"/>
    <w:rsid w:val="3B0A6B5A"/>
    <w:rsid w:val="3B281408"/>
    <w:rsid w:val="3B556027"/>
    <w:rsid w:val="3BA66882"/>
    <w:rsid w:val="3BA80B19"/>
    <w:rsid w:val="3C306D0A"/>
    <w:rsid w:val="3C4240EC"/>
    <w:rsid w:val="3C44609B"/>
    <w:rsid w:val="3C544530"/>
    <w:rsid w:val="3C6311A6"/>
    <w:rsid w:val="3C9518DE"/>
    <w:rsid w:val="3CB856B8"/>
    <w:rsid w:val="3CC176EC"/>
    <w:rsid w:val="3CDE59D7"/>
    <w:rsid w:val="3CF950D8"/>
    <w:rsid w:val="3D332398"/>
    <w:rsid w:val="3D3F0480"/>
    <w:rsid w:val="3D412692"/>
    <w:rsid w:val="3D5F396D"/>
    <w:rsid w:val="3D6B2CA5"/>
    <w:rsid w:val="3D711B40"/>
    <w:rsid w:val="3D7B3D3F"/>
    <w:rsid w:val="3D9D3CB5"/>
    <w:rsid w:val="3DA35311"/>
    <w:rsid w:val="3DB64D77"/>
    <w:rsid w:val="3DBB413B"/>
    <w:rsid w:val="3DBF1E7D"/>
    <w:rsid w:val="3DD33817"/>
    <w:rsid w:val="3DD34F41"/>
    <w:rsid w:val="3E1321C9"/>
    <w:rsid w:val="3E246184"/>
    <w:rsid w:val="3E524A9F"/>
    <w:rsid w:val="3E800AA6"/>
    <w:rsid w:val="3E970704"/>
    <w:rsid w:val="3EA3354D"/>
    <w:rsid w:val="3ECA0ADA"/>
    <w:rsid w:val="3ED96F6F"/>
    <w:rsid w:val="3EDE4585"/>
    <w:rsid w:val="3EE651E8"/>
    <w:rsid w:val="3F041198"/>
    <w:rsid w:val="3F165ACD"/>
    <w:rsid w:val="3F190A5E"/>
    <w:rsid w:val="3F3A1FEB"/>
    <w:rsid w:val="3F5749D4"/>
    <w:rsid w:val="3FA330D9"/>
    <w:rsid w:val="3FB13A48"/>
    <w:rsid w:val="3FC1012F"/>
    <w:rsid w:val="3FD10254"/>
    <w:rsid w:val="3FE47979"/>
    <w:rsid w:val="40621663"/>
    <w:rsid w:val="407A02DD"/>
    <w:rsid w:val="407F76A2"/>
    <w:rsid w:val="40860A30"/>
    <w:rsid w:val="408E7C49"/>
    <w:rsid w:val="40965E01"/>
    <w:rsid w:val="40A67243"/>
    <w:rsid w:val="40AF61D9"/>
    <w:rsid w:val="40B13AFA"/>
    <w:rsid w:val="40C779CD"/>
    <w:rsid w:val="40CF6855"/>
    <w:rsid w:val="40D479EE"/>
    <w:rsid w:val="40D55514"/>
    <w:rsid w:val="40D66E70"/>
    <w:rsid w:val="40D95004"/>
    <w:rsid w:val="40E340D5"/>
    <w:rsid w:val="40EB2F55"/>
    <w:rsid w:val="40F736DC"/>
    <w:rsid w:val="40FE050B"/>
    <w:rsid w:val="41397F4E"/>
    <w:rsid w:val="41456B3D"/>
    <w:rsid w:val="4151103E"/>
    <w:rsid w:val="418331C2"/>
    <w:rsid w:val="41AE46E3"/>
    <w:rsid w:val="41AF1DCF"/>
    <w:rsid w:val="41B24CC0"/>
    <w:rsid w:val="41D34BA9"/>
    <w:rsid w:val="41EE523D"/>
    <w:rsid w:val="41F52C3A"/>
    <w:rsid w:val="41F8770C"/>
    <w:rsid w:val="42063D8D"/>
    <w:rsid w:val="42240501"/>
    <w:rsid w:val="42253D73"/>
    <w:rsid w:val="422C7D41"/>
    <w:rsid w:val="4235270E"/>
    <w:rsid w:val="4263645E"/>
    <w:rsid w:val="42721A93"/>
    <w:rsid w:val="42755200"/>
    <w:rsid w:val="42982C9D"/>
    <w:rsid w:val="42A56252"/>
    <w:rsid w:val="42DD10F2"/>
    <w:rsid w:val="42E67EAC"/>
    <w:rsid w:val="43087E22"/>
    <w:rsid w:val="43116751"/>
    <w:rsid w:val="43206861"/>
    <w:rsid w:val="4359242C"/>
    <w:rsid w:val="435E3EE6"/>
    <w:rsid w:val="43705AB0"/>
    <w:rsid w:val="437E518D"/>
    <w:rsid w:val="43A062AD"/>
    <w:rsid w:val="43A86F10"/>
    <w:rsid w:val="43B104BA"/>
    <w:rsid w:val="43C27FD1"/>
    <w:rsid w:val="43D91BCB"/>
    <w:rsid w:val="43DD305D"/>
    <w:rsid w:val="43E202FE"/>
    <w:rsid w:val="43E32843"/>
    <w:rsid w:val="43E53CC0"/>
    <w:rsid w:val="43EE7018"/>
    <w:rsid w:val="43F41CE1"/>
    <w:rsid w:val="440B5E1C"/>
    <w:rsid w:val="4427252A"/>
    <w:rsid w:val="44345F6E"/>
    <w:rsid w:val="443B1CA3"/>
    <w:rsid w:val="4441183E"/>
    <w:rsid w:val="445552E9"/>
    <w:rsid w:val="445D7CFA"/>
    <w:rsid w:val="44654E01"/>
    <w:rsid w:val="44A45CB0"/>
    <w:rsid w:val="44A82426"/>
    <w:rsid w:val="44BF68A1"/>
    <w:rsid w:val="44E4602A"/>
    <w:rsid w:val="450978B4"/>
    <w:rsid w:val="452F5B3A"/>
    <w:rsid w:val="45350C77"/>
    <w:rsid w:val="454315E6"/>
    <w:rsid w:val="454A1453"/>
    <w:rsid w:val="45505AB1"/>
    <w:rsid w:val="4597723C"/>
    <w:rsid w:val="459E54AE"/>
    <w:rsid w:val="45A831F7"/>
    <w:rsid w:val="45B47DEE"/>
    <w:rsid w:val="45B54088"/>
    <w:rsid w:val="45B80788"/>
    <w:rsid w:val="45FE7D79"/>
    <w:rsid w:val="46162856"/>
    <w:rsid w:val="46326548"/>
    <w:rsid w:val="4648202A"/>
    <w:rsid w:val="464A2500"/>
    <w:rsid w:val="46545D00"/>
    <w:rsid w:val="469043B7"/>
    <w:rsid w:val="46956D93"/>
    <w:rsid w:val="46A2058E"/>
    <w:rsid w:val="46B75DE7"/>
    <w:rsid w:val="46BD2CD2"/>
    <w:rsid w:val="46C329DE"/>
    <w:rsid w:val="46C56CD4"/>
    <w:rsid w:val="46DC2BC3"/>
    <w:rsid w:val="46DE3DA2"/>
    <w:rsid w:val="46F012F9"/>
    <w:rsid w:val="47022DDB"/>
    <w:rsid w:val="47152B0E"/>
    <w:rsid w:val="47373CCA"/>
    <w:rsid w:val="473C009B"/>
    <w:rsid w:val="475A49C5"/>
    <w:rsid w:val="47631ACB"/>
    <w:rsid w:val="47863A0C"/>
    <w:rsid w:val="479152E5"/>
    <w:rsid w:val="479C6D8B"/>
    <w:rsid w:val="47B3415B"/>
    <w:rsid w:val="47B916EB"/>
    <w:rsid w:val="47BD3387"/>
    <w:rsid w:val="47E9061B"/>
    <w:rsid w:val="47EF335F"/>
    <w:rsid w:val="47EF3A41"/>
    <w:rsid w:val="47F70466"/>
    <w:rsid w:val="47F93301"/>
    <w:rsid w:val="48010AA9"/>
    <w:rsid w:val="48052B82"/>
    <w:rsid w:val="483C0B1B"/>
    <w:rsid w:val="48401E0D"/>
    <w:rsid w:val="484245C7"/>
    <w:rsid w:val="484C6A03"/>
    <w:rsid w:val="484E49E0"/>
    <w:rsid w:val="48580F04"/>
    <w:rsid w:val="485B4633"/>
    <w:rsid w:val="486A0C38"/>
    <w:rsid w:val="487321E2"/>
    <w:rsid w:val="48774D07"/>
    <w:rsid w:val="487D096B"/>
    <w:rsid w:val="48826827"/>
    <w:rsid w:val="488D7CFE"/>
    <w:rsid w:val="48A57EC2"/>
    <w:rsid w:val="48B60321"/>
    <w:rsid w:val="48D82045"/>
    <w:rsid w:val="48E00EFA"/>
    <w:rsid w:val="48F21359"/>
    <w:rsid w:val="49184B37"/>
    <w:rsid w:val="491B12EC"/>
    <w:rsid w:val="492F0106"/>
    <w:rsid w:val="49323FD7"/>
    <w:rsid w:val="493C25D4"/>
    <w:rsid w:val="496658A3"/>
    <w:rsid w:val="49667651"/>
    <w:rsid w:val="498875C7"/>
    <w:rsid w:val="499B76DE"/>
    <w:rsid w:val="49C5081B"/>
    <w:rsid w:val="49D40A5E"/>
    <w:rsid w:val="49D92519"/>
    <w:rsid w:val="49E031D3"/>
    <w:rsid w:val="49F11610"/>
    <w:rsid w:val="49F9581E"/>
    <w:rsid w:val="4A1470AD"/>
    <w:rsid w:val="4A1A306E"/>
    <w:rsid w:val="4A282B58"/>
    <w:rsid w:val="4A510301"/>
    <w:rsid w:val="4A5F3DBA"/>
    <w:rsid w:val="4A7D314E"/>
    <w:rsid w:val="4A8835F7"/>
    <w:rsid w:val="4AA743C5"/>
    <w:rsid w:val="4ABF5254"/>
    <w:rsid w:val="4ACA3C0F"/>
    <w:rsid w:val="4ACD4019"/>
    <w:rsid w:val="4ACD6DF4"/>
    <w:rsid w:val="4AD51C77"/>
    <w:rsid w:val="4B272E10"/>
    <w:rsid w:val="4B3A2B43"/>
    <w:rsid w:val="4B69167A"/>
    <w:rsid w:val="4B6E6C91"/>
    <w:rsid w:val="4B865D88"/>
    <w:rsid w:val="4B904E59"/>
    <w:rsid w:val="4B9C1A50"/>
    <w:rsid w:val="4B9C55AC"/>
    <w:rsid w:val="4BB24DCF"/>
    <w:rsid w:val="4BBA0128"/>
    <w:rsid w:val="4BBC4FD7"/>
    <w:rsid w:val="4BBC79FC"/>
    <w:rsid w:val="4BCB5E91"/>
    <w:rsid w:val="4BD016F9"/>
    <w:rsid w:val="4BDF36EB"/>
    <w:rsid w:val="4C03387D"/>
    <w:rsid w:val="4C12409B"/>
    <w:rsid w:val="4C1D18DE"/>
    <w:rsid w:val="4C213D03"/>
    <w:rsid w:val="4C2A705C"/>
    <w:rsid w:val="4C38427F"/>
    <w:rsid w:val="4C4224E5"/>
    <w:rsid w:val="4C545E87"/>
    <w:rsid w:val="4C6065D9"/>
    <w:rsid w:val="4C65665F"/>
    <w:rsid w:val="4C7622A1"/>
    <w:rsid w:val="4C76404F"/>
    <w:rsid w:val="4C811ECE"/>
    <w:rsid w:val="4CBD494A"/>
    <w:rsid w:val="4CC34DBA"/>
    <w:rsid w:val="4CE552E6"/>
    <w:rsid w:val="4CEE0089"/>
    <w:rsid w:val="4D0478AD"/>
    <w:rsid w:val="4D07739D"/>
    <w:rsid w:val="4D341814"/>
    <w:rsid w:val="4D3A507C"/>
    <w:rsid w:val="4D4C6F46"/>
    <w:rsid w:val="4D5601C7"/>
    <w:rsid w:val="4D7560B4"/>
    <w:rsid w:val="4DD76D6F"/>
    <w:rsid w:val="4DDA685F"/>
    <w:rsid w:val="4DE33966"/>
    <w:rsid w:val="4DFC0584"/>
    <w:rsid w:val="4E191136"/>
    <w:rsid w:val="4E28581D"/>
    <w:rsid w:val="4E3221F7"/>
    <w:rsid w:val="4E330F5D"/>
    <w:rsid w:val="4E5E0733"/>
    <w:rsid w:val="4E8C5DAC"/>
    <w:rsid w:val="4EAC5711"/>
    <w:rsid w:val="4EB26BFC"/>
    <w:rsid w:val="4ED1689E"/>
    <w:rsid w:val="4EE259CC"/>
    <w:rsid w:val="4F0A0A7E"/>
    <w:rsid w:val="4F1B1237"/>
    <w:rsid w:val="4F275AD4"/>
    <w:rsid w:val="4F4915A7"/>
    <w:rsid w:val="4F6C1739"/>
    <w:rsid w:val="4F806F93"/>
    <w:rsid w:val="4F895E47"/>
    <w:rsid w:val="4F8B5CA7"/>
    <w:rsid w:val="4FC926E8"/>
    <w:rsid w:val="500876B4"/>
    <w:rsid w:val="5019366F"/>
    <w:rsid w:val="501D6327"/>
    <w:rsid w:val="503C110B"/>
    <w:rsid w:val="50564637"/>
    <w:rsid w:val="506D7517"/>
    <w:rsid w:val="50972065"/>
    <w:rsid w:val="50AC1958"/>
    <w:rsid w:val="50E61077"/>
    <w:rsid w:val="50ED0294"/>
    <w:rsid w:val="50F11EF6"/>
    <w:rsid w:val="51071719"/>
    <w:rsid w:val="510E2892"/>
    <w:rsid w:val="511A58F1"/>
    <w:rsid w:val="51271DBC"/>
    <w:rsid w:val="512A18AC"/>
    <w:rsid w:val="512F0C70"/>
    <w:rsid w:val="51316796"/>
    <w:rsid w:val="51401706"/>
    <w:rsid w:val="514C51DC"/>
    <w:rsid w:val="51820DD5"/>
    <w:rsid w:val="51887260"/>
    <w:rsid w:val="518F170F"/>
    <w:rsid w:val="51A21442"/>
    <w:rsid w:val="51A839B5"/>
    <w:rsid w:val="51AC0513"/>
    <w:rsid w:val="51B2004B"/>
    <w:rsid w:val="51D35A9F"/>
    <w:rsid w:val="522C3116"/>
    <w:rsid w:val="52350508"/>
    <w:rsid w:val="526F1386"/>
    <w:rsid w:val="52741030"/>
    <w:rsid w:val="527F1FE1"/>
    <w:rsid w:val="529E1C09"/>
    <w:rsid w:val="52AF2069"/>
    <w:rsid w:val="52D25D57"/>
    <w:rsid w:val="52DC0984"/>
    <w:rsid w:val="52E16D3B"/>
    <w:rsid w:val="53057EDB"/>
    <w:rsid w:val="53102A0A"/>
    <w:rsid w:val="53230361"/>
    <w:rsid w:val="532A16EF"/>
    <w:rsid w:val="532D11DF"/>
    <w:rsid w:val="53476745"/>
    <w:rsid w:val="53672943"/>
    <w:rsid w:val="536E5A80"/>
    <w:rsid w:val="537868FE"/>
    <w:rsid w:val="53803A05"/>
    <w:rsid w:val="5386726D"/>
    <w:rsid w:val="538E1C7E"/>
    <w:rsid w:val="539453CB"/>
    <w:rsid w:val="539B083F"/>
    <w:rsid w:val="53A32941"/>
    <w:rsid w:val="53C102A5"/>
    <w:rsid w:val="53D64FC0"/>
    <w:rsid w:val="53EE426D"/>
    <w:rsid w:val="54237C60"/>
    <w:rsid w:val="54556AEA"/>
    <w:rsid w:val="546B3C3F"/>
    <w:rsid w:val="546B6463"/>
    <w:rsid w:val="546E7D01"/>
    <w:rsid w:val="54BA4CF5"/>
    <w:rsid w:val="54BE6593"/>
    <w:rsid w:val="54C16083"/>
    <w:rsid w:val="54D1276A"/>
    <w:rsid w:val="54D20290"/>
    <w:rsid w:val="54D47B64"/>
    <w:rsid w:val="54D538DD"/>
    <w:rsid w:val="54E67898"/>
    <w:rsid w:val="54F55D2D"/>
    <w:rsid w:val="54F621D1"/>
    <w:rsid w:val="550545A1"/>
    <w:rsid w:val="55131A57"/>
    <w:rsid w:val="55133EBD"/>
    <w:rsid w:val="55191A1B"/>
    <w:rsid w:val="551A6815"/>
    <w:rsid w:val="55242A68"/>
    <w:rsid w:val="55622629"/>
    <w:rsid w:val="557B0928"/>
    <w:rsid w:val="558660AA"/>
    <w:rsid w:val="5587107B"/>
    <w:rsid w:val="5596490A"/>
    <w:rsid w:val="55B31E70"/>
    <w:rsid w:val="55B87486"/>
    <w:rsid w:val="55CA71B9"/>
    <w:rsid w:val="560E354A"/>
    <w:rsid w:val="56242D6E"/>
    <w:rsid w:val="56424FA2"/>
    <w:rsid w:val="564927D4"/>
    <w:rsid w:val="564A367B"/>
    <w:rsid w:val="56892F91"/>
    <w:rsid w:val="568A7075"/>
    <w:rsid w:val="56C2340D"/>
    <w:rsid w:val="56C94C51"/>
    <w:rsid w:val="56D26CCF"/>
    <w:rsid w:val="56E524FD"/>
    <w:rsid w:val="56FB3ACE"/>
    <w:rsid w:val="573214BA"/>
    <w:rsid w:val="5738327B"/>
    <w:rsid w:val="57421747"/>
    <w:rsid w:val="574B719F"/>
    <w:rsid w:val="577D71D5"/>
    <w:rsid w:val="578810DA"/>
    <w:rsid w:val="57947A7F"/>
    <w:rsid w:val="57A86F73"/>
    <w:rsid w:val="57AC301B"/>
    <w:rsid w:val="57AF48B9"/>
    <w:rsid w:val="57BB500C"/>
    <w:rsid w:val="57CA34A1"/>
    <w:rsid w:val="57CE2F91"/>
    <w:rsid w:val="57D7204A"/>
    <w:rsid w:val="57D85BBE"/>
    <w:rsid w:val="57E91B79"/>
    <w:rsid w:val="57F84A4C"/>
    <w:rsid w:val="57FD3876"/>
    <w:rsid w:val="580469B3"/>
    <w:rsid w:val="580B5F8C"/>
    <w:rsid w:val="581A4428"/>
    <w:rsid w:val="583E3D03"/>
    <w:rsid w:val="584C2108"/>
    <w:rsid w:val="58550FBC"/>
    <w:rsid w:val="58555460"/>
    <w:rsid w:val="585D2567"/>
    <w:rsid w:val="586236D9"/>
    <w:rsid w:val="587E44BE"/>
    <w:rsid w:val="58A9755A"/>
    <w:rsid w:val="58B21E57"/>
    <w:rsid w:val="58C220CB"/>
    <w:rsid w:val="58DC616D"/>
    <w:rsid w:val="58E65A10"/>
    <w:rsid w:val="58F9403E"/>
    <w:rsid w:val="59103135"/>
    <w:rsid w:val="59162E41"/>
    <w:rsid w:val="591E3AA4"/>
    <w:rsid w:val="592220A0"/>
    <w:rsid w:val="59276BDD"/>
    <w:rsid w:val="592D018B"/>
    <w:rsid w:val="593F65DD"/>
    <w:rsid w:val="5960230F"/>
    <w:rsid w:val="59623982"/>
    <w:rsid w:val="5967369D"/>
    <w:rsid w:val="59927FEE"/>
    <w:rsid w:val="59A9072D"/>
    <w:rsid w:val="59B166C6"/>
    <w:rsid w:val="59B63CDD"/>
    <w:rsid w:val="59BE0892"/>
    <w:rsid w:val="5A235F34"/>
    <w:rsid w:val="5A2A0227"/>
    <w:rsid w:val="5A2E5F69"/>
    <w:rsid w:val="5A3A2DDD"/>
    <w:rsid w:val="5A5F4374"/>
    <w:rsid w:val="5A623E64"/>
    <w:rsid w:val="5A762E3E"/>
    <w:rsid w:val="5A8B6F17"/>
    <w:rsid w:val="5A8E6D5D"/>
    <w:rsid w:val="5AB02E22"/>
    <w:rsid w:val="5AD92379"/>
    <w:rsid w:val="5AE14D89"/>
    <w:rsid w:val="5AF11F13"/>
    <w:rsid w:val="5AF90502"/>
    <w:rsid w:val="5AFE3B8D"/>
    <w:rsid w:val="5B025E57"/>
    <w:rsid w:val="5B152C85"/>
    <w:rsid w:val="5B417F1E"/>
    <w:rsid w:val="5B514F34"/>
    <w:rsid w:val="5B667984"/>
    <w:rsid w:val="5B6A2FD1"/>
    <w:rsid w:val="5B6B4996"/>
    <w:rsid w:val="5B70610D"/>
    <w:rsid w:val="5B914A01"/>
    <w:rsid w:val="5BAD55B3"/>
    <w:rsid w:val="5BB57FC4"/>
    <w:rsid w:val="5BC052E6"/>
    <w:rsid w:val="5BC50F5A"/>
    <w:rsid w:val="5BE2700B"/>
    <w:rsid w:val="5BF918A2"/>
    <w:rsid w:val="5C0974B1"/>
    <w:rsid w:val="5C2238AB"/>
    <w:rsid w:val="5C390BF5"/>
    <w:rsid w:val="5C742217"/>
    <w:rsid w:val="5C761E49"/>
    <w:rsid w:val="5C965957"/>
    <w:rsid w:val="5C9D1184"/>
    <w:rsid w:val="5CA93FCD"/>
    <w:rsid w:val="5CBC3D00"/>
    <w:rsid w:val="5CEA2839"/>
    <w:rsid w:val="5CFB5EAA"/>
    <w:rsid w:val="5D0631CD"/>
    <w:rsid w:val="5D096819"/>
    <w:rsid w:val="5D2618E7"/>
    <w:rsid w:val="5D2E002E"/>
    <w:rsid w:val="5D336228"/>
    <w:rsid w:val="5D3A2E77"/>
    <w:rsid w:val="5D3A7D6A"/>
    <w:rsid w:val="5D573A29"/>
    <w:rsid w:val="5D5A52C7"/>
    <w:rsid w:val="5D5E50B6"/>
    <w:rsid w:val="5D5F468B"/>
    <w:rsid w:val="5D77019C"/>
    <w:rsid w:val="5D7F339F"/>
    <w:rsid w:val="5D90057C"/>
    <w:rsid w:val="5DA36C6E"/>
    <w:rsid w:val="5DC664B8"/>
    <w:rsid w:val="5DD9443E"/>
    <w:rsid w:val="5DE11544"/>
    <w:rsid w:val="5E033269"/>
    <w:rsid w:val="5E0C1DC3"/>
    <w:rsid w:val="5E1D07CE"/>
    <w:rsid w:val="5E2002BE"/>
    <w:rsid w:val="5E421FE3"/>
    <w:rsid w:val="5E9D546B"/>
    <w:rsid w:val="5EB408CA"/>
    <w:rsid w:val="5EB84053"/>
    <w:rsid w:val="5EC21376"/>
    <w:rsid w:val="5ED913D9"/>
    <w:rsid w:val="5EE36F43"/>
    <w:rsid w:val="5EFF1C82"/>
    <w:rsid w:val="5F36141C"/>
    <w:rsid w:val="5F385194"/>
    <w:rsid w:val="5F4B03E2"/>
    <w:rsid w:val="5F555D46"/>
    <w:rsid w:val="5F5F028D"/>
    <w:rsid w:val="5F622211"/>
    <w:rsid w:val="5F681F1D"/>
    <w:rsid w:val="5F685A79"/>
    <w:rsid w:val="5F802EF2"/>
    <w:rsid w:val="5F8A1E93"/>
    <w:rsid w:val="5FA97E40"/>
    <w:rsid w:val="5FAF10E1"/>
    <w:rsid w:val="5FCF5AF8"/>
    <w:rsid w:val="5FDD411E"/>
    <w:rsid w:val="5FEC48FC"/>
    <w:rsid w:val="5FFC4413"/>
    <w:rsid w:val="6008100A"/>
    <w:rsid w:val="602E780A"/>
    <w:rsid w:val="602F47E9"/>
    <w:rsid w:val="606A5821"/>
    <w:rsid w:val="609805E0"/>
    <w:rsid w:val="60F82E2D"/>
    <w:rsid w:val="60FF6129"/>
    <w:rsid w:val="61251748"/>
    <w:rsid w:val="61273712"/>
    <w:rsid w:val="613B06D7"/>
    <w:rsid w:val="61447E20"/>
    <w:rsid w:val="617B1EE0"/>
    <w:rsid w:val="618B1EF3"/>
    <w:rsid w:val="61932B55"/>
    <w:rsid w:val="61A46B11"/>
    <w:rsid w:val="61A579A8"/>
    <w:rsid w:val="61AC2A92"/>
    <w:rsid w:val="61B31169"/>
    <w:rsid w:val="61C45941"/>
    <w:rsid w:val="61F01D56"/>
    <w:rsid w:val="61FC694D"/>
    <w:rsid w:val="62093465"/>
    <w:rsid w:val="62141EE8"/>
    <w:rsid w:val="622C1EF6"/>
    <w:rsid w:val="62315204"/>
    <w:rsid w:val="624C34E5"/>
    <w:rsid w:val="628A0894"/>
    <w:rsid w:val="62A52B40"/>
    <w:rsid w:val="62B8336A"/>
    <w:rsid w:val="62BC609E"/>
    <w:rsid w:val="62E573E1"/>
    <w:rsid w:val="6329335F"/>
    <w:rsid w:val="635A12B4"/>
    <w:rsid w:val="63696264"/>
    <w:rsid w:val="63AB4186"/>
    <w:rsid w:val="63AF06CE"/>
    <w:rsid w:val="63AF0C1D"/>
    <w:rsid w:val="63D95197"/>
    <w:rsid w:val="63DC6A36"/>
    <w:rsid w:val="64056E8A"/>
    <w:rsid w:val="64337579"/>
    <w:rsid w:val="64441196"/>
    <w:rsid w:val="64540922"/>
    <w:rsid w:val="646F3406"/>
    <w:rsid w:val="64750536"/>
    <w:rsid w:val="64852BFC"/>
    <w:rsid w:val="648A46E4"/>
    <w:rsid w:val="649015CE"/>
    <w:rsid w:val="64947310"/>
    <w:rsid w:val="64A86918"/>
    <w:rsid w:val="64AA2690"/>
    <w:rsid w:val="64AF7CA6"/>
    <w:rsid w:val="64CF0348"/>
    <w:rsid w:val="64D67929"/>
    <w:rsid w:val="64E02555"/>
    <w:rsid w:val="65030E60"/>
    <w:rsid w:val="65041B65"/>
    <w:rsid w:val="65091B75"/>
    <w:rsid w:val="651D10B4"/>
    <w:rsid w:val="6554661C"/>
    <w:rsid w:val="655A5E64"/>
    <w:rsid w:val="65735178"/>
    <w:rsid w:val="658E5B0E"/>
    <w:rsid w:val="65BC6440"/>
    <w:rsid w:val="65C36E7F"/>
    <w:rsid w:val="65C9165A"/>
    <w:rsid w:val="65D21A26"/>
    <w:rsid w:val="65D4319C"/>
    <w:rsid w:val="65DA6FA5"/>
    <w:rsid w:val="65E107A1"/>
    <w:rsid w:val="65E81C56"/>
    <w:rsid w:val="65EB4424"/>
    <w:rsid w:val="65F04A1A"/>
    <w:rsid w:val="66062232"/>
    <w:rsid w:val="662B5726"/>
    <w:rsid w:val="663568D1"/>
    <w:rsid w:val="663B7430"/>
    <w:rsid w:val="6641064A"/>
    <w:rsid w:val="66415276"/>
    <w:rsid w:val="666351EC"/>
    <w:rsid w:val="66706FE1"/>
    <w:rsid w:val="66723681"/>
    <w:rsid w:val="66756922"/>
    <w:rsid w:val="668168E4"/>
    <w:rsid w:val="668A5502"/>
    <w:rsid w:val="669E568F"/>
    <w:rsid w:val="66D41C46"/>
    <w:rsid w:val="66E87063"/>
    <w:rsid w:val="670C5884"/>
    <w:rsid w:val="67160AA1"/>
    <w:rsid w:val="67193AFD"/>
    <w:rsid w:val="671E7365"/>
    <w:rsid w:val="67242BCD"/>
    <w:rsid w:val="672A0BC3"/>
    <w:rsid w:val="672C3655"/>
    <w:rsid w:val="672E75A8"/>
    <w:rsid w:val="675118BA"/>
    <w:rsid w:val="67580AC9"/>
    <w:rsid w:val="67584D0D"/>
    <w:rsid w:val="675F522D"/>
    <w:rsid w:val="676A25AA"/>
    <w:rsid w:val="67915D89"/>
    <w:rsid w:val="67990800"/>
    <w:rsid w:val="679D0A8D"/>
    <w:rsid w:val="67A61834"/>
    <w:rsid w:val="67FE2A02"/>
    <w:rsid w:val="6805238D"/>
    <w:rsid w:val="681D0278"/>
    <w:rsid w:val="682B1D3A"/>
    <w:rsid w:val="682B3AE8"/>
    <w:rsid w:val="68324E76"/>
    <w:rsid w:val="685C6397"/>
    <w:rsid w:val="687775B2"/>
    <w:rsid w:val="687C4343"/>
    <w:rsid w:val="68910310"/>
    <w:rsid w:val="6897475F"/>
    <w:rsid w:val="68A1024E"/>
    <w:rsid w:val="68B0794B"/>
    <w:rsid w:val="68BC6E36"/>
    <w:rsid w:val="68C83A2C"/>
    <w:rsid w:val="68CF0917"/>
    <w:rsid w:val="68FE634A"/>
    <w:rsid w:val="69036813"/>
    <w:rsid w:val="6908207B"/>
    <w:rsid w:val="691602F4"/>
    <w:rsid w:val="69161412"/>
    <w:rsid w:val="69164798"/>
    <w:rsid w:val="69777577"/>
    <w:rsid w:val="698711F2"/>
    <w:rsid w:val="699456BD"/>
    <w:rsid w:val="69A200AE"/>
    <w:rsid w:val="69A41DA4"/>
    <w:rsid w:val="69D411E9"/>
    <w:rsid w:val="69D467B8"/>
    <w:rsid w:val="69D8084E"/>
    <w:rsid w:val="69F50851"/>
    <w:rsid w:val="69FD7706"/>
    <w:rsid w:val="69FF347E"/>
    <w:rsid w:val="6A1B14A7"/>
    <w:rsid w:val="6A3C022E"/>
    <w:rsid w:val="6A4E1D0F"/>
    <w:rsid w:val="6AAC73D4"/>
    <w:rsid w:val="6AB03093"/>
    <w:rsid w:val="6ABC136F"/>
    <w:rsid w:val="6ADF0BB9"/>
    <w:rsid w:val="6AE5012B"/>
    <w:rsid w:val="6B064398"/>
    <w:rsid w:val="6B080110"/>
    <w:rsid w:val="6B241A17"/>
    <w:rsid w:val="6B3E66B1"/>
    <w:rsid w:val="6B6E044D"/>
    <w:rsid w:val="6B715CB5"/>
    <w:rsid w:val="6B721A2E"/>
    <w:rsid w:val="6B74112C"/>
    <w:rsid w:val="6B7636D8"/>
    <w:rsid w:val="6B797260"/>
    <w:rsid w:val="6BA31452"/>
    <w:rsid w:val="6BA37E39"/>
    <w:rsid w:val="6BA936A1"/>
    <w:rsid w:val="6BC56001"/>
    <w:rsid w:val="6BD91AAD"/>
    <w:rsid w:val="6BDA40B3"/>
    <w:rsid w:val="6BDB5825"/>
    <w:rsid w:val="6BE02E3B"/>
    <w:rsid w:val="6BEC17E0"/>
    <w:rsid w:val="6C0E025D"/>
    <w:rsid w:val="6C225202"/>
    <w:rsid w:val="6C256AA0"/>
    <w:rsid w:val="6C381FEE"/>
    <w:rsid w:val="6C392AD6"/>
    <w:rsid w:val="6C3C2767"/>
    <w:rsid w:val="6C5818C7"/>
    <w:rsid w:val="6C643A6C"/>
    <w:rsid w:val="6C7C2B64"/>
    <w:rsid w:val="6C8D4D71"/>
    <w:rsid w:val="6CCE28A2"/>
    <w:rsid w:val="6CDD06CC"/>
    <w:rsid w:val="6CEF1CA7"/>
    <w:rsid w:val="6D1014FE"/>
    <w:rsid w:val="6D1A4FAB"/>
    <w:rsid w:val="6D4E36AD"/>
    <w:rsid w:val="6D6F26C8"/>
    <w:rsid w:val="6D7B72BF"/>
    <w:rsid w:val="6D7D1E3C"/>
    <w:rsid w:val="6D99255B"/>
    <w:rsid w:val="6D9B34BE"/>
    <w:rsid w:val="6DAD31F1"/>
    <w:rsid w:val="6DF8446C"/>
    <w:rsid w:val="6E1148C4"/>
    <w:rsid w:val="6E3B07FD"/>
    <w:rsid w:val="6E437584"/>
    <w:rsid w:val="6E733BEC"/>
    <w:rsid w:val="6E761835"/>
    <w:rsid w:val="6E914282"/>
    <w:rsid w:val="6E9A5523"/>
    <w:rsid w:val="6E9C0F6F"/>
    <w:rsid w:val="6EB15EC5"/>
    <w:rsid w:val="6EC16F54"/>
    <w:rsid w:val="6EC627BC"/>
    <w:rsid w:val="6EDA0016"/>
    <w:rsid w:val="6F0155A2"/>
    <w:rsid w:val="6F0C13B1"/>
    <w:rsid w:val="6F0E4EC3"/>
    <w:rsid w:val="6F125A01"/>
    <w:rsid w:val="6F481423"/>
    <w:rsid w:val="6FDD78C6"/>
    <w:rsid w:val="6FE86762"/>
    <w:rsid w:val="6FFE6EBD"/>
    <w:rsid w:val="70076BE8"/>
    <w:rsid w:val="70366B8A"/>
    <w:rsid w:val="703B0F88"/>
    <w:rsid w:val="70545BA6"/>
    <w:rsid w:val="70557737"/>
    <w:rsid w:val="705F4C76"/>
    <w:rsid w:val="70967F6C"/>
    <w:rsid w:val="70981F36"/>
    <w:rsid w:val="70AA672B"/>
    <w:rsid w:val="70B12FF8"/>
    <w:rsid w:val="70BB4803"/>
    <w:rsid w:val="70BC5C25"/>
    <w:rsid w:val="70DE203F"/>
    <w:rsid w:val="70E60EF4"/>
    <w:rsid w:val="70F03B20"/>
    <w:rsid w:val="70F058CE"/>
    <w:rsid w:val="711A6DEF"/>
    <w:rsid w:val="711C707A"/>
    <w:rsid w:val="71235F0D"/>
    <w:rsid w:val="71597917"/>
    <w:rsid w:val="7164006A"/>
    <w:rsid w:val="716A38D3"/>
    <w:rsid w:val="716A5681"/>
    <w:rsid w:val="71752277"/>
    <w:rsid w:val="717778BB"/>
    <w:rsid w:val="71997D14"/>
    <w:rsid w:val="71AD7318"/>
    <w:rsid w:val="71C37A53"/>
    <w:rsid w:val="71C774DC"/>
    <w:rsid w:val="71C823A7"/>
    <w:rsid w:val="71CC1CC1"/>
    <w:rsid w:val="71E5444A"/>
    <w:rsid w:val="71E82A49"/>
    <w:rsid w:val="71F4319C"/>
    <w:rsid w:val="72021D5D"/>
    <w:rsid w:val="721113BD"/>
    <w:rsid w:val="72127AC6"/>
    <w:rsid w:val="72442376"/>
    <w:rsid w:val="72553376"/>
    <w:rsid w:val="725956F5"/>
    <w:rsid w:val="725974A3"/>
    <w:rsid w:val="726D70E7"/>
    <w:rsid w:val="728B1D53"/>
    <w:rsid w:val="729055BB"/>
    <w:rsid w:val="729A3D44"/>
    <w:rsid w:val="72A63D8F"/>
    <w:rsid w:val="72AD68BE"/>
    <w:rsid w:val="72B03567"/>
    <w:rsid w:val="72B62B48"/>
    <w:rsid w:val="72BC63B0"/>
    <w:rsid w:val="72C963D7"/>
    <w:rsid w:val="72D1172F"/>
    <w:rsid w:val="72D57472"/>
    <w:rsid w:val="72E256EB"/>
    <w:rsid w:val="72E476B5"/>
    <w:rsid w:val="72EB0A43"/>
    <w:rsid w:val="72EB459F"/>
    <w:rsid w:val="72FF004B"/>
    <w:rsid w:val="73051CF2"/>
    <w:rsid w:val="731D4975"/>
    <w:rsid w:val="737C169B"/>
    <w:rsid w:val="73806F2C"/>
    <w:rsid w:val="739832BA"/>
    <w:rsid w:val="73B13A3B"/>
    <w:rsid w:val="73D84871"/>
    <w:rsid w:val="73DB0AB8"/>
    <w:rsid w:val="73DC038C"/>
    <w:rsid w:val="73F76F74"/>
    <w:rsid w:val="73FC458A"/>
    <w:rsid w:val="74000587"/>
    <w:rsid w:val="7423420D"/>
    <w:rsid w:val="74237D69"/>
    <w:rsid w:val="742B1B49"/>
    <w:rsid w:val="744D4DE6"/>
    <w:rsid w:val="745A0D15"/>
    <w:rsid w:val="747D74F0"/>
    <w:rsid w:val="748A06F1"/>
    <w:rsid w:val="74C31ECB"/>
    <w:rsid w:val="74CE4179"/>
    <w:rsid w:val="74EE0377"/>
    <w:rsid w:val="74EE481B"/>
    <w:rsid w:val="751853F4"/>
    <w:rsid w:val="75265D63"/>
    <w:rsid w:val="75377F70"/>
    <w:rsid w:val="753C37D8"/>
    <w:rsid w:val="754B495E"/>
    <w:rsid w:val="755A5A0C"/>
    <w:rsid w:val="75610B49"/>
    <w:rsid w:val="756920F3"/>
    <w:rsid w:val="75936E3D"/>
    <w:rsid w:val="75942919"/>
    <w:rsid w:val="75B275F6"/>
    <w:rsid w:val="75D94B83"/>
    <w:rsid w:val="75E43528"/>
    <w:rsid w:val="75ED6706"/>
    <w:rsid w:val="75F96FD3"/>
    <w:rsid w:val="760F4A49"/>
    <w:rsid w:val="763017A6"/>
    <w:rsid w:val="766D79C1"/>
    <w:rsid w:val="76760624"/>
    <w:rsid w:val="767C19B2"/>
    <w:rsid w:val="768A2321"/>
    <w:rsid w:val="76B136C6"/>
    <w:rsid w:val="76CC293A"/>
    <w:rsid w:val="76D0133D"/>
    <w:rsid w:val="76D17F50"/>
    <w:rsid w:val="76F679B7"/>
    <w:rsid w:val="77016E10"/>
    <w:rsid w:val="77106CCA"/>
    <w:rsid w:val="77112A42"/>
    <w:rsid w:val="77132317"/>
    <w:rsid w:val="77163BB5"/>
    <w:rsid w:val="7729243B"/>
    <w:rsid w:val="77440722"/>
    <w:rsid w:val="777C610E"/>
    <w:rsid w:val="77807964"/>
    <w:rsid w:val="77925931"/>
    <w:rsid w:val="77AA57AB"/>
    <w:rsid w:val="77E02514"/>
    <w:rsid w:val="77E141C3"/>
    <w:rsid w:val="780103C1"/>
    <w:rsid w:val="780659D7"/>
    <w:rsid w:val="781C169F"/>
    <w:rsid w:val="784D1858"/>
    <w:rsid w:val="78685D92"/>
    <w:rsid w:val="788259A6"/>
    <w:rsid w:val="78992CEF"/>
    <w:rsid w:val="78C30BD1"/>
    <w:rsid w:val="78EC5994"/>
    <w:rsid w:val="7908577F"/>
    <w:rsid w:val="791B3704"/>
    <w:rsid w:val="791D52BE"/>
    <w:rsid w:val="7929565A"/>
    <w:rsid w:val="798553D8"/>
    <w:rsid w:val="799A6103"/>
    <w:rsid w:val="79B3393D"/>
    <w:rsid w:val="79D05643"/>
    <w:rsid w:val="79DE0704"/>
    <w:rsid w:val="79E24E87"/>
    <w:rsid w:val="79EB2E16"/>
    <w:rsid w:val="79F846B6"/>
    <w:rsid w:val="79FA156C"/>
    <w:rsid w:val="7A150154"/>
    <w:rsid w:val="7A230AC3"/>
    <w:rsid w:val="7A480529"/>
    <w:rsid w:val="7A4B0019"/>
    <w:rsid w:val="7A4D1FE3"/>
    <w:rsid w:val="7A4F18B8"/>
    <w:rsid w:val="7A682979"/>
    <w:rsid w:val="7A756E44"/>
    <w:rsid w:val="7A807CC3"/>
    <w:rsid w:val="7A8377B3"/>
    <w:rsid w:val="7A9B4AFD"/>
    <w:rsid w:val="7A9E45ED"/>
    <w:rsid w:val="7AA02113"/>
    <w:rsid w:val="7AA8721A"/>
    <w:rsid w:val="7AAA36FF"/>
    <w:rsid w:val="7B1F572E"/>
    <w:rsid w:val="7B276391"/>
    <w:rsid w:val="7B4E68F8"/>
    <w:rsid w:val="7B690757"/>
    <w:rsid w:val="7B9D1B1E"/>
    <w:rsid w:val="7BB87930"/>
    <w:rsid w:val="7BBF481B"/>
    <w:rsid w:val="7BCC0CE6"/>
    <w:rsid w:val="7BE20509"/>
    <w:rsid w:val="7C06244A"/>
    <w:rsid w:val="7C1903CF"/>
    <w:rsid w:val="7C23124E"/>
    <w:rsid w:val="7C280612"/>
    <w:rsid w:val="7C2B0447"/>
    <w:rsid w:val="7C4800B3"/>
    <w:rsid w:val="7C4D40ED"/>
    <w:rsid w:val="7C5533D1"/>
    <w:rsid w:val="7C8702CE"/>
    <w:rsid w:val="7C920181"/>
    <w:rsid w:val="7C985CAF"/>
    <w:rsid w:val="7C9C4E59"/>
    <w:rsid w:val="7CE107C1"/>
    <w:rsid w:val="7CE93667"/>
    <w:rsid w:val="7CEF1130"/>
    <w:rsid w:val="7CF229CE"/>
    <w:rsid w:val="7D0A5F6A"/>
    <w:rsid w:val="7D0A7D18"/>
    <w:rsid w:val="7D124E1E"/>
    <w:rsid w:val="7D1E37C3"/>
    <w:rsid w:val="7D384885"/>
    <w:rsid w:val="7D690EE2"/>
    <w:rsid w:val="7D8950E1"/>
    <w:rsid w:val="7DAE0FEB"/>
    <w:rsid w:val="7DB3215D"/>
    <w:rsid w:val="7DC0487A"/>
    <w:rsid w:val="7DC720AD"/>
    <w:rsid w:val="7DCB56F9"/>
    <w:rsid w:val="7DD50326"/>
    <w:rsid w:val="7DE70059"/>
    <w:rsid w:val="7DF804B8"/>
    <w:rsid w:val="7DFA4230"/>
    <w:rsid w:val="7DFC3B04"/>
    <w:rsid w:val="7E2F1D63"/>
    <w:rsid w:val="7E3C2153"/>
    <w:rsid w:val="7E423B38"/>
    <w:rsid w:val="7E431733"/>
    <w:rsid w:val="7E4D576F"/>
    <w:rsid w:val="7E6B6EDC"/>
    <w:rsid w:val="7E7C69F3"/>
    <w:rsid w:val="7E7E0F36"/>
    <w:rsid w:val="7E941FD6"/>
    <w:rsid w:val="7E9445AA"/>
    <w:rsid w:val="7E9C7095"/>
    <w:rsid w:val="7EAA7A04"/>
    <w:rsid w:val="7EFC18E2"/>
    <w:rsid w:val="7F030EC3"/>
    <w:rsid w:val="7F076C05"/>
    <w:rsid w:val="7F183EFE"/>
    <w:rsid w:val="7F2111AE"/>
    <w:rsid w:val="7F2F3A66"/>
    <w:rsid w:val="7F314308"/>
    <w:rsid w:val="7F426FBA"/>
    <w:rsid w:val="7F637BB3"/>
    <w:rsid w:val="7F651B7D"/>
    <w:rsid w:val="7F6A7194"/>
    <w:rsid w:val="7F945FBF"/>
    <w:rsid w:val="7F9E7628"/>
    <w:rsid w:val="7FC05006"/>
    <w:rsid w:val="7FC95C68"/>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5"/>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56"/>
    <w:qFormat/>
    <w:uiPriority w:val="99"/>
    <w:pPr>
      <w:keepNext/>
      <w:keepLines/>
      <w:spacing w:before="260" w:after="260" w:line="416" w:lineRule="auto"/>
      <w:outlineLvl w:val="2"/>
    </w:pPr>
    <w:rPr>
      <w:b/>
      <w:bCs/>
      <w:kern w:val="0"/>
      <w:sz w:val="32"/>
      <w:szCs w:val="32"/>
    </w:rPr>
  </w:style>
  <w:style w:type="paragraph" w:styleId="6">
    <w:name w:val="heading 5"/>
    <w:basedOn w:val="1"/>
    <w:next w:val="7"/>
    <w:link w:val="57"/>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58"/>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59"/>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60"/>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61"/>
    <w:qFormat/>
    <w:uiPriority w:val="0"/>
    <w:pPr>
      <w:keepNext/>
      <w:keepLines/>
      <w:numPr>
        <w:ilvl w:val="8"/>
        <w:numId w:val="1"/>
      </w:numPr>
      <w:spacing w:before="240" w:after="64" w:line="320" w:lineRule="auto"/>
      <w:outlineLvl w:val="8"/>
    </w:pPr>
    <w:rPr>
      <w:rFonts w:ascii="Arial" w:hAnsi="Arial" w:eastAsia="黑体"/>
    </w:rPr>
  </w:style>
  <w:style w:type="character" w:default="1" w:styleId="44">
    <w:name w:val="Default Paragraph Font"/>
    <w:semiHidden/>
    <w:unhideWhenUsed/>
    <w:qFormat/>
    <w:uiPriority w:val="1"/>
  </w:style>
  <w:style w:type="table" w:default="1" w:styleId="51">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53"/>
    <w:qFormat/>
    <w:uiPriority w:val="99"/>
    <w:pPr>
      <w:spacing w:line="400" w:lineRule="exact"/>
      <w:ind w:right="-105" w:rightChars="-50"/>
    </w:pPr>
    <w:rPr>
      <w:rFonts w:ascii="仿宋" w:hAnsi="仿宋" w:eastAsia="仿宋"/>
      <w:sz w:val="24"/>
    </w:rPr>
  </w:style>
  <w:style w:type="paragraph" w:styleId="7">
    <w:name w:val="Normal Indent"/>
    <w:basedOn w:val="1"/>
    <w:qFormat/>
    <w:uiPriority w:val="99"/>
    <w:pPr>
      <w:autoSpaceDE w:val="0"/>
      <w:spacing w:line="400" w:lineRule="exact"/>
    </w:pPr>
    <w:rPr>
      <w:szCs w:val="20"/>
    </w:rPr>
  </w:style>
  <w:style w:type="paragraph" w:styleId="12">
    <w:name w:val="annotation subject"/>
    <w:basedOn w:val="13"/>
    <w:next w:val="13"/>
    <w:link w:val="77"/>
    <w:unhideWhenUsed/>
    <w:qFormat/>
    <w:uiPriority w:val="99"/>
    <w:rPr>
      <w:b/>
      <w:bCs/>
    </w:rPr>
  </w:style>
  <w:style w:type="paragraph" w:styleId="13">
    <w:name w:val="annotation text"/>
    <w:basedOn w:val="1"/>
    <w:link w:val="63"/>
    <w:unhideWhenUsed/>
    <w:qFormat/>
    <w:uiPriority w:val="99"/>
    <w:pPr>
      <w:jc w:val="left"/>
    </w:pPr>
  </w:style>
  <w:style w:type="paragraph" w:styleId="14">
    <w:name w:val="toc 7"/>
    <w:basedOn w:val="1"/>
    <w:next w:val="1"/>
    <w:unhideWhenUsed/>
    <w:qFormat/>
    <w:uiPriority w:val="39"/>
    <w:pPr>
      <w:ind w:left="2520" w:leftChars="1200"/>
    </w:pPr>
    <w:rPr>
      <w:rFonts w:ascii="Calibri" w:hAnsi="Calibri"/>
      <w:szCs w:val="22"/>
    </w:rPr>
  </w:style>
  <w:style w:type="paragraph" w:styleId="15">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6">
    <w:name w:val="caption"/>
    <w:basedOn w:val="1"/>
    <w:next w:val="1"/>
    <w:qFormat/>
    <w:uiPriority w:val="0"/>
    <w:pPr>
      <w:spacing w:before="152"/>
    </w:pPr>
    <w:rPr>
      <w:rFonts w:ascii="Arial" w:hAnsi="Arial" w:eastAsia="黑体" w:cs="Arial"/>
      <w:sz w:val="20"/>
      <w:szCs w:val="20"/>
    </w:rPr>
  </w:style>
  <w:style w:type="paragraph" w:styleId="17">
    <w:name w:val="Document Map"/>
    <w:basedOn w:val="1"/>
    <w:link w:val="62"/>
    <w:unhideWhenUsed/>
    <w:qFormat/>
    <w:uiPriority w:val="0"/>
    <w:pPr>
      <w:shd w:val="clear" w:color="auto" w:fill="000080"/>
    </w:pPr>
    <w:rPr>
      <w:rFonts w:hint="eastAsia" w:ascii="宋体" w:hAnsi="宋体"/>
      <w:kern w:val="0"/>
      <w:sz w:val="20"/>
      <w:szCs w:val="20"/>
    </w:rPr>
  </w:style>
  <w:style w:type="paragraph" w:styleId="18">
    <w:name w:val="Body Text 3"/>
    <w:basedOn w:val="1"/>
    <w:link w:val="64"/>
    <w:qFormat/>
    <w:uiPriority w:val="0"/>
    <w:pPr>
      <w:spacing w:line="500" w:lineRule="exact"/>
    </w:pPr>
    <w:rPr>
      <w:b/>
      <w:bCs/>
      <w:kern w:val="0"/>
      <w:sz w:val="24"/>
    </w:rPr>
  </w:style>
  <w:style w:type="paragraph" w:styleId="19">
    <w:name w:val="Body Text Indent"/>
    <w:basedOn w:val="1"/>
    <w:link w:val="65"/>
    <w:qFormat/>
    <w:uiPriority w:val="0"/>
    <w:pPr>
      <w:ind w:firstLine="830" w:firstLineChars="352"/>
    </w:pPr>
    <w:rPr>
      <w:rFonts w:ascii="仿宋_GB2312" w:eastAsia="仿宋_GB2312"/>
      <w:kern w:val="0"/>
      <w:sz w:val="32"/>
      <w:szCs w:val="20"/>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toc 5"/>
    <w:basedOn w:val="1"/>
    <w:next w:val="1"/>
    <w:unhideWhenUsed/>
    <w:qFormat/>
    <w:uiPriority w:val="39"/>
    <w:pPr>
      <w:ind w:left="1680" w:leftChars="800"/>
    </w:pPr>
    <w:rPr>
      <w:rFonts w:ascii="Calibri" w:hAnsi="Calibri"/>
      <w:szCs w:val="22"/>
    </w:rPr>
  </w:style>
  <w:style w:type="paragraph" w:styleId="23">
    <w:name w:val="toc 3"/>
    <w:basedOn w:val="1"/>
    <w:next w:val="1"/>
    <w:unhideWhenUsed/>
    <w:qFormat/>
    <w:uiPriority w:val="39"/>
    <w:pPr>
      <w:ind w:left="840" w:leftChars="400"/>
    </w:pPr>
    <w:rPr>
      <w:rFonts w:ascii="Calibri" w:hAnsi="Calibri"/>
      <w:szCs w:val="22"/>
    </w:rPr>
  </w:style>
  <w:style w:type="paragraph" w:styleId="24">
    <w:name w:val="Plain Text"/>
    <w:basedOn w:val="1"/>
    <w:next w:val="1"/>
    <w:link w:val="66"/>
    <w:qFormat/>
    <w:uiPriority w:val="99"/>
    <w:pPr>
      <w:spacing w:before="120" w:after="120" w:line="360" w:lineRule="auto"/>
      <w:ind w:firstLine="482" w:firstLineChars="200"/>
      <w:contextualSpacing/>
    </w:pPr>
    <w:rPr>
      <w:rFonts w:ascii="仿宋" w:hAnsi="仿宋" w:eastAsia="仿宋" w:cs="宋体"/>
      <w:b/>
      <w:kern w:val="0"/>
      <w:sz w:val="24"/>
    </w:rPr>
  </w:style>
  <w:style w:type="paragraph" w:styleId="25">
    <w:name w:val="toc 8"/>
    <w:basedOn w:val="1"/>
    <w:next w:val="1"/>
    <w:unhideWhenUsed/>
    <w:qFormat/>
    <w:uiPriority w:val="39"/>
    <w:pPr>
      <w:ind w:left="2940" w:leftChars="1400"/>
    </w:pPr>
    <w:rPr>
      <w:rFonts w:ascii="Calibri" w:hAnsi="Calibri"/>
      <w:szCs w:val="22"/>
    </w:rPr>
  </w:style>
  <w:style w:type="paragraph" w:styleId="26">
    <w:name w:val="Date"/>
    <w:basedOn w:val="1"/>
    <w:next w:val="1"/>
    <w:link w:val="67"/>
    <w:qFormat/>
    <w:uiPriority w:val="0"/>
    <w:pPr>
      <w:ind w:left="100" w:leftChars="2500"/>
    </w:pPr>
    <w:rPr>
      <w:rFonts w:ascii="宋体" w:hAnsi="Courier New"/>
      <w:kern w:val="0"/>
      <w:sz w:val="20"/>
      <w:szCs w:val="21"/>
    </w:rPr>
  </w:style>
  <w:style w:type="paragraph" w:styleId="27">
    <w:name w:val="Body Text Indent 2"/>
    <w:basedOn w:val="1"/>
    <w:link w:val="68"/>
    <w:qFormat/>
    <w:uiPriority w:val="0"/>
    <w:pPr>
      <w:ind w:firstLine="630"/>
    </w:pPr>
    <w:rPr>
      <w:kern w:val="0"/>
      <w:sz w:val="32"/>
      <w:szCs w:val="20"/>
    </w:rPr>
  </w:style>
  <w:style w:type="paragraph" w:styleId="28">
    <w:name w:val="endnote text"/>
    <w:basedOn w:val="1"/>
    <w:link w:val="69"/>
    <w:unhideWhenUsed/>
    <w:qFormat/>
    <w:uiPriority w:val="99"/>
    <w:pPr>
      <w:snapToGrid w:val="0"/>
      <w:jc w:val="left"/>
    </w:pPr>
  </w:style>
  <w:style w:type="paragraph" w:styleId="29">
    <w:name w:val="Balloon Text"/>
    <w:basedOn w:val="1"/>
    <w:link w:val="70"/>
    <w:semiHidden/>
    <w:qFormat/>
    <w:uiPriority w:val="0"/>
    <w:rPr>
      <w:kern w:val="0"/>
      <w:sz w:val="18"/>
      <w:szCs w:val="18"/>
    </w:rPr>
  </w:style>
  <w:style w:type="paragraph" w:styleId="30">
    <w:name w:val="footer"/>
    <w:basedOn w:val="1"/>
    <w:link w:val="71"/>
    <w:unhideWhenUsed/>
    <w:qFormat/>
    <w:uiPriority w:val="99"/>
    <w:pPr>
      <w:tabs>
        <w:tab w:val="center" w:pos="4153"/>
        <w:tab w:val="right" w:pos="8306"/>
      </w:tabs>
      <w:snapToGrid w:val="0"/>
      <w:jc w:val="left"/>
    </w:pPr>
    <w:rPr>
      <w:kern w:val="0"/>
      <w:sz w:val="18"/>
      <w:szCs w:val="18"/>
    </w:rPr>
  </w:style>
  <w:style w:type="paragraph" w:styleId="31">
    <w:name w:val="header"/>
    <w:basedOn w:val="1"/>
    <w:link w:val="72"/>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3">
    <w:name w:val="toc 4"/>
    <w:basedOn w:val="1"/>
    <w:next w:val="1"/>
    <w:unhideWhenUsed/>
    <w:qFormat/>
    <w:uiPriority w:val="39"/>
    <w:pPr>
      <w:ind w:left="1260" w:leftChars="600"/>
    </w:pPr>
    <w:rPr>
      <w:rFonts w:ascii="Calibri" w:hAnsi="Calibri"/>
      <w:szCs w:val="22"/>
    </w:rPr>
  </w:style>
  <w:style w:type="paragraph" w:styleId="34">
    <w:name w:val="List"/>
    <w:basedOn w:val="1"/>
    <w:qFormat/>
    <w:uiPriority w:val="0"/>
    <w:pPr>
      <w:ind w:left="200" w:hanging="200" w:hangingChars="200"/>
    </w:pPr>
    <w:rPr>
      <w:sz w:val="28"/>
    </w:rPr>
  </w:style>
  <w:style w:type="paragraph" w:styleId="35">
    <w:name w:val="footnote text"/>
    <w:basedOn w:val="1"/>
    <w:link w:val="73"/>
    <w:unhideWhenUsed/>
    <w:qFormat/>
    <w:uiPriority w:val="99"/>
    <w:pPr>
      <w:snapToGrid w:val="0"/>
      <w:jc w:val="left"/>
    </w:pPr>
    <w:rPr>
      <w:sz w:val="18"/>
      <w:szCs w:val="18"/>
    </w:rPr>
  </w:style>
  <w:style w:type="paragraph" w:styleId="36">
    <w:name w:val="toc 6"/>
    <w:basedOn w:val="1"/>
    <w:next w:val="1"/>
    <w:unhideWhenUsed/>
    <w:qFormat/>
    <w:uiPriority w:val="39"/>
    <w:pPr>
      <w:ind w:left="2100" w:leftChars="1000"/>
    </w:pPr>
    <w:rPr>
      <w:rFonts w:ascii="Calibri" w:hAnsi="Calibri"/>
      <w:szCs w:val="22"/>
    </w:rPr>
  </w:style>
  <w:style w:type="paragraph" w:styleId="37">
    <w:name w:val="Body Text Indent 3"/>
    <w:basedOn w:val="1"/>
    <w:link w:val="74"/>
    <w:qFormat/>
    <w:uiPriority w:val="0"/>
    <w:pPr>
      <w:spacing w:after="120"/>
      <w:ind w:left="420" w:leftChars="200"/>
    </w:pPr>
    <w:rPr>
      <w:kern w:val="0"/>
      <w:sz w:val="16"/>
      <w:szCs w:val="16"/>
    </w:rPr>
  </w:style>
  <w:style w:type="paragraph" w:styleId="38">
    <w:name w:val="toc 2"/>
    <w:basedOn w:val="1"/>
    <w:next w:val="1"/>
    <w:unhideWhenUsed/>
    <w:qFormat/>
    <w:uiPriority w:val="39"/>
    <w:pPr>
      <w:ind w:left="420" w:leftChars="200"/>
    </w:pPr>
  </w:style>
  <w:style w:type="paragraph" w:styleId="39">
    <w:name w:val="toc 9"/>
    <w:basedOn w:val="1"/>
    <w:next w:val="1"/>
    <w:unhideWhenUsed/>
    <w:qFormat/>
    <w:uiPriority w:val="39"/>
    <w:pPr>
      <w:ind w:left="3360" w:leftChars="1600"/>
    </w:pPr>
    <w:rPr>
      <w:rFonts w:ascii="Calibri" w:hAnsi="Calibri"/>
      <w:szCs w:val="22"/>
    </w:rPr>
  </w:style>
  <w:style w:type="paragraph" w:styleId="40">
    <w:name w:val="Body Text 2"/>
    <w:basedOn w:val="1"/>
    <w:link w:val="75"/>
    <w:qFormat/>
    <w:uiPriority w:val="0"/>
    <w:pPr>
      <w:spacing w:after="120" w:line="480" w:lineRule="auto"/>
    </w:pPr>
    <w:rPr>
      <w:kern w:val="0"/>
      <w:sz w:val="20"/>
    </w:rPr>
  </w:style>
  <w:style w:type="paragraph" w:styleId="41">
    <w:name w:val="Normal (Web)"/>
    <w:basedOn w:val="1"/>
    <w:qFormat/>
    <w:uiPriority w:val="0"/>
    <w:pPr>
      <w:widowControl/>
      <w:spacing w:before="100" w:beforeAutospacing="1" w:after="100" w:afterAutospacing="1"/>
      <w:jc w:val="left"/>
    </w:pPr>
    <w:rPr>
      <w:rFonts w:ascii="宋体" w:hAnsi="宋体"/>
      <w:kern w:val="0"/>
      <w:sz w:val="24"/>
    </w:rPr>
  </w:style>
  <w:style w:type="paragraph" w:styleId="42">
    <w:name w:val="index 1"/>
    <w:basedOn w:val="1"/>
    <w:next w:val="1"/>
    <w:semiHidden/>
    <w:qFormat/>
    <w:uiPriority w:val="0"/>
    <w:pPr>
      <w:spacing w:line="400" w:lineRule="exact"/>
      <w:ind w:firstLine="420" w:firstLineChars="200"/>
    </w:pPr>
    <w:rPr>
      <w:rFonts w:ascii="宋体" w:hAnsi="Courier New"/>
      <w:b/>
      <w:szCs w:val="20"/>
    </w:rPr>
  </w:style>
  <w:style w:type="paragraph" w:styleId="43">
    <w:name w:val="Title"/>
    <w:basedOn w:val="1"/>
    <w:next w:val="1"/>
    <w:link w:val="76"/>
    <w:qFormat/>
    <w:uiPriority w:val="10"/>
    <w:pPr>
      <w:spacing w:before="240" w:after="60"/>
      <w:jc w:val="center"/>
      <w:outlineLvl w:val="0"/>
    </w:pPr>
    <w:rPr>
      <w:rFonts w:ascii="Cambria" w:hAnsi="Cambria"/>
      <w:b/>
      <w:bCs/>
      <w:sz w:val="32"/>
      <w:szCs w:val="32"/>
    </w:rPr>
  </w:style>
  <w:style w:type="character" w:styleId="45">
    <w:name w:val="endnote reference"/>
    <w:unhideWhenUsed/>
    <w:qFormat/>
    <w:uiPriority w:val="99"/>
    <w:rPr>
      <w:vertAlign w:val="superscript"/>
    </w:rPr>
  </w:style>
  <w:style w:type="character" w:styleId="46">
    <w:name w:val="page number"/>
    <w:qFormat/>
    <w:uiPriority w:val="0"/>
  </w:style>
  <w:style w:type="character" w:styleId="47">
    <w:name w:val="FollowedHyperlink"/>
    <w:qFormat/>
    <w:uiPriority w:val="0"/>
    <w:rPr>
      <w:color w:val="000000"/>
      <w:u w:val="none"/>
    </w:rPr>
  </w:style>
  <w:style w:type="character" w:styleId="48">
    <w:name w:val="Hyperlink"/>
    <w:qFormat/>
    <w:uiPriority w:val="99"/>
    <w:rPr>
      <w:color w:val="000000"/>
      <w:u w:val="none"/>
    </w:rPr>
  </w:style>
  <w:style w:type="character" w:styleId="49">
    <w:name w:val="annotation reference"/>
    <w:unhideWhenUsed/>
    <w:qFormat/>
    <w:uiPriority w:val="99"/>
    <w:rPr>
      <w:sz w:val="21"/>
      <w:szCs w:val="21"/>
    </w:rPr>
  </w:style>
  <w:style w:type="character" w:styleId="50">
    <w:name w:val="footnote reference"/>
    <w:unhideWhenUsed/>
    <w:qFormat/>
    <w:uiPriority w:val="99"/>
    <w:rPr>
      <w:vertAlign w:val="superscript"/>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3">
    <w:name w:val="正文文本 字符1"/>
    <w:link w:val="2"/>
    <w:qFormat/>
    <w:uiPriority w:val="99"/>
    <w:rPr>
      <w:rFonts w:ascii="仿宋" w:hAnsi="仿宋" w:eastAsia="仿宋"/>
      <w:kern w:val="2"/>
      <w:sz w:val="24"/>
      <w:szCs w:val="24"/>
    </w:rPr>
  </w:style>
  <w:style w:type="character" w:customStyle="1" w:styleId="54">
    <w:name w:val="标题 1 字符1"/>
    <w:link w:val="3"/>
    <w:qFormat/>
    <w:uiPriority w:val="0"/>
    <w:rPr>
      <w:rFonts w:ascii="Times New Roman" w:hAnsi="Times New Roman" w:eastAsia="宋体" w:cs="Times New Roman"/>
      <w:b/>
      <w:bCs/>
      <w:kern w:val="44"/>
      <w:sz w:val="44"/>
      <w:szCs w:val="44"/>
    </w:rPr>
  </w:style>
  <w:style w:type="character" w:customStyle="1" w:styleId="55">
    <w:name w:val="标题 2 字符"/>
    <w:link w:val="4"/>
    <w:qFormat/>
    <w:uiPriority w:val="0"/>
    <w:rPr>
      <w:rFonts w:ascii="Arial" w:hAnsi="Arial" w:eastAsia="黑体" w:cs="Times New Roman"/>
      <w:b/>
      <w:bCs/>
      <w:sz w:val="32"/>
      <w:szCs w:val="32"/>
    </w:rPr>
  </w:style>
  <w:style w:type="character" w:customStyle="1" w:styleId="56">
    <w:name w:val="标题 3 字符2"/>
    <w:link w:val="5"/>
    <w:qFormat/>
    <w:uiPriority w:val="99"/>
    <w:rPr>
      <w:rFonts w:ascii="Times New Roman" w:hAnsi="Times New Roman" w:eastAsia="宋体" w:cs="Times New Roman"/>
      <w:b/>
      <w:bCs/>
      <w:sz w:val="32"/>
      <w:szCs w:val="32"/>
    </w:rPr>
  </w:style>
  <w:style w:type="character" w:customStyle="1" w:styleId="57">
    <w:name w:val="标题 5 字符"/>
    <w:link w:val="6"/>
    <w:qFormat/>
    <w:uiPriority w:val="0"/>
    <w:rPr>
      <w:b/>
      <w:kern w:val="2"/>
      <w:sz w:val="28"/>
      <w:szCs w:val="24"/>
    </w:rPr>
  </w:style>
  <w:style w:type="character" w:customStyle="1" w:styleId="58">
    <w:name w:val="标题 6 字符"/>
    <w:link w:val="8"/>
    <w:qFormat/>
    <w:uiPriority w:val="0"/>
    <w:rPr>
      <w:rFonts w:ascii="Arial" w:hAnsi="Arial" w:eastAsia="黑体"/>
      <w:b/>
      <w:kern w:val="2"/>
      <w:sz w:val="24"/>
      <w:szCs w:val="24"/>
    </w:rPr>
  </w:style>
  <w:style w:type="character" w:customStyle="1" w:styleId="59">
    <w:name w:val="标题 7 字符"/>
    <w:link w:val="9"/>
    <w:qFormat/>
    <w:uiPriority w:val="0"/>
    <w:rPr>
      <w:rFonts w:ascii="Times New Roman" w:hAnsi="Times New Roman"/>
      <w:b/>
      <w:kern w:val="2"/>
      <w:sz w:val="24"/>
      <w:szCs w:val="24"/>
    </w:rPr>
  </w:style>
  <w:style w:type="character" w:customStyle="1" w:styleId="60">
    <w:name w:val="标题 8 字符"/>
    <w:link w:val="10"/>
    <w:qFormat/>
    <w:uiPriority w:val="0"/>
    <w:rPr>
      <w:rFonts w:ascii="Arial" w:hAnsi="Arial" w:eastAsia="黑体"/>
      <w:kern w:val="2"/>
      <w:sz w:val="24"/>
      <w:szCs w:val="24"/>
    </w:rPr>
  </w:style>
  <w:style w:type="character" w:customStyle="1" w:styleId="61">
    <w:name w:val="标题 9 字符"/>
    <w:link w:val="11"/>
    <w:qFormat/>
    <w:uiPriority w:val="0"/>
    <w:rPr>
      <w:rFonts w:ascii="Arial" w:hAnsi="Arial" w:eastAsia="黑体"/>
      <w:kern w:val="2"/>
      <w:sz w:val="21"/>
      <w:szCs w:val="24"/>
    </w:rPr>
  </w:style>
  <w:style w:type="character" w:customStyle="1" w:styleId="62">
    <w:name w:val="文档结构图 字符"/>
    <w:link w:val="17"/>
    <w:qFormat/>
    <w:uiPriority w:val="0"/>
    <w:rPr>
      <w:rFonts w:hint="eastAsia" w:ascii="宋体" w:hAnsi="宋体" w:eastAsia="宋体" w:cs="宋体"/>
    </w:rPr>
  </w:style>
  <w:style w:type="character" w:customStyle="1" w:styleId="63">
    <w:name w:val="批注文字 字符3"/>
    <w:link w:val="13"/>
    <w:qFormat/>
    <w:uiPriority w:val="0"/>
    <w:rPr>
      <w:rFonts w:ascii="Times New Roman" w:hAnsi="Times New Roman"/>
      <w:kern w:val="2"/>
      <w:sz w:val="21"/>
      <w:szCs w:val="24"/>
    </w:rPr>
  </w:style>
  <w:style w:type="character" w:customStyle="1" w:styleId="64">
    <w:name w:val="正文文本 3 字符"/>
    <w:link w:val="18"/>
    <w:qFormat/>
    <w:uiPriority w:val="0"/>
    <w:rPr>
      <w:rFonts w:ascii="Times New Roman" w:hAnsi="Times New Roman" w:eastAsia="宋体" w:cs="Times New Roman"/>
      <w:b/>
      <w:bCs/>
      <w:sz w:val="24"/>
      <w:szCs w:val="24"/>
    </w:rPr>
  </w:style>
  <w:style w:type="character" w:customStyle="1" w:styleId="65">
    <w:name w:val="正文文本缩进 字符1"/>
    <w:link w:val="19"/>
    <w:qFormat/>
    <w:uiPriority w:val="0"/>
    <w:rPr>
      <w:rFonts w:ascii="仿宋_GB2312" w:hAnsi="Times New Roman" w:eastAsia="仿宋_GB2312" w:cs="Times New Roman"/>
      <w:sz w:val="32"/>
      <w:szCs w:val="20"/>
    </w:rPr>
  </w:style>
  <w:style w:type="character" w:customStyle="1" w:styleId="66">
    <w:name w:val="纯文本 字符4"/>
    <w:link w:val="24"/>
    <w:qFormat/>
    <w:uiPriority w:val="99"/>
    <w:rPr>
      <w:rFonts w:ascii="仿宋" w:hAnsi="仿宋" w:eastAsia="仿宋" w:cs="宋体"/>
      <w:b/>
      <w:sz w:val="24"/>
      <w:szCs w:val="24"/>
    </w:rPr>
  </w:style>
  <w:style w:type="character" w:customStyle="1" w:styleId="67">
    <w:name w:val="日期 字符"/>
    <w:link w:val="26"/>
    <w:qFormat/>
    <w:uiPriority w:val="0"/>
    <w:rPr>
      <w:rFonts w:ascii="宋体" w:hAnsi="Courier New" w:eastAsia="宋体" w:cs="Courier New"/>
      <w:szCs w:val="21"/>
    </w:rPr>
  </w:style>
  <w:style w:type="character" w:customStyle="1" w:styleId="68">
    <w:name w:val="正文文本缩进 2 字符"/>
    <w:link w:val="27"/>
    <w:qFormat/>
    <w:uiPriority w:val="0"/>
    <w:rPr>
      <w:rFonts w:ascii="Times New Roman" w:hAnsi="Times New Roman" w:eastAsia="宋体" w:cs="Times New Roman"/>
      <w:sz w:val="32"/>
      <w:szCs w:val="20"/>
    </w:rPr>
  </w:style>
  <w:style w:type="character" w:customStyle="1" w:styleId="69">
    <w:name w:val="尾注文本 字符"/>
    <w:link w:val="28"/>
    <w:semiHidden/>
    <w:qFormat/>
    <w:uiPriority w:val="99"/>
    <w:rPr>
      <w:rFonts w:ascii="Times New Roman" w:hAnsi="Times New Roman"/>
      <w:kern w:val="2"/>
      <w:sz w:val="21"/>
      <w:szCs w:val="24"/>
    </w:rPr>
  </w:style>
  <w:style w:type="character" w:customStyle="1" w:styleId="70">
    <w:name w:val="批注框文本 字符"/>
    <w:link w:val="29"/>
    <w:semiHidden/>
    <w:qFormat/>
    <w:uiPriority w:val="0"/>
    <w:rPr>
      <w:rFonts w:ascii="Times New Roman" w:hAnsi="Times New Roman" w:eastAsia="宋体" w:cs="Times New Roman"/>
      <w:sz w:val="18"/>
      <w:szCs w:val="18"/>
    </w:rPr>
  </w:style>
  <w:style w:type="character" w:customStyle="1" w:styleId="71">
    <w:name w:val="页脚 字符1"/>
    <w:link w:val="30"/>
    <w:qFormat/>
    <w:uiPriority w:val="99"/>
    <w:rPr>
      <w:sz w:val="18"/>
      <w:szCs w:val="18"/>
    </w:rPr>
  </w:style>
  <w:style w:type="character" w:customStyle="1" w:styleId="72">
    <w:name w:val="页眉 字符1"/>
    <w:link w:val="31"/>
    <w:qFormat/>
    <w:uiPriority w:val="99"/>
    <w:rPr>
      <w:rFonts w:ascii="Times New Roman" w:hAnsi="Times New Roman"/>
      <w:kern w:val="2"/>
      <w:sz w:val="18"/>
      <w:szCs w:val="18"/>
    </w:rPr>
  </w:style>
  <w:style w:type="character" w:customStyle="1" w:styleId="73">
    <w:name w:val="脚注文本 字符"/>
    <w:link w:val="35"/>
    <w:semiHidden/>
    <w:qFormat/>
    <w:uiPriority w:val="99"/>
    <w:rPr>
      <w:rFonts w:ascii="Times New Roman" w:hAnsi="Times New Roman"/>
      <w:kern w:val="2"/>
      <w:sz w:val="18"/>
      <w:szCs w:val="18"/>
    </w:rPr>
  </w:style>
  <w:style w:type="character" w:customStyle="1" w:styleId="74">
    <w:name w:val="正文文本缩进 3 字符"/>
    <w:link w:val="37"/>
    <w:qFormat/>
    <w:uiPriority w:val="0"/>
    <w:rPr>
      <w:rFonts w:ascii="Times New Roman" w:hAnsi="Times New Roman" w:eastAsia="宋体" w:cs="Times New Roman"/>
      <w:sz w:val="16"/>
      <w:szCs w:val="16"/>
    </w:rPr>
  </w:style>
  <w:style w:type="character" w:customStyle="1" w:styleId="75">
    <w:name w:val="正文文本 2 字符"/>
    <w:link w:val="40"/>
    <w:qFormat/>
    <w:uiPriority w:val="0"/>
    <w:rPr>
      <w:rFonts w:ascii="Times New Roman" w:hAnsi="Times New Roman" w:eastAsia="宋体" w:cs="Times New Roman"/>
      <w:szCs w:val="24"/>
    </w:rPr>
  </w:style>
  <w:style w:type="character" w:customStyle="1" w:styleId="76">
    <w:name w:val="标题 字符"/>
    <w:link w:val="43"/>
    <w:qFormat/>
    <w:uiPriority w:val="10"/>
    <w:rPr>
      <w:rFonts w:ascii="Cambria" w:hAnsi="Cambria" w:cs="Times New Roman"/>
      <w:b/>
      <w:bCs/>
      <w:kern w:val="2"/>
      <w:sz w:val="32"/>
      <w:szCs w:val="32"/>
    </w:rPr>
  </w:style>
  <w:style w:type="character" w:customStyle="1" w:styleId="77">
    <w:name w:val="批注主题 字符"/>
    <w:link w:val="12"/>
    <w:semiHidden/>
    <w:qFormat/>
    <w:uiPriority w:val="99"/>
    <w:rPr>
      <w:rFonts w:ascii="Times New Roman" w:hAnsi="Times New Roman"/>
      <w:b/>
      <w:bCs/>
      <w:kern w:val="2"/>
      <w:sz w:val="21"/>
      <w:szCs w:val="24"/>
    </w:rPr>
  </w:style>
  <w:style w:type="character" w:customStyle="1" w:styleId="78">
    <w:name w:val="批注文字 Char1"/>
    <w:qFormat/>
    <w:locked/>
    <w:uiPriority w:val="0"/>
    <w:rPr>
      <w:rFonts w:ascii="Times New Roman" w:hAnsi="Times New Roman"/>
      <w:kern w:val="2"/>
      <w:sz w:val="21"/>
      <w:szCs w:val="24"/>
    </w:rPr>
  </w:style>
  <w:style w:type="character" w:customStyle="1" w:styleId="79">
    <w:name w:val="case31"/>
    <w:qFormat/>
    <w:uiPriority w:val="0"/>
    <w:rPr>
      <w:rFonts w:hint="default"/>
      <w:sz w:val="21"/>
      <w:szCs w:val="21"/>
    </w:rPr>
  </w:style>
  <w:style w:type="character" w:customStyle="1" w:styleId="80">
    <w:name w:val="批注文字 Char"/>
    <w:qFormat/>
    <w:uiPriority w:val="0"/>
    <w:rPr>
      <w:rFonts w:ascii="Times New Roman" w:hAnsi="Times New Roman"/>
      <w:kern w:val="2"/>
      <w:sz w:val="21"/>
      <w:szCs w:val="24"/>
    </w:rPr>
  </w:style>
  <w:style w:type="character" w:customStyle="1" w:styleId="81">
    <w:name w:val="纯文本 Char"/>
    <w:qFormat/>
    <w:uiPriority w:val="0"/>
    <w:rPr>
      <w:rFonts w:ascii="宋体" w:hAnsi="Courier New" w:eastAsia="宋体"/>
      <w:kern w:val="2"/>
      <w:sz w:val="21"/>
      <w:lang w:val="en-US" w:eastAsia="zh-CN" w:bidi="ar-SA"/>
    </w:rPr>
  </w:style>
  <w:style w:type="character" w:customStyle="1" w:styleId="82">
    <w:name w:val="纯文本 字符1"/>
    <w:qFormat/>
    <w:uiPriority w:val="0"/>
    <w:rPr>
      <w:rFonts w:ascii="宋体" w:hAnsi="Courier New"/>
    </w:rPr>
  </w:style>
  <w:style w:type="character" w:customStyle="1" w:styleId="83">
    <w:name w:val="批注文字 字符1"/>
    <w:qFormat/>
    <w:uiPriority w:val="0"/>
    <w:rPr>
      <w:rFonts w:ascii="Times New Roman" w:hAnsi="Times New Roman"/>
      <w:kern w:val="2"/>
      <w:sz w:val="21"/>
      <w:szCs w:val="24"/>
    </w:rPr>
  </w:style>
  <w:style w:type="character" w:customStyle="1" w:styleId="84">
    <w:name w:val="正文文本 Char1"/>
    <w:semiHidden/>
    <w:qFormat/>
    <w:locked/>
    <w:uiPriority w:val="99"/>
    <w:rPr>
      <w:sz w:val="24"/>
      <w:szCs w:val="24"/>
    </w:rPr>
  </w:style>
  <w:style w:type="character" w:customStyle="1" w:styleId="85">
    <w:name w:val="apple-style-span"/>
    <w:qFormat/>
    <w:uiPriority w:val="0"/>
  </w:style>
  <w:style w:type="character" w:customStyle="1" w:styleId="86">
    <w:name w:val="textcontents"/>
    <w:qFormat/>
    <w:uiPriority w:val="0"/>
  </w:style>
  <w:style w:type="character" w:customStyle="1" w:styleId="87">
    <w:name w:val="普通文字 Char Char2"/>
    <w:qFormat/>
    <w:uiPriority w:val="0"/>
    <w:rPr>
      <w:rFonts w:ascii="宋体" w:hAnsi="Courier New" w:eastAsia="宋体"/>
      <w:kern w:val="2"/>
      <w:sz w:val="21"/>
      <w:lang w:val="en-US" w:eastAsia="zh-CN" w:bidi="ar-SA"/>
    </w:rPr>
  </w:style>
  <w:style w:type="character" w:customStyle="1" w:styleId="88">
    <w:name w:val="标题 5 Char"/>
    <w:qFormat/>
    <w:uiPriority w:val="9"/>
    <w:rPr>
      <w:b/>
      <w:kern w:val="2"/>
      <w:sz w:val="28"/>
      <w:szCs w:val="24"/>
    </w:rPr>
  </w:style>
  <w:style w:type="character" w:customStyle="1" w:styleId="89">
    <w:name w:val="批注文字 字符"/>
    <w:qFormat/>
    <w:uiPriority w:val="99"/>
    <w:rPr>
      <w:rFonts w:ascii="Times New Roman" w:hAnsi="Times New Roman"/>
      <w:kern w:val="2"/>
      <w:sz w:val="21"/>
      <w:szCs w:val="24"/>
    </w:rPr>
  </w:style>
  <w:style w:type="character" w:customStyle="1" w:styleId="90">
    <w:name w:val="标题 1 字符"/>
    <w:qFormat/>
    <w:uiPriority w:val="9"/>
    <w:rPr>
      <w:rFonts w:ascii="Times New Roman" w:hAnsi="Times New Roman" w:eastAsia="宋体" w:cs="Times New Roman"/>
      <w:b/>
      <w:bCs/>
      <w:kern w:val="44"/>
      <w:sz w:val="44"/>
      <w:szCs w:val="44"/>
    </w:rPr>
  </w:style>
  <w:style w:type="character" w:customStyle="1" w:styleId="91">
    <w:name w:val="纯文本 字符"/>
    <w:qFormat/>
    <w:uiPriority w:val="99"/>
    <w:rPr>
      <w:rFonts w:ascii="宋体" w:hAnsi="Courier New" w:eastAsia="宋体" w:cs="Courier New"/>
      <w:szCs w:val="21"/>
    </w:rPr>
  </w:style>
  <w:style w:type="character" w:customStyle="1" w:styleId="92">
    <w:name w:val="headline-content4"/>
    <w:qFormat/>
    <w:uiPriority w:val="0"/>
  </w:style>
  <w:style w:type="character" w:customStyle="1" w:styleId="9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4">
    <w:name w:val="正文文本缩进 字符"/>
    <w:qFormat/>
    <w:uiPriority w:val="0"/>
    <w:rPr>
      <w:rFonts w:ascii="仿宋_GB2312" w:hAnsi="Times New Roman" w:eastAsia="仿宋_GB2312" w:cs="Times New Roman"/>
      <w:sz w:val="32"/>
      <w:szCs w:val="20"/>
    </w:rPr>
  </w:style>
  <w:style w:type="character" w:customStyle="1" w:styleId="95">
    <w:name w:val="页脚 字符"/>
    <w:qFormat/>
    <w:uiPriority w:val="99"/>
  </w:style>
  <w:style w:type="character" w:customStyle="1" w:styleId="96">
    <w:name w:val="标题 1 Char1"/>
    <w:qFormat/>
    <w:uiPriority w:val="0"/>
    <w:rPr>
      <w:rFonts w:eastAsia="宋体"/>
      <w:b/>
      <w:bCs/>
      <w:kern w:val="44"/>
      <w:sz w:val="44"/>
      <w:szCs w:val="44"/>
      <w:lang w:val="en-US" w:eastAsia="zh-CN" w:bidi="ar-SA"/>
    </w:rPr>
  </w:style>
  <w:style w:type="character" w:customStyle="1" w:styleId="97">
    <w:name w:val="font11"/>
    <w:qFormat/>
    <w:uiPriority w:val="0"/>
    <w:rPr>
      <w:rFonts w:hint="eastAsia" w:ascii="宋体" w:hAnsi="宋体" w:eastAsia="宋体" w:cs="宋体"/>
      <w:color w:val="000000"/>
      <w:sz w:val="18"/>
      <w:szCs w:val="18"/>
      <w:u w:val="none"/>
    </w:rPr>
  </w:style>
  <w:style w:type="paragraph" w:customStyle="1" w:styleId="98">
    <w:name w:val="默认段落字体 Para Char Char Char Char Char Char Char Char Char1 Char Char Char Char"/>
    <w:basedOn w:val="1"/>
    <w:qFormat/>
    <w:uiPriority w:val="0"/>
    <w:rPr>
      <w:rFonts w:ascii="Tahoma" w:hAnsi="Tahoma"/>
      <w:sz w:val="24"/>
      <w:szCs w:val="20"/>
    </w:rPr>
  </w:style>
  <w:style w:type="paragraph" w:customStyle="1" w:styleId="99">
    <w:name w:val="Char1"/>
    <w:basedOn w:val="1"/>
    <w:qFormat/>
    <w:uiPriority w:val="0"/>
    <w:rPr>
      <w:szCs w:val="21"/>
    </w:rPr>
  </w:style>
  <w:style w:type="paragraph" w:styleId="100">
    <w:name w:val="List Paragraph"/>
    <w:basedOn w:val="1"/>
    <w:qFormat/>
    <w:uiPriority w:val="34"/>
    <w:pPr>
      <w:ind w:firstLine="420" w:firstLineChars="200"/>
    </w:pPr>
  </w:style>
  <w:style w:type="paragraph" w:customStyle="1" w:styleId="101">
    <w:name w:val="纯文本1"/>
    <w:basedOn w:val="1"/>
    <w:qFormat/>
    <w:uiPriority w:val="0"/>
    <w:rPr>
      <w:rFonts w:ascii="宋体" w:hAnsi="Courier New" w:cs="Century"/>
      <w:szCs w:val="21"/>
    </w:rPr>
  </w:style>
  <w:style w:type="paragraph" w:customStyle="1" w:styleId="102">
    <w:name w:val="样式"/>
    <w:qFormat/>
    <w:uiPriority w:val="0"/>
    <w:pPr>
      <w:widowControl w:val="0"/>
      <w:autoSpaceDE w:val="0"/>
      <w:autoSpaceDN w:val="0"/>
      <w:adjustRightInd w:val="0"/>
      <w:spacing w:after="160" w:line="278" w:lineRule="auto"/>
      <w:jc w:val="center"/>
    </w:pPr>
    <w:rPr>
      <w:rFonts w:ascii="宋体" w:hAnsi="宋体" w:eastAsia="宋体" w:cs="宋体"/>
      <w:sz w:val="24"/>
      <w:szCs w:val="24"/>
      <w:lang w:val="en-US" w:eastAsia="zh-CN" w:bidi="ar-SA"/>
    </w:rPr>
  </w:style>
  <w:style w:type="paragraph" w:customStyle="1" w:styleId="103">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4">
    <w:name w:val="Table Paragraph"/>
    <w:basedOn w:val="1"/>
    <w:qFormat/>
    <w:uiPriority w:val="1"/>
    <w:pPr>
      <w:jc w:val="left"/>
    </w:pPr>
    <w:rPr>
      <w:rFonts w:ascii="Calibri" w:hAnsi="Calibri"/>
      <w:kern w:val="0"/>
      <w:sz w:val="22"/>
      <w:szCs w:val="22"/>
      <w:lang w:eastAsia="en-US"/>
    </w:rPr>
  </w:style>
  <w:style w:type="paragraph" w:customStyle="1" w:styleId="10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06">
    <w:name w:val="表格"/>
    <w:basedOn w:val="1"/>
    <w:qFormat/>
    <w:uiPriority w:val="0"/>
    <w:pPr>
      <w:spacing w:line="400" w:lineRule="exact"/>
    </w:pPr>
    <w:rPr>
      <w:sz w:val="24"/>
    </w:rPr>
  </w:style>
  <w:style w:type="paragraph" w:customStyle="1" w:styleId="107">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08">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09">
    <w:name w:val="样式 首行缩进:  2 字符"/>
    <w:basedOn w:val="1"/>
    <w:qFormat/>
    <w:uiPriority w:val="0"/>
    <w:pPr>
      <w:spacing w:line="400" w:lineRule="exact"/>
      <w:ind w:firstLine="200" w:firstLineChars="200"/>
    </w:pPr>
    <w:rPr>
      <w:rFonts w:cs="宋体"/>
      <w:sz w:val="24"/>
    </w:rPr>
  </w:style>
  <w:style w:type="paragraph" w:customStyle="1" w:styleId="110">
    <w:name w:val="正文首行缩进两字符"/>
    <w:basedOn w:val="1"/>
    <w:qFormat/>
    <w:uiPriority w:val="0"/>
    <w:pPr>
      <w:spacing w:line="360" w:lineRule="auto"/>
      <w:ind w:firstLine="200" w:firstLineChars="200"/>
    </w:pPr>
  </w:style>
  <w:style w:type="paragraph" w:customStyle="1" w:styleId="111">
    <w:name w:val="正文段"/>
    <w:basedOn w:val="1"/>
    <w:qFormat/>
    <w:uiPriority w:val="0"/>
    <w:pPr>
      <w:widowControl/>
      <w:snapToGrid w:val="0"/>
      <w:spacing w:after="50" w:afterLines="50"/>
      <w:ind w:firstLine="200" w:firstLineChars="200"/>
    </w:pPr>
    <w:rPr>
      <w:kern w:val="0"/>
      <w:sz w:val="24"/>
      <w:szCs w:val="20"/>
    </w:rPr>
  </w:style>
  <w:style w:type="paragraph" w:customStyle="1" w:styleId="112">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table" w:customStyle="1" w:styleId="113">
    <w:name w:val="Table Normal"/>
    <w:semiHidden/>
    <w:qFormat/>
    <w:uiPriority w:val="2"/>
    <w:pPr>
      <w:widowControl w:val="0"/>
    </w:pPr>
    <w:rPr>
      <w:rFonts w:ascii="Calibri" w:hAnsi="Calibri" w:eastAsia="Times New Roman"/>
      <w:sz w:val="22"/>
      <w:szCs w:val="22"/>
      <w:lang w:eastAsia="en-US"/>
    </w:rPr>
    <w:tblPr>
      <w:tblLayout w:type="fixed"/>
      <w:tblCellMar>
        <w:top w:w="0" w:type="dxa"/>
        <w:left w:w="0" w:type="dxa"/>
        <w:bottom w:w="0" w:type="dxa"/>
        <w:right w:w="0" w:type="dxa"/>
      </w:tblCellMar>
    </w:tblPr>
  </w:style>
  <w:style w:type="character" w:customStyle="1" w:styleId="114">
    <w:name w:val="未处理的提及1"/>
    <w:unhideWhenUsed/>
    <w:qFormat/>
    <w:uiPriority w:val="99"/>
    <w:rPr>
      <w:color w:val="605E5C"/>
      <w:shd w:val="clear" w:color="auto" w:fill="E1DFDD"/>
    </w:rPr>
  </w:style>
  <w:style w:type="character" w:customStyle="1" w:styleId="115">
    <w:name w:val="批注文字 字符2"/>
    <w:qFormat/>
    <w:uiPriority w:val="0"/>
    <w:rPr>
      <w:rFonts w:ascii="Times New Roman" w:hAnsi="Times New Roman"/>
      <w:kern w:val="2"/>
      <w:sz w:val="21"/>
      <w:szCs w:val="24"/>
    </w:rPr>
  </w:style>
  <w:style w:type="character" w:customStyle="1" w:styleId="116">
    <w:name w:val="页眉 字符"/>
    <w:qFormat/>
    <w:uiPriority w:val="99"/>
    <w:rPr>
      <w:rFonts w:ascii="Times New Roman" w:hAnsi="Times New Roman"/>
      <w:kern w:val="2"/>
      <w:sz w:val="18"/>
      <w:szCs w:val="18"/>
    </w:rPr>
  </w:style>
  <w:style w:type="character" w:customStyle="1" w:styleId="117">
    <w:name w:val="正文文本 字符"/>
    <w:qFormat/>
    <w:uiPriority w:val="99"/>
    <w:rPr>
      <w:sz w:val="24"/>
      <w:szCs w:val="24"/>
    </w:rPr>
  </w:style>
  <w:style w:type="character" w:customStyle="1" w:styleId="118">
    <w:name w:val="纯文本 字符2"/>
    <w:qFormat/>
    <w:uiPriority w:val="0"/>
    <w:rPr>
      <w:rFonts w:ascii="宋体" w:hAnsi="Courier New"/>
      <w:szCs w:val="21"/>
    </w:rPr>
  </w:style>
  <w:style w:type="paragraph" w:customStyle="1" w:styleId="119">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
    <w:name w:val="reader-word-layer reader-word-s1-0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21">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
    <w:name w:val="列表段落2"/>
    <w:basedOn w:val="1"/>
    <w:qFormat/>
    <w:uiPriority w:val="99"/>
    <w:pPr>
      <w:ind w:firstLine="420" w:firstLineChars="200"/>
    </w:pPr>
    <w:rPr>
      <w:rFonts w:ascii="等线" w:hAnsi="等线" w:eastAsia="等线" w:cs="宋体"/>
      <w:szCs w:val="21"/>
    </w:rPr>
  </w:style>
  <w:style w:type="character" w:customStyle="1" w:styleId="123">
    <w:name w:val="标题 3 字符"/>
    <w:semiHidden/>
    <w:qFormat/>
    <w:locked/>
    <w:uiPriority w:val="99"/>
    <w:rPr>
      <w:rFonts w:ascii="等线" w:hAnsi="等线" w:eastAsia="等线" w:cs="Times New Roman"/>
      <w:b/>
      <w:sz w:val="32"/>
    </w:rPr>
  </w:style>
  <w:style w:type="character" w:customStyle="1" w:styleId="124">
    <w:name w:val="纯文本 字符3"/>
    <w:qFormat/>
    <w:uiPriority w:val="0"/>
    <w:rPr>
      <w:rFonts w:ascii="宋体" w:hAnsi="Courier New" w:eastAsia="宋体" w:cs="Courier New"/>
      <w:szCs w:val="21"/>
    </w:rPr>
  </w:style>
  <w:style w:type="character" w:customStyle="1" w:styleId="125">
    <w:name w:val="标题 3 字符1"/>
    <w:qFormat/>
    <w:uiPriority w:val="0"/>
    <w:rPr>
      <w:rFonts w:ascii="Times New Roman" w:hAnsi="Times New Roman" w:eastAsia="宋体" w:cs="Times New Roman"/>
      <w:b/>
      <w:bCs/>
      <w:sz w:val="32"/>
      <w:szCs w:val="32"/>
    </w:rPr>
  </w:style>
  <w:style w:type="character" w:customStyle="1" w:styleId="126">
    <w:name w:val="font61"/>
    <w:qFormat/>
    <w:uiPriority w:val="0"/>
    <w:rPr>
      <w:rFonts w:hint="eastAsia" w:ascii="宋体" w:hAnsi="宋体" w:eastAsia="宋体" w:cs="宋体"/>
      <w:color w:val="000000"/>
      <w:sz w:val="36"/>
      <w:szCs w:val="36"/>
      <w:u w:val="none"/>
    </w:rPr>
  </w:style>
  <w:style w:type="paragraph" w:customStyle="1" w:styleId="127">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28">
    <w:name w:val="修订3"/>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29">
    <w:name w:val="修订4"/>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0">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1">
    <w:name w:val="样式 标题 1propapp heading 1app heading 11app heading 12app hea..."/>
    <w:basedOn w:val="3"/>
    <w:qFormat/>
    <w:uiPriority w:val="0"/>
    <w:pPr>
      <w:spacing w:before="120" w:after="120" w:line="576" w:lineRule="auto"/>
      <w:jc w:val="center"/>
    </w:pPr>
    <w:rPr>
      <w:rFonts w:ascii="Calibri" w:hAnsi="Calibri" w:eastAsia="黑体" w:cs="宋体"/>
      <w:color w:val="000000"/>
      <w:sz w:val="30"/>
      <w:szCs w:val="30"/>
    </w:rPr>
  </w:style>
  <w:style w:type="paragraph" w:customStyle="1" w:styleId="132">
    <w:name w:val="列出段落1"/>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68C989-E55A-4943-92E5-7C512E9B154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101</Pages>
  <Words>9570</Words>
  <Characters>54552</Characters>
  <Lines>454</Lines>
  <Paragraphs>127</Paragraphs>
  <TotalTime>174</TotalTime>
  <ScaleCrop>false</ScaleCrop>
  <LinksUpToDate>false</LinksUpToDate>
  <CharactersWithSpaces>63995</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2025-03-15T08:53:00Z</dcterms:created>
  <dc:creator>KWZB</dc:creator>
  <cp:lastModifiedBy>Administrator</cp:lastModifiedBy>
  <cp:lastPrinted>2025-04-03T01:34:00Z</cp:lastPrinted>
  <dcterms:modified xsi:type="dcterms:W3CDTF">2025-04-27T07:12:26Z</dcterms:modified>
  <dc:title>公开招标采购文件范本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y fmtid="{D5CDD505-2E9C-101B-9397-08002B2CF9AE}" pid="3" name="ICV">
    <vt:lpwstr>7402BFC7E860461E9A4168CF57CA13A1_13</vt:lpwstr>
  </property>
  <property fmtid="{D5CDD505-2E9C-101B-9397-08002B2CF9AE}" pid="4" name="KSOTemplateDocerSaveRecord">
    <vt:lpwstr>eyJoZGlkIjoiMzhmYzJiNWJjYjJlZGUzNTk1MzEyODZlZjAxMWFlOGIiLCJ1c2VySWQiOiIxMTg0MzM2NDk5In0=</vt:lpwstr>
  </property>
</Properties>
</file>