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8A399">
      <w:pPr>
        <w:pStyle w:val="27"/>
        <w:keepNext/>
        <w:keepLines/>
        <w:framePr w:w="8025" w:h="4576" w:wrap="auto" w:vAnchor="page" w:hAnchor="page" w:x="2447" w:y="2361"/>
        <w:jc w:val="both"/>
      </w:pPr>
      <w:r>
        <w:rPr>
          <w:b/>
          <w:bCs/>
          <w:sz w:val="96"/>
          <w:szCs w:val="96"/>
        </w:rPr>
        <w:t>竞争性磋商文件</w:t>
      </w:r>
      <w:r>
        <w:br w:type="textWrapping"/>
      </w:r>
    </w:p>
    <w:p w14:paraId="5F86951E">
      <w:pPr>
        <w:pStyle w:val="27"/>
        <w:keepNext/>
        <w:keepLines/>
        <w:framePr w:w="8025" w:h="4576" w:wrap="auto" w:vAnchor="page" w:hAnchor="page" w:x="2447" w:y="2361"/>
        <w:ind w:firstLine="960" w:firstLineChars="200"/>
        <w:jc w:val="both"/>
        <w:rPr>
          <w:sz w:val="48"/>
          <w:szCs w:val="48"/>
        </w:rPr>
      </w:pPr>
      <w:r>
        <w:rPr>
          <w:rFonts w:hint="eastAsia"/>
          <w:sz w:val="48"/>
          <w:szCs w:val="48"/>
        </w:rPr>
        <w:t>（全流程电子化采购）</w:t>
      </w:r>
    </w:p>
    <w:p w14:paraId="22FCF9FF">
      <w:pPr>
        <w:pStyle w:val="27"/>
        <w:keepNext/>
        <w:keepLines/>
        <w:framePr w:w="8025" w:h="4576" w:wrap="auto" w:vAnchor="page" w:hAnchor="page" w:x="2447" w:y="2361"/>
        <w:jc w:val="both"/>
      </w:pPr>
    </w:p>
    <w:p w14:paraId="33C9000A">
      <w:pPr>
        <w:pStyle w:val="29"/>
        <w:framePr w:w="6420" w:h="1095" w:wrap="auto" w:vAnchor="page" w:hAnchor="page" w:x="2940" w:y="6261"/>
        <w:spacing w:after="360"/>
      </w:pPr>
    </w:p>
    <w:p w14:paraId="292035C6">
      <w:pPr>
        <w:pStyle w:val="29"/>
        <w:framePr w:w="6420" w:h="1095" w:wrap="auto" w:vAnchor="page" w:hAnchor="page" w:x="2940" w:y="6261"/>
        <w:spacing w:after="360"/>
        <w:rPr>
          <w:color w:val="auto"/>
          <w:lang w:eastAsia="zh-CN"/>
        </w:rPr>
      </w:pPr>
      <w:r>
        <w:t>项目名称：</w:t>
      </w:r>
      <w:r>
        <w:rPr>
          <w:rFonts w:hint="eastAsia" w:ascii="Times New Roman" w:hAnsi="Times New Roman" w:cs="Times New Roman"/>
          <w:color w:val="auto"/>
          <w:sz w:val="28"/>
          <w:szCs w:val="28"/>
          <w:lang w:eastAsia="zh-CN"/>
        </w:rPr>
        <w:t>凭祥市人民医院物业管理服务采购项目</w:t>
      </w:r>
    </w:p>
    <w:p w14:paraId="676EB25C">
      <w:pPr>
        <w:pStyle w:val="31"/>
        <w:framePr w:w="6420" w:h="1095" w:wrap="auto" w:vAnchor="page" w:hAnchor="page" w:x="2940" w:y="6261"/>
        <w:spacing w:after="0"/>
        <w:rPr>
          <w:rFonts w:eastAsia="宋体"/>
          <w:color w:val="auto"/>
          <w:lang w:eastAsia="zh-CN"/>
        </w:rPr>
      </w:pPr>
      <w:r>
        <w:rPr>
          <w:rFonts w:ascii="宋体" w:hAnsi="宋体" w:eastAsia="宋体" w:cs="宋体"/>
          <w:color w:val="auto"/>
          <w:sz w:val="30"/>
          <w:szCs w:val="30"/>
          <w:lang w:val="zh-TW" w:eastAsia="zh-TW" w:bidi="zh-TW"/>
        </w:rPr>
        <w:t>项目编号：</w:t>
      </w:r>
      <w:r>
        <w:rPr>
          <w:rFonts w:hint="eastAsia" w:eastAsia="宋体"/>
          <w:color w:val="auto"/>
          <w:lang w:eastAsia="zh-CN"/>
        </w:rPr>
        <w:t>CZZC2024-C3-810272-KZJS</w:t>
      </w:r>
    </w:p>
    <w:p w14:paraId="3B3C9218">
      <w:pPr>
        <w:pStyle w:val="29"/>
        <w:framePr w:w="7545" w:h="3176" w:wrap="auto" w:vAnchor="page" w:hAnchor="page" w:x="2311" w:y="10596"/>
        <w:ind w:firstLine="1200" w:firstLineChars="400"/>
        <w:rPr>
          <w:color w:val="auto"/>
          <w:lang w:eastAsia="zh-CN"/>
        </w:rPr>
      </w:pPr>
      <w:r>
        <w:rPr>
          <w:color w:val="auto"/>
        </w:rPr>
        <w:t>釆 购 人：</w:t>
      </w:r>
      <w:r>
        <w:rPr>
          <w:rFonts w:hint="eastAsia"/>
          <w:color w:val="auto"/>
          <w:lang w:eastAsia="zh-CN"/>
        </w:rPr>
        <w:t>凭祥市人民医院</w:t>
      </w:r>
    </w:p>
    <w:p w14:paraId="36720B79">
      <w:pPr>
        <w:pStyle w:val="29"/>
        <w:framePr w:w="7545" w:h="3176" w:wrap="auto" w:vAnchor="page" w:hAnchor="page" w:x="2311" w:y="10596"/>
        <w:ind w:firstLine="600" w:firstLineChars="200"/>
        <w:rPr>
          <w:color w:val="auto"/>
          <w:lang w:eastAsia="zh-CN"/>
        </w:rPr>
      </w:pPr>
      <w:r>
        <w:rPr>
          <w:color w:val="auto"/>
        </w:rPr>
        <w:t>采购代理机构：</w:t>
      </w:r>
      <w:r>
        <w:rPr>
          <w:rFonts w:hint="eastAsia"/>
          <w:color w:val="auto"/>
          <w:lang w:eastAsia="zh-CN"/>
        </w:rPr>
        <w:t>广西坤珍建设项目管理咨询有限公司</w:t>
      </w:r>
    </w:p>
    <w:p w14:paraId="3ADBE2FC">
      <w:pPr>
        <w:pStyle w:val="31"/>
        <w:framePr w:w="7545" w:h="3176" w:wrap="auto" w:vAnchor="page" w:hAnchor="page" w:x="2311" w:y="10596"/>
        <w:spacing w:after="420"/>
        <w:ind w:firstLine="560" w:firstLineChars="200"/>
        <w:jc w:val="center"/>
        <w:rPr>
          <w:color w:val="auto"/>
          <w:lang w:val="zh-TW" w:eastAsia="zh-CN" w:bidi="zh-TW"/>
        </w:rPr>
      </w:pPr>
      <w:r>
        <w:rPr>
          <w:color w:val="auto"/>
          <w:lang w:val="zh-TW" w:eastAsia="zh-TW" w:bidi="zh-TW"/>
        </w:rPr>
        <w:t>202</w:t>
      </w:r>
      <w:r>
        <w:rPr>
          <w:rFonts w:hint="eastAsia" w:eastAsia="宋体"/>
          <w:color w:val="auto"/>
          <w:lang w:eastAsia="zh-CN" w:bidi="zh-TW"/>
        </w:rPr>
        <w:t>4</w:t>
      </w:r>
      <w:r>
        <w:rPr>
          <w:color w:val="auto"/>
          <w:lang w:val="zh-TW" w:eastAsia="zh-TW" w:bidi="zh-TW"/>
        </w:rPr>
        <w:t>年</w:t>
      </w:r>
      <w:r>
        <w:rPr>
          <w:rFonts w:hint="eastAsia"/>
          <w:color w:val="auto"/>
          <w:lang w:val="en-US" w:eastAsia="zh-CN" w:bidi="zh-TW"/>
        </w:rPr>
        <w:t>12</w:t>
      </w:r>
      <w:r>
        <w:rPr>
          <w:color w:val="auto"/>
          <w:lang w:val="zh-TW" w:eastAsia="zh-TW" w:bidi="zh-TW"/>
        </w:rPr>
        <w:t>月</w:t>
      </w:r>
    </w:p>
    <w:p w14:paraId="746CCDE8">
      <w:pPr>
        <w:spacing w:line="1" w:lineRule="exact"/>
        <w:rPr>
          <w:color w:val="auto"/>
          <w:lang w:eastAsia="zh-CN"/>
        </w:rPr>
      </w:pPr>
    </w:p>
    <w:p w14:paraId="22CEE543">
      <w:pPr>
        <w:pStyle w:val="5"/>
        <w:rPr>
          <w:lang w:eastAsia="zh-CN"/>
        </w:rPr>
        <w:sectPr>
          <w:headerReference r:id="rId5" w:type="even"/>
          <w:footerReference r:id="rId6" w:type="even"/>
          <w:pgSz w:w="11900" w:h="16840"/>
          <w:pgMar w:top="890" w:right="1637" w:bottom="890" w:left="1292" w:header="462" w:footer="462" w:gutter="0"/>
          <w:pgNumType w:start="1"/>
          <w:cols w:space="720" w:num="1"/>
          <w:docGrid w:linePitch="360" w:charSpace="0"/>
        </w:sectPr>
      </w:pPr>
    </w:p>
    <w:p w14:paraId="53AAA9F7">
      <w:pPr>
        <w:pStyle w:val="33"/>
        <w:tabs>
          <w:tab w:val="right" w:leader="dot" w:pos="9424"/>
        </w:tabs>
        <w:ind w:firstLine="4498" w:firstLineChars="1400"/>
        <w:jc w:val="both"/>
        <w:rPr>
          <w:b/>
          <w:bCs/>
          <w:sz w:val="32"/>
          <w:szCs w:val="32"/>
          <w:lang w:eastAsia="zh-CN"/>
        </w:rPr>
      </w:pPr>
      <w:r>
        <w:rPr>
          <w:rFonts w:hint="eastAsia"/>
          <w:b/>
          <w:bCs/>
          <w:sz w:val="32"/>
          <w:szCs w:val="32"/>
          <w:lang w:eastAsia="zh-CN"/>
        </w:rPr>
        <w:t>目</w:t>
      </w:r>
      <w:r>
        <w:rPr>
          <w:rFonts w:hint="eastAsia"/>
          <w:b/>
          <w:bCs/>
          <w:sz w:val="32"/>
          <w:szCs w:val="32"/>
          <w:lang w:val="en-US" w:eastAsia="zh-CN"/>
        </w:rPr>
        <w:t xml:space="preserve">     </w:t>
      </w:r>
      <w:r>
        <w:rPr>
          <w:rFonts w:hint="eastAsia"/>
          <w:b/>
          <w:bCs/>
          <w:sz w:val="32"/>
          <w:szCs w:val="32"/>
          <w:lang w:eastAsia="zh-CN"/>
        </w:rPr>
        <w:t>录</w:t>
      </w:r>
    </w:p>
    <w:p w14:paraId="13793DC5">
      <w:pPr>
        <w:pStyle w:val="33"/>
        <w:tabs>
          <w:tab w:val="right" w:leader="dot" w:pos="9424"/>
        </w:tabs>
        <w:ind w:firstLine="640" w:firstLineChars="200"/>
        <w:jc w:val="both"/>
        <w:rPr>
          <w:sz w:val="32"/>
          <w:szCs w:val="32"/>
        </w:rPr>
      </w:pPr>
      <w:r>
        <w:rPr>
          <w:sz w:val="32"/>
          <w:szCs w:val="32"/>
        </w:rPr>
        <w:fldChar w:fldCharType="begin"/>
      </w:r>
      <w:r>
        <w:rPr>
          <w:sz w:val="32"/>
          <w:szCs w:val="32"/>
        </w:rPr>
        <w:instrText xml:space="preserve"> TOC \o "1-5" \h \z </w:instrText>
      </w:r>
      <w:r>
        <w:rPr>
          <w:sz w:val="32"/>
          <w:szCs w:val="32"/>
        </w:rPr>
        <w:fldChar w:fldCharType="separate"/>
      </w:r>
      <w:r>
        <w:rPr>
          <w:sz w:val="32"/>
          <w:szCs w:val="32"/>
        </w:rPr>
        <w:t>第一章竞争性磋商公告</w:t>
      </w:r>
      <w:r>
        <w:rPr>
          <w:sz w:val="32"/>
          <w:szCs w:val="32"/>
          <w:lang w:val="en-US" w:eastAsia="zh-CN"/>
        </w:rPr>
        <w:tab/>
      </w:r>
      <w:r>
        <w:rPr>
          <w:sz w:val="32"/>
          <w:szCs w:val="32"/>
        </w:rPr>
        <w:t>1</w:t>
      </w:r>
    </w:p>
    <w:p w14:paraId="0B8A52DF">
      <w:pPr>
        <w:pStyle w:val="33"/>
        <w:tabs>
          <w:tab w:val="right" w:leader="dot" w:pos="9424"/>
        </w:tabs>
        <w:ind w:firstLine="600" w:firstLineChars="300"/>
        <w:jc w:val="both"/>
        <w:rPr>
          <w:sz w:val="32"/>
          <w:szCs w:val="32"/>
        </w:rPr>
      </w:pPr>
      <w:r>
        <w:fldChar w:fldCharType="begin"/>
      </w:r>
      <w:r>
        <w:instrText xml:space="preserve"> HYPERLINK \l "bookmark35" \o "Current Document" \h </w:instrText>
      </w:r>
      <w:r>
        <w:fldChar w:fldCharType="separate"/>
      </w:r>
      <w:r>
        <w:rPr>
          <w:sz w:val="32"/>
          <w:szCs w:val="32"/>
        </w:rPr>
        <w:t>第二章釆购需求</w:t>
      </w:r>
      <w:r>
        <w:rPr>
          <w:sz w:val="32"/>
          <w:szCs w:val="32"/>
          <w:lang w:val="en-US" w:eastAsia="en-US"/>
        </w:rPr>
        <w:tab/>
      </w:r>
      <w:r>
        <w:rPr>
          <w:sz w:val="32"/>
          <w:szCs w:val="32"/>
        </w:rPr>
        <w:t>4</w:t>
      </w:r>
      <w:r>
        <w:rPr>
          <w:sz w:val="32"/>
          <w:szCs w:val="32"/>
        </w:rPr>
        <w:fldChar w:fldCharType="end"/>
      </w:r>
    </w:p>
    <w:p w14:paraId="3340BA89">
      <w:pPr>
        <w:pStyle w:val="33"/>
        <w:tabs>
          <w:tab w:val="right" w:leader="dot" w:pos="9424"/>
        </w:tabs>
        <w:ind w:firstLine="640" w:firstLineChars="200"/>
        <w:jc w:val="both"/>
        <w:rPr>
          <w:rFonts w:hint="default"/>
          <w:sz w:val="32"/>
          <w:szCs w:val="32"/>
          <w:lang w:val="en-US" w:eastAsia="zh-CN"/>
        </w:rPr>
      </w:pPr>
      <w:r>
        <w:rPr>
          <w:sz w:val="32"/>
          <w:szCs w:val="32"/>
        </w:rPr>
        <w:t>第三章供应商须知</w:t>
      </w:r>
      <w:r>
        <w:rPr>
          <w:sz w:val="32"/>
          <w:szCs w:val="32"/>
          <w:lang w:val="en-US" w:eastAsia="en-US"/>
        </w:rPr>
        <w:tab/>
      </w:r>
      <w:r>
        <w:rPr>
          <w:rFonts w:hint="eastAsia"/>
          <w:sz w:val="32"/>
          <w:szCs w:val="32"/>
          <w:lang w:val="en-US" w:eastAsia="zh-CN"/>
        </w:rPr>
        <w:t>11</w:t>
      </w:r>
    </w:p>
    <w:p w14:paraId="23A16B03">
      <w:pPr>
        <w:pStyle w:val="33"/>
        <w:tabs>
          <w:tab w:val="right" w:leader="dot" w:pos="9424"/>
        </w:tabs>
        <w:ind w:firstLine="600" w:firstLineChars="300"/>
        <w:jc w:val="both"/>
        <w:rPr>
          <w:rFonts w:hint="default"/>
          <w:sz w:val="32"/>
          <w:szCs w:val="32"/>
          <w:lang w:val="en-US"/>
        </w:rPr>
      </w:pPr>
      <w:r>
        <w:fldChar w:fldCharType="begin"/>
      </w:r>
      <w:r>
        <w:instrText xml:space="preserve"> HYPERLINK \l "bookmark227" \o "Current Document" \h </w:instrText>
      </w:r>
      <w:r>
        <w:fldChar w:fldCharType="separate"/>
      </w:r>
      <w:r>
        <w:rPr>
          <w:sz w:val="32"/>
          <w:szCs w:val="32"/>
        </w:rPr>
        <w:t>第四章评审程序、评审方法和评审标准</w:t>
      </w:r>
      <w:r>
        <w:rPr>
          <w:sz w:val="32"/>
          <w:szCs w:val="32"/>
          <w:lang w:val="en-US" w:eastAsia="en-US"/>
        </w:rPr>
        <w:tab/>
      </w:r>
      <w:r>
        <w:rPr>
          <w:rFonts w:hint="eastAsia"/>
          <w:sz w:val="32"/>
          <w:szCs w:val="32"/>
          <w:lang w:val="en-US" w:eastAsia="zh-CN"/>
        </w:rPr>
        <w:t>3</w:t>
      </w:r>
      <w:r>
        <w:rPr>
          <w:rFonts w:hint="eastAsia"/>
          <w:sz w:val="32"/>
          <w:szCs w:val="32"/>
          <w:lang w:val="en-US" w:eastAsia="zh-CN"/>
        </w:rPr>
        <w:fldChar w:fldCharType="end"/>
      </w:r>
      <w:r>
        <w:rPr>
          <w:rFonts w:hint="eastAsia"/>
          <w:sz w:val="32"/>
          <w:szCs w:val="32"/>
          <w:lang w:val="en-US" w:eastAsia="zh-CN"/>
        </w:rPr>
        <w:t>2</w:t>
      </w:r>
    </w:p>
    <w:p w14:paraId="6E1E3D00">
      <w:pPr>
        <w:pStyle w:val="33"/>
        <w:tabs>
          <w:tab w:val="right" w:leader="dot" w:pos="9424"/>
        </w:tabs>
        <w:ind w:firstLine="640" w:firstLineChars="200"/>
        <w:jc w:val="both"/>
        <w:rPr>
          <w:rFonts w:hint="default"/>
          <w:sz w:val="32"/>
          <w:szCs w:val="32"/>
          <w:lang w:val="en-US" w:eastAsia="zh-CN"/>
        </w:rPr>
      </w:pPr>
      <w:r>
        <w:rPr>
          <w:sz w:val="32"/>
          <w:szCs w:val="32"/>
        </w:rPr>
        <w:t>第五章响应文件格式</w:t>
      </w:r>
      <w:r>
        <w:rPr>
          <w:sz w:val="32"/>
          <w:szCs w:val="32"/>
          <w:lang w:val="en-US" w:eastAsia="zh-CN"/>
        </w:rPr>
        <w:tab/>
      </w:r>
      <w:r>
        <w:rPr>
          <w:rFonts w:hint="eastAsia"/>
          <w:sz w:val="32"/>
          <w:szCs w:val="32"/>
          <w:lang w:val="en-US" w:eastAsia="zh-CN"/>
        </w:rPr>
        <w:t>41</w:t>
      </w:r>
    </w:p>
    <w:p w14:paraId="489C8FE9">
      <w:pPr>
        <w:pStyle w:val="33"/>
        <w:tabs>
          <w:tab w:val="right" w:leader="dot" w:pos="9424"/>
        </w:tabs>
        <w:ind w:firstLine="640" w:firstLineChars="200"/>
        <w:jc w:val="both"/>
        <w:rPr>
          <w:sz w:val="32"/>
          <w:szCs w:val="32"/>
          <w:lang w:val="en-US" w:eastAsia="zh-CN"/>
        </w:rPr>
      </w:pPr>
      <w:r>
        <w:rPr>
          <w:sz w:val="32"/>
          <w:szCs w:val="32"/>
        </w:rPr>
        <w:t>第六章合同文本</w:t>
      </w:r>
      <w:r>
        <w:rPr>
          <w:sz w:val="32"/>
          <w:szCs w:val="32"/>
          <w:lang w:val="en-US" w:eastAsia="zh-CN"/>
        </w:rPr>
        <w:tab/>
      </w:r>
      <w:r>
        <w:rPr>
          <w:rFonts w:hint="eastAsia"/>
          <w:sz w:val="32"/>
          <w:szCs w:val="32"/>
          <w:lang w:val="en-US" w:eastAsia="zh-CN"/>
        </w:rPr>
        <w:t>69</w:t>
      </w:r>
    </w:p>
    <w:p w14:paraId="7B823064">
      <w:pPr>
        <w:pStyle w:val="33"/>
        <w:tabs>
          <w:tab w:val="right" w:leader="dot" w:pos="9424"/>
        </w:tabs>
        <w:ind w:firstLine="640" w:firstLineChars="200"/>
        <w:jc w:val="both"/>
        <w:rPr>
          <w:sz w:val="32"/>
          <w:szCs w:val="32"/>
          <w:lang w:val="en-US" w:eastAsia="zh-CN"/>
        </w:rPr>
      </w:pPr>
      <w:r>
        <w:rPr>
          <w:sz w:val="32"/>
          <w:szCs w:val="32"/>
        </w:rPr>
        <w:t>第七章质疑、投诉材料格式</w:t>
      </w:r>
      <w:r>
        <w:rPr>
          <w:sz w:val="32"/>
          <w:szCs w:val="32"/>
          <w:lang w:val="en-US" w:eastAsia="zh-CN"/>
        </w:rPr>
        <w:tab/>
      </w:r>
      <w:r>
        <w:rPr>
          <w:rFonts w:hint="eastAsia"/>
          <w:sz w:val="32"/>
          <w:szCs w:val="32"/>
          <w:lang w:val="en-US" w:eastAsia="zh-CN"/>
        </w:rPr>
        <w:t>7</w:t>
      </w:r>
      <w:r>
        <w:rPr>
          <w:sz w:val="32"/>
          <w:szCs w:val="32"/>
        </w:rPr>
        <w:fldChar w:fldCharType="end"/>
      </w:r>
      <w:r>
        <w:rPr>
          <w:rFonts w:hint="eastAsia"/>
          <w:sz w:val="32"/>
          <w:szCs w:val="32"/>
          <w:lang w:val="en-US" w:eastAsia="zh-CN"/>
        </w:rPr>
        <w:t>4</w:t>
      </w:r>
    </w:p>
    <w:p w14:paraId="696734D7">
      <w:pPr>
        <w:rPr>
          <w:lang w:eastAsia="zh-CN"/>
        </w:rPr>
      </w:pPr>
    </w:p>
    <w:p w14:paraId="6ECE767F">
      <w:pPr>
        <w:rPr>
          <w:lang w:eastAsia="zh-CN"/>
        </w:rPr>
      </w:pPr>
    </w:p>
    <w:p w14:paraId="17996716">
      <w:pPr>
        <w:rPr>
          <w:lang w:eastAsia="zh-CN"/>
        </w:rPr>
      </w:pPr>
    </w:p>
    <w:p w14:paraId="03E90F17">
      <w:pPr>
        <w:rPr>
          <w:lang w:eastAsia="zh-CN"/>
        </w:rPr>
      </w:pPr>
    </w:p>
    <w:p w14:paraId="0E613D0A">
      <w:pPr>
        <w:rPr>
          <w:lang w:eastAsia="zh-CN"/>
        </w:rPr>
      </w:pPr>
    </w:p>
    <w:p w14:paraId="66D02D73">
      <w:pPr>
        <w:rPr>
          <w:lang w:eastAsia="zh-CN"/>
        </w:rPr>
      </w:pPr>
    </w:p>
    <w:p w14:paraId="19141938">
      <w:pPr>
        <w:rPr>
          <w:lang w:eastAsia="zh-CN"/>
        </w:rPr>
      </w:pPr>
    </w:p>
    <w:p w14:paraId="3EF2D13D">
      <w:pPr>
        <w:rPr>
          <w:lang w:eastAsia="zh-CN"/>
        </w:rPr>
      </w:pPr>
    </w:p>
    <w:p w14:paraId="38E38763">
      <w:pPr>
        <w:rPr>
          <w:lang w:eastAsia="zh-CN"/>
        </w:rPr>
      </w:pPr>
    </w:p>
    <w:p w14:paraId="2FF8E17D">
      <w:pPr>
        <w:rPr>
          <w:lang w:eastAsia="zh-CN"/>
        </w:rPr>
      </w:pPr>
    </w:p>
    <w:p w14:paraId="7F6C554B">
      <w:pPr>
        <w:tabs>
          <w:tab w:val="left" w:pos="7199"/>
        </w:tabs>
        <w:rPr>
          <w:lang w:eastAsia="zh-CN"/>
        </w:rPr>
        <w:sectPr>
          <w:pgSz w:w="11900" w:h="16840"/>
          <w:pgMar w:top="1843" w:right="1277" w:bottom="1843" w:left="1112" w:header="1812" w:footer="1812" w:gutter="0"/>
          <w:cols w:space="720" w:num="1"/>
          <w:docGrid w:linePitch="360" w:charSpace="0"/>
        </w:sectPr>
      </w:pPr>
      <w:r>
        <w:rPr>
          <w:rFonts w:hint="eastAsia"/>
          <w:lang w:eastAsia="zh-CN"/>
        </w:rPr>
        <w:tab/>
      </w:r>
    </w:p>
    <w:p w14:paraId="7EE0C42F">
      <w:pPr>
        <w:pStyle w:val="35"/>
        <w:ind w:firstLine="843" w:firstLineChars="200"/>
        <w:rPr>
          <w:color w:val="auto"/>
          <w:sz w:val="21"/>
          <w:szCs w:val="21"/>
          <w:lang w:eastAsia="zh-CN"/>
        </w:rPr>
      </w:pPr>
      <w:r>
        <w:rPr>
          <w:b/>
          <w:bCs/>
        </w:rPr>
        <w:t>第一章</w:t>
      </w:r>
      <w:r>
        <w:rPr>
          <w:rFonts w:hint="eastAsia"/>
          <w:b/>
          <w:bCs/>
          <w:lang w:val="en-US" w:eastAsia="zh-CN"/>
        </w:rPr>
        <w:t xml:space="preserve"> </w:t>
      </w:r>
      <w:r>
        <w:rPr>
          <w:b/>
          <w:bCs/>
        </w:rPr>
        <w:t>竞争性磋商公告</w:t>
      </w:r>
      <w:r>
        <w:br w:type="textWrapping"/>
      </w:r>
      <w:r>
        <w:rPr>
          <w:rFonts w:hint="eastAsia"/>
          <w:b/>
          <w:bCs/>
          <w:sz w:val="28"/>
          <w:szCs w:val="28"/>
          <w:lang w:eastAsia="zh-CN"/>
        </w:rPr>
        <w:t>广西坤珍建设项目管理咨询有限公司</w:t>
      </w:r>
      <w:r>
        <w:rPr>
          <w:rFonts w:hint="eastAsia"/>
          <w:b/>
          <w:bCs/>
          <w:sz w:val="28"/>
          <w:szCs w:val="28"/>
          <w:lang w:val="en-US" w:eastAsia="zh-CN"/>
        </w:rPr>
        <w:t>关于</w:t>
      </w:r>
      <w:r>
        <w:rPr>
          <w:rFonts w:hint="eastAsia"/>
          <w:b/>
          <w:bCs/>
          <w:color w:val="auto"/>
          <w:sz w:val="28"/>
          <w:szCs w:val="28"/>
          <w:lang w:eastAsia="zh-CN"/>
        </w:rPr>
        <w:t>凭祥市人民医院物业管理服务采购项目竞争性磋商公告(远程异地评标）</w:t>
      </w:r>
    </w:p>
    <w:p w14:paraId="4B55EA3D">
      <w:pPr>
        <w:pStyle w:val="37"/>
        <w:pBdr>
          <w:top w:val="single" w:color="auto" w:sz="4" w:space="0"/>
          <w:left w:val="single" w:color="auto" w:sz="4" w:space="0"/>
          <w:bottom w:val="single" w:color="auto" w:sz="4" w:space="0"/>
          <w:right w:val="single" w:color="auto" w:sz="4" w:space="0"/>
        </w:pBdr>
        <w:spacing w:line="405" w:lineRule="exact"/>
        <w:jc w:val="both"/>
        <w:rPr>
          <w:color w:val="auto"/>
          <w:sz w:val="21"/>
          <w:szCs w:val="21"/>
        </w:rPr>
      </w:pPr>
      <w:r>
        <w:t>项</w:t>
      </w:r>
      <w:r>
        <w:rPr>
          <w:sz w:val="21"/>
          <w:szCs w:val="21"/>
        </w:rPr>
        <w:t>目概况</w:t>
      </w:r>
      <w:r>
        <w:rPr>
          <w:rFonts w:hint="eastAsia"/>
          <w:sz w:val="21"/>
          <w:szCs w:val="21"/>
          <w:lang w:eastAsia="zh-CN"/>
        </w:rPr>
        <w:t>：</w:t>
      </w:r>
      <w:r>
        <w:rPr>
          <w:rFonts w:hint="eastAsia"/>
          <w:sz w:val="21"/>
          <w:szCs w:val="21"/>
          <w:u w:val="single"/>
          <w:lang w:eastAsia="zh-CN"/>
        </w:rPr>
        <w:t>凭祥市人民医院物业管理服务采购项目</w:t>
      </w:r>
      <w:r>
        <w:rPr>
          <w:sz w:val="21"/>
          <w:szCs w:val="21"/>
          <w:u w:val="single"/>
        </w:rPr>
        <w:t>采</w:t>
      </w:r>
      <w:r>
        <w:rPr>
          <w:sz w:val="21"/>
          <w:szCs w:val="21"/>
        </w:rPr>
        <w:t>购项目的潜在供应商</w:t>
      </w:r>
      <w:r>
        <w:rPr>
          <w:rFonts w:hint="eastAsia"/>
          <w:sz w:val="21"/>
          <w:szCs w:val="21"/>
          <w:lang w:eastAsia="zh-CN"/>
        </w:rPr>
        <w:t>应</w:t>
      </w:r>
      <w:r>
        <w:rPr>
          <w:sz w:val="21"/>
          <w:szCs w:val="21"/>
        </w:rPr>
        <w:t>在</w:t>
      </w:r>
      <w:r>
        <w:rPr>
          <w:rFonts w:hint="eastAsia"/>
          <w:sz w:val="21"/>
          <w:szCs w:val="21"/>
          <w:u w:val="single"/>
          <w:lang w:eastAsia="zh-CN"/>
        </w:rPr>
        <w:t>广西政府采购云平台(https://www.gcy.zfcg.gxzf.gov.cn/)</w:t>
      </w:r>
      <w:r>
        <w:rPr>
          <w:sz w:val="21"/>
          <w:szCs w:val="21"/>
          <w:u w:val="single"/>
        </w:rPr>
        <w:t>在线办理报名并自行下载采购文件</w:t>
      </w:r>
      <w:r>
        <w:rPr>
          <w:color w:val="auto"/>
          <w:sz w:val="21"/>
          <w:szCs w:val="21"/>
          <w:u w:val="single"/>
        </w:rPr>
        <w:t>，并于202</w:t>
      </w:r>
      <w:r>
        <w:rPr>
          <w:rFonts w:hint="eastAsia"/>
          <w:color w:val="auto"/>
          <w:sz w:val="21"/>
          <w:szCs w:val="21"/>
          <w:u w:val="single"/>
          <w:lang w:val="en-US" w:eastAsia="zh-CN"/>
        </w:rPr>
        <w:t>4</w:t>
      </w:r>
      <w:r>
        <w:rPr>
          <w:color w:val="auto"/>
          <w:sz w:val="21"/>
          <w:szCs w:val="21"/>
          <w:u w:val="single"/>
        </w:rPr>
        <w:t>年</w:t>
      </w:r>
      <w:r>
        <w:rPr>
          <w:rFonts w:hint="eastAsia"/>
          <w:color w:val="auto"/>
          <w:sz w:val="21"/>
          <w:szCs w:val="21"/>
          <w:u w:val="single"/>
          <w:lang w:val="en-US" w:eastAsia="zh-CN"/>
        </w:rPr>
        <w:t>12</w:t>
      </w:r>
      <w:r>
        <w:rPr>
          <w:color w:val="auto"/>
          <w:sz w:val="21"/>
          <w:szCs w:val="21"/>
          <w:u w:val="single"/>
        </w:rPr>
        <w:t>月</w:t>
      </w:r>
      <w:r>
        <w:rPr>
          <w:rFonts w:hint="eastAsia"/>
          <w:color w:val="auto"/>
          <w:sz w:val="21"/>
          <w:szCs w:val="21"/>
          <w:u w:val="single"/>
          <w:lang w:val="en-US" w:eastAsia="zh-CN"/>
        </w:rPr>
        <w:t>23</w:t>
      </w:r>
      <w:r>
        <w:rPr>
          <w:color w:val="auto"/>
          <w:sz w:val="21"/>
          <w:szCs w:val="21"/>
          <w:u w:val="single"/>
        </w:rPr>
        <w:t>日</w:t>
      </w:r>
      <w:r>
        <w:rPr>
          <w:rFonts w:hint="eastAsia"/>
          <w:color w:val="auto"/>
          <w:sz w:val="21"/>
          <w:szCs w:val="21"/>
          <w:u w:val="single"/>
          <w:lang w:val="en-US" w:eastAsia="zh-CN"/>
        </w:rPr>
        <w:t>09</w:t>
      </w:r>
      <w:r>
        <w:rPr>
          <w:color w:val="auto"/>
          <w:sz w:val="21"/>
          <w:szCs w:val="21"/>
          <w:u w:val="single"/>
        </w:rPr>
        <w:t>点</w:t>
      </w:r>
      <w:r>
        <w:rPr>
          <w:rFonts w:hint="eastAsia"/>
          <w:color w:val="auto"/>
          <w:sz w:val="21"/>
          <w:szCs w:val="21"/>
          <w:u w:val="single"/>
          <w:lang w:val="en-US" w:eastAsia="zh-CN"/>
        </w:rPr>
        <w:t>30</w:t>
      </w:r>
      <w:r>
        <w:rPr>
          <w:color w:val="auto"/>
          <w:sz w:val="21"/>
          <w:szCs w:val="21"/>
          <w:u w:val="single"/>
        </w:rPr>
        <w:t>分（北京时间）前提交响应文件。</w:t>
      </w:r>
    </w:p>
    <w:p w14:paraId="41830AD6">
      <w:pPr>
        <w:pStyle w:val="37"/>
        <w:pBdr>
          <w:top w:val="single" w:color="auto" w:sz="4" w:space="0"/>
        </w:pBdr>
        <w:tabs>
          <w:tab w:val="left" w:pos="512"/>
        </w:tabs>
        <w:spacing w:after="120" w:line="400" w:lineRule="exact"/>
        <w:ind w:firstLine="422" w:firstLineChars="200"/>
        <w:jc w:val="both"/>
        <w:rPr>
          <w:b/>
          <w:bCs/>
          <w:color w:val="auto"/>
          <w:sz w:val="21"/>
          <w:szCs w:val="21"/>
        </w:rPr>
      </w:pPr>
      <w:bookmarkStart w:id="0" w:name="bookmark12"/>
      <w:r>
        <w:rPr>
          <w:b/>
          <w:bCs/>
          <w:color w:val="auto"/>
          <w:sz w:val="21"/>
          <w:szCs w:val="21"/>
        </w:rPr>
        <w:t>一</w:t>
      </w:r>
      <w:bookmarkEnd w:id="0"/>
      <w:r>
        <w:rPr>
          <w:b/>
          <w:bCs/>
          <w:color w:val="auto"/>
          <w:sz w:val="21"/>
          <w:szCs w:val="21"/>
        </w:rPr>
        <w:t>、项目基本情况</w:t>
      </w:r>
    </w:p>
    <w:p w14:paraId="6DD57FDA">
      <w:pPr>
        <w:pStyle w:val="37"/>
        <w:spacing w:line="400" w:lineRule="exact"/>
        <w:ind w:firstLine="420" w:firstLineChars="200"/>
        <w:rPr>
          <w:color w:val="auto"/>
          <w:sz w:val="21"/>
          <w:szCs w:val="21"/>
          <w:lang w:eastAsia="zh-CN"/>
        </w:rPr>
      </w:pPr>
      <w:r>
        <w:rPr>
          <w:color w:val="auto"/>
          <w:sz w:val="21"/>
          <w:szCs w:val="21"/>
        </w:rPr>
        <w:t>项目编号：</w:t>
      </w:r>
      <w:r>
        <w:rPr>
          <w:rFonts w:hint="eastAsia"/>
          <w:color w:val="auto"/>
          <w:sz w:val="21"/>
          <w:szCs w:val="21"/>
          <w:lang w:val="en-US" w:eastAsia="zh-CN" w:bidi="en-US"/>
        </w:rPr>
        <w:t>CZZC2024-C3-810272-KZJS</w:t>
      </w:r>
    </w:p>
    <w:p w14:paraId="704A67D2">
      <w:pPr>
        <w:pStyle w:val="37"/>
        <w:spacing w:line="400" w:lineRule="exact"/>
        <w:ind w:firstLine="420" w:firstLineChars="200"/>
        <w:rPr>
          <w:color w:val="auto"/>
          <w:sz w:val="21"/>
          <w:szCs w:val="21"/>
          <w:lang w:eastAsia="zh-CN"/>
        </w:rPr>
      </w:pPr>
      <w:r>
        <w:rPr>
          <w:color w:val="auto"/>
          <w:sz w:val="21"/>
          <w:szCs w:val="21"/>
        </w:rPr>
        <w:t>项目名称：</w:t>
      </w:r>
      <w:r>
        <w:rPr>
          <w:rFonts w:hint="eastAsia"/>
          <w:color w:val="auto"/>
          <w:sz w:val="21"/>
          <w:szCs w:val="21"/>
          <w:lang w:eastAsia="zh-CN"/>
        </w:rPr>
        <w:t>凭祥市人民医院物业管理服务采购项目</w:t>
      </w:r>
    </w:p>
    <w:p w14:paraId="67CBC47C">
      <w:pPr>
        <w:pStyle w:val="37"/>
        <w:spacing w:line="400" w:lineRule="exact"/>
        <w:ind w:firstLine="420" w:firstLineChars="200"/>
        <w:rPr>
          <w:color w:val="auto"/>
          <w:sz w:val="21"/>
          <w:szCs w:val="21"/>
        </w:rPr>
      </w:pPr>
      <w:r>
        <w:rPr>
          <w:color w:val="auto"/>
          <w:sz w:val="21"/>
          <w:szCs w:val="21"/>
        </w:rPr>
        <w:t>采购方式：竞争性磋商</w:t>
      </w:r>
    </w:p>
    <w:p w14:paraId="58372688">
      <w:pPr>
        <w:pStyle w:val="37"/>
        <w:spacing w:line="400" w:lineRule="exact"/>
        <w:ind w:firstLine="420" w:firstLineChars="200"/>
        <w:rPr>
          <w:color w:val="auto"/>
          <w:sz w:val="21"/>
          <w:szCs w:val="21"/>
        </w:rPr>
      </w:pPr>
      <w:r>
        <w:rPr>
          <w:color w:val="auto"/>
          <w:sz w:val="21"/>
          <w:szCs w:val="21"/>
        </w:rPr>
        <w:t>预算金额：</w:t>
      </w:r>
      <w:r>
        <w:rPr>
          <w:rFonts w:hint="eastAsia"/>
          <w:color w:val="auto"/>
          <w:sz w:val="21"/>
          <w:szCs w:val="21"/>
          <w:lang w:val="en-US" w:eastAsia="zh-CN"/>
        </w:rPr>
        <w:t>250.75</w:t>
      </w:r>
      <w:r>
        <w:rPr>
          <w:color w:val="auto"/>
          <w:sz w:val="21"/>
          <w:szCs w:val="21"/>
        </w:rPr>
        <w:t>万元</w:t>
      </w:r>
    </w:p>
    <w:p w14:paraId="205786D2">
      <w:pPr>
        <w:pStyle w:val="37"/>
        <w:spacing w:line="400" w:lineRule="exact"/>
        <w:ind w:firstLine="420" w:firstLineChars="200"/>
        <w:rPr>
          <w:color w:val="auto"/>
          <w:sz w:val="21"/>
          <w:szCs w:val="21"/>
        </w:rPr>
      </w:pPr>
      <w:r>
        <w:rPr>
          <w:color w:val="auto"/>
          <w:sz w:val="21"/>
          <w:szCs w:val="21"/>
        </w:rPr>
        <w:t>最高限价（如有）：与预算金额一致</w:t>
      </w:r>
    </w:p>
    <w:p w14:paraId="76A0A45C">
      <w:pPr>
        <w:pStyle w:val="37"/>
        <w:spacing w:line="400" w:lineRule="exact"/>
        <w:ind w:firstLine="420" w:firstLineChars="200"/>
        <w:rPr>
          <w:color w:val="auto"/>
          <w:sz w:val="21"/>
          <w:szCs w:val="21"/>
        </w:rPr>
      </w:pPr>
      <w:r>
        <w:rPr>
          <w:color w:val="auto"/>
          <w:sz w:val="21"/>
          <w:szCs w:val="21"/>
        </w:rPr>
        <w:t>采购需求：</w:t>
      </w:r>
      <w:r>
        <w:rPr>
          <w:rFonts w:hint="eastAsia"/>
          <w:color w:val="auto"/>
          <w:sz w:val="21"/>
          <w:szCs w:val="21"/>
          <w:lang w:eastAsia="zh-CN"/>
        </w:rPr>
        <w:t>1、人员数量配置：不少于61人；2、人员岗位配置：保洁、消防、安保、绿化及污水处理员等；3、人员年齡要求：男保洁员不超过60岁，女保洁员不超过55岁</w:t>
      </w:r>
      <w:r>
        <w:rPr>
          <w:rFonts w:hint="eastAsia"/>
          <w:color w:val="auto"/>
          <w:sz w:val="21"/>
          <w:szCs w:val="21"/>
          <w:lang w:val="en-US" w:eastAsia="zh-CN"/>
        </w:rPr>
        <w:t>等</w:t>
      </w:r>
      <w:r>
        <w:rPr>
          <w:color w:val="auto"/>
          <w:sz w:val="21"/>
          <w:szCs w:val="21"/>
        </w:rPr>
        <w:t>，如需进一步了解详细内容，详见竞争性磋商采购文件。</w:t>
      </w:r>
    </w:p>
    <w:p w14:paraId="66A5F88C">
      <w:pPr>
        <w:pStyle w:val="37"/>
        <w:spacing w:line="400" w:lineRule="exact"/>
        <w:ind w:firstLine="420" w:firstLineChars="200"/>
        <w:jc w:val="both"/>
        <w:rPr>
          <w:rFonts w:hint="eastAsia" w:eastAsia="宋体"/>
          <w:color w:val="auto"/>
          <w:sz w:val="21"/>
          <w:szCs w:val="21"/>
          <w:lang w:eastAsia="zh-CN"/>
        </w:rPr>
      </w:pPr>
      <w:r>
        <w:rPr>
          <w:color w:val="auto"/>
          <w:sz w:val="21"/>
          <w:szCs w:val="21"/>
        </w:rPr>
        <w:t>合同履行期限：</w:t>
      </w:r>
      <w:r>
        <w:rPr>
          <w:rFonts w:hint="eastAsia"/>
          <w:color w:val="auto"/>
          <w:sz w:val="21"/>
          <w:szCs w:val="21"/>
        </w:rPr>
        <w:t>服务期限</w:t>
      </w:r>
      <w:r>
        <w:rPr>
          <w:rFonts w:hint="eastAsia"/>
          <w:color w:val="auto"/>
          <w:sz w:val="21"/>
          <w:szCs w:val="21"/>
          <w:lang w:val="en-US" w:eastAsia="zh-CN"/>
        </w:rPr>
        <w:t>壹</w:t>
      </w:r>
      <w:r>
        <w:rPr>
          <w:rFonts w:hint="eastAsia"/>
          <w:color w:val="auto"/>
          <w:sz w:val="21"/>
          <w:szCs w:val="21"/>
        </w:rPr>
        <w:t>年</w:t>
      </w:r>
      <w:r>
        <w:rPr>
          <w:rFonts w:hint="eastAsia"/>
          <w:color w:val="auto"/>
          <w:sz w:val="21"/>
          <w:szCs w:val="21"/>
          <w:lang w:eastAsia="zh-CN"/>
        </w:rPr>
        <w:t>。</w:t>
      </w:r>
    </w:p>
    <w:p w14:paraId="37FB1B8E">
      <w:pPr>
        <w:pStyle w:val="37"/>
        <w:spacing w:line="400" w:lineRule="exact"/>
        <w:ind w:firstLine="420" w:firstLineChars="200"/>
        <w:jc w:val="both"/>
        <w:rPr>
          <w:color w:val="auto"/>
          <w:sz w:val="21"/>
          <w:szCs w:val="21"/>
        </w:rPr>
      </w:pPr>
      <w:r>
        <w:rPr>
          <w:color w:val="auto"/>
          <w:sz w:val="21"/>
          <w:szCs w:val="21"/>
        </w:rPr>
        <w:t>本项目不接受联合体。</w:t>
      </w:r>
    </w:p>
    <w:p w14:paraId="0C4C6149">
      <w:pPr>
        <w:pStyle w:val="37"/>
        <w:tabs>
          <w:tab w:val="left" w:pos="512"/>
        </w:tabs>
        <w:spacing w:line="400" w:lineRule="exact"/>
        <w:ind w:firstLine="422" w:firstLineChars="200"/>
        <w:jc w:val="both"/>
        <w:rPr>
          <w:b/>
          <w:bCs/>
          <w:color w:val="auto"/>
          <w:sz w:val="21"/>
          <w:szCs w:val="21"/>
        </w:rPr>
      </w:pPr>
      <w:bookmarkStart w:id="1" w:name="bookmark13"/>
      <w:r>
        <w:rPr>
          <w:b/>
          <w:bCs/>
          <w:color w:val="auto"/>
          <w:sz w:val="21"/>
          <w:szCs w:val="21"/>
        </w:rPr>
        <w:t>二</w:t>
      </w:r>
      <w:bookmarkEnd w:id="1"/>
      <w:r>
        <w:rPr>
          <w:b/>
          <w:bCs/>
          <w:color w:val="auto"/>
          <w:sz w:val="21"/>
          <w:szCs w:val="21"/>
        </w:rPr>
        <w:t>、申请人的资格要求：</w:t>
      </w:r>
    </w:p>
    <w:p w14:paraId="4115CC03">
      <w:pPr>
        <w:pStyle w:val="37"/>
        <w:numPr>
          <w:ilvl w:val="0"/>
          <w:numId w:val="1"/>
        </w:numPr>
        <w:tabs>
          <w:tab w:val="left" w:pos="740"/>
        </w:tabs>
        <w:spacing w:line="400" w:lineRule="exact"/>
        <w:ind w:firstLine="420" w:firstLineChars="200"/>
        <w:jc w:val="both"/>
        <w:rPr>
          <w:color w:val="auto"/>
          <w:sz w:val="21"/>
          <w:szCs w:val="21"/>
        </w:rPr>
      </w:pPr>
      <w:bookmarkStart w:id="2" w:name="bookmark14"/>
      <w:bookmarkEnd w:id="2"/>
      <w:r>
        <w:rPr>
          <w:color w:val="auto"/>
          <w:sz w:val="21"/>
          <w:szCs w:val="21"/>
        </w:rPr>
        <w:t>满足《中华人民共和国政府采购法》第二十二条规定；</w:t>
      </w:r>
    </w:p>
    <w:p w14:paraId="2A820FA9">
      <w:pPr>
        <w:pStyle w:val="37"/>
        <w:numPr>
          <w:ilvl w:val="0"/>
          <w:numId w:val="1"/>
        </w:numPr>
        <w:tabs>
          <w:tab w:val="left" w:pos="665"/>
        </w:tabs>
        <w:spacing w:line="400" w:lineRule="exact"/>
        <w:ind w:firstLine="420" w:firstLineChars="200"/>
        <w:jc w:val="both"/>
        <w:rPr>
          <w:color w:val="auto"/>
          <w:sz w:val="21"/>
          <w:szCs w:val="21"/>
        </w:rPr>
      </w:pPr>
      <w:bookmarkStart w:id="3" w:name="bookmark15"/>
      <w:bookmarkEnd w:id="3"/>
      <w:r>
        <w:rPr>
          <w:color w:val="auto"/>
          <w:sz w:val="21"/>
          <w:szCs w:val="21"/>
        </w:rPr>
        <w:t>落实政府采购政策需满足的资格要求：本项目属于专门面向中小企业采购的项目，</w:t>
      </w:r>
      <w:r>
        <w:rPr>
          <w:rFonts w:hint="eastAsia"/>
          <w:color w:val="auto"/>
          <w:sz w:val="21"/>
          <w:szCs w:val="21"/>
          <w:lang w:val="en-US" w:eastAsia="zh-CN"/>
        </w:rPr>
        <w:t>供应商为中小企业/小微企业或者监狱企业或者残疾人福利性单位。</w:t>
      </w:r>
    </w:p>
    <w:p w14:paraId="49D44706">
      <w:pPr>
        <w:pStyle w:val="37"/>
        <w:numPr>
          <w:ilvl w:val="0"/>
          <w:numId w:val="1"/>
        </w:numPr>
        <w:tabs>
          <w:tab w:val="left" w:pos="755"/>
        </w:tabs>
        <w:spacing w:line="400" w:lineRule="exact"/>
        <w:ind w:firstLine="420" w:firstLineChars="200"/>
        <w:jc w:val="both"/>
        <w:rPr>
          <w:color w:val="auto"/>
          <w:sz w:val="21"/>
          <w:szCs w:val="21"/>
          <w:highlight w:val="none"/>
        </w:rPr>
      </w:pPr>
      <w:bookmarkStart w:id="4" w:name="bookmark16"/>
      <w:bookmarkEnd w:id="4"/>
      <w:r>
        <w:rPr>
          <w:rFonts w:hint="eastAsia"/>
          <w:color w:val="auto"/>
          <w:sz w:val="21"/>
          <w:szCs w:val="21"/>
          <w:highlight w:val="none"/>
        </w:rPr>
        <w:t>本项目的特定资格要求：</w:t>
      </w:r>
      <w:r>
        <w:rPr>
          <w:rFonts w:hint="eastAsia"/>
          <w:color w:val="auto"/>
          <w:sz w:val="21"/>
          <w:szCs w:val="21"/>
          <w:highlight w:val="none"/>
          <w:lang w:val="en-US" w:eastAsia="zh-CN"/>
        </w:rPr>
        <w:t>无</w:t>
      </w:r>
    </w:p>
    <w:p w14:paraId="3107D78A">
      <w:pPr>
        <w:pStyle w:val="37"/>
        <w:numPr>
          <w:ilvl w:val="0"/>
          <w:numId w:val="1"/>
        </w:numPr>
        <w:tabs>
          <w:tab w:val="left" w:pos="755"/>
        </w:tabs>
        <w:spacing w:line="400" w:lineRule="exact"/>
        <w:ind w:firstLine="420" w:firstLineChars="200"/>
        <w:jc w:val="both"/>
        <w:rPr>
          <w:color w:val="auto"/>
          <w:sz w:val="21"/>
          <w:szCs w:val="21"/>
        </w:rPr>
      </w:pPr>
      <w:bookmarkStart w:id="5" w:name="bookmark17"/>
      <w:bookmarkEnd w:id="5"/>
      <w:r>
        <w:rPr>
          <w:color w:val="auto"/>
          <w:sz w:val="21"/>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EFF47DE">
      <w:pPr>
        <w:pStyle w:val="37"/>
        <w:numPr>
          <w:ilvl w:val="0"/>
          <w:numId w:val="1"/>
        </w:numPr>
        <w:tabs>
          <w:tab w:val="left" w:pos="740"/>
        </w:tabs>
        <w:spacing w:line="400" w:lineRule="exact"/>
        <w:ind w:firstLine="420" w:firstLineChars="200"/>
        <w:jc w:val="both"/>
        <w:rPr>
          <w:b/>
          <w:bCs/>
          <w:color w:val="auto"/>
          <w:sz w:val="21"/>
          <w:szCs w:val="21"/>
        </w:rPr>
      </w:pPr>
      <w:bookmarkStart w:id="6" w:name="bookmark18"/>
      <w:bookmarkEnd w:id="6"/>
      <w:r>
        <w:rPr>
          <w:color w:val="auto"/>
          <w:sz w:val="21"/>
          <w:szCs w:val="21"/>
        </w:rPr>
        <w:t>对在“信用中国"网站（ww. creditchina, gov. cn）、中国政府采购网（ww. ccgp. gov. cn）被列入 失信被执行人、重大税收违法案件当事人名单、政府采购严重违法失信行为记录名单及其他不符合《中 华人民共和国政府采购法》第二十二条规定条件的供应商，不得参与政府采购活动。</w:t>
      </w:r>
      <w:bookmarkStart w:id="7" w:name="bookmark19"/>
    </w:p>
    <w:p w14:paraId="584E9955">
      <w:pPr>
        <w:pStyle w:val="37"/>
        <w:tabs>
          <w:tab w:val="left" w:pos="512"/>
        </w:tabs>
        <w:spacing w:line="400" w:lineRule="exact"/>
        <w:ind w:firstLine="422" w:firstLineChars="200"/>
        <w:jc w:val="both"/>
        <w:rPr>
          <w:b/>
          <w:bCs/>
          <w:color w:val="auto"/>
          <w:sz w:val="21"/>
          <w:szCs w:val="21"/>
        </w:rPr>
      </w:pPr>
      <w:r>
        <w:rPr>
          <w:b/>
          <w:bCs/>
          <w:color w:val="auto"/>
          <w:sz w:val="21"/>
          <w:szCs w:val="21"/>
        </w:rPr>
        <w:t>三</w:t>
      </w:r>
      <w:bookmarkEnd w:id="7"/>
      <w:r>
        <w:rPr>
          <w:b/>
          <w:bCs/>
          <w:color w:val="auto"/>
          <w:sz w:val="21"/>
          <w:szCs w:val="21"/>
        </w:rPr>
        <w:t>、获取采购文件</w:t>
      </w:r>
    </w:p>
    <w:p w14:paraId="157CC2D4">
      <w:pPr>
        <w:pStyle w:val="37"/>
        <w:numPr>
          <w:ilvl w:val="0"/>
          <w:numId w:val="2"/>
        </w:numPr>
        <w:tabs>
          <w:tab w:val="left" w:pos="875"/>
        </w:tabs>
        <w:spacing w:line="400" w:lineRule="exact"/>
        <w:ind w:firstLine="420" w:firstLineChars="200"/>
        <w:jc w:val="both"/>
        <w:rPr>
          <w:color w:val="auto"/>
          <w:sz w:val="21"/>
          <w:szCs w:val="21"/>
        </w:rPr>
      </w:pPr>
      <w:bookmarkStart w:id="8" w:name="bookmark20"/>
      <w:bookmarkEnd w:id="8"/>
      <w:r>
        <w:rPr>
          <w:color w:val="auto"/>
          <w:sz w:val="21"/>
          <w:szCs w:val="21"/>
        </w:rPr>
        <w:t>时间：</w:t>
      </w:r>
      <w:r>
        <w:rPr>
          <w:rFonts w:hint="eastAsia"/>
          <w:color w:val="auto"/>
          <w:sz w:val="21"/>
          <w:szCs w:val="21"/>
          <w:u w:val="single"/>
          <w:lang w:eastAsia="zh-CN"/>
        </w:rPr>
        <w:t>发布之日</w:t>
      </w:r>
      <w:r>
        <w:rPr>
          <w:color w:val="auto"/>
          <w:sz w:val="21"/>
          <w:szCs w:val="21"/>
          <w:u w:val="single"/>
        </w:rPr>
        <w:t>至202</w:t>
      </w:r>
      <w:r>
        <w:rPr>
          <w:rFonts w:hint="eastAsia"/>
          <w:color w:val="auto"/>
          <w:sz w:val="21"/>
          <w:szCs w:val="21"/>
          <w:u w:val="single"/>
          <w:lang w:val="en-US" w:eastAsia="zh-CN"/>
        </w:rPr>
        <w:t>4</w:t>
      </w:r>
      <w:r>
        <w:rPr>
          <w:color w:val="auto"/>
          <w:sz w:val="21"/>
          <w:szCs w:val="21"/>
          <w:u w:val="single"/>
        </w:rPr>
        <w:t>年</w:t>
      </w:r>
      <w:r>
        <w:rPr>
          <w:rFonts w:hint="eastAsia"/>
          <w:color w:val="auto"/>
          <w:sz w:val="21"/>
          <w:szCs w:val="21"/>
          <w:u w:val="single"/>
          <w:lang w:val="en-US" w:eastAsia="zh-CN"/>
        </w:rPr>
        <w:t>12</w:t>
      </w:r>
      <w:r>
        <w:rPr>
          <w:color w:val="auto"/>
          <w:sz w:val="21"/>
          <w:szCs w:val="21"/>
          <w:u w:val="single"/>
        </w:rPr>
        <w:t>月</w:t>
      </w:r>
      <w:r>
        <w:rPr>
          <w:rFonts w:hint="eastAsia"/>
          <w:color w:val="auto"/>
          <w:sz w:val="21"/>
          <w:szCs w:val="21"/>
          <w:u w:val="single"/>
          <w:lang w:val="en-US" w:eastAsia="zh-CN"/>
        </w:rPr>
        <w:t>18</w:t>
      </w:r>
      <w:r>
        <w:rPr>
          <w:color w:val="auto"/>
          <w:sz w:val="21"/>
          <w:szCs w:val="21"/>
          <w:u w:val="single"/>
        </w:rPr>
        <w:t>日</w:t>
      </w:r>
      <w:bookmarkStart w:id="9" w:name="bookmark21"/>
      <w:bookmarkEnd w:id="9"/>
    </w:p>
    <w:p w14:paraId="4B3AD874">
      <w:pPr>
        <w:pStyle w:val="37"/>
        <w:tabs>
          <w:tab w:val="left" w:pos="770"/>
        </w:tabs>
        <w:spacing w:line="400" w:lineRule="exact"/>
        <w:ind w:firstLine="420" w:firstLineChars="200"/>
        <w:jc w:val="both"/>
        <w:rPr>
          <w:color w:val="auto"/>
          <w:sz w:val="21"/>
          <w:szCs w:val="21"/>
          <w:lang w:val="en-US" w:eastAsia="zh-CN"/>
        </w:rPr>
      </w:pPr>
      <w:r>
        <w:rPr>
          <w:rFonts w:hint="eastAsia"/>
          <w:color w:val="auto"/>
          <w:sz w:val="21"/>
          <w:szCs w:val="21"/>
          <w:lang w:val="en-US" w:eastAsia="zh-CN"/>
        </w:rPr>
        <w:t>2.方式：网上下载。本项目不提供纸质文件，潜在供应商需使用账号登录或者使用 CA 登录广西政府采购云平台(https://www.gcy.zfcg.gxzf.gov.cn/)-进入“项目采购”应用，在获取采购文件菜单中选择项目，获取竞争性磋商文件。电子响应文件制作需要基于“广西政府采购云平台”平台获取的磋商文件编制，通过其他方式获取磋商文件的，将有可能导致供应商无法在“广西政府采购云平台”平台编制及上传响应文件。</w:t>
      </w:r>
    </w:p>
    <w:p w14:paraId="040E36C4">
      <w:pPr>
        <w:pStyle w:val="37"/>
        <w:spacing w:line="400" w:lineRule="exact"/>
        <w:ind w:firstLine="420" w:firstLineChars="200"/>
        <w:jc w:val="both"/>
        <w:rPr>
          <w:b/>
          <w:bCs/>
          <w:color w:val="auto"/>
          <w:sz w:val="21"/>
          <w:szCs w:val="21"/>
        </w:rPr>
      </w:pPr>
      <w:bookmarkStart w:id="10" w:name="bookmark22"/>
      <w:bookmarkEnd w:id="10"/>
      <w:r>
        <w:rPr>
          <w:rFonts w:hint="eastAsia"/>
          <w:color w:val="auto"/>
          <w:sz w:val="21"/>
          <w:szCs w:val="21"/>
          <w:lang w:val="en-US" w:eastAsia="zh-CN"/>
        </w:rPr>
        <w:t>3.</w:t>
      </w:r>
      <w:r>
        <w:rPr>
          <w:color w:val="auto"/>
          <w:sz w:val="21"/>
          <w:szCs w:val="21"/>
        </w:rPr>
        <w:t>售价：</w:t>
      </w:r>
      <w:r>
        <w:rPr>
          <w:color w:val="auto"/>
          <w:sz w:val="21"/>
          <w:szCs w:val="21"/>
          <w:lang w:val="en-US" w:eastAsia="zh-CN" w:bidi="en-US"/>
        </w:rPr>
        <w:t>¥0.00</w:t>
      </w:r>
      <w:r>
        <w:rPr>
          <w:color w:val="auto"/>
          <w:sz w:val="21"/>
          <w:szCs w:val="21"/>
        </w:rPr>
        <w:t>元。</w:t>
      </w:r>
      <w:bookmarkStart w:id="11" w:name="bookmark23"/>
    </w:p>
    <w:p w14:paraId="6F9DA965">
      <w:pPr>
        <w:pStyle w:val="37"/>
        <w:tabs>
          <w:tab w:val="left" w:pos="512"/>
        </w:tabs>
        <w:spacing w:line="400" w:lineRule="exact"/>
        <w:ind w:firstLine="422" w:firstLineChars="200"/>
        <w:jc w:val="both"/>
        <w:rPr>
          <w:b/>
          <w:bCs/>
          <w:color w:val="auto"/>
          <w:sz w:val="21"/>
          <w:szCs w:val="21"/>
        </w:rPr>
      </w:pPr>
      <w:r>
        <w:rPr>
          <w:b/>
          <w:bCs/>
          <w:color w:val="auto"/>
          <w:sz w:val="21"/>
          <w:szCs w:val="21"/>
        </w:rPr>
        <w:t>四</w:t>
      </w:r>
      <w:bookmarkEnd w:id="11"/>
      <w:r>
        <w:rPr>
          <w:b/>
          <w:bCs/>
          <w:color w:val="auto"/>
          <w:sz w:val="21"/>
          <w:szCs w:val="21"/>
        </w:rPr>
        <w:t>、响应文件提交</w:t>
      </w:r>
    </w:p>
    <w:p w14:paraId="4F9E4CA9">
      <w:pPr>
        <w:pStyle w:val="37"/>
        <w:spacing w:line="400" w:lineRule="exact"/>
        <w:ind w:firstLine="420" w:firstLineChars="200"/>
        <w:jc w:val="both"/>
        <w:rPr>
          <w:color w:val="auto"/>
          <w:sz w:val="21"/>
          <w:szCs w:val="21"/>
        </w:rPr>
      </w:pPr>
      <w:r>
        <w:rPr>
          <w:color w:val="auto"/>
          <w:sz w:val="21"/>
          <w:szCs w:val="21"/>
        </w:rPr>
        <w:t>截止时间：</w:t>
      </w:r>
      <w:r>
        <w:rPr>
          <w:color w:val="auto"/>
          <w:sz w:val="21"/>
          <w:szCs w:val="21"/>
          <w:u w:val="single"/>
        </w:rPr>
        <w:t>202</w:t>
      </w:r>
      <w:r>
        <w:rPr>
          <w:rFonts w:hint="eastAsia"/>
          <w:color w:val="auto"/>
          <w:sz w:val="21"/>
          <w:szCs w:val="21"/>
          <w:u w:val="single"/>
          <w:lang w:val="en-US" w:eastAsia="zh-CN"/>
        </w:rPr>
        <w:t>4</w:t>
      </w:r>
      <w:r>
        <w:rPr>
          <w:color w:val="auto"/>
          <w:sz w:val="21"/>
          <w:szCs w:val="21"/>
          <w:u w:val="single"/>
        </w:rPr>
        <w:t>年</w:t>
      </w:r>
      <w:r>
        <w:rPr>
          <w:rFonts w:hint="eastAsia"/>
          <w:color w:val="auto"/>
          <w:sz w:val="21"/>
          <w:szCs w:val="21"/>
          <w:u w:val="single"/>
          <w:lang w:val="en-US" w:eastAsia="zh-CN"/>
        </w:rPr>
        <w:t>12</w:t>
      </w:r>
      <w:r>
        <w:rPr>
          <w:color w:val="auto"/>
          <w:sz w:val="21"/>
          <w:szCs w:val="21"/>
          <w:u w:val="single"/>
        </w:rPr>
        <w:t>月</w:t>
      </w:r>
      <w:r>
        <w:rPr>
          <w:rFonts w:hint="eastAsia"/>
          <w:color w:val="auto"/>
          <w:sz w:val="21"/>
          <w:szCs w:val="21"/>
          <w:u w:val="single"/>
          <w:lang w:val="en-US" w:eastAsia="zh-CN"/>
        </w:rPr>
        <w:t>23</w:t>
      </w:r>
      <w:r>
        <w:rPr>
          <w:color w:val="auto"/>
          <w:sz w:val="21"/>
          <w:szCs w:val="21"/>
          <w:u w:val="single"/>
        </w:rPr>
        <w:t>日</w:t>
      </w:r>
      <w:r>
        <w:rPr>
          <w:rFonts w:hint="eastAsia"/>
          <w:color w:val="auto"/>
          <w:sz w:val="21"/>
          <w:szCs w:val="21"/>
          <w:u w:val="single"/>
          <w:lang w:val="en-US" w:eastAsia="zh-CN"/>
        </w:rPr>
        <w:t>09</w:t>
      </w:r>
      <w:r>
        <w:rPr>
          <w:color w:val="auto"/>
          <w:sz w:val="21"/>
          <w:szCs w:val="21"/>
          <w:u w:val="single"/>
        </w:rPr>
        <w:t>点</w:t>
      </w:r>
      <w:r>
        <w:rPr>
          <w:rFonts w:hint="eastAsia"/>
          <w:color w:val="auto"/>
          <w:sz w:val="21"/>
          <w:szCs w:val="21"/>
          <w:u w:val="single"/>
          <w:lang w:val="en-US" w:eastAsia="zh-CN"/>
        </w:rPr>
        <w:t>30</w:t>
      </w:r>
      <w:r>
        <w:rPr>
          <w:color w:val="auto"/>
          <w:sz w:val="21"/>
          <w:szCs w:val="21"/>
          <w:u w:val="single"/>
        </w:rPr>
        <w:t>分</w:t>
      </w:r>
      <w:r>
        <w:rPr>
          <w:color w:val="auto"/>
          <w:sz w:val="21"/>
          <w:szCs w:val="21"/>
        </w:rPr>
        <w:t>（北京时间）</w:t>
      </w:r>
    </w:p>
    <w:p w14:paraId="49377213">
      <w:pPr>
        <w:spacing w:line="360" w:lineRule="exact"/>
        <w:ind w:firstLine="420" w:firstLineChars="200"/>
        <w:rPr>
          <w:rFonts w:ascii="宋体" w:hAnsi="宋体" w:eastAsia="宋体" w:cs="宋体"/>
          <w:color w:val="auto"/>
          <w:sz w:val="21"/>
          <w:szCs w:val="21"/>
          <w:lang w:val="zh-TW" w:eastAsia="zh-TW" w:bidi="zh-TW"/>
        </w:rPr>
      </w:pPr>
      <w:r>
        <w:rPr>
          <w:color w:val="auto"/>
          <w:sz w:val="21"/>
          <w:szCs w:val="21"/>
          <w:lang w:eastAsia="zh-TW"/>
        </w:rPr>
        <w:t>地点：</w:t>
      </w:r>
      <w:r>
        <w:rPr>
          <w:rFonts w:hint="eastAsia" w:ascii="宋体" w:hAnsi="宋体" w:eastAsia="宋体" w:cs="宋体"/>
          <w:color w:val="auto"/>
          <w:sz w:val="21"/>
          <w:szCs w:val="21"/>
          <w:lang w:val="zh-TW" w:eastAsia="zh-TW" w:bidi="zh-TW"/>
        </w:rPr>
        <w:t>广西政府采购云平台(https://www.gcy.zfcg.gxzf.gov.cn/)</w:t>
      </w:r>
    </w:p>
    <w:p w14:paraId="5A626FF3">
      <w:pPr>
        <w:pStyle w:val="37"/>
        <w:tabs>
          <w:tab w:val="left" w:pos="485"/>
        </w:tabs>
        <w:spacing w:line="400" w:lineRule="exact"/>
        <w:ind w:firstLine="422" w:firstLineChars="200"/>
        <w:rPr>
          <w:b/>
          <w:bCs/>
          <w:color w:val="auto"/>
          <w:sz w:val="21"/>
          <w:szCs w:val="21"/>
        </w:rPr>
      </w:pPr>
      <w:bookmarkStart w:id="12" w:name="bookmark24"/>
      <w:r>
        <w:rPr>
          <w:b/>
          <w:bCs/>
          <w:color w:val="auto"/>
          <w:sz w:val="21"/>
          <w:szCs w:val="21"/>
        </w:rPr>
        <w:t>五</w:t>
      </w:r>
      <w:bookmarkEnd w:id="12"/>
      <w:r>
        <w:rPr>
          <w:b/>
          <w:bCs/>
          <w:color w:val="auto"/>
          <w:sz w:val="21"/>
          <w:szCs w:val="21"/>
        </w:rPr>
        <w:t>、开启</w:t>
      </w:r>
    </w:p>
    <w:p w14:paraId="7207CAC3">
      <w:pPr>
        <w:pStyle w:val="37"/>
        <w:spacing w:line="400" w:lineRule="exact"/>
        <w:ind w:firstLine="420" w:firstLineChars="200"/>
        <w:jc w:val="both"/>
        <w:rPr>
          <w:color w:val="auto"/>
          <w:sz w:val="21"/>
          <w:szCs w:val="21"/>
        </w:rPr>
      </w:pPr>
      <w:r>
        <w:rPr>
          <w:color w:val="auto"/>
          <w:sz w:val="21"/>
          <w:szCs w:val="21"/>
        </w:rPr>
        <w:t>时间：</w:t>
      </w:r>
      <w:r>
        <w:rPr>
          <w:color w:val="auto"/>
          <w:sz w:val="21"/>
          <w:szCs w:val="21"/>
          <w:u w:val="single"/>
        </w:rPr>
        <w:t>202</w:t>
      </w:r>
      <w:r>
        <w:rPr>
          <w:rFonts w:hint="eastAsia"/>
          <w:color w:val="auto"/>
          <w:sz w:val="21"/>
          <w:szCs w:val="21"/>
          <w:u w:val="single"/>
          <w:lang w:val="en-US" w:eastAsia="zh-CN"/>
        </w:rPr>
        <w:t>4</w:t>
      </w:r>
      <w:r>
        <w:rPr>
          <w:color w:val="auto"/>
          <w:sz w:val="21"/>
          <w:szCs w:val="21"/>
          <w:u w:val="single"/>
        </w:rPr>
        <w:t>年</w:t>
      </w:r>
      <w:r>
        <w:rPr>
          <w:rFonts w:hint="eastAsia"/>
          <w:color w:val="auto"/>
          <w:sz w:val="21"/>
          <w:szCs w:val="21"/>
          <w:u w:val="single"/>
          <w:lang w:val="en-US" w:eastAsia="zh-CN"/>
        </w:rPr>
        <w:t>12</w:t>
      </w:r>
      <w:r>
        <w:rPr>
          <w:color w:val="auto"/>
          <w:sz w:val="21"/>
          <w:szCs w:val="21"/>
          <w:u w:val="single"/>
        </w:rPr>
        <w:t>月</w:t>
      </w:r>
      <w:r>
        <w:rPr>
          <w:rFonts w:hint="eastAsia"/>
          <w:color w:val="auto"/>
          <w:sz w:val="21"/>
          <w:szCs w:val="21"/>
          <w:u w:val="single"/>
          <w:lang w:val="en-US" w:eastAsia="zh-CN"/>
        </w:rPr>
        <w:t>23</w:t>
      </w:r>
      <w:r>
        <w:rPr>
          <w:color w:val="auto"/>
          <w:sz w:val="21"/>
          <w:szCs w:val="21"/>
          <w:u w:val="single"/>
        </w:rPr>
        <w:t>日</w:t>
      </w:r>
      <w:r>
        <w:rPr>
          <w:rFonts w:hint="eastAsia"/>
          <w:color w:val="auto"/>
          <w:sz w:val="21"/>
          <w:szCs w:val="21"/>
          <w:u w:val="single"/>
          <w:lang w:val="en-US" w:eastAsia="zh-CN"/>
        </w:rPr>
        <w:t>09</w:t>
      </w:r>
      <w:r>
        <w:rPr>
          <w:color w:val="auto"/>
          <w:sz w:val="21"/>
          <w:szCs w:val="21"/>
          <w:u w:val="single"/>
        </w:rPr>
        <w:t>点</w:t>
      </w:r>
      <w:r>
        <w:rPr>
          <w:rFonts w:hint="eastAsia"/>
          <w:color w:val="auto"/>
          <w:sz w:val="21"/>
          <w:szCs w:val="21"/>
          <w:u w:val="single"/>
          <w:lang w:val="en-US" w:eastAsia="zh-CN"/>
        </w:rPr>
        <w:t>30</w:t>
      </w:r>
      <w:r>
        <w:rPr>
          <w:color w:val="auto"/>
          <w:sz w:val="21"/>
          <w:szCs w:val="21"/>
          <w:u w:val="single"/>
        </w:rPr>
        <w:t>分</w:t>
      </w:r>
      <w:r>
        <w:rPr>
          <w:color w:val="auto"/>
          <w:sz w:val="21"/>
          <w:szCs w:val="21"/>
        </w:rPr>
        <w:t>（北京时间）</w:t>
      </w:r>
    </w:p>
    <w:p w14:paraId="5CC61579">
      <w:pPr>
        <w:spacing w:line="360" w:lineRule="exact"/>
        <w:ind w:firstLine="420" w:firstLineChars="200"/>
        <w:rPr>
          <w:rFonts w:ascii="宋体" w:hAnsi="宋体" w:eastAsia="宋体" w:cs="宋体"/>
          <w:color w:val="auto"/>
          <w:sz w:val="21"/>
          <w:szCs w:val="21"/>
          <w:u w:val="single"/>
          <w:lang w:eastAsia="zh-TW" w:bidi="zh-TW"/>
        </w:rPr>
      </w:pPr>
      <w:r>
        <w:rPr>
          <w:rFonts w:ascii="宋体" w:hAnsi="宋体" w:eastAsia="宋体" w:cs="宋体"/>
          <w:color w:val="auto"/>
          <w:sz w:val="21"/>
          <w:szCs w:val="21"/>
          <w:lang w:eastAsia="zh-TW"/>
        </w:rPr>
        <w:t>地点：</w:t>
      </w:r>
      <w:r>
        <w:rPr>
          <w:rFonts w:hint="eastAsia" w:ascii="宋体" w:hAnsi="宋体" w:eastAsia="宋体" w:cs="宋体"/>
          <w:color w:val="auto"/>
          <w:sz w:val="21"/>
          <w:szCs w:val="21"/>
          <w:lang w:eastAsia="zh-TW" w:bidi="zh-TW"/>
        </w:rPr>
        <w:t>广西政府采购云平台(https://www.gcy.zfcg.gxzf.gov.cn/)。</w:t>
      </w:r>
      <w:r>
        <w:rPr>
          <w:rFonts w:hint="eastAsia" w:ascii="宋体" w:hAnsi="宋体" w:eastAsia="宋体" w:cs="宋体"/>
          <w:color w:val="auto"/>
          <w:sz w:val="21"/>
          <w:szCs w:val="21"/>
          <w:lang w:eastAsia="zh-CN" w:bidi="zh-TW"/>
        </w:rPr>
        <w:t>本项目采用远程异地评标，评标主场设在广西坤珍建设项目管理咨询有限公司(崇左市友谊大道嘉苑小区G组团22号)。分会场设在广西坤珍建设项目管理咨询有限公司南宁分公司（中国（广西）自由贸易试验区南宁片区那黄大道129号五象澜庭府锦苑6栋2301号）。</w:t>
      </w:r>
    </w:p>
    <w:p w14:paraId="136DA534">
      <w:pPr>
        <w:pStyle w:val="37"/>
        <w:tabs>
          <w:tab w:val="left" w:pos="485"/>
        </w:tabs>
        <w:spacing w:line="400" w:lineRule="exact"/>
        <w:ind w:firstLine="422" w:firstLineChars="200"/>
        <w:rPr>
          <w:b/>
          <w:bCs/>
          <w:color w:val="auto"/>
          <w:sz w:val="21"/>
          <w:szCs w:val="21"/>
        </w:rPr>
      </w:pPr>
      <w:bookmarkStart w:id="13" w:name="bookmark25"/>
      <w:r>
        <w:rPr>
          <w:b/>
          <w:bCs/>
          <w:color w:val="auto"/>
          <w:sz w:val="21"/>
          <w:szCs w:val="21"/>
        </w:rPr>
        <w:t>六</w:t>
      </w:r>
      <w:bookmarkEnd w:id="13"/>
      <w:r>
        <w:rPr>
          <w:b/>
          <w:bCs/>
          <w:color w:val="auto"/>
          <w:sz w:val="21"/>
          <w:szCs w:val="21"/>
        </w:rPr>
        <w:t>、公告期限</w:t>
      </w:r>
    </w:p>
    <w:p w14:paraId="0B2BA73F">
      <w:pPr>
        <w:pStyle w:val="37"/>
        <w:spacing w:line="400" w:lineRule="exact"/>
        <w:ind w:firstLine="420" w:firstLineChars="200"/>
        <w:rPr>
          <w:sz w:val="21"/>
          <w:szCs w:val="21"/>
        </w:rPr>
      </w:pPr>
      <w:r>
        <w:rPr>
          <w:sz w:val="21"/>
          <w:szCs w:val="21"/>
        </w:rPr>
        <w:t>自本公告发布之日起3个工作日。</w:t>
      </w:r>
    </w:p>
    <w:p w14:paraId="3F9FD3D7">
      <w:pPr>
        <w:pStyle w:val="37"/>
        <w:tabs>
          <w:tab w:val="left" w:pos="485"/>
        </w:tabs>
        <w:spacing w:line="400" w:lineRule="exact"/>
        <w:ind w:firstLine="422" w:firstLineChars="200"/>
        <w:jc w:val="both"/>
        <w:rPr>
          <w:b/>
          <w:bCs/>
          <w:sz w:val="21"/>
          <w:szCs w:val="21"/>
        </w:rPr>
      </w:pPr>
      <w:bookmarkStart w:id="14" w:name="bookmark26"/>
      <w:r>
        <w:rPr>
          <w:b/>
          <w:bCs/>
          <w:sz w:val="21"/>
          <w:szCs w:val="21"/>
        </w:rPr>
        <w:t>七</w:t>
      </w:r>
      <w:bookmarkEnd w:id="14"/>
      <w:r>
        <w:rPr>
          <w:b/>
          <w:bCs/>
          <w:sz w:val="21"/>
          <w:szCs w:val="21"/>
        </w:rPr>
        <w:t>、其他补充事宜</w:t>
      </w:r>
    </w:p>
    <w:p w14:paraId="6D5E2B48">
      <w:pPr>
        <w:spacing w:line="360" w:lineRule="exact"/>
        <w:ind w:firstLine="420" w:firstLineChars="200"/>
        <w:rPr>
          <w:rFonts w:ascii="宋体" w:hAnsi="宋体" w:eastAsia="宋体" w:cs="宋体"/>
          <w:color w:val="auto"/>
          <w:sz w:val="21"/>
          <w:szCs w:val="21"/>
          <w:lang w:val="zh-TW" w:eastAsia="zh-TW" w:bidi="zh-TW"/>
        </w:rPr>
      </w:pPr>
      <w:r>
        <w:rPr>
          <w:rFonts w:ascii="宋体" w:hAnsi="宋体" w:eastAsia="宋体" w:cs="宋体"/>
          <w:color w:val="auto"/>
          <w:sz w:val="21"/>
          <w:szCs w:val="21"/>
          <w:lang w:val="zh-TW" w:eastAsia="zh-TW" w:bidi="zh-TW"/>
        </w:rPr>
        <w:t>1.</w:t>
      </w:r>
      <w:r>
        <w:rPr>
          <w:rFonts w:hint="eastAsia" w:ascii="宋体" w:hAnsi="宋体" w:eastAsia="宋体" w:cs="宋体"/>
          <w:color w:val="auto"/>
          <w:sz w:val="21"/>
          <w:szCs w:val="21"/>
          <w:lang w:val="zh-TW" w:eastAsia="zh-TW" w:bidi="zh-TW"/>
        </w:rPr>
        <w:t>网上查询地址</w:t>
      </w:r>
    </w:p>
    <w:p w14:paraId="1E76903A">
      <w:pPr>
        <w:spacing w:line="360" w:lineRule="exact"/>
        <w:ind w:firstLine="420" w:firstLineChars="200"/>
        <w:rPr>
          <w:rFonts w:ascii="宋体" w:hAnsi="宋体" w:eastAsia="宋体" w:cs="宋体"/>
          <w:color w:val="auto"/>
          <w:sz w:val="21"/>
          <w:szCs w:val="21"/>
          <w:lang w:val="zh-TW" w:eastAsia="zh-TW" w:bidi="zh-TW"/>
        </w:rPr>
      </w:pPr>
      <w:r>
        <w:rPr>
          <w:rFonts w:ascii="宋体" w:hAnsi="宋体" w:eastAsia="宋体" w:cs="宋体"/>
          <w:color w:val="auto"/>
          <w:sz w:val="21"/>
          <w:szCs w:val="21"/>
          <w:lang w:val="zh-TW" w:eastAsia="zh-TW" w:bidi="zh-TW"/>
        </w:rPr>
        <w:t>www.ccgp.gov.cn</w:t>
      </w:r>
      <w:r>
        <w:rPr>
          <w:rFonts w:hint="eastAsia" w:ascii="宋体" w:hAnsi="宋体" w:eastAsia="宋体" w:cs="宋体"/>
          <w:color w:val="auto"/>
          <w:sz w:val="21"/>
          <w:szCs w:val="21"/>
          <w:lang w:val="zh-TW" w:eastAsia="zh-TW" w:bidi="zh-TW"/>
        </w:rPr>
        <w:t>（中国政府采购网）、</w:t>
      </w:r>
      <w:r>
        <w:rPr>
          <w:rFonts w:ascii="宋体" w:hAnsi="宋体" w:eastAsia="宋体" w:cs="宋体"/>
          <w:color w:val="auto"/>
          <w:sz w:val="21"/>
          <w:szCs w:val="21"/>
          <w:lang w:val="zh-TW" w:eastAsia="zh-TW" w:bidi="zh-TW"/>
        </w:rPr>
        <w:t>zfcg.gxzf.gov.cn</w:t>
      </w:r>
      <w:r>
        <w:rPr>
          <w:rFonts w:hint="eastAsia" w:ascii="宋体" w:hAnsi="宋体" w:eastAsia="宋体" w:cs="宋体"/>
          <w:color w:val="auto"/>
          <w:sz w:val="21"/>
          <w:szCs w:val="21"/>
          <w:lang w:val="zh-TW" w:eastAsia="zh-TW" w:bidi="zh-TW"/>
        </w:rPr>
        <w:t>（广西壮族自治区政府采购网）。</w:t>
      </w:r>
    </w:p>
    <w:p w14:paraId="25171E5D">
      <w:pPr>
        <w:spacing w:line="360" w:lineRule="exact"/>
        <w:ind w:firstLine="424" w:firstLineChars="202"/>
        <w:rPr>
          <w:rFonts w:ascii="宋体" w:hAnsi="宋体" w:eastAsia="宋体" w:cs="宋体"/>
          <w:color w:val="auto"/>
          <w:sz w:val="21"/>
          <w:szCs w:val="21"/>
          <w:lang w:val="zh-TW" w:eastAsia="zh-TW" w:bidi="zh-TW"/>
        </w:rPr>
      </w:pPr>
      <w:bookmarkStart w:id="15" w:name="_Hlk37429674"/>
      <w:r>
        <w:rPr>
          <w:rFonts w:ascii="宋体" w:hAnsi="宋体" w:eastAsia="宋体" w:cs="宋体"/>
          <w:color w:val="auto"/>
          <w:sz w:val="21"/>
          <w:szCs w:val="21"/>
          <w:lang w:val="zh-TW" w:eastAsia="zh-TW" w:bidi="zh-TW"/>
        </w:rPr>
        <w:t>2.</w:t>
      </w:r>
      <w:r>
        <w:rPr>
          <w:rFonts w:hint="eastAsia" w:ascii="宋体" w:hAnsi="宋体" w:eastAsia="宋体" w:cs="宋体"/>
          <w:color w:val="auto"/>
          <w:sz w:val="21"/>
          <w:szCs w:val="21"/>
          <w:lang w:val="zh-TW" w:eastAsia="zh-TW" w:bidi="zh-TW"/>
        </w:rPr>
        <w:t>本项目需要落实的政府采购政策</w:t>
      </w:r>
    </w:p>
    <w:p w14:paraId="6AE16432">
      <w:pPr>
        <w:spacing w:line="360" w:lineRule="exact"/>
        <w:ind w:firstLine="424" w:firstLineChars="202"/>
        <w:rPr>
          <w:rFonts w:ascii="宋体" w:hAnsi="宋体" w:eastAsia="宋体" w:cs="宋体"/>
          <w:color w:val="auto"/>
          <w:sz w:val="21"/>
          <w:szCs w:val="21"/>
          <w:lang w:val="zh-TW" w:eastAsia="zh-TW" w:bidi="zh-TW"/>
        </w:rPr>
      </w:pPr>
      <w:r>
        <w:rPr>
          <w:rFonts w:hint="eastAsia" w:ascii="宋体" w:hAnsi="宋体" w:eastAsia="宋体" w:cs="宋体"/>
          <w:color w:val="auto"/>
          <w:sz w:val="21"/>
          <w:szCs w:val="21"/>
          <w:lang w:val="zh-TW" w:eastAsia="zh-TW" w:bidi="zh-TW"/>
        </w:rPr>
        <w:t>（</w:t>
      </w:r>
      <w:r>
        <w:rPr>
          <w:rFonts w:ascii="宋体" w:hAnsi="宋体" w:eastAsia="宋体" w:cs="宋体"/>
          <w:color w:val="auto"/>
          <w:sz w:val="21"/>
          <w:szCs w:val="21"/>
          <w:lang w:val="zh-TW" w:eastAsia="zh-TW" w:bidi="zh-TW"/>
        </w:rPr>
        <w:t>1</w:t>
      </w:r>
      <w:r>
        <w:rPr>
          <w:rFonts w:hint="eastAsia" w:ascii="宋体" w:hAnsi="宋体" w:eastAsia="宋体" w:cs="宋体"/>
          <w:color w:val="auto"/>
          <w:sz w:val="21"/>
          <w:szCs w:val="21"/>
          <w:lang w:val="zh-TW" w:eastAsia="zh-TW" w:bidi="zh-TW"/>
        </w:rPr>
        <w:t>）政府采购促进中小企业发展。</w:t>
      </w:r>
    </w:p>
    <w:p w14:paraId="1B953C90">
      <w:pPr>
        <w:spacing w:line="360" w:lineRule="exact"/>
        <w:ind w:firstLine="424" w:firstLineChars="202"/>
        <w:rPr>
          <w:rFonts w:ascii="宋体" w:hAnsi="宋体" w:eastAsia="宋体" w:cs="宋体"/>
          <w:color w:val="auto"/>
          <w:sz w:val="21"/>
          <w:szCs w:val="21"/>
          <w:lang w:val="zh-TW" w:eastAsia="zh-TW" w:bidi="zh-TW"/>
        </w:rPr>
      </w:pPr>
      <w:r>
        <w:rPr>
          <w:rFonts w:hint="eastAsia" w:ascii="宋体" w:hAnsi="宋体" w:eastAsia="宋体" w:cs="宋体"/>
          <w:color w:val="auto"/>
          <w:sz w:val="21"/>
          <w:szCs w:val="21"/>
          <w:lang w:val="zh-TW" w:eastAsia="zh-TW" w:bidi="zh-TW"/>
        </w:rPr>
        <w:t>（</w:t>
      </w:r>
      <w:r>
        <w:rPr>
          <w:rFonts w:ascii="宋体" w:hAnsi="宋体" w:eastAsia="宋体" w:cs="宋体"/>
          <w:color w:val="auto"/>
          <w:sz w:val="21"/>
          <w:szCs w:val="21"/>
          <w:lang w:val="zh-TW" w:eastAsia="zh-TW" w:bidi="zh-TW"/>
        </w:rPr>
        <w:t>2</w:t>
      </w:r>
      <w:r>
        <w:rPr>
          <w:rFonts w:hint="eastAsia" w:ascii="宋体" w:hAnsi="宋体" w:eastAsia="宋体" w:cs="宋体"/>
          <w:color w:val="auto"/>
          <w:sz w:val="21"/>
          <w:szCs w:val="21"/>
          <w:lang w:val="zh-TW" w:eastAsia="zh-TW" w:bidi="zh-TW"/>
        </w:rPr>
        <w:t>）政府采购支持采用本国产品的政策。</w:t>
      </w:r>
    </w:p>
    <w:p w14:paraId="593B4971">
      <w:pPr>
        <w:spacing w:line="360" w:lineRule="exact"/>
        <w:ind w:firstLine="424" w:firstLineChars="202"/>
        <w:rPr>
          <w:rFonts w:ascii="宋体" w:hAnsi="宋体" w:eastAsia="宋体" w:cs="宋体"/>
          <w:color w:val="auto"/>
          <w:sz w:val="21"/>
          <w:szCs w:val="21"/>
          <w:lang w:val="zh-TW" w:eastAsia="zh-TW" w:bidi="zh-TW"/>
        </w:rPr>
      </w:pPr>
      <w:r>
        <w:rPr>
          <w:rFonts w:hint="eastAsia" w:ascii="宋体" w:hAnsi="宋体" w:eastAsia="宋体" w:cs="宋体"/>
          <w:color w:val="auto"/>
          <w:sz w:val="21"/>
          <w:szCs w:val="21"/>
          <w:lang w:val="zh-TW" w:eastAsia="zh-TW" w:bidi="zh-TW"/>
        </w:rPr>
        <w:t>（</w:t>
      </w:r>
      <w:r>
        <w:rPr>
          <w:rFonts w:ascii="宋体" w:hAnsi="宋体" w:eastAsia="宋体" w:cs="宋体"/>
          <w:color w:val="auto"/>
          <w:sz w:val="21"/>
          <w:szCs w:val="21"/>
          <w:lang w:val="zh-TW" w:eastAsia="zh-TW" w:bidi="zh-TW"/>
        </w:rPr>
        <w:t>3</w:t>
      </w:r>
      <w:r>
        <w:rPr>
          <w:rFonts w:hint="eastAsia" w:ascii="宋体" w:hAnsi="宋体" w:eastAsia="宋体" w:cs="宋体"/>
          <w:color w:val="auto"/>
          <w:sz w:val="21"/>
          <w:szCs w:val="21"/>
          <w:lang w:val="zh-TW" w:eastAsia="zh-TW" w:bidi="zh-TW"/>
        </w:rPr>
        <w:t>）强制采购节能产品；优先采购节能产品、环境标志产品。</w:t>
      </w:r>
    </w:p>
    <w:p w14:paraId="6ACEC979">
      <w:pPr>
        <w:spacing w:line="360" w:lineRule="exact"/>
        <w:ind w:firstLine="424" w:firstLineChars="202"/>
        <w:rPr>
          <w:rFonts w:ascii="宋体" w:hAnsi="宋体" w:eastAsia="宋体" w:cs="宋体"/>
          <w:color w:val="auto"/>
          <w:sz w:val="21"/>
          <w:szCs w:val="21"/>
          <w:lang w:val="zh-TW" w:eastAsia="zh-TW" w:bidi="zh-TW"/>
        </w:rPr>
      </w:pPr>
      <w:r>
        <w:rPr>
          <w:rFonts w:hint="eastAsia" w:ascii="宋体" w:hAnsi="宋体" w:eastAsia="宋体" w:cs="宋体"/>
          <w:color w:val="auto"/>
          <w:sz w:val="21"/>
          <w:szCs w:val="21"/>
          <w:lang w:val="zh-TW" w:eastAsia="zh-TW" w:bidi="zh-TW"/>
        </w:rPr>
        <w:t>（</w:t>
      </w:r>
      <w:r>
        <w:rPr>
          <w:rFonts w:ascii="宋体" w:hAnsi="宋体" w:eastAsia="宋体" w:cs="宋体"/>
          <w:color w:val="auto"/>
          <w:sz w:val="21"/>
          <w:szCs w:val="21"/>
          <w:lang w:val="zh-TW" w:eastAsia="zh-TW" w:bidi="zh-TW"/>
        </w:rPr>
        <w:t>4</w:t>
      </w:r>
      <w:r>
        <w:rPr>
          <w:rFonts w:hint="eastAsia" w:ascii="宋体" w:hAnsi="宋体" w:eastAsia="宋体" w:cs="宋体"/>
          <w:color w:val="auto"/>
          <w:sz w:val="21"/>
          <w:szCs w:val="21"/>
          <w:lang w:val="zh-TW" w:eastAsia="zh-TW" w:bidi="zh-TW"/>
        </w:rPr>
        <w:t>）政府采购促进残疾人就业政策。</w:t>
      </w:r>
    </w:p>
    <w:p w14:paraId="2929585F">
      <w:pPr>
        <w:spacing w:line="360" w:lineRule="exact"/>
        <w:ind w:firstLine="424" w:firstLineChars="202"/>
        <w:rPr>
          <w:rFonts w:ascii="宋体" w:hAnsi="宋体" w:eastAsia="宋体" w:cs="宋体"/>
          <w:color w:val="auto"/>
          <w:sz w:val="21"/>
          <w:szCs w:val="21"/>
          <w:lang w:val="zh-TW" w:eastAsia="zh-TW" w:bidi="zh-TW"/>
        </w:rPr>
      </w:pPr>
      <w:r>
        <w:rPr>
          <w:rFonts w:hint="eastAsia" w:ascii="宋体" w:hAnsi="宋体" w:eastAsia="宋体" w:cs="宋体"/>
          <w:color w:val="auto"/>
          <w:sz w:val="21"/>
          <w:szCs w:val="21"/>
          <w:lang w:val="zh-TW" w:eastAsia="zh-TW" w:bidi="zh-TW"/>
        </w:rPr>
        <w:t>（</w:t>
      </w:r>
      <w:r>
        <w:rPr>
          <w:rFonts w:ascii="宋体" w:hAnsi="宋体" w:eastAsia="宋体" w:cs="宋体"/>
          <w:color w:val="auto"/>
          <w:sz w:val="21"/>
          <w:szCs w:val="21"/>
          <w:lang w:val="zh-TW" w:eastAsia="zh-TW" w:bidi="zh-TW"/>
        </w:rPr>
        <w:t>5</w:t>
      </w:r>
      <w:r>
        <w:rPr>
          <w:rFonts w:hint="eastAsia" w:ascii="宋体" w:hAnsi="宋体" w:eastAsia="宋体" w:cs="宋体"/>
          <w:color w:val="auto"/>
          <w:sz w:val="21"/>
          <w:szCs w:val="21"/>
          <w:lang w:val="zh-TW" w:eastAsia="zh-TW" w:bidi="zh-TW"/>
        </w:rPr>
        <w:t>）政府采购支持监狱企业发展。</w:t>
      </w:r>
    </w:p>
    <w:bookmarkEnd w:id="15"/>
    <w:p w14:paraId="6B74EF6F">
      <w:pPr>
        <w:widowControl/>
        <w:spacing w:line="360" w:lineRule="exact"/>
        <w:ind w:firstLine="420" w:firstLineChars="200"/>
        <w:rPr>
          <w:rFonts w:ascii="宋体" w:hAnsi="宋体" w:eastAsia="宋体" w:cs="宋体"/>
          <w:color w:val="auto"/>
          <w:sz w:val="21"/>
          <w:szCs w:val="21"/>
          <w:lang w:val="zh-TW" w:eastAsia="zh-TW" w:bidi="zh-TW"/>
        </w:rPr>
      </w:pPr>
      <w:r>
        <w:rPr>
          <w:rFonts w:hint="eastAsia" w:ascii="宋体" w:hAnsi="宋体" w:eastAsia="宋体" w:cs="宋体"/>
          <w:color w:val="auto"/>
          <w:sz w:val="21"/>
          <w:szCs w:val="21"/>
          <w:lang w:eastAsia="zh-CN" w:bidi="zh-TW"/>
        </w:rPr>
        <w:t>3</w:t>
      </w:r>
      <w:r>
        <w:rPr>
          <w:rFonts w:ascii="宋体" w:hAnsi="宋体" w:eastAsia="宋体" w:cs="宋体"/>
          <w:color w:val="auto"/>
          <w:sz w:val="21"/>
          <w:szCs w:val="21"/>
          <w:lang w:val="zh-TW" w:eastAsia="zh-TW" w:bidi="zh-TW"/>
        </w:rPr>
        <w:t>.</w:t>
      </w:r>
      <w:r>
        <w:rPr>
          <w:rFonts w:hint="eastAsia" w:ascii="宋体" w:hAnsi="宋体" w:eastAsia="宋体" w:cs="宋体"/>
          <w:color w:val="auto"/>
          <w:sz w:val="21"/>
          <w:szCs w:val="21"/>
          <w:lang w:val="zh-TW" w:eastAsia="zh-TW" w:bidi="zh-TW"/>
        </w:rPr>
        <w:t>供应商竞标注意事项</w:t>
      </w:r>
    </w:p>
    <w:p w14:paraId="2FF82E8A">
      <w:pPr>
        <w:spacing w:line="360" w:lineRule="exact"/>
        <w:ind w:firstLine="424" w:firstLineChars="202"/>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(1)响应文件提交方式：本项目为全流程电子化项目，通过广西政府采购云平台 (</w:t>
      </w:r>
      <w:r>
        <w:fldChar w:fldCharType="begin"/>
      </w:r>
      <w:r>
        <w:instrText xml:space="preserve"> HYPERLINK "https://www.gcy.zfcg.gxzf.gov.cn/" </w:instrText>
      </w:r>
      <w:r>
        <w:fldChar w:fldCharType="separate"/>
      </w:r>
      <w:r>
        <w:rPr>
          <w:rFonts w:hint="eastAsia" w:ascii="宋体" w:hAnsi="宋体" w:eastAsia="宋体" w:cs="宋体"/>
          <w:color w:val="auto"/>
          <w:sz w:val="21"/>
          <w:szCs w:val="21"/>
          <w:lang w:eastAsia="zh-CN" w:bidi="zh-TW"/>
        </w:rPr>
        <w:t>https://www.gcy.zfcg.gxzf.gov.cn/</w:t>
      </w:r>
      <w:r>
        <w:rPr>
          <w:rFonts w:hint="eastAsia" w:ascii="宋体" w:hAnsi="宋体" w:eastAsia="宋体" w:cs="宋体"/>
          <w:color w:val="auto"/>
          <w:sz w:val="21"/>
          <w:szCs w:val="21"/>
          <w:lang w:eastAsia="zh-CN" w:bidi="zh-TW"/>
        </w:rPr>
        <w:fldChar w:fldCharType="end"/>
      </w:r>
      <w:r>
        <w:rPr>
          <w:rFonts w:hint="eastAsia" w:ascii="宋体" w:hAnsi="宋体" w:eastAsia="宋体" w:cs="宋体"/>
          <w:color w:val="auto"/>
          <w:sz w:val="21"/>
          <w:szCs w:val="21"/>
          <w:lang w:eastAsia="zh-CN" w:bidi="zh-TW"/>
        </w:rPr>
        <w:t xml:space="preserve">)实行在线电子响应，供应商应先安装广西政府采购云平台新版客户端(新版客户端下载路径：广西政府采购网(访问地址 </w:t>
      </w:r>
      <w:r>
        <w:fldChar w:fldCharType="begin"/>
      </w:r>
      <w:r>
        <w:instrText xml:space="preserve"> HYPERLINK "http://zfcg.gxzf.gov.cn/" </w:instrText>
      </w:r>
      <w:r>
        <w:fldChar w:fldCharType="separate"/>
      </w:r>
      <w:r>
        <w:rPr>
          <w:rFonts w:hint="eastAsia" w:ascii="宋体" w:hAnsi="宋体" w:eastAsia="宋体" w:cs="宋体"/>
          <w:color w:val="auto"/>
          <w:sz w:val="21"/>
          <w:szCs w:val="21"/>
          <w:lang w:eastAsia="zh-CN" w:bidi="zh-TW"/>
        </w:rPr>
        <w:t>http://zfcg.gxzf.gov.cn/</w:t>
      </w:r>
      <w:r>
        <w:rPr>
          <w:rFonts w:hint="eastAsia" w:ascii="宋体" w:hAnsi="宋体" w:eastAsia="宋体" w:cs="宋体"/>
          <w:color w:val="auto"/>
          <w:sz w:val="21"/>
          <w:szCs w:val="21"/>
          <w:lang w:eastAsia="zh-CN" w:bidi="zh-TW"/>
        </w:rPr>
        <w:fldChar w:fldCharType="end"/>
      </w:r>
      <w:r>
        <w:rPr>
          <w:rFonts w:hint="eastAsia" w:ascii="宋体" w:hAnsi="宋体" w:eastAsia="宋体" w:cs="宋体"/>
          <w:color w:val="auto"/>
          <w:sz w:val="21"/>
          <w:szCs w:val="21"/>
          <w:lang w:eastAsia="zh-CN" w:bidi="zh-TW"/>
        </w:rPr>
        <w:t>)一办事服务一下 载专区),并按照本项目采购文件和广西政府采购云平台的要求编制、加密后在响应文件提交截止时间前 通过网络上传至广西政府采购云平台，供应商在广西政府采购云平台提交电子版响应文件时，请填写参加远程开标活动经办人联系方式。</w:t>
      </w:r>
    </w:p>
    <w:p w14:paraId="77B432FF">
      <w:pPr>
        <w:spacing w:line="360" w:lineRule="exact"/>
        <w:ind w:firstLine="424" w:firstLineChars="202"/>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 xml:space="preserve">（2）未进行网上注册并办理数字证书 (CA认证)的供应商将无法参与本项目政府采购活动，潜在供应商应当在首次响应文件提交截止时间前，完成电子交易平台上的CA 数字证书办理及响应文件的提交。 </w:t>
      </w:r>
    </w:p>
    <w:p w14:paraId="3B790861">
      <w:pPr>
        <w:spacing w:line="360" w:lineRule="exact"/>
        <w:ind w:firstLine="424" w:firstLineChars="202"/>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(3)为确保网上操作合法、有效和安全，请供应商确保在电子响应过程中能够对相关数据电文进行加密和使用电子签章，妥善保管CA 数字证书并使用有效的CA数字证书参与整个采购活动。</w:t>
      </w:r>
    </w:p>
    <w:p w14:paraId="7EC48D92">
      <w:pPr>
        <w:spacing w:line="360" w:lineRule="exact"/>
        <w:ind w:firstLine="424" w:firstLineChars="202"/>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 xml:space="preserve">注：供应商应当在首次响应文件提交截止时间前完成电子响应文件的上传、递交，响应文件提交截止时间前可以补充、修改或者数回响应文件。补充或者修改响应文件的，应当先行教回原文件，补充、修改 后重新上传、递交。响应文件提交截止时间前未完成上传、递交的，视为数回响应文件。响应文件提交截止时间以后上传递交的响应文件的，广西政府采购云平台将予以拒收。  </w:t>
      </w:r>
    </w:p>
    <w:p w14:paraId="34E8DF03">
      <w:pPr>
        <w:spacing w:line="360" w:lineRule="exact"/>
        <w:ind w:firstLine="424" w:firstLineChars="202"/>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(4)CA 证书在线解密：首次响应文件开启时，需要供应商携带制作响应文件时用来加密的有效数字证书 (CA 认证)登录广西政府采购云平台电子开标大厅现场按规定时间对加密的响应文件进行解密。</w:t>
      </w:r>
    </w:p>
    <w:p w14:paraId="66B405EE">
      <w:pPr>
        <w:spacing w:line="360" w:lineRule="exact"/>
        <w:ind w:firstLine="424" w:firstLineChars="202"/>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(5)供应商需要在具备有摄像头及语音功能且互联网网络状况良好的电脑登录广西政府采购云平台远程开标大厅参与本次磋商，否则后果自负。</w:t>
      </w:r>
    </w:p>
    <w:p w14:paraId="6B843A26">
      <w:pPr>
        <w:spacing w:line="360" w:lineRule="exact"/>
        <w:ind w:firstLine="420" w:firstLineChars="200"/>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4</w:t>
      </w:r>
      <w:r>
        <w:rPr>
          <w:rFonts w:hint="eastAsia" w:ascii="宋体" w:hAnsi="宋体" w:eastAsia="宋体" w:cs="宋体"/>
          <w:color w:val="auto"/>
          <w:sz w:val="21"/>
          <w:szCs w:val="21"/>
          <w:lang w:val="zh-TW" w:eastAsia="zh-TW" w:bidi="zh-TW"/>
        </w:rPr>
        <w:t>.</w:t>
      </w:r>
      <w:r>
        <w:rPr>
          <w:rFonts w:hint="eastAsia" w:ascii="宋体" w:hAnsi="宋体" w:eastAsia="宋体" w:cs="宋体"/>
          <w:color w:val="auto"/>
          <w:sz w:val="21"/>
          <w:szCs w:val="21"/>
          <w:lang w:eastAsia="zh-CN" w:bidi="zh-TW"/>
        </w:rPr>
        <w:t>本项目采用远程异地评标，评标主场设在广西坤珍建设项目管理咨询有限公司(崇左市友谊大道嘉苑小区G组团22号)。分会场设在广西坤珍建设项目管理咨询有限公司南宁分公司（中国（广西）自由贸易试验区南宁片区那黄大道129号五象澜庭府锦苑6栋2301号）。</w:t>
      </w:r>
    </w:p>
    <w:p w14:paraId="2BFAF650">
      <w:pPr>
        <w:spacing w:line="360" w:lineRule="exact"/>
        <w:ind w:firstLine="420" w:firstLineChars="200"/>
        <w:rPr>
          <w:rFonts w:ascii="宋体" w:hAnsi="宋体" w:eastAsia="宋体" w:cs="宋体"/>
          <w:color w:val="auto"/>
          <w:sz w:val="21"/>
          <w:szCs w:val="21"/>
          <w:lang w:eastAsia="zh-CN" w:bidi="zh-TW"/>
        </w:rPr>
      </w:pPr>
      <w:r>
        <w:rPr>
          <w:rFonts w:hint="eastAsia" w:ascii="宋体" w:hAnsi="宋体" w:eastAsia="宋体" w:cs="宋体"/>
          <w:color w:val="auto"/>
          <w:sz w:val="21"/>
          <w:szCs w:val="21"/>
          <w:lang w:val="en-US" w:eastAsia="zh-CN" w:bidi="zh-TW"/>
        </w:rPr>
        <w:t>5</w:t>
      </w:r>
      <w:r>
        <w:rPr>
          <w:rFonts w:hint="eastAsia" w:ascii="宋体" w:hAnsi="宋体" w:eastAsia="宋体" w:cs="宋体"/>
          <w:color w:val="auto"/>
          <w:sz w:val="21"/>
          <w:szCs w:val="21"/>
          <w:lang w:eastAsia="zh-CN" w:bidi="zh-TW"/>
        </w:rPr>
        <w:t>.根据《崇左市财政局关于进一步做好线上“政采贷”融资业务工作的通知》( 崇财采(2023)10号) ,供应商可凭成交通知书、政府采购合同，通过中征应收账款融资服务平台向银行在线申请“政采贷”融资。(具体详见采购文件中关于“政采贷”相关信息)</w:t>
      </w:r>
    </w:p>
    <w:p w14:paraId="42D22BE3">
      <w:pPr>
        <w:spacing w:line="360" w:lineRule="exact"/>
        <w:ind w:firstLine="420" w:firstLineChars="200"/>
        <w:rPr>
          <w:b/>
          <w:bCs/>
          <w:sz w:val="21"/>
          <w:szCs w:val="21"/>
          <w:lang w:eastAsia="zh-CN"/>
        </w:rPr>
      </w:pPr>
      <w:r>
        <w:rPr>
          <w:rFonts w:hint="eastAsia" w:ascii="宋体" w:hAnsi="宋体" w:eastAsia="宋体" w:cs="宋体"/>
          <w:color w:val="auto"/>
          <w:sz w:val="21"/>
          <w:szCs w:val="21"/>
          <w:lang w:val="en-US" w:eastAsia="zh-CN" w:bidi="zh-TW"/>
        </w:rPr>
        <w:t>6</w:t>
      </w:r>
      <w:r>
        <w:rPr>
          <w:rFonts w:hint="eastAsia" w:ascii="宋体" w:hAnsi="宋体" w:eastAsia="宋体" w:cs="宋体"/>
          <w:color w:val="auto"/>
          <w:sz w:val="21"/>
          <w:szCs w:val="21"/>
          <w:lang w:eastAsia="zh-CN" w:bidi="zh-TW"/>
        </w:rPr>
        <w:t xml:space="preserve">.监督部门：凭祥市财政局政府采购监督管理股  电话：0771-5972672 </w:t>
      </w:r>
      <w:r>
        <w:rPr>
          <w:rFonts w:hint="eastAsia"/>
          <w:sz w:val="21"/>
          <w:szCs w:val="21"/>
          <w:lang w:eastAsia="zh-CN"/>
        </w:rPr>
        <w:t xml:space="preserve"> </w:t>
      </w:r>
    </w:p>
    <w:p w14:paraId="72085EF7">
      <w:pPr>
        <w:pStyle w:val="37"/>
        <w:tabs>
          <w:tab w:val="left" w:pos="1025"/>
        </w:tabs>
        <w:spacing w:line="400" w:lineRule="exact"/>
        <w:ind w:firstLine="422" w:firstLineChars="200"/>
        <w:jc w:val="both"/>
        <w:rPr>
          <w:sz w:val="21"/>
          <w:szCs w:val="21"/>
          <w:lang w:val="en-US" w:eastAsia="zh-CN"/>
        </w:rPr>
      </w:pPr>
      <w:r>
        <w:rPr>
          <w:b/>
          <w:bCs/>
          <w:sz w:val="21"/>
          <w:szCs w:val="21"/>
        </w:rPr>
        <w:t>八、凡对本次采购提出询问，请按以下方式联系。</w:t>
      </w:r>
      <w:bookmarkStart w:id="16" w:name="bookmark32"/>
      <w:bookmarkEnd w:id="16"/>
    </w:p>
    <w:p w14:paraId="3E1F5679">
      <w:pPr>
        <w:pStyle w:val="37"/>
        <w:tabs>
          <w:tab w:val="left" w:pos="755"/>
        </w:tabs>
        <w:spacing w:after="160" w:line="400" w:lineRule="exact"/>
        <w:ind w:firstLine="210" w:firstLineChars="100"/>
        <w:rPr>
          <w:rFonts w:hint="eastAsia"/>
          <w:color w:val="auto"/>
          <w:sz w:val="21"/>
          <w:szCs w:val="21"/>
          <w:lang w:val="en-US" w:eastAsia="zh-CN"/>
        </w:rPr>
      </w:pPr>
      <w:bookmarkStart w:id="17" w:name="_Toc14683"/>
      <w:r>
        <w:rPr>
          <w:rFonts w:hint="eastAsia"/>
          <w:color w:val="auto"/>
          <w:sz w:val="21"/>
          <w:szCs w:val="21"/>
          <w:lang w:val="en-US" w:eastAsia="zh-CN"/>
        </w:rPr>
        <w:t>1.采购人信息</w:t>
      </w:r>
      <w:bookmarkEnd w:id="17"/>
    </w:p>
    <w:p w14:paraId="5427C28F">
      <w:pPr>
        <w:pStyle w:val="37"/>
        <w:tabs>
          <w:tab w:val="left" w:pos="755"/>
        </w:tabs>
        <w:spacing w:after="160" w:line="400" w:lineRule="exact"/>
        <w:ind w:firstLine="210" w:firstLineChars="100"/>
        <w:rPr>
          <w:rFonts w:hint="eastAsia"/>
          <w:color w:val="auto"/>
          <w:sz w:val="21"/>
          <w:szCs w:val="21"/>
          <w:lang w:val="en-US" w:eastAsia="zh-CN"/>
        </w:rPr>
      </w:pPr>
      <w:r>
        <w:rPr>
          <w:rFonts w:hint="eastAsia"/>
          <w:color w:val="auto"/>
          <w:sz w:val="21"/>
          <w:szCs w:val="21"/>
          <w:lang w:val="en-US" w:eastAsia="zh-CN"/>
        </w:rPr>
        <w:t>名 称：凭祥市人民医院</w:t>
      </w:r>
    </w:p>
    <w:p w14:paraId="10A459E5">
      <w:pPr>
        <w:pStyle w:val="37"/>
        <w:tabs>
          <w:tab w:val="left" w:pos="755"/>
        </w:tabs>
        <w:spacing w:after="160" w:line="400" w:lineRule="exact"/>
        <w:ind w:firstLine="210" w:firstLineChars="100"/>
        <w:rPr>
          <w:rFonts w:hint="eastAsia"/>
          <w:color w:val="auto"/>
          <w:sz w:val="21"/>
          <w:szCs w:val="21"/>
          <w:lang w:val="en-US" w:eastAsia="zh-CN"/>
        </w:rPr>
      </w:pPr>
      <w:r>
        <w:rPr>
          <w:rFonts w:hint="eastAsia"/>
          <w:color w:val="auto"/>
          <w:sz w:val="21"/>
          <w:szCs w:val="21"/>
          <w:lang w:val="en-US" w:eastAsia="zh-CN"/>
        </w:rPr>
        <w:t>地址：凭祥市北大路61号</w:t>
      </w:r>
    </w:p>
    <w:p w14:paraId="0BACA813">
      <w:pPr>
        <w:pStyle w:val="37"/>
        <w:tabs>
          <w:tab w:val="left" w:pos="755"/>
        </w:tabs>
        <w:spacing w:after="160" w:line="400" w:lineRule="exact"/>
        <w:ind w:firstLine="210" w:firstLineChars="100"/>
        <w:rPr>
          <w:rFonts w:hint="default"/>
          <w:color w:val="auto"/>
          <w:sz w:val="21"/>
          <w:szCs w:val="21"/>
          <w:lang w:val="en-US" w:eastAsia="zh-CN"/>
        </w:rPr>
      </w:pPr>
      <w:r>
        <w:rPr>
          <w:rFonts w:hint="eastAsia"/>
          <w:color w:val="auto"/>
          <w:sz w:val="21"/>
          <w:szCs w:val="21"/>
          <w:lang w:val="en-US" w:eastAsia="zh-CN"/>
        </w:rPr>
        <w:t>项目联系人：吴科长</w:t>
      </w:r>
    </w:p>
    <w:p w14:paraId="7619692B">
      <w:pPr>
        <w:pStyle w:val="37"/>
        <w:tabs>
          <w:tab w:val="left" w:pos="755"/>
        </w:tabs>
        <w:spacing w:after="160" w:line="400" w:lineRule="exact"/>
        <w:ind w:firstLine="210" w:firstLineChars="100"/>
        <w:rPr>
          <w:color w:val="auto"/>
          <w:sz w:val="21"/>
          <w:szCs w:val="21"/>
          <w:lang w:val="en-US" w:eastAsia="zh-CN"/>
        </w:rPr>
      </w:pPr>
      <w:r>
        <w:rPr>
          <w:rFonts w:hint="eastAsia"/>
          <w:color w:val="auto"/>
          <w:sz w:val="21"/>
          <w:szCs w:val="21"/>
          <w:lang w:val="en-US" w:eastAsia="zh-CN"/>
        </w:rPr>
        <w:t>联系电话：0771-8530025</w:t>
      </w:r>
    </w:p>
    <w:p w14:paraId="07C52C33">
      <w:pPr>
        <w:pStyle w:val="37"/>
        <w:tabs>
          <w:tab w:val="left" w:pos="755"/>
        </w:tabs>
        <w:spacing w:after="160" w:line="400" w:lineRule="exact"/>
        <w:ind w:firstLine="0"/>
        <w:rPr>
          <w:color w:val="auto"/>
          <w:sz w:val="21"/>
          <w:szCs w:val="21"/>
        </w:rPr>
      </w:pPr>
      <w:r>
        <w:rPr>
          <w:rFonts w:hint="eastAsia"/>
          <w:color w:val="auto"/>
          <w:sz w:val="21"/>
          <w:szCs w:val="21"/>
          <w:lang w:val="en-US" w:eastAsia="zh-CN"/>
        </w:rPr>
        <w:t>2.</w:t>
      </w:r>
      <w:r>
        <w:rPr>
          <w:color w:val="auto"/>
          <w:sz w:val="21"/>
          <w:szCs w:val="21"/>
        </w:rPr>
        <w:t>采购代理机构信息</w:t>
      </w:r>
    </w:p>
    <w:p w14:paraId="2216E2D3">
      <w:pPr>
        <w:pStyle w:val="37"/>
        <w:spacing w:after="160" w:line="400" w:lineRule="exact"/>
        <w:ind w:firstLine="210" w:firstLineChars="100"/>
        <w:rPr>
          <w:sz w:val="21"/>
          <w:szCs w:val="21"/>
          <w:lang w:eastAsia="zh-CN"/>
        </w:rPr>
      </w:pPr>
      <w:r>
        <w:rPr>
          <w:sz w:val="21"/>
          <w:szCs w:val="21"/>
        </w:rPr>
        <w:t>名 称：</w:t>
      </w:r>
      <w:r>
        <w:rPr>
          <w:rFonts w:hint="eastAsia"/>
          <w:sz w:val="21"/>
          <w:szCs w:val="21"/>
          <w:lang w:eastAsia="zh-CN"/>
        </w:rPr>
        <w:t>广西坤珍建设项目管理咨询有限公司</w:t>
      </w:r>
    </w:p>
    <w:p w14:paraId="05C658E0">
      <w:pPr>
        <w:pStyle w:val="37"/>
        <w:spacing w:after="160" w:line="400" w:lineRule="exact"/>
        <w:ind w:firstLine="210" w:firstLineChars="100"/>
        <w:rPr>
          <w:sz w:val="21"/>
          <w:szCs w:val="21"/>
          <w:lang w:val="en-US" w:eastAsia="zh-CN"/>
        </w:rPr>
      </w:pPr>
      <w:r>
        <w:rPr>
          <w:sz w:val="21"/>
          <w:szCs w:val="21"/>
        </w:rPr>
        <w:t>地 址：</w:t>
      </w:r>
      <w:r>
        <w:rPr>
          <w:rFonts w:hint="eastAsia"/>
          <w:sz w:val="21"/>
          <w:szCs w:val="21"/>
          <w:lang w:eastAsia="zh-CN"/>
        </w:rPr>
        <w:t>崇左市友谊大道嘉苑小区</w:t>
      </w:r>
      <w:r>
        <w:rPr>
          <w:rFonts w:hint="eastAsia"/>
          <w:sz w:val="21"/>
          <w:szCs w:val="21"/>
          <w:lang w:val="en-US" w:eastAsia="zh-CN"/>
        </w:rPr>
        <w:t>G组团22号</w:t>
      </w:r>
    </w:p>
    <w:p w14:paraId="2F815A8A">
      <w:pPr>
        <w:pStyle w:val="37"/>
        <w:spacing w:after="160" w:line="400" w:lineRule="exact"/>
        <w:ind w:firstLine="210" w:firstLineChars="100"/>
        <w:rPr>
          <w:sz w:val="21"/>
          <w:szCs w:val="21"/>
          <w:lang w:eastAsia="zh-CN"/>
        </w:rPr>
      </w:pPr>
      <w:r>
        <w:rPr>
          <w:rFonts w:hint="eastAsia"/>
          <w:sz w:val="21"/>
          <w:szCs w:val="21"/>
          <w:lang w:eastAsia="zh-CN"/>
        </w:rPr>
        <w:t>联系人：黄工</w:t>
      </w:r>
    </w:p>
    <w:p w14:paraId="460399CA">
      <w:pPr>
        <w:pStyle w:val="37"/>
        <w:keepNext w:val="0"/>
        <w:keepLines w:val="0"/>
        <w:pageBreakBefore w:val="0"/>
        <w:widowControl w:val="0"/>
        <w:kinsoku/>
        <w:wordWrap/>
        <w:overflowPunct/>
        <w:topLinePunct w:val="0"/>
        <w:autoSpaceDE/>
        <w:autoSpaceDN/>
        <w:bidi w:val="0"/>
        <w:adjustRightInd/>
        <w:snapToGrid/>
        <w:spacing w:after="1120" w:line="360" w:lineRule="exact"/>
        <w:ind w:firstLine="210" w:firstLineChars="100"/>
        <w:textAlignment w:val="auto"/>
        <w:rPr>
          <w:rFonts w:hint="default"/>
          <w:sz w:val="21"/>
          <w:szCs w:val="21"/>
          <w:lang w:val="en-US" w:eastAsia="zh-CN"/>
        </w:rPr>
      </w:pPr>
      <w:r>
        <w:rPr>
          <w:sz w:val="21"/>
          <w:szCs w:val="21"/>
        </w:rPr>
        <w:t>联系方式：</w:t>
      </w:r>
      <w:r>
        <w:rPr>
          <w:rFonts w:hint="eastAsia"/>
          <w:sz w:val="21"/>
          <w:szCs w:val="21"/>
          <w:lang w:val="en-US" w:eastAsia="zh-CN"/>
        </w:rPr>
        <w:t>0771-7945829</w:t>
      </w:r>
    </w:p>
    <w:p w14:paraId="22B28E08">
      <w:pPr>
        <w:pStyle w:val="37"/>
        <w:keepNext w:val="0"/>
        <w:keepLines w:val="0"/>
        <w:pageBreakBefore w:val="0"/>
        <w:widowControl w:val="0"/>
        <w:kinsoku/>
        <w:wordWrap/>
        <w:overflowPunct/>
        <w:topLinePunct w:val="0"/>
        <w:autoSpaceDE/>
        <w:autoSpaceDN/>
        <w:bidi w:val="0"/>
        <w:adjustRightInd/>
        <w:snapToGrid/>
        <w:spacing w:after="1120" w:line="360" w:lineRule="exact"/>
        <w:ind w:firstLine="210" w:firstLineChars="100"/>
        <w:textAlignment w:val="auto"/>
        <w:rPr>
          <w:color w:val="0000FF"/>
          <w:sz w:val="21"/>
          <w:szCs w:val="21"/>
        </w:rPr>
      </w:pPr>
      <w:r>
        <w:rPr>
          <w:rFonts w:hint="eastAsia"/>
          <w:color w:val="0000FF"/>
          <w:sz w:val="21"/>
          <w:szCs w:val="21"/>
          <w:lang w:val="en-US" w:eastAsia="zh-CN"/>
        </w:rPr>
        <w:t xml:space="preserve">   </w:t>
      </w:r>
      <w:r>
        <w:rPr>
          <w:rFonts w:hint="eastAsia"/>
          <w:color w:val="auto"/>
          <w:sz w:val="21"/>
          <w:szCs w:val="21"/>
          <w:lang w:val="en-US" w:eastAsia="zh-CN"/>
        </w:rPr>
        <w:t xml:space="preserve">                                                    </w:t>
      </w:r>
      <w:r>
        <w:rPr>
          <w:color w:val="auto"/>
          <w:sz w:val="21"/>
          <w:szCs w:val="21"/>
        </w:rPr>
        <w:t>202</w:t>
      </w:r>
      <w:r>
        <w:rPr>
          <w:rFonts w:hint="eastAsia"/>
          <w:color w:val="auto"/>
          <w:sz w:val="21"/>
          <w:szCs w:val="21"/>
          <w:lang w:val="en-US" w:eastAsia="zh-CN"/>
        </w:rPr>
        <w:t>4</w:t>
      </w:r>
      <w:r>
        <w:rPr>
          <w:color w:val="auto"/>
          <w:sz w:val="21"/>
          <w:szCs w:val="21"/>
        </w:rPr>
        <w:t>年</w:t>
      </w:r>
      <w:r>
        <w:rPr>
          <w:rFonts w:hint="eastAsia"/>
          <w:color w:val="auto"/>
          <w:sz w:val="21"/>
          <w:szCs w:val="21"/>
          <w:lang w:val="en-US" w:eastAsia="zh-CN"/>
        </w:rPr>
        <w:t>12</w:t>
      </w:r>
      <w:r>
        <w:rPr>
          <w:color w:val="auto"/>
          <w:sz w:val="21"/>
          <w:szCs w:val="21"/>
        </w:rPr>
        <w:t>月</w:t>
      </w:r>
      <w:r>
        <w:rPr>
          <w:rFonts w:hint="eastAsia"/>
          <w:color w:val="auto"/>
          <w:sz w:val="21"/>
          <w:szCs w:val="21"/>
          <w:lang w:val="en-US" w:eastAsia="zh-CN"/>
        </w:rPr>
        <w:t>11</w:t>
      </w:r>
      <w:r>
        <w:rPr>
          <w:color w:val="auto"/>
          <w:sz w:val="21"/>
          <w:szCs w:val="21"/>
        </w:rPr>
        <w:t>日</w:t>
      </w:r>
    </w:p>
    <w:p w14:paraId="3BCB622F">
      <w:pPr>
        <w:tabs>
          <w:tab w:val="left" w:pos="5327"/>
        </w:tabs>
        <w:rPr>
          <w:rFonts w:eastAsia="宋体"/>
          <w:lang w:eastAsia="zh-CN"/>
        </w:rPr>
        <w:sectPr>
          <w:headerReference r:id="rId7" w:type="default"/>
          <w:footerReference r:id="rId8" w:type="default"/>
          <w:footerReference r:id="rId9" w:type="even"/>
          <w:pgSz w:w="11900" w:h="16840"/>
          <w:pgMar w:top="1185" w:right="1277" w:bottom="1175" w:left="1112" w:header="680" w:footer="1191" w:gutter="0"/>
          <w:pgNumType w:start="1"/>
          <w:cols w:space="720" w:num="1"/>
          <w:docGrid w:linePitch="360" w:charSpace="0"/>
        </w:sectPr>
      </w:pPr>
    </w:p>
    <w:p w14:paraId="0D7F4CBE">
      <w:pPr>
        <w:pStyle w:val="41"/>
        <w:keepNext/>
        <w:keepLines/>
        <w:ind w:firstLine="640" w:firstLineChars="200"/>
        <w:rPr>
          <w:sz w:val="32"/>
          <w:szCs w:val="32"/>
        </w:rPr>
      </w:pPr>
      <w:bookmarkStart w:id="18" w:name="bookmark36"/>
      <w:bookmarkStart w:id="19" w:name="bookmark35"/>
      <w:bookmarkStart w:id="20" w:name="bookmark34"/>
      <w:r>
        <w:rPr>
          <w:sz w:val="32"/>
          <w:szCs w:val="32"/>
        </w:rPr>
        <w:t>第二章采购需求</w:t>
      </w:r>
      <w:bookmarkEnd w:id="18"/>
      <w:bookmarkEnd w:id="19"/>
      <w:bookmarkEnd w:id="20"/>
    </w:p>
    <w:p w14:paraId="63E3734D">
      <w:pPr>
        <w:numPr>
          <w:ilvl w:val="0"/>
          <w:numId w:val="3"/>
        </w:numPr>
        <w:adjustRightInd w:val="0"/>
        <w:spacing w:line="360" w:lineRule="auto"/>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本项目所属行业为</w:t>
      </w:r>
      <w:r>
        <w:rPr>
          <w:rFonts w:hint="eastAsia" w:ascii="宋体" w:hAnsi="宋体" w:eastAsia="宋体" w:cs="宋体"/>
          <w:b/>
          <w:bCs/>
          <w:color w:val="auto"/>
          <w:highlight w:val="none"/>
          <w:u w:val="single"/>
        </w:rPr>
        <w:t>物业管理。</w:t>
      </w:r>
      <w:r>
        <w:rPr>
          <w:rFonts w:hint="eastAsia" w:ascii="宋体" w:hAnsi="宋体" w:eastAsia="宋体" w:cs="宋体"/>
          <w:b/>
          <w:bCs/>
          <w:color w:val="auto"/>
          <w:highlight w:val="none"/>
          <w:u w:val="none"/>
        </w:rPr>
        <w:t>（中小企业划分标准所属行业名称）。</w:t>
      </w:r>
    </w:p>
    <w:tbl>
      <w:tblPr>
        <w:tblStyle w:val="14"/>
        <w:tblpPr w:leftFromText="180" w:rightFromText="180" w:vertAnchor="text" w:horzAnchor="page" w:tblpX="355" w:tblpY="302"/>
        <w:tblOverlap w:val="never"/>
        <w:tblW w:w="10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8647"/>
      </w:tblGrid>
      <w:tr w14:paraId="08CF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67" w:type="dxa"/>
            <w:noWrap w:val="0"/>
            <w:vAlign w:val="top"/>
          </w:tcPr>
          <w:p w14:paraId="53885D8B">
            <w:pPr>
              <w:spacing w:line="276" w:lineRule="auto"/>
              <w:jc w:val="center"/>
              <w:rPr>
                <w:rFonts w:ascii="宋体" w:hAnsi="宋体"/>
                <w:color w:val="000000"/>
                <w:szCs w:val="21"/>
              </w:rPr>
            </w:pPr>
            <w:r>
              <w:rPr>
                <w:rFonts w:hint="eastAsia" w:ascii="宋体" w:hAnsi="宋体"/>
                <w:color w:val="000000"/>
                <w:szCs w:val="21"/>
              </w:rPr>
              <w:t>序号</w:t>
            </w:r>
          </w:p>
        </w:tc>
        <w:tc>
          <w:tcPr>
            <w:tcW w:w="1560" w:type="dxa"/>
            <w:noWrap w:val="0"/>
            <w:vAlign w:val="top"/>
          </w:tcPr>
          <w:p w14:paraId="2CCA14F1">
            <w:pPr>
              <w:spacing w:line="276" w:lineRule="auto"/>
              <w:jc w:val="center"/>
              <w:rPr>
                <w:rFonts w:ascii="宋体" w:hAnsi="宋体"/>
                <w:color w:val="000000"/>
                <w:szCs w:val="21"/>
              </w:rPr>
            </w:pPr>
            <w:r>
              <w:rPr>
                <w:rFonts w:hint="eastAsia" w:ascii="宋体" w:hAnsi="宋体"/>
                <w:color w:val="000000"/>
                <w:szCs w:val="21"/>
              </w:rPr>
              <w:t>项目名称</w:t>
            </w:r>
          </w:p>
        </w:tc>
        <w:tc>
          <w:tcPr>
            <w:tcW w:w="8647" w:type="dxa"/>
            <w:noWrap w:val="0"/>
            <w:vAlign w:val="top"/>
          </w:tcPr>
          <w:p w14:paraId="6FAE61AA">
            <w:pPr>
              <w:spacing w:line="276" w:lineRule="auto"/>
              <w:jc w:val="center"/>
              <w:rPr>
                <w:rFonts w:ascii="宋体" w:hAnsi="宋体"/>
                <w:color w:val="000000"/>
                <w:szCs w:val="21"/>
              </w:rPr>
            </w:pPr>
            <w:r>
              <w:rPr>
                <w:rFonts w:hint="eastAsia" w:ascii="宋体" w:hAnsi="宋体"/>
                <w:color w:val="000000"/>
                <w:szCs w:val="21"/>
              </w:rPr>
              <w:t>技术服务要求</w:t>
            </w:r>
          </w:p>
        </w:tc>
      </w:tr>
      <w:tr w14:paraId="0538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8" w:hRule="atLeast"/>
        </w:trPr>
        <w:tc>
          <w:tcPr>
            <w:tcW w:w="567" w:type="dxa"/>
            <w:noWrap w:val="0"/>
            <w:vAlign w:val="top"/>
          </w:tcPr>
          <w:p w14:paraId="10651C07">
            <w:pPr>
              <w:spacing w:line="276" w:lineRule="auto"/>
              <w:jc w:val="center"/>
              <w:rPr>
                <w:rFonts w:ascii="宋体" w:hAnsi="宋体"/>
                <w:color w:val="000000"/>
                <w:szCs w:val="21"/>
              </w:rPr>
            </w:pPr>
            <w:r>
              <w:rPr>
                <w:rFonts w:hint="eastAsia" w:ascii="宋体" w:hAnsi="宋体"/>
                <w:color w:val="000000"/>
                <w:szCs w:val="21"/>
              </w:rPr>
              <w:t>1</w:t>
            </w:r>
          </w:p>
        </w:tc>
        <w:tc>
          <w:tcPr>
            <w:tcW w:w="1560" w:type="dxa"/>
            <w:noWrap w:val="0"/>
            <w:vAlign w:val="top"/>
          </w:tcPr>
          <w:p w14:paraId="6A5C4D2E">
            <w:pPr>
              <w:pStyle w:val="7"/>
              <w:spacing w:line="380" w:lineRule="exact"/>
              <w:rPr>
                <w:rFonts w:hAnsi="宋体"/>
                <w:bCs/>
              </w:rPr>
            </w:pPr>
            <w:r>
              <w:rPr>
                <w:rFonts w:hint="eastAsia" w:hAnsi="宋体"/>
                <w:bCs/>
              </w:rPr>
              <w:t>物业管理服务</w:t>
            </w:r>
          </w:p>
        </w:tc>
        <w:tc>
          <w:tcPr>
            <w:tcW w:w="8647" w:type="dxa"/>
            <w:noWrap w:val="0"/>
            <w:vAlign w:val="top"/>
          </w:tcPr>
          <w:p w14:paraId="085187BE">
            <w:pPr>
              <w:pStyle w:val="7"/>
              <w:spacing w:line="380" w:lineRule="exact"/>
              <w:rPr>
                <w:rFonts w:hAnsi="宋体"/>
                <w:b/>
              </w:rPr>
            </w:pPr>
            <w:r>
              <w:rPr>
                <w:rFonts w:hint="eastAsia" w:hAnsi="宋体"/>
                <w:b/>
              </w:rPr>
              <w:t>一、项目基本概况</w:t>
            </w:r>
          </w:p>
          <w:p w14:paraId="09D5F2DC">
            <w:pPr>
              <w:pStyle w:val="7"/>
              <w:spacing w:line="380" w:lineRule="exact"/>
              <w:rPr>
                <w:rFonts w:hAnsi="宋体"/>
                <w:bCs/>
              </w:rPr>
            </w:pPr>
            <w:r>
              <w:rPr>
                <w:rFonts w:hint="eastAsia" w:hAnsi="宋体"/>
                <w:bCs/>
              </w:rPr>
              <w:t>1、采购人：凭祥市人民医院。</w:t>
            </w:r>
          </w:p>
          <w:p w14:paraId="6B63A40F">
            <w:pPr>
              <w:pStyle w:val="7"/>
              <w:spacing w:line="380" w:lineRule="exact"/>
              <w:rPr>
                <w:rFonts w:hAnsi="宋体"/>
                <w:bCs/>
              </w:rPr>
            </w:pPr>
            <w:r>
              <w:rPr>
                <w:rFonts w:hint="eastAsia" w:hAnsi="宋体"/>
                <w:bCs/>
              </w:rPr>
              <w:t>2、物业名称：凭祥市人民医院物业管理服务采购。</w:t>
            </w:r>
          </w:p>
          <w:p w14:paraId="0026AE6C">
            <w:pPr>
              <w:pStyle w:val="7"/>
              <w:spacing w:line="380" w:lineRule="exact"/>
              <w:rPr>
                <w:rFonts w:hAnsi="宋体"/>
                <w:bCs/>
              </w:rPr>
            </w:pPr>
            <w:r>
              <w:rPr>
                <w:rFonts w:hint="eastAsia" w:hAnsi="宋体"/>
                <w:bCs/>
              </w:rPr>
              <w:t>3、采购内容：凭祥市人民医院保洁、安保、消防、绿化养护、洗涤、污水管理运行服务。</w:t>
            </w:r>
          </w:p>
          <w:p w14:paraId="01C393AF">
            <w:pPr>
              <w:pStyle w:val="7"/>
              <w:spacing w:line="380" w:lineRule="exact"/>
              <w:rPr>
                <w:rFonts w:hint="eastAsia" w:hAnsi="宋体"/>
                <w:bCs/>
              </w:rPr>
            </w:pPr>
            <w:r>
              <w:rPr>
                <w:rFonts w:hint="eastAsia" w:hAnsi="宋体"/>
                <w:bCs/>
              </w:rPr>
              <w:t>4、物业概况：凭祥市人民医院占地面积31136㎡，业务服务总面积为26344.5㎡。其中业务用房建筑面积14334.5㎡，内科楼总占地面积12010㎡，内科楼1-9层占地面积9559㎡、地下室占地面积2451㎡。</w:t>
            </w:r>
          </w:p>
          <w:p w14:paraId="3CB61018">
            <w:pPr>
              <w:rPr>
                <w:rFonts w:ascii="宋体" w:hAnsi="宋体" w:eastAsia="宋体"/>
                <w:bCs/>
                <w:sz w:val="21"/>
                <w:szCs w:val="21"/>
              </w:rPr>
            </w:pPr>
            <w:r>
              <w:rPr>
                <w:rFonts w:hint="eastAsia" w:ascii="宋体" w:hAnsi="宋体" w:eastAsia="宋体"/>
                <w:sz w:val="21"/>
                <w:szCs w:val="21"/>
              </w:rPr>
              <w:t>5、应急救治中心一期,</w:t>
            </w:r>
            <w:r>
              <w:rPr>
                <w:rFonts w:hint="eastAsia" w:hAnsi="宋体"/>
                <w:bCs/>
              </w:rPr>
              <w:t xml:space="preserve"> </w:t>
            </w:r>
            <w:r>
              <w:rPr>
                <w:rFonts w:hint="eastAsia" w:ascii="宋体" w:hAnsi="宋体" w:eastAsia="宋体"/>
                <w:bCs/>
                <w:sz w:val="21"/>
                <w:szCs w:val="21"/>
              </w:rPr>
              <w:t>占地面积22907.78㎡，建筑面积17499.59㎡.</w:t>
            </w:r>
          </w:p>
          <w:p w14:paraId="291EEE39">
            <w:pPr>
              <w:rPr>
                <w:rFonts w:ascii="宋体" w:hAnsi="宋体" w:eastAsia="宋体"/>
                <w:sz w:val="21"/>
                <w:szCs w:val="21"/>
              </w:rPr>
            </w:pPr>
            <w:r>
              <w:rPr>
                <w:rFonts w:hint="eastAsia" w:hAnsi="宋体"/>
                <w:b/>
              </w:rPr>
              <w:t>二、医疗区保洁服务</w:t>
            </w:r>
          </w:p>
          <w:p w14:paraId="0E2B1FFA">
            <w:pPr>
              <w:pStyle w:val="7"/>
              <w:spacing w:line="380" w:lineRule="exact"/>
              <w:rPr>
                <w:rFonts w:hAnsi="宋体"/>
                <w:bCs/>
              </w:rPr>
            </w:pPr>
            <w:r>
              <w:rPr>
                <w:rFonts w:hint="eastAsia" w:hAnsi="宋体"/>
                <w:bCs/>
              </w:rPr>
              <w:t>1、保洁服务范围</w:t>
            </w:r>
          </w:p>
          <w:p w14:paraId="6BBF1F57">
            <w:pPr>
              <w:pStyle w:val="7"/>
              <w:spacing w:line="380" w:lineRule="exact"/>
              <w:rPr>
                <w:rFonts w:hAnsi="宋体"/>
                <w:bCs/>
              </w:rPr>
            </w:pPr>
            <w:r>
              <w:rPr>
                <w:rFonts w:hint="eastAsia" w:hAnsi="宋体"/>
                <w:bCs/>
              </w:rPr>
              <w:t>1.1  综合门诊大楼1—6楼（包括楼顶及天面）。</w:t>
            </w:r>
          </w:p>
          <w:p w14:paraId="64C2D787">
            <w:pPr>
              <w:pStyle w:val="7"/>
              <w:spacing w:line="380" w:lineRule="exact"/>
              <w:rPr>
                <w:rFonts w:hAnsi="宋体"/>
                <w:bCs/>
              </w:rPr>
            </w:pPr>
            <w:r>
              <w:rPr>
                <w:rFonts w:hint="eastAsia" w:hAnsi="宋体"/>
                <w:bCs/>
              </w:rPr>
              <w:t>1.2  外科住院大楼1-6楼（包括楼顶及天面）。</w:t>
            </w:r>
          </w:p>
          <w:p w14:paraId="6CA9FC55">
            <w:pPr>
              <w:pStyle w:val="7"/>
              <w:spacing w:line="380" w:lineRule="exact"/>
              <w:rPr>
                <w:rFonts w:hAnsi="宋体"/>
                <w:bCs/>
              </w:rPr>
            </w:pPr>
            <w:r>
              <w:rPr>
                <w:rFonts w:hint="eastAsia" w:hAnsi="宋体"/>
                <w:bCs/>
              </w:rPr>
              <w:t>1.3  医疗废物暂存间、门诊附属楼。</w:t>
            </w:r>
          </w:p>
          <w:p w14:paraId="1B743C09">
            <w:pPr>
              <w:pStyle w:val="7"/>
              <w:spacing w:line="380" w:lineRule="exact"/>
              <w:rPr>
                <w:rFonts w:hAnsi="宋体"/>
                <w:bCs/>
              </w:rPr>
            </w:pPr>
            <w:r>
              <w:rPr>
                <w:rFonts w:hint="eastAsia" w:hAnsi="宋体"/>
                <w:bCs/>
              </w:rPr>
              <w:t>1.4  一个停车棚及医院内环境。</w:t>
            </w:r>
          </w:p>
          <w:p w14:paraId="14354182">
            <w:pPr>
              <w:pStyle w:val="7"/>
              <w:spacing w:line="380" w:lineRule="exact"/>
              <w:rPr>
                <w:rFonts w:hAnsi="宋体"/>
                <w:bCs/>
              </w:rPr>
            </w:pPr>
            <w:r>
              <w:rPr>
                <w:rFonts w:hint="eastAsia" w:hAnsi="宋体"/>
                <w:bCs/>
              </w:rPr>
              <w:t>1.5  宿舍区：球场、单身职工宿舍、营养食堂。</w:t>
            </w:r>
          </w:p>
          <w:p w14:paraId="03E8A7BC">
            <w:pPr>
              <w:pStyle w:val="7"/>
              <w:spacing w:line="380" w:lineRule="exact"/>
              <w:rPr>
                <w:rFonts w:hAnsi="宋体"/>
                <w:bCs/>
              </w:rPr>
            </w:pPr>
            <w:r>
              <w:rPr>
                <w:rFonts w:hint="eastAsia" w:hAnsi="宋体"/>
                <w:bCs/>
              </w:rPr>
              <w:t>1.6  洗衣房（之前办公区）。</w:t>
            </w:r>
          </w:p>
          <w:p w14:paraId="55257B1A">
            <w:pPr>
              <w:pStyle w:val="7"/>
              <w:spacing w:line="380" w:lineRule="exact"/>
              <w:rPr>
                <w:rFonts w:hAnsi="宋体"/>
                <w:bCs/>
              </w:rPr>
            </w:pPr>
            <w:r>
              <w:rPr>
                <w:rFonts w:hint="eastAsia" w:hAnsi="宋体"/>
                <w:bCs/>
              </w:rPr>
              <w:t>1.7  警务室。</w:t>
            </w:r>
          </w:p>
          <w:p w14:paraId="16F4A70A">
            <w:pPr>
              <w:pStyle w:val="7"/>
              <w:spacing w:line="380" w:lineRule="exact"/>
              <w:rPr>
                <w:rFonts w:hAnsi="宋体"/>
                <w:bCs/>
              </w:rPr>
            </w:pPr>
            <w:r>
              <w:rPr>
                <w:rFonts w:hint="eastAsia" w:hAnsi="宋体"/>
                <w:bCs/>
              </w:rPr>
              <w:t>1.8 普通发热门诊、特殊发热门诊，门诊大楼附属楼。</w:t>
            </w:r>
          </w:p>
          <w:p w14:paraId="285B1618">
            <w:pPr>
              <w:pStyle w:val="7"/>
              <w:spacing w:line="380" w:lineRule="exact"/>
              <w:rPr>
                <w:rFonts w:hAnsi="宋体"/>
                <w:bCs/>
              </w:rPr>
            </w:pPr>
            <w:r>
              <w:rPr>
                <w:rFonts w:hint="eastAsia" w:hAnsi="宋体"/>
                <w:bCs/>
              </w:rPr>
              <w:t>1.9  内科1-9楼及地下室（包括楼顶及天面）。</w:t>
            </w:r>
          </w:p>
          <w:p w14:paraId="186BD0D7">
            <w:pPr>
              <w:pStyle w:val="7"/>
              <w:spacing w:line="380" w:lineRule="exact"/>
              <w:rPr>
                <w:rFonts w:hint="eastAsia" w:hAnsi="宋体"/>
                <w:bCs/>
              </w:rPr>
            </w:pPr>
            <w:r>
              <w:rPr>
                <w:rFonts w:hint="eastAsia" w:hAnsi="宋体"/>
                <w:bCs/>
              </w:rPr>
              <w:t>1.10  其他：整个医疗区建筑外所有场地，包括道路、停车场、公共场地、草坪、内外排水沟、楼道。各楼层外墙，院内公共卫生间和各卫生死角以及院内楼顶天面及院内搬运物资，科室物资领取、灯笼工作。</w:t>
            </w:r>
          </w:p>
          <w:p w14:paraId="57F2D2BB">
            <w:pPr>
              <w:pStyle w:val="7"/>
              <w:spacing w:line="380" w:lineRule="exact"/>
              <w:rPr>
                <w:rFonts w:hAnsi="宋体"/>
                <w:bCs/>
              </w:rPr>
            </w:pPr>
            <w:r>
              <w:rPr>
                <w:rFonts w:hint="eastAsia"/>
              </w:rPr>
              <w:t>1.11 应急救治中心一期（1-2楼常规保洁，应急中心3-6楼、后勤楼基础保洁）</w:t>
            </w:r>
          </w:p>
          <w:p w14:paraId="3D31FDC4">
            <w:pPr>
              <w:pStyle w:val="7"/>
              <w:spacing w:line="380" w:lineRule="exact"/>
              <w:rPr>
                <w:rFonts w:hAnsi="宋体"/>
                <w:bCs/>
              </w:rPr>
            </w:pPr>
            <w:r>
              <w:rPr>
                <w:rFonts w:hint="eastAsia" w:hAnsi="宋体"/>
                <w:bCs/>
              </w:rPr>
              <w:t xml:space="preserve">2、服务事项的内容及要求：  </w:t>
            </w:r>
          </w:p>
          <w:p w14:paraId="2B76C44C">
            <w:pPr>
              <w:pStyle w:val="7"/>
              <w:spacing w:line="380" w:lineRule="exact"/>
              <w:rPr>
                <w:rFonts w:hAnsi="宋体"/>
                <w:bCs/>
              </w:rPr>
            </w:pPr>
            <w:r>
              <w:rPr>
                <w:rFonts w:hint="eastAsia" w:hAnsi="宋体"/>
                <w:bCs/>
              </w:rPr>
              <w:t>2.1行政办公区</w:t>
            </w:r>
          </w:p>
          <w:p w14:paraId="692A0A55">
            <w:pPr>
              <w:pStyle w:val="7"/>
              <w:spacing w:line="380" w:lineRule="exact"/>
              <w:rPr>
                <w:rFonts w:hAnsi="宋体"/>
                <w:bCs/>
              </w:rPr>
            </w:pPr>
            <w:r>
              <w:rPr>
                <w:rFonts w:hint="eastAsia" w:hAnsi="宋体"/>
                <w:bCs/>
              </w:rPr>
              <w:t>2.1.1  办公室内办公桌、电脑桌、电脑、电话、打印机、复印件、书柜、档案柜、茶几、椅子、沙发等物体表面及地面每天用专用毛巾湿擦1次，作业标准要求无污渍、无灰尘，各办公设施完好无损、垃圾桶干净无污；垃圾及时清倒，屋顶及墙面无蜘蛛网。</w:t>
            </w:r>
          </w:p>
          <w:p w14:paraId="57A3B2DA">
            <w:pPr>
              <w:pStyle w:val="7"/>
              <w:spacing w:line="380" w:lineRule="exact"/>
              <w:rPr>
                <w:rFonts w:hAnsi="宋体"/>
                <w:bCs/>
              </w:rPr>
            </w:pPr>
            <w:r>
              <w:rPr>
                <w:rFonts w:hint="eastAsia" w:hAnsi="宋体"/>
                <w:bCs/>
              </w:rPr>
              <w:t>2.1.2  卫生间：作业标准要求无臭味、无污渍。玻璃镜面保持光亮、无水点、水渍；台面、洗手盆、水龙头、抽风机、要求无污物、无水迹、无杂物、白洁光亮；瓷砖墙面、隔断板、隔断门要保证无污迹、无尘土、无纸末。</w:t>
            </w:r>
          </w:p>
          <w:p w14:paraId="2C382E42">
            <w:pPr>
              <w:pStyle w:val="7"/>
              <w:spacing w:line="380" w:lineRule="exact"/>
              <w:rPr>
                <w:rFonts w:hAnsi="宋体"/>
                <w:bCs/>
              </w:rPr>
            </w:pPr>
            <w:r>
              <w:rPr>
                <w:rFonts w:hint="eastAsia" w:hAnsi="宋体"/>
                <w:bCs/>
              </w:rPr>
              <w:t>2.1.3  楼梯、扶手每天用毛巾湿擦1次，走廊过道每天清扫一次、干净无灰尘，走廊顶及墙面无蜘蛛网。</w:t>
            </w:r>
          </w:p>
          <w:p w14:paraId="437C48B6">
            <w:pPr>
              <w:pStyle w:val="7"/>
              <w:spacing w:line="380" w:lineRule="exact"/>
              <w:rPr>
                <w:rFonts w:hAnsi="宋体"/>
                <w:bCs/>
              </w:rPr>
            </w:pPr>
            <w:r>
              <w:rPr>
                <w:rFonts w:hint="eastAsia" w:hAnsi="宋体"/>
                <w:bCs/>
              </w:rPr>
              <w:t>2.1.4  会议室：会议前后打扫干净，地面每天湿拖一次，无污渍；桌椅物体表面每次开会前用专用毛巾擦拭一次，光亮无污渍、灰尘；玻璃双面及窗台光亮，无水印、无污渍。</w:t>
            </w:r>
          </w:p>
          <w:p w14:paraId="72B87B65">
            <w:pPr>
              <w:pStyle w:val="7"/>
              <w:spacing w:line="380" w:lineRule="exact"/>
              <w:jc w:val="left"/>
              <w:rPr>
                <w:rFonts w:hAnsi="宋体"/>
                <w:bCs/>
              </w:rPr>
            </w:pPr>
            <w:r>
              <w:rPr>
                <w:rFonts w:hint="eastAsia" w:hAnsi="宋体"/>
                <w:bCs/>
              </w:rPr>
              <w:t>2.2病区　　　　　　　　　　　　　　　　　　　　　　　　　　　　　　　　</w:t>
            </w:r>
          </w:p>
          <w:p w14:paraId="081EBE5E">
            <w:pPr>
              <w:pStyle w:val="7"/>
              <w:spacing w:line="380" w:lineRule="exact"/>
              <w:jc w:val="left"/>
              <w:rPr>
                <w:rFonts w:hAnsi="宋体"/>
                <w:bCs/>
              </w:rPr>
            </w:pPr>
            <w:r>
              <w:rPr>
                <w:rFonts w:hint="eastAsia" w:hAnsi="宋体"/>
                <w:bCs/>
              </w:rPr>
              <w:t>2.2.1  各层楼梯、扶手每天用毛巾湿擦1次，走廊过道每天清扫二次、干净无灰尘，走廊顶及墙面无蜘蛛网。</w:t>
            </w:r>
          </w:p>
          <w:p w14:paraId="47EFB9D3">
            <w:pPr>
              <w:pStyle w:val="7"/>
              <w:spacing w:line="380" w:lineRule="exact"/>
              <w:rPr>
                <w:rFonts w:hAnsi="宋体"/>
                <w:bCs/>
              </w:rPr>
            </w:pPr>
            <w:r>
              <w:rPr>
                <w:rFonts w:hint="eastAsia" w:hAnsi="宋体"/>
                <w:bCs/>
              </w:rPr>
              <w:t>2.2.2  医护办公室、护士站：作业标准要求无污渍、无灰尘。各办公设施完好无损；桌面干净无污渍、无尘土、电脑、电话无污迹；文件柜干净无尘；垃圾筒干净无污；垃圾及时清倒；垃圾袋及时更换。</w:t>
            </w:r>
          </w:p>
          <w:p w14:paraId="29590F34">
            <w:pPr>
              <w:pStyle w:val="7"/>
              <w:spacing w:line="380" w:lineRule="exact"/>
              <w:rPr>
                <w:rFonts w:hAnsi="宋体"/>
                <w:bCs/>
              </w:rPr>
            </w:pPr>
            <w:r>
              <w:rPr>
                <w:rFonts w:hint="eastAsia" w:hAnsi="宋体"/>
                <w:bCs/>
              </w:rPr>
              <w:t>2.2.3  更衣室：地面光亮无尘；柜台、柜顶无污渍、无灰尘。</w:t>
            </w:r>
          </w:p>
          <w:p w14:paraId="2C92D648">
            <w:pPr>
              <w:pStyle w:val="7"/>
              <w:spacing w:line="380" w:lineRule="exact"/>
              <w:rPr>
                <w:rFonts w:hAnsi="宋体"/>
                <w:bCs/>
              </w:rPr>
            </w:pPr>
            <w:r>
              <w:rPr>
                <w:rFonts w:hint="eastAsia" w:hAnsi="宋体"/>
                <w:bCs/>
              </w:rPr>
              <w:t>2.2.4  治疗室、换药室：房门及纱门无污渍；玻璃窗双面及窗台无手印、无污渍；窗帘无污渍、无灰尘，每季度拆洗一次，随脏随拆洗；地板表面光亮，无污渍、无灰尘；天花板及照明设备表面光亮、无污渍；诊疗床、病人座椅无污渍、无灰尘；墙壁、踢脚板（包括空调出风口）无手印、无污渍；仪器设备、治疗台、处置台无污渍、无灰尘；洗手台无手印、无污渍；利器盒每达到2/3时更换，做到日产日清。</w:t>
            </w:r>
          </w:p>
          <w:p w14:paraId="2B78B023">
            <w:pPr>
              <w:pStyle w:val="7"/>
              <w:spacing w:line="380" w:lineRule="exact"/>
              <w:rPr>
                <w:rFonts w:hAnsi="宋体"/>
                <w:bCs/>
              </w:rPr>
            </w:pPr>
            <w:r>
              <w:rPr>
                <w:rFonts w:hint="eastAsia" w:hAnsi="宋体"/>
                <w:bCs/>
              </w:rPr>
              <w:t>2.2.5  病房、抢救室：房门、纱门、把手、病床、设备带、宣传盒、仪器、电视机、摇控器、开水壶、床头牌等无污渍、无灰尘；玻璃窗双面及窗口无手印、无污渍；窗帘隔帘无污渍、无灰尘，每季度清洗一次，随脏随拆洗；天花板及照明设备表面光亮无污渍；床头柜、桌子及供氧装置无垃圾、杂物、无污渍、无灰尘；病床上下无灰尘、无污渍；地面干燥，无水渍、垃圾、杂物，要求一柜一巾、一床一巾；墙壁（包括踢脚板、空调出风口）无手印、无污渍；阳台、窗台无灰尘、虫网、杂物；垃圾及时清倒，垃圾框每天清洁一次；卫生间、洗手台无臭味、无手印、无污渍；终末消毒（包括出院、死亡）符合院内感染控制要求。</w:t>
            </w:r>
          </w:p>
          <w:p w14:paraId="0961A4E3">
            <w:pPr>
              <w:pStyle w:val="7"/>
              <w:spacing w:line="380" w:lineRule="exact"/>
              <w:rPr>
                <w:rFonts w:hAnsi="宋体"/>
                <w:bCs/>
              </w:rPr>
            </w:pPr>
            <w:r>
              <w:rPr>
                <w:rFonts w:hint="eastAsia" w:hAnsi="宋体"/>
                <w:bCs/>
              </w:rPr>
              <w:t>2.2.6  医生及护士值班室：地板、门窗、床无污渍灰尘；卫生间无臭味、无污渍。</w:t>
            </w:r>
          </w:p>
          <w:p w14:paraId="0BD17199">
            <w:pPr>
              <w:pStyle w:val="7"/>
              <w:spacing w:line="380" w:lineRule="exact"/>
              <w:rPr>
                <w:rFonts w:hAnsi="宋体"/>
                <w:bCs/>
              </w:rPr>
            </w:pPr>
            <w:r>
              <w:rPr>
                <w:rFonts w:hint="eastAsia" w:hAnsi="宋体"/>
                <w:bCs/>
              </w:rPr>
              <w:t>2.2.7  大厅：天花板及照明设备表面光亮无污渍；地面光亮无尘；玻璃门窗光亮、无手印、无污渍；广告、指示牌及开关无手印、无污渍、值班台光亮、无边角干净无杂物无污渍、无尘土，地板光亮；通道扶栏、扶手无手印、无污渍、光亮；广告指示牌及开关无手印、无污渍；玻璃门无手印、无污渍、光亮；走廊内手印、无污渍。</w:t>
            </w:r>
          </w:p>
          <w:p w14:paraId="74CD97F2">
            <w:pPr>
              <w:pStyle w:val="7"/>
              <w:spacing w:line="380" w:lineRule="exact"/>
              <w:rPr>
                <w:rFonts w:hAnsi="宋体"/>
                <w:bCs/>
              </w:rPr>
            </w:pPr>
            <w:r>
              <w:rPr>
                <w:rFonts w:hint="eastAsia" w:hAnsi="宋体"/>
                <w:bCs/>
              </w:rPr>
              <w:t>2.2.8  走廊通道：天花板、灯罩、墙裙边、排风口清洁干净，无尘、无污、无网状物；墙壁及地脚线无尘土、无手印、无污渍；墙面悬挂物干净、无尘土；地面及摆放物品、文件柜、花盆等物体干净、无尘土，花盆通体干净，盆内无杂物。</w:t>
            </w:r>
          </w:p>
          <w:p w14:paraId="14CFE915">
            <w:pPr>
              <w:pStyle w:val="7"/>
              <w:spacing w:line="380" w:lineRule="exact"/>
              <w:rPr>
                <w:rFonts w:hAnsi="宋体"/>
                <w:bCs/>
              </w:rPr>
            </w:pPr>
            <w:r>
              <w:rPr>
                <w:rFonts w:hint="eastAsia" w:hAnsi="宋体"/>
                <w:bCs/>
              </w:rPr>
              <w:t xml:space="preserve">2.2.9  步行楼梯：步梯无杂物；楼梯扶手、玻璃双面、墙壁、不锈钢栏无手印和污渍。 </w:t>
            </w:r>
          </w:p>
          <w:p w14:paraId="77EB594E">
            <w:pPr>
              <w:pStyle w:val="7"/>
              <w:spacing w:line="380" w:lineRule="exact"/>
              <w:rPr>
                <w:rFonts w:hAnsi="宋体"/>
                <w:bCs/>
              </w:rPr>
            </w:pPr>
            <w:r>
              <w:rPr>
                <w:rFonts w:hint="eastAsia" w:hAnsi="宋体"/>
                <w:bCs/>
              </w:rPr>
              <w:t>2.2.10  地板保养： PVC地板正常情况下每半年打蜡一次，蜡面受损时及时打蜡、补蜡；大堂花岗岩地板每月抛光一次，每半年打蜡一次，打蜡费用另计，每平方米为7元。</w:t>
            </w:r>
          </w:p>
          <w:p w14:paraId="3A13491C">
            <w:pPr>
              <w:pStyle w:val="7"/>
              <w:spacing w:line="380" w:lineRule="exact"/>
              <w:rPr>
                <w:rFonts w:hAnsi="宋体"/>
                <w:bCs/>
              </w:rPr>
            </w:pPr>
            <w:r>
              <w:rPr>
                <w:rFonts w:hint="eastAsia" w:hAnsi="宋体"/>
                <w:bCs/>
              </w:rPr>
              <w:t>2.3供应室</w:t>
            </w:r>
          </w:p>
          <w:p w14:paraId="29BBBFE4">
            <w:pPr>
              <w:pStyle w:val="7"/>
              <w:spacing w:line="380" w:lineRule="exact"/>
              <w:rPr>
                <w:rFonts w:hAnsi="宋体"/>
                <w:bCs/>
              </w:rPr>
            </w:pPr>
            <w:r>
              <w:rPr>
                <w:rFonts w:hint="eastAsia" w:hAnsi="宋体"/>
                <w:bCs/>
              </w:rPr>
              <w:t>房门及纱门无污渍；玻璃窗双面及窗口无手印、无污渍，窗帘每季度拆洗一次；地面光亮、无灰尘；天花板及照明设备表面光亮、无污渍；墙壁（包括踢脚板、空调出风口）无手印、无污渍；仪器、洗手台、无手印、无污渍；下送车、拖鞋及鞋框无污渍、无灰尘；紫外线灯每周擦拭一次。</w:t>
            </w:r>
          </w:p>
          <w:p w14:paraId="5179BEBC">
            <w:pPr>
              <w:pStyle w:val="7"/>
              <w:spacing w:line="380" w:lineRule="exact"/>
              <w:rPr>
                <w:rFonts w:hAnsi="宋体"/>
                <w:bCs/>
              </w:rPr>
            </w:pPr>
            <w:r>
              <w:rPr>
                <w:rFonts w:hint="eastAsia" w:hAnsi="宋体"/>
                <w:bCs/>
              </w:rPr>
              <w:t>2.4手术室</w:t>
            </w:r>
          </w:p>
          <w:p w14:paraId="35E56F5E">
            <w:pPr>
              <w:pStyle w:val="7"/>
              <w:spacing w:line="380" w:lineRule="exact"/>
              <w:rPr>
                <w:rFonts w:hAnsi="宋体"/>
                <w:bCs/>
              </w:rPr>
            </w:pPr>
            <w:r>
              <w:rPr>
                <w:rFonts w:hint="eastAsia" w:hAnsi="宋体"/>
                <w:bCs/>
              </w:rPr>
              <w:t>2.4.1  地板：拖把严格分区专用。（1）非限制区（污染区）：办公室、会议室、值班室、更衣室、更鞋室；（2）半非限制区（清洁区）：器械室、敷料室、洗涤室、手术间外走廊；（3）限制区（无菌区）手术间、洗手间、无菌贮物间、手术间内走廊。三个区域地面每天用500mg/L含氯消毒液湿拖地板两次，手术完毕后及时清理、消毒，无血迹等污渍、无灰尘。</w:t>
            </w:r>
          </w:p>
          <w:p w14:paraId="023C3CDD">
            <w:pPr>
              <w:pStyle w:val="7"/>
              <w:spacing w:line="380" w:lineRule="exact"/>
              <w:rPr>
                <w:rFonts w:hAnsi="宋体"/>
                <w:bCs/>
              </w:rPr>
            </w:pPr>
            <w:r>
              <w:rPr>
                <w:rFonts w:hint="eastAsia" w:hAnsi="宋体"/>
                <w:bCs/>
              </w:rPr>
              <w:t>2.4.2  设备、设施、台面及桌椅：物体表面每天用500mg/L含氯消毒液一次，光亮无污渍、无灰尘。</w:t>
            </w:r>
          </w:p>
          <w:p w14:paraId="43FF29DF">
            <w:pPr>
              <w:pStyle w:val="7"/>
              <w:spacing w:line="380" w:lineRule="exact"/>
              <w:rPr>
                <w:rFonts w:hAnsi="宋体"/>
                <w:bCs/>
              </w:rPr>
            </w:pPr>
            <w:r>
              <w:rPr>
                <w:rFonts w:hint="eastAsia" w:hAnsi="宋体"/>
                <w:bCs/>
              </w:rPr>
              <w:t>2.4.3  玻璃窗双面及窗台：每天用专用工具湿擦两次，无污渍、无灰尘。</w:t>
            </w:r>
          </w:p>
          <w:p w14:paraId="4F0D2D1C">
            <w:pPr>
              <w:pStyle w:val="7"/>
              <w:spacing w:line="380" w:lineRule="exact"/>
              <w:rPr>
                <w:rFonts w:hAnsi="宋体"/>
                <w:bCs/>
              </w:rPr>
            </w:pPr>
            <w:r>
              <w:rPr>
                <w:rFonts w:hint="eastAsia" w:hAnsi="宋体"/>
                <w:bCs/>
              </w:rPr>
              <w:t>2.4.4  墙壁（包括踢脚板、空调出风口）：无污渍、无灰尘。</w:t>
            </w:r>
          </w:p>
          <w:p w14:paraId="236E2F4E">
            <w:pPr>
              <w:pStyle w:val="7"/>
              <w:spacing w:line="380" w:lineRule="exact"/>
              <w:rPr>
                <w:rFonts w:hAnsi="宋体"/>
                <w:bCs/>
              </w:rPr>
            </w:pPr>
            <w:r>
              <w:rPr>
                <w:rFonts w:hint="eastAsia" w:hAnsi="宋体"/>
                <w:bCs/>
              </w:rPr>
              <w:t>2.4.5  工作鞋：每天清洗消毒一次，随脏随清洗消毒。</w:t>
            </w:r>
          </w:p>
          <w:p w14:paraId="5BB153F0">
            <w:pPr>
              <w:pStyle w:val="7"/>
              <w:spacing w:line="380" w:lineRule="exact"/>
              <w:rPr>
                <w:rFonts w:hAnsi="宋体"/>
                <w:bCs/>
              </w:rPr>
            </w:pPr>
            <w:r>
              <w:rPr>
                <w:rFonts w:hint="eastAsia" w:hAnsi="宋体"/>
                <w:bCs/>
              </w:rPr>
              <w:t>2.5门诊部</w:t>
            </w:r>
          </w:p>
          <w:p w14:paraId="25B5876A">
            <w:pPr>
              <w:pStyle w:val="7"/>
              <w:spacing w:line="380" w:lineRule="exact"/>
              <w:rPr>
                <w:rFonts w:hAnsi="宋体"/>
                <w:bCs/>
              </w:rPr>
            </w:pPr>
            <w:r>
              <w:rPr>
                <w:rFonts w:hint="eastAsia" w:hAnsi="宋体"/>
                <w:bCs/>
              </w:rPr>
              <w:t>2.5.1  抢救室、输液室、观察室：仪器表面每周用专用毛巾湿擦一次，抢救结束后用500mg/L含氯消毒液湿擦一次；输液架、轮椅、平车、电视机、电视架、输液室座椅、桌面、台面、柜子表面无污渍灰尘；输液杆表面每周用专用毛巾湿擦两次；地板无污渍、无杂物、无垃圾，随脏随拖；诊床每周更换两次床单，平时随脏随换；墙壁（包括踢脚板、空调出风口）：无污渍、无灰尘。</w:t>
            </w:r>
          </w:p>
          <w:p w14:paraId="4F655B06">
            <w:pPr>
              <w:pStyle w:val="7"/>
              <w:spacing w:line="380" w:lineRule="exact"/>
              <w:rPr>
                <w:rFonts w:hAnsi="宋体"/>
                <w:bCs/>
              </w:rPr>
            </w:pPr>
            <w:r>
              <w:rPr>
                <w:rFonts w:hint="eastAsia" w:hAnsi="宋体"/>
                <w:bCs/>
              </w:rPr>
              <w:t>2.5.2  救护车：物体表面每天用专用毛巾湿擦两次，如有出诊随时保洁。</w:t>
            </w:r>
          </w:p>
          <w:p w14:paraId="3EA42EA6">
            <w:pPr>
              <w:pStyle w:val="7"/>
              <w:spacing w:line="380" w:lineRule="exact"/>
              <w:rPr>
                <w:rFonts w:hAnsi="宋体"/>
                <w:bCs/>
              </w:rPr>
            </w:pPr>
            <w:r>
              <w:rPr>
                <w:rFonts w:hint="eastAsia" w:hAnsi="宋体"/>
                <w:bCs/>
              </w:rPr>
              <w:t>2.5.3  门急诊外科处置室、眼科、耳鼻喉科、妇科、外科、儿科、内科、胃镜室、妇科手术室：垃圾桶每天常规清理两次，如有特殊外伤病人随时清理；治疗车、柜子、桌子表面无污渍灰尘，随脏随擦，毛巾使用后用0.03%消佳净浸泡30分钟、洗衣粉清洗晾干后才能投入下次使用；治疗室玻璃窗、门、隔离玻璃表面光亮、无手印、无污渍，随脏随擦，毛巾使用后用0.03%消佳净消毒液浸泡30分钟、洗衣粉清洗晾干后才能投入下次使用；地板无污渍、无灰尘，随脏随拖；洗手水池（盆）无污渍；墙壁（包括踢脚板、空调出风口）：无污渍、无灰尘；治疗设备表面无污渍、无灰尘，随脏随清洁。</w:t>
            </w:r>
          </w:p>
          <w:p w14:paraId="0F670609">
            <w:pPr>
              <w:pStyle w:val="7"/>
              <w:spacing w:line="380" w:lineRule="exact"/>
              <w:rPr>
                <w:rFonts w:hAnsi="宋体"/>
                <w:bCs/>
              </w:rPr>
            </w:pPr>
            <w:r>
              <w:rPr>
                <w:rFonts w:hint="eastAsia" w:hAnsi="宋体"/>
                <w:bCs/>
              </w:rPr>
              <w:t>2.5.4  抽血室、各诊室、体检中心、胃镜室、病案室：更衣室、医生护士值班室：地板无污渍，随脏随拖；玻璃窗双面及窗口无手印、无污渍；墙壁（包括踢脚板、空调出风口）：无污渍、无灰尘；柜、台面物体表面无污渍灰尘；电脑、显示器、键盘物体表面无污渍灰尘；洗手池及镜面无污渍、光亮。</w:t>
            </w:r>
          </w:p>
          <w:p w14:paraId="3292685F">
            <w:pPr>
              <w:pStyle w:val="7"/>
              <w:spacing w:line="380" w:lineRule="exact"/>
              <w:rPr>
                <w:rFonts w:hAnsi="宋体"/>
                <w:bCs/>
              </w:rPr>
            </w:pPr>
            <w:r>
              <w:rPr>
                <w:rFonts w:hint="eastAsia" w:hAnsi="宋体"/>
                <w:bCs/>
              </w:rPr>
              <w:t>2.5.5  卫生间：每天常规清洗六次（上班、中途、下班）平时随脏随保洁，无臭味，无污渍。</w:t>
            </w:r>
          </w:p>
          <w:p w14:paraId="67F8DD12">
            <w:pPr>
              <w:pStyle w:val="7"/>
              <w:spacing w:line="380" w:lineRule="exact"/>
              <w:rPr>
                <w:rFonts w:hAnsi="宋体"/>
                <w:bCs/>
              </w:rPr>
            </w:pPr>
            <w:r>
              <w:rPr>
                <w:rFonts w:hint="eastAsia" w:hAnsi="宋体"/>
                <w:bCs/>
              </w:rPr>
              <w:t>2.5.6  门诊大厅：天花板及照明设备表面光亮无污渍；地面光亮无尘、无污渍；玻璃门窗光亮、无手印、无污渍；广告、指示牌及开关无手印、无污渍、值班台光亮、无手印、无污渍；值班台无手印、无污渍、光亮。</w:t>
            </w:r>
          </w:p>
          <w:p w14:paraId="0C5A6058">
            <w:pPr>
              <w:pStyle w:val="7"/>
              <w:spacing w:line="380" w:lineRule="exact"/>
              <w:rPr>
                <w:rFonts w:hAnsi="宋体"/>
                <w:bCs/>
              </w:rPr>
            </w:pPr>
            <w:r>
              <w:rPr>
                <w:rFonts w:hint="eastAsia" w:hAnsi="宋体"/>
                <w:bCs/>
              </w:rPr>
              <w:t>2.5.7  抢救室门前：地面无污渍、无垃圾、无灰尘。</w:t>
            </w:r>
          </w:p>
          <w:p w14:paraId="0164F7F9">
            <w:pPr>
              <w:pStyle w:val="7"/>
              <w:spacing w:line="380" w:lineRule="exact"/>
              <w:rPr>
                <w:rFonts w:hAnsi="宋体"/>
                <w:bCs/>
              </w:rPr>
            </w:pPr>
            <w:r>
              <w:rPr>
                <w:rFonts w:hint="eastAsia" w:hAnsi="宋体"/>
                <w:bCs/>
              </w:rPr>
              <w:t>2.5.8  口腔科：玻璃门、窗、桌子无手印、无污渍、灰尘；地板地面光亮无尘、无污渍；洗手池及镜面无手印、无污渍、光亮；诊室、技工室、消毒室、X光室地面每天下班前用500mg/L含氯消毒液湿拖一次，无污渍、无灰尘；墙壁（包括踢脚板、空调出风口）：无污渍、无灰尘；治疗椅子底部、台面、照明灯罩（管）每天下班前用专用毛巾湿擦一次，无污渍、无灰尘；痰盂每天用刷子配合消毒剂刷洗两次，随脏随消毒；X光机表面无污渍、无灰尘。</w:t>
            </w:r>
          </w:p>
          <w:p w14:paraId="4598C8CE">
            <w:pPr>
              <w:pStyle w:val="7"/>
              <w:spacing w:line="380" w:lineRule="exact"/>
              <w:rPr>
                <w:rFonts w:hAnsi="宋体"/>
                <w:bCs/>
              </w:rPr>
            </w:pPr>
            <w:r>
              <w:rPr>
                <w:rFonts w:hint="eastAsia" w:hAnsi="宋体"/>
                <w:bCs/>
              </w:rPr>
              <w:t>2.5.9  职工活动室：地板地面光亮、无灰尘；洗手池及镜面无手印、无污渍；墙面、踢脚线、隔断玻璃门窗无污渍、无手印；台面及桌椅无污渍、无灰尘。</w:t>
            </w:r>
          </w:p>
          <w:p w14:paraId="3AB43537">
            <w:pPr>
              <w:pStyle w:val="7"/>
              <w:spacing w:line="380" w:lineRule="exact"/>
              <w:rPr>
                <w:rFonts w:hAnsi="宋体"/>
                <w:bCs/>
              </w:rPr>
            </w:pPr>
            <w:r>
              <w:rPr>
                <w:rFonts w:hint="eastAsia" w:hAnsi="宋体"/>
                <w:bCs/>
              </w:rPr>
              <w:t>2.6 康复治疗区</w:t>
            </w:r>
          </w:p>
          <w:p w14:paraId="1B530B8C">
            <w:pPr>
              <w:pStyle w:val="7"/>
              <w:spacing w:line="380" w:lineRule="exact"/>
              <w:rPr>
                <w:rFonts w:hAnsi="宋体"/>
                <w:bCs/>
              </w:rPr>
            </w:pPr>
            <w:r>
              <w:rPr>
                <w:rFonts w:hint="eastAsia" w:hAnsi="宋体"/>
                <w:bCs/>
              </w:rPr>
              <w:t>2.6.1  办公室：地板地面光亮、无灰尘；洗手池及镜面无手印、无污渍；墙面、踢脚线、隔断玻璃门窗无污渍、无手印；电脑、主机、键盘无污渍、无灰尘；台面及桌椅无污渍、无灰尘。</w:t>
            </w:r>
          </w:p>
          <w:p w14:paraId="18CA4277">
            <w:pPr>
              <w:pStyle w:val="7"/>
              <w:spacing w:line="380" w:lineRule="exact"/>
              <w:rPr>
                <w:rFonts w:hAnsi="宋体"/>
                <w:bCs/>
              </w:rPr>
            </w:pPr>
            <w:r>
              <w:rPr>
                <w:rFonts w:hint="eastAsia" w:hAnsi="宋体"/>
                <w:bCs/>
              </w:rPr>
              <w:t>2.6.2  更衣室：地板地面光亮、无灰尘；柜台无污渍、无灰尘。</w:t>
            </w:r>
          </w:p>
          <w:p w14:paraId="0EE8EEED">
            <w:pPr>
              <w:pStyle w:val="7"/>
              <w:spacing w:line="380" w:lineRule="exact"/>
              <w:rPr>
                <w:rFonts w:hAnsi="宋体"/>
                <w:bCs/>
              </w:rPr>
            </w:pPr>
            <w:r>
              <w:rPr>
                <w:rFonts w:hint="eastAsia" w:hAnsi="宋体"/>
                <w:bCs/>
              </w:rPr>
              <w:t>2.6.3  治疗室：房门及纱门无污渍、无灰尘；玻璃窗双面及窗台无手印、无污渍。墙壁、踢脚板（包括空调出风口）无手印、无污渍；治疗仪器、电视机及装备无污渍、无灰尘；卫生间、洗手台无臭味，无污渍、无手印，便池随脏随清洗消毒。</w:t>
            </w:r>
          </w:p>
          <w:p w14:paraId="0E9B6BDB">
            <w:pPr>
              <w:pStyle w:val="7"/>
              <w:spacing w:line="380" w:lineRule="exact"/>
              <w:rPr>
                <w:rFonts w:hAnsi="宋体"/>
                <w:bCs/>
              </w:rPr>
            </w:pPr>
            <w:r>
              <w:rPr>
                <w:rFonts w:hint="eastAsia" w:hAnsi="宋体"/>
                <w:bCs/>
              </w:rPr>
              <w:t>2.6.4  窗帘、理疗室治疗垫、地毯：窗帘每季度拆洗一次，随脏随洗治疗垫每天清洗消毒一次，地毯每月清洗一次。</w:t>
            </w:r>
          </w:p>
          <w:p w14:paraId="0753D4FD">
            <w:pPr>
              <w:pStyle w:val="7"/>
              <w:spacing w:line="380" w:lineRule="exact"/>
              <w:rPr>
                <w:rFonts w:hAnsi="宋体"/>
                <w:bCs/>
              </w:rPr>
            </w:pPr>
            <w:r>
              <w:rPr>
                <w:rFonts w:hint="eastAsia" w:hAnsi="宋体"/>
                <w:bCs/>
              </w:rPr>
              <w:t>2.7医学影像科、胃镜室、功能科</w:t>
            </w:r>
          </w:p>
          <w:p w14:paraId="2734C6E8">
            <w:pPr>
              <w:pStyle w:val="7"/>
              <w:spacing w:line="380" w:lineRule="exact"/>
              <w:rPr>
                <w:rFonts w:hAnsi="宋体"/>
                <w:bCs/>
              </w:rPr>
            </w:pPr>
            <w:r>
              <w:rPr>
                <w:rFonts w:hint="eastAsia" w:hAnsi="宋体"/>
                <w:bCs/>
              </w:rPr>
              <w:t>2.7.1  地板、地毯：每天两次湿拖，无污渍、无灰尘，随脏随保洁；拖把使用后用0.03%消佳净消毒液浸泡30分钟、洗衣粉清洗晾干后才能投入下次使用。地毯每月清洗一次，无污渍。</w:t>
            </w:r>
          </w:p>
          <w:p w14:paraId="27A96E96">
            <w:pPr>
              <w:pStyle w:val="7"/>
              <w:spacing w:line="380" w:lineRule="exact"/>
              <w:rPr>
                <w:rFonts w:hAnsi="宋体"/>
                <w:bCs/>
              </w:rPr>
            </w:pPr>
            <w:r>
              <w:rPr>
                <w:rFonts w:hint="eastAsia" w:hAnsi="宋体"/>
                <w:bCs/>
              </w:rPr>
              <w:t>2.7.2  地板保养：PVC地板正常情况下每半年打蜡一次，蜡面受损时及时打蜡、补蜡；大堂花岗岩地板每月抛光一次，每半年打蜡一次。打蜡费用另计，每平方米为7元。</w:t>
            </w:r>
          </w:p>
          <w:p w14:paraId="3BD55F58">
            <w:pPr>
              <w:pStyle w:val="7"/>
              <w:spacing w:line="380" w:lineRule="exact"/>
              <w:rPr>
                <w:rFonts w:hAnsi="宋体"/>
                <w:bCs/>
              </w:rPr>
            </w:pPr>
            <w:r>
              <w:rPr>
                <w:rFonts w:hint="eastAsia" w:hAnsi="宋体"/>
                <w:bCs/>
              </w:rPr>
              <w:t>2.7.3设备设施：物体表面无污渍灰尘；不锈钢设施每周用不锈钢保护剂清洁保养一次，无锈迹。</w:t>
            </w:r>
          </w:p>
          <w:p w14:paraId="6D472695">
            <w:pPr>
              <w:pStyle w:val="7"/>
              <w:spacing w:line="380" w:lineRule="exact"/>
              <w:rPr>
                <w:rFonts w:hAnsi="宋体"/>
                <w:bCs/>
              </w:rPr>
            </w:pPr>
            <w:r>
              <w:rPr>
                <w:rFonts w:hint="eastAsia" w:hAnsi="宋体"/>
                <w:bCs/>
              </w:rPr>
              <w:t>2.7.4  天花板及照明设备：表面光亮无污渍、灰尘。</w:t>
            </w:r>
          </w:p>
          <w:p w14:paraId="01D1773D">
            <w:pPr>
              <w:pStyle w:val="7"/>
              <w:spacing w:line="380" w:lineRule="exact"/>
              <w:rPr>
                <w:rFonts w:hAnsi="宋体"/>
                <w:bCs/>
              </w:rPr>
            </w:pPr>
            <w:r>
              <w:rPr>
                <w:rFonts w:hint="eastAsia" w:hAnsi="宋体"/>
                <w:bCs/>
              </w:rPr>
              <w:t>2.7.5  氧舱、舱内架：舱内治疗结束后及时清洁，每月用500mg/L含氯消毒液湿擦一次，并行空气消毒。</w:t>
            </w:r>
          </w:p>
          <w:p w14:paraId="2CC1E695">
            <w:pPr>
              <w:pStyle w:val="7"/>
              <w:spacing w:line="380" w:lineRule="exact"/>
              <w:rPr>
                <w:rFonts w:hAnsi="宋体"/>
                <w:bCs/>
              </w:rPr>
            </w:pPr>
            <w:r>
              <w:rPr>
                <w:rFonts w:hint="eastAsia" w:hAnsi="宋体"/>
                <w:bCs/>
              </w:rPr>
              <w:t>2.7.6  墙面及玻璃门窗：玻璃窗双面及窗台无手印、无污渍；墙壁、踢脚板（包括空调出风口）无手印、无污渍；窗帘每季度拆洗一次，随脏随洗。</w:t>
            </w:r>
          </w:p>
          <w:p w14:paraId="560C05CC">
            <w:pPr>
              <w:pStyle w:val="7"/>
              <w:spacing w:line="380" w:lineRule="exact"/>
              <w:rPr>
                <w:rFonts w:hAnsi="宋体"/>
                <w:bCs/>
              </w:rPr>
            </w:pPr>
            <w:r>
              <w:rPr>
                <w:rFonts w:hint="eastAsia" w:hAnsi="宋体"/>
                <w:bCs/>
              </w:rPr>
              <w:t>2.7.7  痰盂：每天用刷子配合消毒清洁剂刷洗一次，光亮无污渍。</w:t>
            </w:r>
          </w:p>
          <w:p w14:paraId="36DCA6D1">
            <w:pPr>
              <w:pStyle w:val="7"/>
              <w:spacing w:line="380" w:lineRule="exact"/>
              <w:rPr>
                <w:rFonts w:hAnsi="宋体"/>
                <w:bCs/>
              </w:rPr>
            </w:pPr>
            <w:r>
              <w:rPr>
                <w:rFonts w:hint="eastAsia" w:hAnsi="宋体"/>
                <w:bCs/>
              </w:rPr>
              <w:t>2.7.8  桌面、凳子：每天用专用毛巾擦拭，使用杀菌消毒清洁剂清除污渍、消毒。</w:t>
            </w:r>
          </w:p>
          <w:p w14:paraId="6EBEE1EF">
            <w:pPr>
              <w:pStyle w:val="7"/>
              <w:spacing w:line="380" w:lineRule="exact"/>
              <w:rPr>
                <w:rFonts w:hAnsi="宋体"/>
                <w:bCs/>
              </w:rPr>
            </w:pPr>
            <w:r>
              <w:rPr>
                <w:rFonts w:hint="eastAsia" w:hAnsi="宋体"/>
                <w:bCs/>
              </w:rPr>
              <w:t>2.7.9  洗手池、卫生间：洗手池用专用手巾擦拭，光亮无污渍；卫生间无臭味，无污渍，便池随脏随清洁、消毒。</w:t>
            </w:r>
          </w:p>
          <w:p w14:paraId="26C68784">
            <w:pPr>
              <w:pStyle w:val="7"/>
              <w:spacing w:line="380" w:lineRule="exact"/>
              <w:rPr>
                <w:rFonts w:hAnsi="宋体"/>
                <w:bCs/>
              </w:rPr>
            </w:pPr>
            <w:r>
              <w:rPr>
                <w:rFonts w:hint="eastAsia" w:hAnsi="宋体"/>
                <w:bCs/>
              </w:rPr>
              <w:t>2.7.10  照片床、片盒、片架：每天用专用毛巾擦拭一次，使用后用清洁消毒剂清洁消毒，干燥备用，无污渍、灰尘。</w:t>
            </w:r>
          </w:p>
          <w:p w14:paraId="1EC9E416">
            <w:pPr>
              <w:pStyle w:val="7"/>
              <w:spacing w:line="380" w:lineRule="exact"/>
              <w:rPr>
                <w:rFonts w:hAnsi="宋体"/>
                <w:bCs/>
              </w:rPr>
            </w:pPr>
            <w:r>
              <w:rPr>
                <w:rFonts w:hint="eastAsia" w:hAnsi="宋体"/>
                <w:bCs/>
              </w:rPr>
              <w:t>2.7.11  片箱、柜子：无污渍、无灰尘。</w:t>
            </w:r>
          </w:p>
          <w:p w14:paraId="10042123">
            <w:pPr>
              <w:pStyle w:val="7"/>
              <w:spacing w:line="380" w:lineRule="exact"/>
              <w:rPr>
                <w:rFonts w:hAnsi="宋体"/>
                <w:bCs/>
              </w:rPr>
            </w:pPr>
            <w:r>
              <w:rPr>
                <w:rFonts w:hint="eastAsia" w:hAnsi="宋体"/>
                <w:bCs/>
              </w:rPr>
              <w:t>2.7.12  步行楼梯、电梯：楼梯通道地面无污渍、无杂物、无垃圾，随脏随拖；楼梯扶手无手印、无污渍；玻璃双面及窗台光亮，无水印、无污渍；墙壁、地脚线无手印、无污渍；不锈钢扶栏无手印、无污渍。</w:t>
            </w:r>
          </w:p>
          <w:p w14:paraId="77193718">
            <w:pPr>
              <w:pStyle w:val="7"/>
              <w:spacing w:line="380" w:lineRule="exact"/>
              <w:rPr>
                <w:rFonts w:hAnsi="宋体"/>
                <w:bCs/>
              </w:rPr>
            </w:pPr>
            <w:r>
              <w:rPr>
                <w:rFonts w:hint="eastAsia" w:hAnsi="宋体"/>
                <w:bCs/>
              </w:rPr>
              <w:t>2.8药剂科（中心药房、药库、物资仓库、西药库、中药房、西药房）</w:t>
            </w:r>
          </w:p>
          <w:p w14:paraId="0F66FC8D">
            <w:pPr>
              <w:pStyle w:val="7"/>
              <w:spacing w:line="380" w:lineRule="exact"/>
              <w:rPr>
                <w:rFonts w:hAnsi="宋体"/>
                <w:bCs/>
              </w:rPr>
            </w:pPr>
            <w:r>
              <w:rPr>
                <w:rFonts w:hint="eastAsia" w:hAnsi="宋体"/>
                <w:bCs/>
              </w:rPr>
              <w:t>2.8.1  洗手池及镜面：洗手池每天用专用毛巾擦拭，无污渍、手印；镜面无水印、无污渍。</w:t>
            </w:r>
          </w:p>
          <w:p w14:paraId="448D8A55">
            <w:pPr>
              <w:pStyle w:val="7"/>
              <w:spacing w:line="380" w:lineRule="exact"/>
              <w:rPr>
                <w:rFonts w:hAnsi="宋体"/>
                <w:bCs/>
              </w:rPr>
            </w:pPr>
            <w:r>
              <w:rPr>
                <w:rFonts w:hint="eastAsia" w:hAnsi="宋体"/>
                <w:bCs/>
              </w:rPr>
              <w:t>2.8.2  墙面、隔断玻璃窗、踢脚板（包括空调出风口）：无手印、无污渍。窗帘每半年拆洗一次。</w:t>
            </w:r>
          </w:p>
          <w:p w14:paraId="12CC54CD">
            <w:pPr>
              <w:pStyle w:val="7"/>
              <w:spacing w:line="380" w:lineRule="exact"/>
              <w:rPr>
                <w:rFonts w:hAnsi="宋体"/>
                <w:bCs/>
              </w:rPr>
            </w:pPr>
            <w:r>
              <w:rPr>
                <w:rFonts w:hint="eastAsia" w:hAnsi="宋体"/>
                <w:bCs/>
              </w:rPr>
              <w:t>2.8.3  电脑、主机、键盘：每天用专用手巾擦拭清洁一次，物体表面无污渍灰尘。</w:t>
            </w:r>
          </w:p>
          <w:p w14:paraId="3449E229">
            <w:pPr>
              <w:pStyle w:val="7"/>
              <w:spacing w:line="380" w:lineRule="exact"/>
              <w:rPr>
                <w:rFonts w:hAnsi="宋体"/>
                <w:bCs/>
              </w:rPr>
            </w:pPr>
            <w:r>
              <w:rPr>
                <w:rFonts w:hint="eastAsia" w:hAnsi="宋体"/>
                <w:bCs/>
              </w:rPr>
              <w:t>2.8.4  台面及桌椅：每天用专用毛巾擦拭消毒二次，物体表面光亮，无污渍、灰尘。</w:t>
            </w:r>
          </w:p>
          <w:p w14:paraId="40EF91CE">
            <w:pPr>
              <w:pStyle w:val="7"/>
              <w:spacing w:line="380" w:lineRule="exact"/>
              <w:rPr>
                <w:rFonts w:hAnsi="宋体"/>
                <w:bCs/>
              </w:rPr>
            </w:pPr>
            <w:r>
              <w:rPr>
                <w:rFonts w:hint="eastAsia" w:hAnsi="宋体"/>
                <w:bCs/>
              </w:rPr>
              <w:t>2.8.5  房门及纱门：每天用专用手巾擦拭清洁一次，无污渍、无灰尘。</w:t>
            </w:r>
          </w:p>
          <w:p w14:paraId="332F0BFA">
            <w:pPr>
              <w:pStyle w:val="7"/>
              <w:spacing w:line="380" w:lineRule="exact"/>
              <w:rPr>
                <w:rFonts w:hAnsi="宋体"/>
                <w:bCs/>
              </w:rPr>
            </w:pPr>
            <w:r>
              <w:rPr>
                <w:rFonts w:hint="eastAsia" w:hAnsi="宋体"/>
                <w:bCs/>
              </w:rPr>
              <w:t>2.8.6  玻璃窗双面及窗台：每天用专用手巾擦拭清洁一次，无手印、无污渍。</w:t>
            </w:r>
          </w:p>
          <w:p w14:paraId="499AA5D9">
            <w:pPr>
              <w:pStyle w:val="7"/>
              <w:spacing w:line="380" w:lineRule="exact"/>
              <w:rPr>
                <w:rFonts w:hAnsi="宋体"/>
                <w:bCs/>
              </w:rPr>
            </w:pPr>
            <w:r>
              <w:rPr>
                <w:rFonts w:hint="eastAsia" w:hAnsi="宋体"/>
                <w:bCs/>
              </w:rPr>
              <w:t>2.8.7  发药窗口：每天用专用手巾擦拭清洁一次，光亮无污渍、无灰尘。</w:t>
            </w:r>
          </w:p>
          <w:p w14:paraId="6668B815">
            <w:pPr>
              <w:pStyle w:val="7"/>
              <w:spacing w:line="380" w:lineRule="exact"/>
              <w:rPr>
                <w:rFonts w:hAnsi="宋体"/>
                <w:bCs/>
              </w:rPr>
            </w:pPr>
            <w:r>
              <w:rPr>
                <w:rFonts w:hint="eastAsia" w:hAnsi="宋体"/>
                <w:bCs/>
              </w:rPr>
              <w:t>2.8.8  天花板及照明设备：表面光亮无污渍、灰尘。</w:t>
            </w:r>
          </w:p>
          <w:p w14:paraId="03CDFB60">
            <w:pPr>
              <w:pStyle w:val="7"/>
              <w:spacing w:line="380" w:lineRule="exact"/>
              <w:rPr>
                <w:rFonts w:hAnsi="宋体"/>
                <w:bCs/>
              </w:rPr>
            </w:pPr>
            <w:r>
              <w:rPr>
                <w:rFonts w:hint="eastAsia" w:hAnsi="宋体"/>
                <w:bCs/>
              </w:rPr>
              <w:t>2.8.9  药架：每天用专用手巾擦拭清洁一次，光亮无污渍、无灰尘。</w:t>
            </w:r>
          </w:p>
          <w:p w14:paraId="48057F42">
            <w:pPr>
              <w:pStyle w:val="7"/>
              <w:spacing w:line="380" w:lineRule="exact"/>
              <w:rPr>
                <w:rFonts w:hAnsi="宋体"/>
                <w:bCs/>
              </w:rPr>
            </w:pPr>
            <w:r>
              <w:rPr>
                <w:rFonts w:hint="eastAsia" w:hAnsi="宋体"/>
                <w:bCs/>
              </w:rPr>
              <w:t>2.9共性消毒要求</w:t>
            </w:r>
          </w:p>
          <w:p w14:paraId="73B4D5B9">
            <w:pPr>
              <w:pStyle w:val="7"/>
              <w:spacing w:line="380" w:lineRule="exact"/>
              <w:rPr>
                <w:rFonts w:hAnsi="宋体"/>
                <w:bCs/>
              </w:rPr>
            </w:pPr>
            <w:r>
              <w:rPr>
                <w:rFonts w:hint="eastAsia" w:hAnsi="宋体"/>
                <w:bCs/>
              </w:rPr>
              <w:t>2.9.1  观察室、抢救室、治疗室、重症监护室空气消毒同诊室的消毒，地面湿式清扫，保持清洁，遇污染时随时消毒。</w:t>
            </w:r>
          </w:p>
          <w:p w14:paraId="5FD2169F">
            <w:pPr>
              <w:pStyle w:val="7"/>
              <w:spacing w:line="380" w:lineRule="exact"/>
              <w:rPr>
                <w:rFonts w:hAnsi="宋体"/>
                <w:bCs/>
              </w:rPr>
            </w:pPr>
            <w:r>
              <w:rPr>
                <w:rFonts w:hint="eastAsia" w:hAnsi="宋体"/>
                <w:bCs/>
              </w:rPr>
              <w:t>2.9.2  床头柜一桌一抹布，用后用有效氯500mg/L的含氯消毒剂浸泡消毒，每日擦拭2次，即要求一桌一抹布，一用一消毒，病人出院、转归随时清洁消毒。</w:t>
            </w:r>
          </w:p>
          <w:p w14:paraId="2BF4C6B9">
            <w:pPr>
              <w:pStyle w:val="7"/>
              <w:spacing w:line="380" w:lineRule="exact"/>
              <w:rPr>
                <w:rFonts w:hAnsi="宋体"/>
                <w:bCs/>
              </w:rPr>
            </w:pPr>
            <w:r>
              <w:rPr>
                <w:rFonts w:hint="eastAsia" w:hAnsi="宋体"/>
                <w:bCs/>
              </w:rPr>
              <w:t>2.9.3  诊察床、诊桌、平车、轮椅每日消毒1—2次，被血液、体液污染时及时用有效氯500mg/L的含氯消毒液消毒。</w:t>
            </w:r>
          </w:p>
          <w:p w14:paraId="66FC2C61">
            <w:pPr>
              <w:pStyle w:val="7"/>
              <w:spacing w:line="380" w:lineRule="exact"/>
              <w:rPr>
                <w:rFonts w:hAnsi="宋体"/>
                <w:bCs/>
              </w:rPr>
            </w:pPr>
            <w:r>
              <w:rPr>
                <w:rFonts w:hint="eastAsia" w:hAnsi="宋体"/>
                <w:bCs/>
              </w:rPr>
              <w:t>2.9.4  卫生洁具分开使用，治疗室、办公室、病房、厕所分别设置专用拖布，标记明确，分开清洗，用后消毒，悬挂晾干备用。</w:t>
            </w:r>
          </w:p>
          <w:p w14:paraId="14E62783">
            <w:pPr>
              <w:pStyle w:val="7"/>
              <w:spacing w:line="380" w:lineRule="exact"/>
              <w:rPr>
                <w:rFonts w:hAnsi="宋体"/>
                <w:bCs/>
              </w:rPr>
            </w:pPr>
            <w:r>
              <w:rPr>
                <w:rFonts w:hint="eastAsia" w:hAnsi="宋体"/>
                <w:bCs/>
              </w:rPr>
              <w:t>2.9.5  特殊保洁场所要求配备专用清洁工具，即一室一拖把，一桌一抹布，用后立即清洗消毒。</w:t>
            </w:r>
          </w:p>
          <w:p w14:paraId="208D0885">
            <w:pPr>
              <w:pStyle w:val="7"/>
              <w:spacing w:line="380" w:lineRule="exact"/>
              <w:rPr>
                <w:rFonts w:hAnsi="宋体"/>
                <w:bCs/>
              </w:rPr>
            </w:pPr>
            <w:r>
              <w:rPr>
                <w:rFonts w:hint="eastAsia" w:hAnsi="宋体"/>
                <w:bCs/>
              </w:rPr>
              <w:t xml:space="preserve">2.9.6  要有正规的清洁车，避免保洁用品乱放消毒各种清洁用具分区固定使用， </w:t>
            </w:r>
          </w:p>
          <w:p w14:paraId="6D4BEAD7">
            <w:pPr>
              <w:pStyle w:val="7"/>
              <w:spacing w:line="380" w:lineRule="exact"/>
              <w:rPr>
                <w:rFonts w:hAnsi="宋体"/>
                <w:bCs/>
              </w:rPr>
            </w:pPr>
            <w:r>
              <w:rPr>
                <w:rFonts w:hint="eastAsia" w:hAnsi="宋体"/>
                <w:bCs/>
              </w:rPr>
              <w:t>2.9.7  生活垃圾置黑色塑料袋内，医疗垃圾置黄色垃圾袋运至指定地点（医疗废物暂存间），医疗废物暂存间每天地面清洁、消毒一次，紫外线照射1小时，保持清洁，生活医疗垃圾日产日清。</w:t>
            </w:r>
          </w:p>
          <w:p w14:paraId="675E11BF">
            <w:pPr>
              <w:pStyle w:val="7"/>
              <w:spacing w:line="380" w:lineRule="exact"/>
              <w:rPr>
                <w:rFonts w:hAnsi="宋体"/>
                <w:bCs/>
              </w:rPr>
            </w:pPr>
            <w:r>
              <w:rPr>
                <w:rFonts w:hint="eastAsia" w:hAnsi="宋体"/>
                <w:bCs/>
              </w:rPr>
              <w:t>2.10其他</w:t>
            </w:r>
          </w:p>
          <w:p w14:paraId="198459B8">
            <w:pPr>
              <w:pStyle w:val="7"/>
              <w:spacing w:line="380" w:lineRule="exact"/>
              <w:rPr>
                <w:rFonts w:hAnsi="宋体"/>
                <w:bCs/>
              </w:rPr>
            </w:pPr>
            <w:r>
              <w:rPr>
                <w:rFonts w:hint="eastAsia" w:hAnsi="宋体"/>
                <w:bCs/>
              </w:rPr>
              <w:t>2.10.1消防门、消防器材、宣传栏、意见箱：每天用专用毛巾擦拭、清洁一次，无手印、无污渍。</w:t>
            </w:r>
          </w:p>
          <w:p w14:paraId="0F1FF89D">
            <w:pPr>
              <w:pStyle w:val="7"/>
              <w:spacing w:line="380" w:lineRule="exact"/>
              <w:rPr>
                <w:rFonts w:hAnsi="宋体"/>
                <w:bCs/>
              </w:rPr>
            </w:pPr>
            <w:r>
              <w:rPr>
                <w:rFonts w:hint="eastAsia" w:hAnsi="宋体"/>
                <w:bCs/>
              </w:rPr>
              <w:t>2.10.2公共垃圾桶：每周用清水清洗一次、并擦拭干净，无手印、无污渍。</w:t>
            </w:r>
          </w:p>
          <w:p w14:paraId="07DEF06C">
            <w:pPr>
              <w:pStyle w:val="7"/>
              <w:spacing w:line="380" w:lineRule="exact"/>
              <w:rPr>
                <w:rFonts w:hAnsi="宋体"/>
                <w:b/>
              </w:rPr>
            </w:pPr>
            <w:r>
              <w:rPr>
                <w:rFonts w:hint="eastAsia" w:hAnsi="宋体"/>
                <w:b/>
              </w:rPr>
              <w:t>三、垃圾分类清收处理</w:t>
            </w:r>
          </w:p>
          <w:p w14:paraId="3B25D6EC">
            <w:pPr>
              <w:pStyle w:val="7"/>
              <w:spacing w:line="380" w:lineRule="exact"/>
              <w:rPr>
                <w:rFonts w:hAnsi="宋体"/>
                <w:bCs/>
              </w:rPr>
            </w:pPr>
            <w:r>
              <w:rPr>
                <w:rFonts w:hint="eastAsia" w:hAnsi="宋体"/>
                <w:bCs/>
              </w:rPr>
              <w:t>病房产生的生活垃圾及医疗废弃物实行日产日清，分类包装、专人负责运送。收运过程无残留、无洒落、无残液滴漏，符合医疗废物管理办法。</w:t>
            </w:r>
          </w:p>
          <w:p w14:paraId="7530956F">
            <w:pPr>
              <w:pStyle w:val="7"/>
              <w:spacing w:line="380" w:lineRule="exact"/>
              <w:rPr>
                <w:rFonts w:hAnsi="宋体"/>
                <w:b/>
              </w:rPr>
            </w:pPr>
            <w:r>
              <w:rPr>
                <w:rFonts w:hint="eastAsia" w:hAnsi="宋体"/>
                <w:b/>
              </w:rPr>
              <w:t>四、消防、安保服务</w:t>
            </w:r>
          </w:p>
          <w:p w14:paraId="71E54943">
            <w:pPr>
              <w:pStyle w:val="7"/>
              <w:spacing w:line="380" w:lineRule="exact"/>
              <w:rPr>
                <w:rFonts w:hAnsi="宋体"/>
                <w:bCs/>
              </w:rPr>
            </w:pPr>
            <w:r>
              <w:rPr>
                <w:rFonts w:hint="eastAsia" w:hAnsi="宋体"/>
                <w:bCs/>
              </w:rPr>
              <w:t>1、日常服务内容：</w:t>
            </w:r>
          </w:p>
          <w:p w14:paraId="016F2F27">
            <w:pPr>
              <w:pStyle w:val="7"/>
              <w:spacing w:line="380" w:lineRule="exact"/>
              <w:rPr>
                <w:rFonts w:hAnsi="宋体"/>
                <w:bCs/>
              </w:rPr>
            </w:pPr>
            <w:r>
              <w:rPr>
                <w:rFonts w:hint="eastAsia" w:hAnsi="宋体"/>
                <w:bCs/>
              </w:rPr>
              <w:t>1.1医院大楼外围守护警卫工作；</w:t>
            </w:r>
          </w:p>
          <w:p w14:paraId="3E251902">
            <w:pPr>
              <w:pStyle w:val="7"/>
              <w:spacing w:line="380" w:lineRule="exact"/>
              <w:rPr>
                <w:rFonts w:hAnsi="宋体"/>
                <w:bCs/>
              </w:rPr>
            </w:pPr>
            <w:r>
              <w:rPr>
                <w:rFonts w:hint="eastAsia" w:hAnsi="宋体"/>
                <w:bCs/>
              </w:rPr>
              <w:t>1.2确保医院大楼外侧道路交通顺畅；</w:t>
            </w:r>
          </w:p>
          <w:p w14:paraId="6244B84F">
            <w:pPr>
              <w:pStyle w:val="7"/>
              <w:spacing w:line="380" w:lineRule="exact"/>
              <w:rPr>
                <w:rFonts w:hAnsi="宋体"/>
                <w:bCs/>
              </w:rPr>
            </w:pPr>
            <w:r>
              <w:rPr>
                <w:rFonts w:hint="eastAsia" w:hAnsi="宋体"/>
                <w:bCs/>
              </w:rPr>
              <w:t>1.3执行医院大楼内各楼面巡查，做好防火防盗安全防范工作及巡查时协助记录维修事项，如：照明、漏水、空调运行等；</w:t>
            </w:r>
          </w:p>
          <w:p w14:paraId="375089A4">
            <w:pPr>
              <w:pStyle w:val="7"/>
              <w:spacing w:line="380" w:lineRule="exact"/>
              <w:rPr>
                <w:rFonts w:hAnsi="宋体"/>
                <w:bCs/>
              </w:rPr>
            </w:pPr>
            <w:r>
              <w:rPr>
                <w:rFonts w:hint="eastAsia" w:hAnsi="宋体"/>
                <w:bCs/>
              </w:rPr>
              <w:t>1.4及时处理医院大楼内各突发事件，必要时疏散人员，及时汇报物业管理部门并做好记录；</w:t>
            </w:r>
          </w:p>
          <w:p w14:paraId="39673952">
            <w:pPr>
              <w:pStyle w:val="7"/>
              <w:spacing w:line="380" w:lineRule="exact"/>
              <w:rPr>
                <w:rFonts w:hAnsi="宋体"/>
                <w:bCs/>
              </w:rPr>
            </w:pPr>
            <w:r>
              <w:rPr>
                <w:rFonts w:hint="eastAsia" w:hAnsi="宋体"/>
                <w:bCs/>
              </w:rPr>
              <w:t>1.5检查医院大楼设施是否完好；</w:t>
            </w:r>
          </w:p>
          <w:p w14:paraId="758A0EC1">
            <w:pPr>
              <w:pStyle w:val="7"/>
              <w:spacing w:line="380" w:lineRule="exact"/>
              <w:rPr>
                <w:rFonts w:hAnsi="宋体"/>
                <w:bCs/>
              </w:rPr>
            </w:pPr>
            <w:r>
              <w:rPr>
                <w:rFonts w:hint="eastAsia" w:hAnsi="宋体"/>
                <w:bCs/>
              </w:rPr>
              <w:t>1.6负责停车场区域的巡查、管理，保证车道畅通，设备、车辆、人员管理；</w:t>
            </w:r>
          </w:p>
          <w:p w14:paraId="6EB63D45">
            <w:pPr>
              <w:pStyle w:val="7"/>
              <w:spacing w:line="380" w:lineRule="exact"/>
              <w:rPr>
                <w:rFonts w:hAnsi="宋体"/>
                <w:bCs/>
              </w:rPr>
            </w:pPr>
            <w:r>
              <w:rPr>
                <w:rFonts w:hint="eastAsia" w:hAnsi="宋体"/>
                <w:bCs/>
              </w:rPr>
              <w:t>1.7保安监控室消防安保监控工作；</w:t>
            </w:r>
          </w:p>
          <w:p w14:paraId="6DD2FF5A">
            <w:pPr>
              <w:pStyle w:val="7"/>
              <w:spacing w:line="380" w:lineRule="exact"/>
              <w:rPr>
                <w:rFonts w:hAnsi="宋体"/>
                <w:bCs/>
              </w:rPr>
            </w:pPr>
            <w:r>
              <w:rPr>
                <w:rFonts w:hint="eastAsia" w:hAnsi="宋体"/>
                <w:bCs/>
              </w:rPr>
              <w:t>1.8检查入口设备、工具及非开放时段进出人员的凭证，负责人员登记工作；</w:t>
            </w:r>
          </w:p>
          <w:p w14:paraId="27275D94">
            <w:pPr>
              <w:pStyle w:val="7"/>
              <w:spacing w:line="380" w:lineRule="exact"/>
              <w:rPr>
                <w:rFonts w:hAnsi="宋体"/>
                <w:bCs/>
              </w:rPr>
            </w:pPr>
            <w:r>
              <w:rPr>
                <w:rFonts w:hint="eastAsia" w:hAnsi="宋体"/>
                <w:bCs/>
              </w:rPr>
              <w:t>2、消防、保安员工作职责：</w:t>
            </w:r>
          </w:p>
          <w:p w14:paraId="3340E129">
            <w:pPr>
              <w:pStyle w:val="7"/>
              <w:spacing w:line="380" w:lineRule="exact"/>
              <w:rPr>
                <w:rFonts w:hAnsi="宋体"/>
                <w:bCs/>
              </w:rPr>
            </w:pPr>
            <w:r>
              <w:rPr>
                <w:rFonts w:hint="eastAsia" w:hAnsi="宋体"/>
                <w:bCs/>
              </w:rPr>
              <w:t>2.1、服从物业公司及医院管理科室的领导、上岗时着制服、做到警容严整、态度端正、按时上班、不迟到、不早退、认真值班、不准任意调换班次，严格执行交接班制度，做好交接记录。</w:t>
            </w:r>
          </w:p>
          <w:p w14:paraId="3FB69726">
            <w:pPr>
              <w:pStyle w:val="7"/>
              <w:spacing w:line="380" w:lineRule="exact"/>
              <w:rPr>
                <w:rFonts w:hAnsi="宋体"/>
                <w:bCs/>
              </w:rPr>
            </w:pPr>
            <w:r>
              <w:rPr>
                <w:rFonts w:hint="eastAsia" w:hAnsi="宋体"/>
                <w:bCs/>
              </w:rPr>
              <w:t>2.2、对来访人员、车辆要认真记录登记，严防事故，固定岗位巡逻岗相结合，坚持二十四小时执勤，以确保设施、人员、目标的安全。</w:t>
            </w:r>
          </w:p>
          <w:p w14:paraId="16150FA8">
            <w:pPr>
              <w:pStyle w:val="7"/>
              <w:spacing w:line="380" w:lineRule="exact"/>
              <w:rPr>
                <w:rFonts w:hAnsi="宋体"/>
                <w:bCs/>
              </w:rPr>
            </w:pPr>
            <w:r>
              <w:rPr>
                <w:rFonts w:hint="eastAsia" w:hAnsi="宋体"/>
                <w:bCs/>
              </w:rPr>
              <w:t>2.3、对外来人员要热情，注意文明礼貌，不准超权和滥用职权侵犯群众利益，遇到突发事件、歹徒或犯罪分子、要坚决制止，奋不顾身，迅速报警。</w:t>
            </w:r>
          </w:p>
          <w:p w14:paraId="1B527DB7">
            <w:pPr>
              <w:pStyle w:val="7"/>
              <w:spacing w:line="380" w:lineRule="exact"/>
              <w:rPr>
                <w:rFonts w:hAnsi="宋体"/>
                <w:bCs/>
              </w:rPr>
            </w:pPr>
            <w:r>
              <w:rPr>
                <w:rFonts w:hint="eastAsia" w:hAnsi="宋体"/>
                <w:bCs/>
              </w:rPr>
              <w:t>2.4、不准喝酒上岗、不准在岗上吸烟、聊天、看书、看报、嬉笑、打闹、睡觉、吃零食、不准办私事打电话。</w:t>
            </w:r>
          </w:p>
          <w:p w14:paraId="45FDBCD6">
            <w:pPr>
              <w:pStyle w:val="7"/>
              <w:spacing w:line="380" w:lineRule="exact"/>
              <w:rPr>
                <w:rFonts w:hAnsi="宋体"/>
                <w:bCs/>
              </w:rPr>
            </w:pPr>
            <w:r>
              <w:rPr>
                <w:rFonts w:hint="eastAsia" w:hAnsi="宋体"/>
                <w:bCs/>
              </w:rPr>
              <w:t>2.5、保安人员要有高度的工作责任心和熟练的业务水平、一切工作都要以业主及办公人员生命安全为最高准则。</w:t>
            </w:r>
          </w:p>
          <w:p w14:paraId="21BC69ED">
            <w:pPr>
              <w:pStyle w:val="7"/>
              <w:spacing w:line="380" w:lineRule="exact"/>
              <w:rPr>
                <w:rFonts w:hAnsi="宋体"/>
                <w:bCs/>
              </w:rPr>
            </w:pPr>
            <w:r>
              <w:rPr>
                <w:rFonts w:hint="eastAsia" w:hAnsi="宋体"/>
                <w:bCs/>
              </w:rPr>
              <w:t>2.6、值班人员每时每刻都要保持高度的警惕性，不得擅离职守做到“有警必报”。对异常情况要及时向上级汇报。</w:t>
            </w:r>
          </w:p>
          <w:p w14:paraId="4A17B728">
            <w:pPr>
              <w:pStyle w:val="7"/>
              <w:spacing w:line="380" w:lineRule="exact"/>
              <w:rPr>
                <w:rFonts w:hAnsi="宋体"/>
                <w:bCs/>
              </w:rPr>
            </w:pPr>
            <w:r>
              <w:rPr>
                <w:rFonts w:hint="eastAsia" w:hAnsi="宋体"/>
                <w:bCs/>
              </w:rPr>
              <w:t>2.7、熟悉大楼各部位的消防设备，灭火器材的使用和管理，熟知火警，火灾的处理程序，严禁易燃易爆和其它危险品进入办公楼，接受公安、消防的检查、指导，提高业务水平。</w:t>
            </w:r>
          </w:p>
          <w:p w14:paraId="56691FC6">
            <w:pPr>
              <w:pStyle w:val="7"/>
              <w:spacing w:line="380" w:lineRule="exact"/>
              <w:rPr>
                <w:rFonts w:hAnsi="宋体"/>
                <w:bCs/>
              </w:rPr>
            </w:pPr>
            <w:r>
              <w:rPr>
                <w:rFonts w:hint="eastAsia" w:hAnsi="宋体"/>
                <w:bCs/>
              </w:rPr>
              <w:t>2.8、熟悉岗位任务及要求、对楼面、通道、电梯、防火设施进行监督、巡察，保证其安全。</w:t>
            </w:r>
          </w:p>
          <w:p w14:paraId="52F4AA45">
            <w:pPr>
              <w:pStyle w:val="7"/>
              <w:spacing w:line="380" w:lineRule="exact"/>
              <w:rPr>
                <w:rFonts w:hAnsi="宋体"/>
                <w:bCs/>
              </w:rPr>
            </w:pPr>
            <w:r>
              <w:rPr>
                <w:rFonts w:hint="eastAsia" w:hAnsi="宋体"/>
                <w:bCs/>
              </w:rPr>
              <w:t>2.9、对重点部位要多次巡查、每次都要有记录，遇到问题要果断处理、发现可疑人员要严格查问，已发生的事故要采取措施保护好现场。</w:t>
            </w:r>
          </w:p>
          <w:p w14:paraId="103E5867">
            <w:pPr>
              <w:pStyle w:val="7"/>
              <w:spacing w:line="380" w:lineRule="exact"/>
              <w:rPr>
                <w:rFonts w:hAnsi="宋体"/>
                <w:bCs/>
              </w:rPr>
            </w:pPr>
            <w:r>
              <w:rPr>
                <w:rFonts w:hint="eastAsia" w:hAnsi="宋体"/>
                <w:bCs/>
              </w:rPr>
              <w:t>2.10、</w:t>
            </w:r>
            <w:r>
              <w:rPr>
                <w:rFonts w:hAnsi="宋体"/>
                <w:bCs/>
              </w:rPr>
              <w:t>3</w:t>
            </w:r>
            <w:r>
              <w:rPr>
                <w:rFonts w:hint="eastAsia" w:hAnsi="宋体"/>
                <w:bCs/>
              </w:rPr>
              <w:t>名专职消防员须持证上岗。</w:t>
            </w:r>
          </w:p>
          <w:p w14:paraId="670B6FF2">
            <w:pPr>
              <w:widowControl w:val="0"/>
              <w:adjustRightInd/>
              <w:snapToGrid/>
              <w:spacing w:after="0" w:line="380" w:lineRule="exact"/>
              <w:jc w:val="both"/>
              <w:rPr>
                <w:rFonts w:ascii="宋体" w:hAnsi="宋体" w:eastAsia="宋体"/>
                <w:bCs/>
                <w:sz w:val="21"/>
                <w:szCs w:val="21"/>
              </w:rPr>
            </w:pPr>
            <w:r>
              <w:rPr>
                <w:rFonts w:hint="eastAsia" w:ascii="宋体" w:hAnsi="宋体" w:eastAsia="宋体"/>
                <w:bCs/>
                <w:sz w:val="21"/>
                <w:szCs w:val="21"/>
              </w:rPr>
              <w:t>2.1</w:t>
            </w:r>
            <w:r>
              <w:rPr>
                <w:rFonts w:ascii="宋体" w:hAnsi="宋体" w:eastAsia="宋体"/>
                <w:bCs/>
                <w:sz w:val="21"/>
                <w:szCs w:val="21"/>
              </w:rPr>
              <w:t>1</w:t>
            </w:r>
            <w:r>
              <w:rPr>
                <w:rFonts w:hint="eastAsia" w:ascii="宋体" w:hAnsi="宋体" w:eastAsia="宋体"/>
                <w:bCs/>
                <w:sz w:val="21"/>
                <w:szCs w:val="21"/>
              </w:rPr>
              <w:t>、完成医院交办的其它工作任务。</w:t>
            </w:r>
          </w:p>
          <w:p w14:paraId="21F0F518">
            <w:pPr>
              <w:pStyle w:val="7"/>
              <w:spacing w:line="380" w:lineRule="exact"/>
              <w:rPr>
                <w:rFonts w:hAnsi="宋体"/>
                <w:b/>
              </w:rPr>
            </w:pPr>
            <w:r>
              <w:rPr>
                <w:rFonts w:hint="eastAsia" w:hAnsi="宋体"/>
                <w:b/>
              </w:rPr>
              <w:t>五、洗涤服务</w:t>
            </w:r>
          </w:p>
          <w:p w14:paraId="164D80CC">
            <w:pPr>
              <w:pStyle w:val="7"/>
              <w:spacing w:line="380" w:lineRule="exact"/>
              <w:rPr>
                <w:rFonts w:hAnsi="宋体"/>
                <w:bCs/>
              </w:rPr>
            </w:pPr>
            <w:r>
              <w:rPr>
                <w:rFonts w:hint="eastAsia" w:hAnsi="宋体"/>
                <w:bCs/>
              </w:rPr>
              <w:t>1、洗涤工作内容</w:t>
            </w:r>
          </w:p>
          <w:p w14:paraId="2E237FC9">
            <w:pPr>
              <w:pStyle w:val="7"/>
              <w:spacing w:line="380" w:lineRule="exact"/>
              <w:rPr>
                <w:rFonts w:hAnsi="宋体"/>
                <w:bCs/>
              </w:rPr>
            </w:pPr>
            <w:r>
              <w:rPr>
                <w:rFonts w:hint="eastAsia" w:hAnsi="宋体"/>
                <w:bCs/>
              </w:rPr>
              <w:t>1.1、洗涤范围及内容：（1）全院包括病房、门急诊、医疗辅助科室等部门的床上用品；（2）全院所有的病员服和工作人员的工作服、隔离服等；（3）全院所有的医疗辅料；（4）手术室所有的手术被服用品及其辅料；（5）其他需洗涤的物品，如：毛巾、窗帘等；（6）包含洗涤所需要洗衣粉、乳化剂、消毒剂等物耗，水电除外。</w:t>
            </w:r>
          </w:p>
          <w:p w14:paraId="00A8E63B">
            <w:pPr>
              <w:pStyle w:val="7"/>
              <w:spacing w:line="380" w:lineRule="exact"/>
              <w:rPr>
                <w:rFonts w:hAnsi="宋体"/>
                <w:bCs/>
              </w:rPr>
            </w:pPr>
            <w:r>
              <w:rPr>
                <w:rFonts w:hint="eastAsia" w:hAnsi="宋体"/>
                <w:bCs/>
              </w:rPr>
              <w:t>1.2、工作步骤及内容：（1）每日要做好洗涤物品的认真清点、浸泡、清洗、整烫、整理、修补（包括缝纫纽扣等）、折叠、登记、收发；（2）每天17：00前必须交出干净整洁的洗涤物品，并办好交接手续；（3）必须做好临时性的应急洗涤工作。</w:t>
            </w:r>
          </w:p>
          <w:p w14:paraId="636BA357">
            <w:pPr>
              <w:pStyle w:val="7"/>
              <w:spacing w:line="380" w:lineRule="exact"/>
              <w:rPr>
                <w:rFonts w:hAnsi="宋体"/>
                <w:bCs/>
              </w:rPr>
            </w:pPr>
            <w:r>
              <w:rPr>
                <w:rFonts w:hint="eastAsia" w:hAnsi="宋体"/>
                <w:bCs/>
              </w:rPr>
              <w:t>2、洗涤工作细则</w:t>
            </w:r>
          </w:p>
          <w:p w14:paraId="4A8D5839">
            <w:pPr>
              <w:pStyle w:val="7"/>
              <w:spacing w:line="380" w:lineRule="exact"/>
              <w:rPr>
                <w:rFonts w:hAnsi="宋体"/>
                <w:bCs/>
              </w:rPr>
            </w:pPr>
            <w:r>
              <w:rPr>
                <w:rFonts w:hint="eastAsia" w:hAnsi="宋体"/>
                <w:bCs/>
              </w:rPr>
              <w:t>医院洗衣房承担全院病人衣服、被单以及医护人员工作服的回收、清洗消毒和发放。工作质量的优劣，对医院感染控制会产生很大影响。因此洗衣房工作人员要严格执行清洗消毒运行程序、洗涤消毒物品管理制度及安全操作规章制度，保证洗衣房各项工作的顺利开展。</w:t>
            </w:r>
          </w:p>
          <w:p w14:paraId="325A0EA9">
            <w:pPr>
              <w:pStyle w:val="7"/>
              <w:spacing w:line="380" w:lineRule="exact"/>
              <w:rPr>
                <w:rFonts w:hAnsi="宋体"/>
                <w:bCs/>
              </w:rPr>
            </w:pPr>
            <w:r>
              <w:rPr>
                <w:rFonts w:hint="eastAsia" w:hAnsi="宋体"/>
                <w:bCs/>
              </w:rPr>
              <w:t>2.1、工作人员必须进行岗前培训。</w:t>
            </w:r>
          </w:p>
          <w:p w14:paraId="04A2C487">
            <w:pPr>
              <w:pStyle w:val="7"/>
              <w:spacing w:line="380" w:lineRule="exact"/>
              <w:rPr>
                <w:rFonts w:hAnsi="宋体"/>
                <w:bCs/>
              </w:rPr>
            </w:pPr>
            <w:r>
              <w:rPr>
                <w:rFonts w:hint="eastAsia" w:hAnsi="宋体"/>
                <w:bCs/>
              </w:rPr>
              <w:t>2.2、工作人员要文明服务，上班衣帽整洁，不戴手饰，接触污物后用皂液流动水洗手，维护医院的良好形象。</w:t>
            </w:r>
          </w:p>
          <w:p w14:paraId="79DD8828">
            <w:pPr>
              <w:pStyle w:val="7"/>
              <w:spacing w:line="380" w:lineRule="exact"/>
              <w:rPr>
                <w:rFonts w:hAnsi="宋体"/>
                <w:bCs/>
              </w:rPr>
            </w:pPr>
            <w:r>
              <w:rPr>
                <w:rFonts w:hint="eastAsia" w:hAnsi="宋体"/>
                <w:bCs/>
              </w:rPr>
              <w:t>2.3、工作人员收发物品时，要文明服务。</w:t>
            </w:r>
          </w:p>
          <w:p w14:paraId="4ADC2A44">
            <w:pPr>
              <w:pStyle w:val="7"/>
              <w:spacing w:line="380" w:lineRule="exact"/>
              <w:rPr>
                <w:rFonts w:hAnsi="宋体"/>
                <w:bCs/>
              </w:rPr>
            </w:pPr>
            <w:r>
              <w:rPr>
                <w:rFonts w:hint="eastAsia" w:hAnsi="宋体"/>
                <w:bCs/>
              </w:rPr>
              <w:t>2.4、认真执行衣物清洗规章制度，分类清洗。被血液、体液污染的衣物应单独消毒、清洗。消毒采用500mg/L的有效氯溶液，消毒时间不少于30分钟，传染病污染的衣物，先消毒后清洗。</w:t>
            </w:r>
          </w:p>
          <w:p w14:paraId="1D213071">
            <w:pPr>
              <w:pStyle w:val="7"/>
              <w:spacing w:line="380" w:lineRule="exact"/>
              <w:rPr>
                <w:rFonts w:hAnsi="宋体"/>
                <w:bCs/>
              </w:rPr>
            </w:pPr>
            <w:r>
              <w:rPr>
                <w:rFonts w:hint="eastAsia" w:hAnsi="宋体"/>
                <w:bCs/>
              </w:rPr>
              <w:t>2.5、工作人员、新生儿衣物和病人的衣物应分开洗涤。对感染病人的衣物尽量少翻动，减少污染。</w:t>
            </w:r>
          </w:p>
          <w:p w14:paraId="6475EFD1">
            <w:pPr>
              <w:pStyle w:val="7"/>
              <w:spacing w:line="380" w:lineRule="exact"/>
              <w:rPr>
                <w:rFonts w:hAnsi="宋体"/>
                <w:bCs/>
              </w:rPr>
            </w:pPr>
            <w:r>
              <w:rPr>
                <w:rFonts w:hint="eastAsia" w:hAnsi="宋体"/>
                <w:bCs/>
              </w:rPr>
              <w:t>2.6、清洗的被服必须干净，无血迹、污迹，清洁被服专区专柜存放。</w:t>
            </w:r>
          </w:p>
          <w:p w14:paraId="01A01E84">
            <w:pPr>
              <w:pStyle w:val="7"/>
              <w:spacing w:line="380" w:lineRule="exact"/>
              <w:rPr>
                <w:rFonts w:hAnsi="宋体"/>
                <w:bCs/>
              </w:rPr>
            </w:pPr>
            <w:r>
              <w:rPr>
                <w:rFonts w:hint="eastAsia" w:hAnsi="宋体"/>
                <w:bCs/>
              </w:rPr>
              <w:t xml:space="preserve">2.7、规范使用机器设备，严格按照洗涤设备操作程序操作，每日使用设备前应试运行检查，使用后按要求保养，发现问题及时报告后勤科负责人，禁止违章操作。  </w:t>
            </w:r>
          </w:p>
          <w:p w14:paraId="66A44506">
            <w:pPr>
              <w:pStyle w:val="7"/>
              <w:spacing w:line="380" w:lineRule="exact"/>
              <w:rPr>
                <w:rFonts w:hAnsi="宋体"/>
                <w:bCs/>
              </w:rPr>
            </w:pPr>
            <w:r>
              <w:rPr>
                <w:rFonts w:hint="eastAsia" w:hAnsi="宋体"/>
                <w:bCs/>
              </w:rPr>
              <w:t>2.8、节约洗涤成本，机器在工作时必须有专人监看工作流程，不准超负荷运转或空转，工作完成后及时关机。</w:t>
            </w:r>
          </w:p>
          <w:p w14:paraId="1ECFC08A">
            <w:pPr>
              <w:pStyle w:val="7"/>
              <w:spacing w:line="380" w:lineRule="exact"/>
              <w:rPr>
                <w:rFonts w:hAnsi="宋体"/>
                <w:bCs/>
              </w:rPr>
            </w:pPr>
            <w:r>
              <w:rPr>
                <w:rFonts w:hint="eastAsia" w:hAnsi="宋体"/>
                <w:bCs/>
              </w:rPr>
              <w:t xml:space="preserve">2.9、勤恳工作，厉行节约，爱护设备，节约用水、用电、用料，破烂至不能用的应与科室交接时确定数量。 </w:t>
            </w:r>
          </w:p>
          <w:p w14:paraId="333717F5">
            <w:pPr>
              <w:pStyle w:val="7"/>
              <w:spacing w:line="380" w:lineRule="exact"/>
              <w:rPr>
                <w:rFonts w:hAnsi="宋体"/>
                <w:bCs/>
              </w:rPr>
            </w:pPr>
            <w:r>
              <w:rPr>
                <w:rFonts w:hint="eastAsia" w:hAnsi="宋体"/>
                <w:bCs/>
              </w:rPr>
              <w:t>2.10、对所有洗涤完毕的物品要求洗涤后进行整烫，无破损、无残缺、无毛边，对破损、残缺和毛边的要进行缝补、修剪。</w:t>
            </w:r>
          </w:p>
          <w:p w14:paraId="17FA44B0">
            <w:pPr>
              <w:pStyle w:val="7"/>
              <w:spacing w:line="380" w:lineRule="exact"/>
              <w:rPr>
                <w:rFonts w:hAnsi="宋体"/>
                <w:bCs/>
              </w:rPr>
            </w:pPr>
            <w:r>
              <w:rPr>
                <w:rFonts w:hint="eastAsia" w:hAnsi="宋体"/>
                <w:bCs/>
              </w:rPr>
              <w:t>2.11、洗涤被服供应要及时，临时性的工作要随叫随到，不得影响医院的正常医疗工作。</w:t>
            </w:r>
          </w:p>
          <w:p w14:paraId="465C71F1">
            <w:pPr>
              <w:pStyle w:val="7"/>
              <w:spacing w:line="380" w:lineRule="exact"/>
              <w:rPr>
                <w:rFonts w:hAnsi="宋体"/>
                <w:bCs/>
              </w:rPr>
            </w:pPr>
            <w:r>
              <w:rPr>
                <w:rFonts w:hint="eastAsia" w:hAnsi="宋体"/>
                <w:bCs/>
              </w:rPr>
              <w:t>2.12、对一些特殊的科室，如手术室等，应根据具体情况进行特殊操作。</w:t>
            </w:r>
          </w:p>
          <w:p w14:paraId="149F5369">
            <w:pPr>
              <w:pStyle w:val="7"/>
              <w:spacing w:line="380" w:lineRule="exact"/>
              <w:rPr>
                <w:rFonts w:hAnsi="宋体"/>
                <w:bCs/>
              </w:rPr>
            </w:pPr>
            <w:r>
              <w:rPr>
                <w:rFonts w:hint="eastAsia" w:hAnsi="宋体"/>
                <w:bCs/>
              </w:rPr>
              <w:t>2.13、热忱做好被服上收、下送工作，按时按量完成任务，认真清点数目，按规定办理交接手续并签字。</w:t>
            </w:r>
          </w:p>
          <w:p w14:paraId="29A76FB1">
            <w:pPr>
              <w:pStyle w:val="7"/>
              <w:spacing w:line="380" w:lineRule="exact"/>
              <w:rPr>
                <w:rFonts w:hAnsi="宋体"/>
                <w:bCs/>
              </w:rPr>
            </w:pPr>
            <w:r>
              <w:rPr>
                <w:rFonts w:hint="eastAsia" w:hAnsi="宋体"/>
                <w:bCs/>
              </w:rPr>
              <w:t>2.14、保持环境清洁，每日清洁消毒，每周大扫除，物体表面每天用500mg/L的有效氯溶液擦拭。</w:t>
            </w:r>
          </w:p>
          <w:p w14:paraId="077A5987">
            <w:pPr>
              <w:pStyle w:val="7"/>
              <w:spacing w:line="380" w:lineRule="exact"/>
              <w:rPr>
                <w:rFonts w:hAnsi="宋体"/>
                <w:bCs/>
              </w:rPr>
            </w:pPr>
            <w:r>
              <w:rPr>
                <w:rFonts w:hint="eastAsia" w:hAnsi="宋体"/>
                <w:bCs/>
              </w:rPr>
              <w:t>2.15、不同被服使用不同的专用设备和工具，设备、车辆、工具使用一次消毒一次，防止交叉感染。</w:t>
            </w:r>
          </w:p>
          <w:p w14:paraId="68CD6542">
            <w:pPr>
              <w:pStyle w:val="7"/>
              <w:spacing w:line="380" w:lineRule="exact"/>
              <w:rPr>
                <w:rFonts w:hAnsi="宋体"/>
                <w:bCs/>
              </w:rPr>
            </w:pPr>
            <w:r>
              <w:rPr>
                <w:rFonts w:hint="eastAsia" w:hAnsi="宋体"/>
                <w:bCs/>
              </w:rPr>
              <w:t>2.16、对工作中出现的特殊情况，要及时与医院沟通汇报，以防发生意外而影响医疗工作。</w:t>
            </w:r>
          </w:p>
          <w:p w14:paraId="49136D58">
            <w:pPr>
              <w:spacing w:line="380" w:lineRule="exact"/>
              <w:rPr>
                <w:rFonts w:ascii="宋体" w:hAnsi="宋体" w:eastAsia="宋体"/>
                <w:b/>
                <w:bCs/>
              </w:rPr>
            </w:pPr>
            <w:r>
              <w:rPr>
                <w:rFonts w:hint="eastAsia" w:ascii="宋体" w:hAnsi="宋体" w:eastAsia="宋体"/>
                <w:b/>
                <w:bCs/>
              </w:rPr>
              <w:t>六、绿化养护</w:t>
            </w:r>
          </w:p>
          <w:p w14:paraId="26F33391">
            <w:pPr>
              <w:spacing w:line="380" w:lineRule="exact"/>
              <w:rPr>
                <w:rFonts w:hint="eastAsia" w:ascii="宋体" w:hAnsi="宋体" w:eastAsia="宋体"/>
                <w:b/>
                <w:bCs/>
              </w:rPr>
            </w:pPr>
            <w:r>
              <w:rPr>
                <w:rFonts w:hint="eastAsia" w:ascii="宋体" w:hAnsi="宋体" w:eastAsia="宋体"/>
                <w:sz w:val="21"/>
                <w:szCs w:val="21"/>
              </w:rPr>
              <w:t>1</w:t>
            </w:r>
            <w:r>
              <w:rPr>
                <w:rFonts w:hint="eastAsia" w:ascii="宋体" w:hAnsi="宋体"/>
                <w:sz w:val="21"/>
                <w:szCs w:val="21"/>
              </w:rPr>
              <w:t>、</w:t>
            </w:r>
            <w:r>
              <w:rPr>
                <w:rFonts w:hint="eastAsia" w:ascii="宋体" w:hAnsi="宋体" w:eastAsia="宋体"/>
                <w:sz w:val="21"/>
                <w:szCs w:val="21"/>
              </w:rPr>
              <w:t>负责院区绿化范围的养护管理。</w:t>
            </w:r>
          </w:p>
          <w:p w14:paraId="3A6AB8F7">
            <w:pPr>
              <w:pStyle w:val="2"/>
              <w:spacing w:line="380" w:lineRule="exact"/>
              <w:rPr>
                <w:rFonts w:hint="eastAsia" w:ascii="宋体" w:hAnsi="宋体"/>
                <w:sz w:val="21"/>
                <w:szCs w:val="21"/>
              </w:rPr>
            </w:pPr>
            <w:r>
              <w:rPr>
                <w:rFonts w:hint="eastAsia" w:ascii="宋体" w:hAnsi="宋体"/>
                <w:sz w:val="21"/>
                <w:szCs w:val="21"/>
              </w:rPr>
              <w:t>2、对花草树木定期培土、浇水除虫、施肥松土、修剪花枝等管理。</w:t>
            </w:r>
          </w:p>
          <w:p w14:paraId="4D706C78">
            <w:pPr>
              <w:pStyle w:val="2"/>
              <w:spacing w:line="380" w:lineRule="exact"/>
              <w:rPr>
                <w:rFonts w:hint="eastAsia" w:ascii="宋体" w:hAnsi="宋体"/>
                <w:sz w:val="21"/>
                <w:szCs w:val="21"/>
              </w:rPr>
            </w:pPr>
            <w:r>
              <w:rPr>
                <w:rFonts w:hint="eastAsia" w:ascii="宋体" w:hAnsi="宋体"/>
                <w:sz w:val="21"/>
                <w:szCs w:val="21"/>
              </w:rPr>
              <w:t>3、保持工作区域清洁、除草、修剪枯枝、残叶、残花等。</w:t>
            </w:r>
          </w:p>
          <w:p w14:paraId="62AA147C">
            <w:pPr>
              <w:pStyle w:val="2"/>
              <w:spacing w:line="380" w:lineRule="exact"/>
              <w:rPr>
                <w:b/>
                <w:bCs/>
              </w:rPr>
            </w:pPr>
            <w:r>
              <w:rPr>
                <w:rFonts w:hint="eastAsia"/>
                <w:b/>
                <w:bCs/>
              </w:rPr>
              <w:t>七、污水管理</w:t>
            </w:r>
          </w:p>
          <w:p w14:paraId="6DACC065">
            <w:pPr>
              <w:pStyle w:val="2"/>
              <w:spacing w:line="300" w:lineRule="exact"/>
              <w:jc w:val="both"/>
              <w:rPr>
                <w:rFonts w:hAnsi="宋体"/>
                <w:bCs/>
              </w:rPr>
            </w:pPr>
            <w:r>
              <w:rPr>
                <w:rFonts w:hint="eastAsia" w:hAnsi="宋体"/>
                <w:bCs/>
              </w:rPr>
              <w:t>1、派一人专门负责污水处理站的运营管理。</w:t>
            </w:r>
          </w:p>
          <w:p w14:paraId="1049BDF5">
            <w:pPr>
              <w:pStyle w:val="2"/>
              <w:spacing w:line="300" w:lineRule="exact"/>
              <w:jc w:val="both"/>
              <w:rPr>
                <w:b/>
                <w:bCs/>
              </w:rPr>
            </w:pPr>
            <w:r>
              <w:rPr>
                <w:rFonts w:hint="eastAsia" w:hAnsi="宋体"/>
                <w:bCs/>
              </w:rPr>
              <w:t>2、每日做好污水余氯监测，并做好记录，保证污水达标排放。</w:t>
            </w:r>
          </w:p>
          <w:p w14:paraId="1D54855B">
            <w:pPr>
              <w:pStyle w:val="7"/>
              <w:spacing w:line="300" w:lineRule="exact"/>
              <w:rPr>
                <w:rFonts w:hAnsi="宋体"/>
                <w:bCs/>
              </w:rPr>
            </w:pPr>
            <w:r>
              <w:rPr>
                <w:rFonts w:hint="eastAsia" w:hAnsi="宋体"/>
                <w:bCs/>
              </w:rPr>
              <w:t>3、做好污水处理原料保管工作。</w:t>
            </w:r>
          </w:p>
          <w:p w14:paraId="58CD3097">
            <w:pPr>
              <w:pStyle w:val="7"/>
              <w:spacing w:line="380" w:lineRule="exact"/>
              <w:rPr>
                <w:rFonts w:hAnsi="宋体"/>
                <w:b/>
              </w:rPr>
            </w:pPr>
            <w:r>
              <w:rPr>
                <w:rFonts w:hint="eastAsia" w:hAnsi="宋体"/>
                <w:b/>
              </w:rPr>
              <w:t>八、其他要求</w:t>
            </w:r>
          </w:p>
          <w:p w14:paraId="7C05C3AA">
            <w:pPr>
              <w:pStyle w:val="7"/>
              <w:spacing w:line="380" w:lineRule="exact"/>
              <w:rPr>
                <w:rFonts w:hAnsi="宋体"/>
                <w:bCs/>
              </w:rPr>
            </w:pPr>
            <w:r>
              <w:rPr>
                <w:rFonts w:hint="eastAsia" w:hAnsi="宋体"/>
                <w:bCs/>
              </w:rPr>
              <w:t>1、竞标人须提供资质证明、简介等资料（包括目前所管辖物业情况介绍）。</w:t>
            </w:r>
          </w:p>
          <w:p w14:paraId="6B9D1A0C">
            <w:pPr>
              <w:pStyle w:val="7"/>
              <w:spacing w:line="380" w:lineRule="exact"/>
              <w:rPr>
                <w:rFonts w:hAnsi="宋体"/>
                <w:bCs/>
              </w:rPr>
            </w:pPr>
            <w:r>
              <w:rPr>
                <w:rFonts w:hint="eastAsia" w:hAnsi="宋体"/>
                <w:bCs/>
              </w:rPr>
              <w:t>2、物业管理方案须体现竞标人对投标物业的总体目标（即在一定期限内质量管理达到何种标准），并包括如下内容：</w:t>
            </w:r>
          </w:p>
          <w:p w14:paraId="6124FD64">
            <w:pPr>
              <w:pStyle w:val="7"/>
              <w:spacing w:line="380" w:lineRule="exact"/>
              <w:rPr>
                <w:rFonts w:hAnsi="宋体"/>
                <w:bCs/>
              </w:rPr>
            </w:pPr>
            <w:r>
              <w:rPr>
                <w:rFonts w:hint="eastAsia" w:hAnsi="宋体"/>
                <w:bCs/>
              </w:rPr>
              <w:t>（1）竞标人拟采取的管理方式，包括内部管理架构设置、机制、信息反馈处理机制、员工待遇、激励机制等。公司应定期组织员工培训，提高业务水平。尤其是服务态度和责任心，强化标准意识。公司应建立健全的赏罚分明的管理制度，对工作中表现好的个人积极的大力表扬，并给一定的物质奖励，对表现不好的，或者工作失职造成影响的进行罚款。保洁人员每天上班由各科室负责考勤；对工作期间由于工作失职发生物品损坏或丢失的，由本人承担。</w:t>
            </w:r>
          </w:p>
          <w:p w14:paraId="405E64BE">
            <w:pPr>
              <w:pStyle w:val="7"/>
              <w:spacing w:line="380" w:lineRule="exact"/>
              <w:rPr>
                <w:rFonts w:hAnsi="宋体"/>
                <w:bCs/>
              </w:rPr>
            </w:pPr>
            <w:r>
              <w:rPr>
                <w:rFonts w:hint="eastAsia" w:hAnsi="宋体"/>
                <w:bCs/>
              </w:rPr>
              <w:t>（2）管理人员及员工配备。包括：人员的编制、配置情况，素质要求（学历、能力、经历），培训计划、上岗考核标准等，各岗位人员均应具有有关部门颁发的上岗证或职业资格证。保洁员男不超过60岁，女不超过55岁，以身份证登记为准.</w:t>
            </w:r>
          </w:p>
          <w:p w14:paraId="5246B7D4">
            <w:pPr>
              <w:pStyle w:val="7"/>
              <w:spacing w:line="380" w:lineRule="exact"/>
              <w:rPr>
                <w:rFonts w:hAnsi="宋体"/>
                <w:bCs/>
              </w:rPr>
            </w:pPr>
            <w:r>
              <w:rPr>
                <w:rFonts w:hint="eastAsia" w:hAnsi="宋体"/>
                <w:bCs/>
              </w:rPr>
              <w:t>（3）服务承诺。对本项目物业服务范围及要求进行逐条响应。</w:t>
            </w:r>
          </w:p>
          <w:p w14:paraId="59174059">
            <w:pPr>
              <w:pStyle w:val="7"/>
              <w:spacing w:line="380" w:lineRule="exact"/>
              <w:rPr>
                <w:rFonts w:hAnsi="宋体"/>
                <w:bCs/>
              </w:rPr>
            </w:pPr>
            <w:r>
              <w:rPr>
                <w:rFonts w:hint="eastAsia" w:hAnsi="宋体"/>
                <w:bCs/>
              </w:rPr>
              <w:t>（4）管理工作必需的物质准备计划。包括：物业管理人员生活、工作用品、物业管理需要的机械维修、通讯、 保洁等设备或工具。</w:t>
            </w:r>
          </w:p>
          <w:p w14:paraId="4A771D8C">
            <w:pPr>
              <w:pStyle w:val="7"/>
              <w:spacing w:line="380" w:lineRule="exact"/>
              <w:rPr>
                <w:rFonts w:hAnsi="宋体"/>
                <w:bCs/>
              </w:rPr>
            </w:pPr>
            <w:r>
              <w:rPr>
                <w:rFonts w:hint="eastAsia" w:hAnsi="宋体"/>
                <w:bCs/>
              </w:rPr>
              <w:t>（5）档案建立与管理。包括物业管理档案、投诉与回访记录等。</w:t>
            </w:r>
          </w:p>
          <w:p w14:paraId="41B698D2">
            <w:pPr>
              <w:pStyle w:val="7"/>
              <w:spacing w:line="380" w:lineRule="exact"/>
              <w:rPr>
                <w:rFonts w:hAnsi="宋体"/>
                <w:bCs/>
              </w:rPr>
            </w:pPr>
            <w:r>
              <w:rPr>
                <w:rFonts w:hint="eastAsia" w:hAnsi="宋体"/>
                <w:bCs/>
              </w:rPr>
              <w:t>（6）质量承诺，包括：安全责任事故发生率、维修工程质量合格率、绿化完好率、排水管及暗沟完好率、公共设施、休息设施以及小品雕塑完好率、照明灯完好率、投诉处理及回访率、管理人员专业培训合格率、对物业管理满意率等。</w:t>
            </w:r>
          </w:p>
          <w:p w14:paraId="703D73DF">
            <w:pPr>
              <w:pStyle w:val="7"/>
              <w:spacing w:line="380" w:lineRule="exact"/>
              <w:rPr>
                <w:rFonts w:hAnsi="宋体"/>
                <w:bCs/>
              </w:rPr>
            </w:pPr>
            <w:r>
              <w:rPr>
                <w:rFonts w:hint="eastAsia" w:hAnsi="宋体"/>
                <w:bCs/>
              </w:rPr>
              <w:t>3、乙方管理服务范围达不到标准的，甲方有权进行处理，第一次警告，第二次扣乙方管理服务费每次200元。</w:t>
            </w:r>
          </w:p>
          <w:p w14:paraId="4AE67B09">
            <w:pPr>
              <w:pStyle w:val="7"/>
              <w:spacing w:line="380" w:lineRule="exact"/>
              <w:rPr>
                <w:rFonts w:hAnsi="宋体"/>
                <w:bCs/>
              </w:rPr>
            </w:pPr>
            <w:r>
              <w:rPr>
                <w:rFonts w:hint="eastAsia" w:hAnsi="宋体"/>
                <w:bCs/>
              </w:rPr>
              <w:t>4、增进物业公司与医院各科室的关系。每半年进行一次对物业管理服务包括满意度抽样调查，满意率达90%以上，对不满意的原因进行分析。</w:t>
            </w:r>
          </w:p>
          <w:p w14:paraId="071AF252">
            <w:pPr>
              <w:pStyle w:val="7"/>
              <w:spacing w:line="380" w:lineRule="exact"/>
              <w:rPr>
                <w:rFonts w:hAnsi="宋体"/>
                <w:bCs/>
              </w:rPr>
            </w:pPr>
            <w:r>
              <w:rPr>
                <w:rFonts w:hint="eastAsia" w:hAnsi="宋体"/>
                <w:bCs/>
              </w:rPr>
              <w:t>5、人员配置按服务管理需要的动态变化而进行调整</w:t>
            </w:r>
          </w:p>
          <w:p w14:paraId="6BCFADDF">
            <w:pPr>
              <w:pStyle w:val="7"/>
              <w:spacing w:line="380" w:lineRule="exact"/>
              <w:rPr>
                <w:rFonts w:hAnsi="宋体"/>
                <w:bCs/>
              </w:rPr>
            </w:pPr>
            <w:r>
              <w:rPr>
                <w:rFonts w:hint="eastAsia" w:hAnsi="宋体"/>
                <w:bCs/>
              </w:rPr>
              <w:t>注：人员配置在实际工作中需要变动的，双方以书面形式向对方提出，经协商同意后再进行配置。</w:t>
            </w:r>
          </w:p>
          <w:p w14:paraId="66F0E226">
            <w:pPr>
              <w:pStyle w:val="7"/>
              <w:spacing w:line="380" w:lineRule="exact"/>
              <w:rPr>
                <w:rFonts w:hAnsi="宋体"/>
                <w:bCs/>
              </w:rPr>
            </w:pPr>
            <w:r>
              <w:rPr>
                <w:rFonts w:hint="eastAsia" w:hAnsi="宋体"/>
                <w:bCs/>
              </w:rPr>
              <w:t>七、人员配置要求：不少于6</w:t>
            </w:r>
            <w:r>
              <w:rPr>
                <w:rFonts w:hAnsi="宋体"/>
                <w:bCs/>
              </w:rPr>
              <w:t>1</w:t>
            </w:r>
            <w:r>
              <w:rPr>
                <w:rFonts w:hint="eastAsia" w:hAnsi="宋体"/>
                <w:bCs/>
              </w:rPr>
              <w:t>人，具体岗位由乙方自拟。</w:t>
            </w:r>
          </w:p>
          <w:p w14:paraId="378925C8">
            <w:pPr>
              <w:pStyle w:val="7"/>
              <w:spacing w:line="380" w:lineRule="exact"/>
              <w:rPr>
                <w:rFonts w:hAnsi="宋体"/>
                <w:bCs/>
              </w:rPr>
            </w:pPr>
            <w:r>
              <w:rPr>
                <w:rFonts w:hint="eastAsia" w:hAnsi="宋体"/>
                <w:bCs/>
              </w:rPr>
              <w:t>八、人员待遇问题：工资、保险等福利由乙方和聘用人员签订，具体情况见聘用合同。</w:t>
            </w:r>
          </w:p>
          <w:p w14:paraId="29F50A29">
            <w:pPr>
              <w:rPr>
                <w:rFonts w:hint="eastAsia"/>
              </w:rPr>
            </w:pPr>
          </w:p>
          <w:p w14:paraId="293DA66B">
            <w:pPr>
              <w:rPr>
                <w:rFonts w:hint="eastAsia"/>
              </w:rPr>
            </w:pPr>
          </w:p>
        </w:tc>
      </w:tr>
    </w:tbl>
    <w:p w14:paraId="07D3B09F">
      <w:pPr>
        <w:spacing w:line="1" w:lineRule="exact"/>
        <w:ind w:firstLine="80" w:firstLineChars="200"/>
        <w:rPr>
          <w:sz w:val="4"/>
          <w:szCs w:val="4"/>
          <w:lang w:eastAsia="zh-CN"/>
        </w:rPr>
      </w:pPr>
    </w:p>
    <w:p w14:paraId="6A1D6377">
      <w:pPr>
        <w:rPr>
          <w:sz w:val="28"/>
          <w:szCs w:val="28"/>
          <w:lang w:eastAsia="zh-CN"/>
        </w:rPr>
        <w:sectPr>
          <w:footerReference r:id="rId10" w:type="default"/>
          <w:footerReference r:id="rId11" w:type="even"/>
          <w:pgSz w:w="11900" w:h="16840"/>
          <w:pgMar w:top="1106" w:right="1120" w:bottom="890" w:left="1120" w:header="732" w:footer="680" w:gutter="0"/>
          <w:cols w:space="720" w:num="1"/>
          <w:docGrid w:linePitch="360" w:charSpace="0"/>
        </w:sectPr>
      </w:pPr>
    </w:p>
    <w:p w14:paraId="0D123E8B">
      <w:pPr>
        <w:pStyle w:val="41"/>
        <w:keepNext/>
        <w:keepLines/>
        <w:spacing w:after="300"/>
        <w:ind w:firstLine="640" w:firstLineChars="200"/>
        <w:rPr>
          <w:sz w:val="32"/>
          <w:szCs w:val="32"/>
        </w:rPr>
      </w:pPr>
      <w:bookmarkStart w:id="21" w:name="bookmark42"/>
      <w:bookmarkStart w:id="22" w:name="bookmark40"/>
      <w:bookmarkStart w:id="23" w:name="bookmark41"/>
      <w:r>
        <w:rPr>
          <w:sz w:val="32"/>
          <w:szCs w:val="32"/>
        </w:rPr>
        <w:t>第三章供应商须知</w:t>
      </w:r>
      <w:bookmarkEnd w:id="21"/>
    </w:p>
    <w:p w14:paraId="148C0213">
      <w:pPr>
        <w:pStyle w:val="41"/>
        <w:keepNext/>
        <w:keepLines/>
        <w:spacing w:after="300"/>
        <w:ind w:firstLine="640" w:firstLineChars="200"/>
        <w:rPr>
          <w:sz w:val="32"/>
          <w:szCs w:val="32"/>
        </w:rPr>
      </w:pPr>
      <w:bookmarkStart w:id="24" w:name="bookmark43"/>
      <w:r>
        <w:rPr>
          <w:sz w:val="32"/>
          <w:szCs w:val="32"/>
        </w:rPr>
        <w:t>第一节供应商须知前附表</w:t>
      </w:r>
      <w:bookmarkEnd w:id="22"/>
      <w:bookmarkEnd w:id="23"/>
      <w:bookmarkEnd w:id="24"/>
    </w:p>
    <w:tbl>
      <w:tblPr>
        <w:tblStyle w:val="14"/>
        <w:tblW w:w="0" w:type="auto"/>
        <w:jc w:val="center"/>
        <w:tblLayout w:type="fixed"/>
        <w:tblCellMar>
          <w:top w:w="0" w:type="dxa"/>
          <w:left w:w="10" w:type="dxa"/>
          <w:bottom w:w="0" w:type="dxa"/>
          <w:right w:w="10" w:type="dxa"/>
        </w:tblCellMar>
      </w:tblPr>
      <w:tblGrid>
        <w:gridCol w:w="960"/>
        <w:gridCol w:w="2220"/>
        <w:gridCol w:w="6855"/>
      </w:tblGrid>
      <w:tr w14:paraId="16BA075D">
        <w:tblPrEx>
          <w:tblCellMar>
            <w:top w:w="0" w:type="dxa"/>
            <w:left w:w="10" w:type="dxa"/>
            <w:bottom w:w="0" w:type="dxa"/>
            <w:right w:w="10" w:type="dxa"/>
          </w:tblCellMar>
        </w:tblPrEx>
        <w:trPr>
          <w:trHeight w:val="275" w:hRule="exact"/>
          <w:jc w:val="center"/>
        </w:trPr>
        <w:tc>
          <w:tcPr>
            <w:tcW w:w="960" w:type="dxa"/>
            <w:tcBorders>
              <w:top w:val="single" w:color="auto" w:sz="4" w:space="0"/>
              <w:left w:val="single" w:color="auto" w:sz="4" w:space="0"/>
            </w:tcBorders>
            <w:shd w:val="clear" w:color="auto" w:fill="FFFFFF"/>
          </w:tcPr>
          <w:p w14:paraId="58AF0F9B">
            <w:pPr>
              <w:pStyle w:val="43"/>
              <w:spacing w:line="240" w:lineRule="auto"/>
              <w:ind w:firstLine="0"/>
              <w:rPr>
                <w:sz w:val="21"/>
                <w:szCs w:val="21"/>
              </w:rPr>
            </w:pPr>
            <w:r>
              <w:rPr>
                <w:sz w:val="21"/>
                <w:szCs w:val="21"/>
              </w:rPr>
              <w:t>条款号</w:t>
            </w:r>
          </w:p>
        </w:tc>
        <w:tc>
          <w:tcPr>
            <w:tcW w:w="2220" w:type="dxa"/>
            <w:tcBorders>
              <w:top w:val="single" w:color="auto" w:sz="4" w:space="0"/>
              <w:left w:val="single" w:color="auto" w:sz="4" w:space="0"/>
            </w:tcBorders>
            <w:shd w:val="clear" w:color="auto" w:fill="FFFFFF"/>
          </w:tcPr>
          <w:p w14:paraId="7B5EA678">
            <w:pPr>
              <w:pStyle w:val="43"/>
              <w:spacing w:line="240" w:lineRule="auto"/>
              <w:ind w:firstLine="0"/>
              <w:jc w:val="center"/>
              <w:rPr>
                <w:sz w:val="21"/>
                <w:szCs w:val="21"/>
                <w:lang w:eastAsia="zh-CN"/>
              </w:rPr>
            </w:pPr>
            <w:r>
              <w:rPr>
                <w:sz w:val="21"/>
                <w:szCs w:val="21"/>
              </w:rPr>
              <w:t>条款</w:t>
            </w:r>
            <w:r>
              <w:rPr>
                <w:rFonts w:hint="eastAsia"/>
                <w:sz w:val="21"/>
                <w:szCs w:val="21"/>
                <w:lang w:eastAsia="zh-CN"/>
              </w:rPr>
              <w:t>内容</w:t>
            </w:r>
          </w:p>
        </w:tc>
        <w:tc>
          <w:tcPr>
            <w:tcW w:w="6855" w:type="dxa"/>
            <w:tcBorders>
              <w:top w:val="single" w:color="auto" w:sz="4" w:space="0"/>
              <w:left w:val="single" w:color="auto" w:sz="4" w:space="0"/>
              <w:right w:val="single" w:color="auto" w:sz="4" w:space="0"/>
            </w:tcBorders>
            <w:shd w:val="clear" w:color="auto" w:fill="FFFFFF"/>
          </w:tcPr>
          <w:p w14:paraId="4C3E11A3">
            <w:pPr>
              <w:pStyle w:val="43"/>
              <w:spacing w:line="240" w:lineRule="auto"/>
              <w:ind w:firstLine="0"/>
              <w:jc w:val="center"/>
              <w:rPr>
                <w:sz w:val="21"/>
                <w:szCs w:val="21"/>
              </w:rPr>
            </w:pPr>
            <w:r>
              <w:rPr>
                <w:sz w:val="21"/>
                <w:szCs w:val="21"/>
              </w:rPr>
              <w:t>具体要求</w:t>
            </w:r>
          </w:p>
        </w:tc>
      </w:tr>
      <w:tr w14:paraId="47D2FA32">
        <w:tblPrEx>
          <w:tblCellMar>
            <w:top w:w="0" w:type="dxa"/>
            <w:left w:w="10" w:type="dxa"/>
            <w:bottom w:w="0" w:type="dxa"/>
            <w:right w:w="10" w:type="dxa"/>
          </w:tblCellMar>
        </w:tblPrEx>
        <w:trPr>
          <w:trHeight w:val="420" w:hRule="exact"/>
          <w:jc w:val="center"/>
        </w:trPr>
        <w:tc>
          <w:tcPr>
            <w:tcW w:w="960" w:type="dxa"/>
            <w:tcBorders>
              <w:top w:val="single" w:color="auto" w:sz="4" w:space="0"/>
              <w:left w:val="single" w:color="auto" w:sz="4" w:space="0"/>
            </w:tcBorders>
            <w:shd w:val="clear" w:color="auto" w:fill="FFFFFF"/>
          </w:tcPr>
          <w:p w14:paraId="3EAF8582">
            <w:pPr>
              <w:pStyle w:val="43"/>
              <w:spacing w:line="240" w:lineRule="auto"/>
              <w:rPr>
                <w:sz w:val="21"/>
                <w:szCs w:val="21"/>
              </w:rPr>
            </w:pPr>
            <w:r>
              <w:rPr>
                <w:sz w:val="21"/>
                <w:szCs w:val="21"/>
              </w:rPr>
              <w:t>3</w:t>
            </w:r>
          </w:p>
        </w:tc>
        <w:tc>
          <w:tcPr>
            <w:tcW w:w="2220" w:type="dxa"/>
            <w:tcBorders>
              <w:top w:val="single" w:color="auto" w:sz="4" w:space="0"/>
              <w:left w:val="single" w:color="auto" w:sz="4" w:space="0"/>
            </w:tcBorders>
            <w:shd w:val="clear" w:color="auto" w:fill="FFFFFF"/>
          </w:tcPr>
          <w:p w14:paraId="13D0974D">
            <w:pPr>
              <w:pStyle w:val="43"/>
              <w:spacing w:line="240" w:lineRule="auto"/>
              <w:ind w:firstLine="320"/>
              <w:rPr>
                <w:sz w:val="21"/>
                <w:szCs w:val="21"/>
              </w:rPr>
            </w:pPr>
            <w:r>
              <w:rPr>
                <w:sz w:val="21"/>
                <w:szCs w:val="21"/>
              </w:rPr>
              <w:t>供应商资格条件</w:t>
            </w:r>
          </w:p>
        </w:tc>
        <w:tc>
          <w:tcPr>
            <w:tcW w:w="6855" w:type="dxa"/>
            <w:tcBorders>
              <w:top w:val="single" w:color="auto" w:sz="4" w:space="0"/>
              <w:left w:val="single" w:color="auto" w:sz="4" w:space="0"/>
              <w:right w:val="single" w:color="auto" w:sz="4" w:space="0"/>
            </w:tcBorders>
            <w:shd w:val="clear" w:color="auto" w:fill="FFFFFF"/>
          </w:tcPr>
          <w:p w14:paraId="3684145F">
            <w:pPr>
              <w:pStyle w:val="43"/>
              <w:spacing w:line="240" w:lineRule="auto"/>
              <w:ind w:firstLine="0"/>
              <w:rPr>
                <w:sz w:val="21"/>
                <w:szCs w:val="21"/>
              </w:rPr>
            </w:pPr>
            <w:r>
              <w:rPr>
                <w:sz w:val="21"/>
                <w:szCs w:val="21"/>
              </w:rPr>
              <w:t>供应商资格条件要求详见公告。</w:t>
            </w:r>
          </w:p>
        </w:tc>
      </w:tr>
      <w:tr w14:paraId="65F963FB">
        <w:tblPrEx>
          <w:tblCellMar>
            <w:top w:w="0" w:type="dxa"/>
            <w:left w:w="10" w:type="dxa"/>
            <w:bottom w:w="0" w:type="dxa"/>
            <w:right w:w="10" w:type="dxa"/>
          </w:tblCellMar>
        </w:tblPrEx>
        <w:trPr>
          <w:trHeight w:val="420" w:hRule="exact"/>
          <w:jc w:val="center"/>
        </w:trPr>
        <w:tc>
          <w:tcPr>
            <w:tcW w:w="960" w:type="dxa"/>
            <w:tcBorders>
              <w:top w:val="single" w:color="auto" w:sz="4" w:space="0"/>
              <w:left w:val="single" w:color="auto" w:sz="4" w:space="0"/>
            </w:tcBorders>
            <w:shd w:val="clear" w:color="auto" w:fill="FFFFFF"/>
          </w:tcPr>
          <w:p w14:paraId="1D8A1772">
            <w:pPr>
              <w:pStyle w:val="43"/>
              <w:spacing w:line="240" w:lineRule="auto"/>
              <w:ind w:firstLine="280"/>
              <w:rPr>
                <w:sz w:val="21"/>
                <w:szCs w:val="21"/>
              </w:rPr>
            </w:pPr>
            <w:r>
              <w:rPr>
                <w:sz w:val="21"/>
                <w:szCs w:val="21"/>
                <w:lang w:val="en-US" w:eastAsia="en-US" w:bidi="en-US"/>
              </w:rPr>
              <w:t>5.1</w:t>
            </w:r>
          </w:p>
        </w:tc>
        <w:tc>
          <w:tcPr>
            <w:tcW w:w="2220" w:type="dxa"/>
            <w:tcBorders>
              <w:top w:val="single" w:color="auto" w:sz="4" w:space="0"/>
              <w:left w:val="single" w:color="auto" w:sz="4" w:space="0"/>
            </w:tcBorders>
            <w:shd w:val="clear" w:color="auto" w:fill="FFFFFF"/>
          </w:tcPr>
          <w:p w14:paraId="0AFABC7A">
            <w:pPr>
              <w:pStyle w:val="43"/>
              <w:spacing w:line="240" w:lineRule="auto"/>
              <w:ind w:firstLine="0"/>
              <w:rPr>
                <w:sz w:val="21"/>
                <w:szCs w:val="21"/>
              </w:rPr>
            </w:pPr>
            <w:r>
              <w:rPr>
                <w:sz w:val="21"/>
                <w:szCs w:val="21"/>
              </w:rPr>
              <w:t>是否接受联合体竞标</w:t>
            </w:r>
          </w:p>
        </w:tc>
        <w:tc>
          <w:tcPr>
            <w:tcW w:w="6855" w:type="dxa"/>
            <w:tcBorders>
              <w:top w:val="single" w:color="auto" w:sz="4" w:space="0"/>
              <w:left w:val="single" w:color="auto" w:sz="4" w:space="0"/>
              <w:right w:val="single" w:color="auto" w:sz="4" w:space="0"/>
            </w:tcBorders>
            <w:shd w:val="clear" w:color="auto" w:fill="FFFFFF"/>
          </w:tcPr>
          <w:p w14:paraId="4BCB16A9">
            <w:pPr>
              <w:pStyle w:val="43"/>
              <w:spacing w:line="240" w:lineRule="auto"/>
              <w:ind w:firstLine="0"/>
              <w:rPr>
                <w:sz w:val="21"/>
                <w:szCs w:val="21"/>
              </w:rPr>
            </w:pPr>
            <w:r>
              <w:rPr>
                <w:sz w:val="21"/>
                <w:szCs w:val="21"/>
              </w:rPr>
              <w:t>不允许联合体竟标</w:t>
            </w:r>
          </w:p>
        </w:tc>
      </w:tr>
      <w:tr w14:paraId="7C357F37">
        <w:tblPrEx>
          <w:tblCellMar>
            <w:top w:w="0" w:type="dxa"/>
            <w:left w:w="10" w:type="dxa"/>
            <w:bottom w:w="0" w:type="dxa"/>
            <w:right w:w="10" w:type="dxa"/>
          </w:tblCellMar>
        </w:tblPrEx>
        <w:trPr>
          <w:trHeight w:val="420" w:hRule="exact"/>
          <w:jc w:val="center"/>
        </w:trPr>
        <w:tc>
          <w:tcPr>
            <w:tcW w:w="960" w:type="dxa"/>
            <w:tcBorders>
              <w:top w:val="single" w:color="auto" w:sz="4" w:space="0"/>
              <w:left w:val="single" w:color="auto" w:sz="4" w:space="0"/>
            </w:tcBorders>
            <w:shd w:val="clear" w:color="auto" w:fill="FFFFFF"/>
          </w:tcPr>
          <w:p w14:paraId="2683811A">
            <w:pPr>
              <w:pStyle w:val="43"/>
              <w:spacing w:line="240" w:lineRule="auto"/>
              <w:ind w:firstLine="280"/>
              <w:rPr>
                <w:sz w:val="21"/>
                <w:szCs w:val="21"/>
              </w:rPr>
            </w:pPr>
            <w:r>
              <w:rPr>
                <w:sz w:val="21"/>
                <w:szCs w:val="21"/>
                <w:lang w:val="en-US" w:eastAsia="en-US" w:bidi="en-US"/>
              </w:rPr>
              <w:t>5.2</w:t>
            </w:r>
          </w:p>
        </w:tc>
        <w:tc>
          <w:tcPr>
            <w:tcW w:w="2220" w:type="dxa"/>
            <w:tcBorders>
              <w:top w:val="single" w:color="auto" w:sz="4" w:space="0"/>
              <w:left w:val="single" w:color="auto" w:sz="4" w:space="0"/>
            </w:tcBorders>
            <w:shd w:val="clear" w:color="auto" w:fill="FFFFFF"/>
          </w:tcPr>
          <w:p w14:paraId="158BBEAF">
            <w:pPr>
              <w:pStyle w:val="43"/>
              <w:spacing w:line="240" w:lineRule="auto"/>
              <w:ind w:firstLine="320"/>
              <w:rPr>
                <w:sz w:val="21"/>
                <w:szCs w:val="21"/>
              </w:rPr>
            </w:pPr>
            <w:r>
              <w:rPr>
                <w:sz w:val="21"/>
                <w:szCs w:val="21"/>
              </w:rPr>
              <w:t>联合体竞标要求</w:t>
            </w:r>
          </w:p>
        </w:tc>
        <w:tc>
          <w:tcPr>
            <w:tcW w:w="6855" w:type="dxa"/>
            <w:tcBorders>
              <w:top w:val="single" w:color="auto" w:sz="4" w:space="0"/>
              <w:left w:val="single" w:color="auto" w:sz="4" w:space="0"/>
              <w:right w:val="single" w:color="auto" w:sz="4" w:space="0"/>
            </w:tcBorders>
            <w:shd w:val="clear" w:color="auto" w:fill="FFFFFF"/>
          </w:tcPr>
          <w:p w14:paraId="43348792">
            <w:pPr>
              <w:pStyle w:val="43"/>
              <w:spacing w:line="240" w:lineRule="auto"/>
              <w:ind w:firstLine="0"/>
              <w:rPr>
                <w:sz w:val="21"/>
                <w:szCs w:val="21"/>
              </w:rPr>
            </w:pPr>
            <w:r>
              <w:rPr>
                <w:sz w:val="21"/>
                <w:szCs w:val="21"/>
              </w:rPr>
              <w:t>无</w:t>
            </w:r>
          </w:p>
        </w:tc>
      </w:tr>
      <w:tr w14:paraId="069784CA">
        <w:tblPrEx>
          <w:tblCellMar>
            <w:top w:w="0" w:type="dxa"/>
            <w:left w:w="10" w:type="dxa"/>
            <w:bottom w:w="0" w:type="dxa"/>
            <w:right w:w="10" w:type="dxa"/>
          </w:tblCellMar>
        </w:tblPrEx>
        <w:trPr>
          <w:trHeight w:val="1795" w:hRule="exact"/>
          <w:jc w:val="center"/>
        </w:trPr>
        <w:tc>
          <w:tcPr>
            <w:tcW w:w="960" w:type="dxa"/>
            <w:tcBorders>
              <w:top w:val="single" w:color="auto" w:sz="4" w:space="0"/>
              <w:left w:val="single" w:color="auto" w:sz="4" w:space="0"/>
            </w:tcBorders>
            <w:shd w:val="clear" w:color="auto" w:fill="FFFFFF"/>
            <w:vAlign w:val="center"/>
          </w:tcPr>
          <w:p w14:paraId="6FB9C75F">
            <w:pPr>
              <w:pStyle w:val="43"/>
              <w:spacing w:line="240" w:lineRule="auto"/>
              <w:ind w:firstLine="280"/>
              <w:rPr>
                <w:sz w:val="21"/>
                <w:szCs w:val="21"/>
              </w:rPr>
            </w:pPr>
            <w:r>
              <w:rPr>
                <w:sz w:val="21"/>
                <w:szCs w:val="21"/>
                <w:lang w:val="en-US" w:eastAsia="en-US" w:bidi="en-US"/>
              </w:rPr>
              <w:t>6.1</w:t>
            </w:r>
          </w:p>
        </w:tc>
        <w:tc>
          <w:tcPr>
            <w:tcW w:w="2220" w:type="dxa"/>
            <w:tcBorders>
              <w:top w:val="single" w:color="auto" w:sz="4" w:space="0"/>
              <w:left w:val="single" w:color="auto" w:sz="4" w:space="0"/>
            </w:tcBorders>
            <w:shd w:val="clear" w:color="auto" w:fill="FFFFFF"/>
            <w:vAlign w:val="center"/>
          </w:tcPr>
          <w:p w14:paraId="39D3B64C">
            <w:pPr>
              <w:pStyle w:val="43"/>
              <w:spacing w:line="240" w:lineRule="auto"/>
              <w:ind w:firstLine="440"/>
              <w:rPr>
                <w:sz w:val="21"/>
                <w:szCs w:val="21"/>
              </w:rPr>
            </w:pPr>
            <w:r>
              <w:rPr>
                <w:sz w:val="21"/>
                <w:szCs w:val="21"/>
              </w:rPr>
              <w:t>是否允许分包</w:t>
            </w:r>
          </w:p>
        </w:tc>
        <w:tc>
          <w:tcPr>
            <w:tcW w:w="6855" w:type="dxa"/>
            <w:tcBorders>
              <w:top w:val="single" w:color="auto" w:sz="4" w:space="0"/>
              <w:left w:val="single" w:color="auto" w:sz="4" w:space="0"/>
              <w:right w:val="single" w:color="auto" w:sz="4" w:space="0"/>
            </w:tcBorders>
            <w:shd w:val="clear" w:color="auto" w:fill="FFFFFF"/>
          </w:tcPr>
          <w:p w14:paraId="0FA40D6B">
            <w:pPr>
              <w:pStyle w:val="43"/>
              <w:spacing w:after="160" w:line="240" w:lineRule="auto"/>
              <w:ind w:firstLine="420" w:firstLineChars="200"/>
              <w:rPr>
                <w:sz w:val="21"/>
                <w:szCs w:val="21"/>
              </w:rPr>
            </w:pPr>
            <w:r>
              <w:rPr>
                <w:color w:val="auto"/>
                <w:sz w:val="21"/>
                <w:szCs w:val="21"/>
              </w:rPr>
              <w:sym w:font="Wingdings 2" w:char="0052"/>
            </w:r>
            <w:r>
              <w:rPr>
                <w:sz w:val="21"/>
                <w:szCs w:val="21"/>
              </w:rPr>
              <w:t>不允许分包</w:t>
            </w:r>
          </w:p>
          <w:p w14:paraId="23650F9A">
            <w:pPr>
              <w:pStyle w:val="43"/>
              <w:spacing w:after="160" w:line="240" w:lineRule="auto"/>
              <w:ind w:firstLine="420" w:firstLineChars="200"/>
              <w:rPr>
                <w:sz w:val="21"/>
                <w:szCs w:val="21"/>
              </w:rPr>
            </w:pPr>
            <w:r>
              <w:rPr>
                <w:sz w:val="21"/>
                <w:szCs w:val="21"/>
              </w:rPr>
              <w:t>口允许分包</w:t>
            </w:r>
          </w:p>
          <w:p w14:paraId="43338CC1">
            <w:pPr>
              <w:pStyle w:val="43"/>
              <w:tabs>
                <w:tab w:val="left" w:leader="underscore" w:pos="4965"/>
              </w:tabs>
              <w:spacing w:after="160" w:line="240" w:lineRule="auto"/>
              <w:ind w:firstLine="420" w:firstLineChars="200"/>
              <w:rPr>
                <w:sz w:val="21"/>
                <w:szCs w:val="21"/>
              </w:rPr>
            </w:pPr>
            <w:r>
              <w:rPr>
                <w:sz w:val="21"/>
                <w:szCs w:val="21"/>
              </w:rPr>
              <w:t>分包内容：</w:t>
            </w:r>
            <w:r>
              <w:rPr>
                <w:sz w:val="21"/>
                <w:szCs w:val="21"/>
              </w:rPr>
              <w:tab/>
            </w:r>
            <w:r>
              <w:rPr>
                <w:i/>
                <w:iCs/>
                <w:sz w:val="21"/>
                <w:szCs w:val="21"/>
              </w:rPr>
              <w:t>」</w:t>
            </w:r>
          </w:p>
          <w:p w14:paraId="62A3CF71">
            <w:pPr>
              <w:pStyle w:val="43"/>
              <w:tabs>
                <w:tab w:val="left" w:leader="underscore" w:pos="5775"/>
              </w:tabs>
              <w:spacing w:after="160" w:line="240" w:lineRule="auto"/>
              <w:ind w:firstLine="420" w:firstLineChars="200"/>
              <w:rPr>
                <w:sz w:val="21"/>
                <w:szCs w:val="21"/>
              </w:rPr>
            </w:pPr>
            <w:r>
              <w:rPr>
                <w:sz w:val="21"/>
                <w:szCs w:val="21"/>
              </w:rPr>
              <w:t>分包金额或者比例：</w:t>
            </w:r>
            <w:r>
              <w:rPr>
                <w:sz w:val="21"/>
                <w:szCs w:val="21"/>
              </w:rPr>
              <w:tab/>
            </w:r>
            <w:r>
              <w:rPr>
                <w:i/>
                <w:iCs/>
                <w:sz w:val="21"/>
                <w:szCs w:val="21"/>
              </w:rPr>
              <w:t>」</w:t>
            </w:r>
          </w:p>
        </w:tc>
      </w:tr>
      <w:tr w14:paraId="1D64E834">
        <w:tblPrEx>
          <w:tblCellMar>
            <w:top w:w="0" w:type="dxa"/>
            <w:left w:w="10" w:type="dxa"/>
            <w:bottom w:w="0" w:type="dxa"/>
            <w:right w:w="10" w:type="dxa"/>
          </w:tblCellMar>
        </w:tblPrEx>
        <w:trPr>
          <w:trHeight w:val="5218" w:hRule="exact"/>
          <w:jc w:val="center"/>
        </w:trPr>
        <w:tc>
          <w:tcPr>
            <w:tcW w:w="960" w:type="dxa"/>
            <w:tcBorders>
              <w:top w:val="single" w:color="auto" w:sz="4" w:space="0"/>
              <w:left w:val="single" w:color="auto" w:sz="4" w:space="0"/>
              <w:bottom w:val="single" w:color="auto" w:sz="4" w:space="0"/>
            </w:tcBorders>
            <w:shd w:val="clear" w:color="auto" w:fill="FFFFFF"/>
            <w:vAlign w:val="center"/>
          </w:tcPr>
          <w:p w14:paraId="4474C221">
            <w:pPr>
              <w:pStyle w:val="43"/>
              <w:spacing w:line="240" w:lineRule="auto"/>
              <w:ind w:firstLine="0"/>
              <w:rPr>
                <w:sz w:val="21"/>
                <w:szCs w:val="21"/>
              </w:rPr>
            </w:pPr>
            <w:r>
              <w:rPr>
                <w:sz w:val="21"/>
                <w:szCs w:val="21"/>
                <w:lang w:val="en-US" w:eastAsia="en-US" w:bidi="en-US"/>
              </w:rPr>
              <w:t>12.1.1</w:t>
            </w:r>
          </w:p>
        </w:tc>
        <w:tc>
          <w:tcPr>
            <w:tcW w:w="2220" w:type="dxa"/>
            <w:tcBorders>
              <w:top w:val="single" w:color="auto" w:sz="4" w:space="0"/>
              <w:left w:val="single" w:color="auto" w:sz="4" w:space="0"/>
              <w:bottom w:val="single" w:color="auto" w:sz="4" w:space="0"/>
            </w:tcBorders>
            <w:shd w:val="clear" w:color="auto" w:fill="FFFFFF"/>
            <w:vAlign w:val="center"/>
          </w:tcPr>
          <w:p w14:paraId="2668068C">
            <w:pPr>
              <w:pStyle w:val="43"/>
              <w:spacing w:line="240" w:lineRule="auto"/>
              <w:ind w:firstLine="200"/>
              <w:rPr>
                <w:sz w:val="21"/>
                <w:szCs w:val="21"/>
                <w:lang w:eastAsia="zh-CN"/>
              </w:rPr>
            </w:pPr>
            <w:r>
              <w:rPr>
                <w:sz w:val="21"/>
                <w:szCs w:val="21"/>
              </w:rPr>
              <w:t>资格</w:t>
            </w:r>
            <w:r>
              <w:rPr>
                <w:rFonts w:hint="eastAsia"/>
                <w:sz w:val="21"/>
                <w:szCs w:val="21"/>
                <w:lang w:eastAsia="zh-CN"/>
              </w:rPr>
              <w:t>证明文件组成</w:t>
            </w:r>
          </w:p>
        </w:tc>
        <w:tc>
          <w:tcPr>
            <w:tcW w:w="6855" w:type="dxa"/>
            <w:tcBorders>
              <w:top w:val="single" w:color="auto" w:sz="4" w:space="0"/>
              <w:left w:val="single" w:color="auto" w:sz="4" w:space="0"/>
              <w:bottom w:val="single" w:color="auto" w:sz="4" w:space="0"/>
              <w:right w:val="single" w:color="auto" w:sz="4" w:space="0"/>
            </w:tcBorders>
            <w:shd w:val="clear" w:color="auto" w:fill="FFFFFF"/>
          </w:tcPr>
          <w:p w14:paraId="55805161">
            <w:pPr>
              <w:pStyle w:val="43"/>
              <w:tabs>
                <w:tab w:val="left" w:pos="195"/>
              </w:tabs>
              <w:spacing w:line="400" w:lineRule="exact"/>
              <w:ind w:firstLine="420" w:firstLineChars="200"/>
              <w:rPr>
                <w:color w:val="auto"/>
                <w:sz w:val="21"/>
                <w:szCs w:val="21"/>
              </w:rPr>
            </w:pPr>
            <w:r>
              <w:rPr>
                <w:rFonts w:hint="eastAsia"/>
                <w:color w:val="auto"/>
                <w:sz w:val="21"/>
                <w:szCs w:val="21"/>
                <w:lang w:val="en-US" w:eastAsia="zh-CN"/>
              </w:rPr>
              <w:t>1.崇左市政府采购供应商信用承诺函（格式后附）；（必须提供，否则响应文件按无效处理）</w:t>
            </w:r>
          </w:p>
          <w:p w14:paraId="483783E8">
            <w:pPr>
              <w:pStyle w:val="43"/>
              <w:tabs>
                <w:tab w:val="left" w:pos="210"/>
              </w:tabs>
              <w:spacing w:line="400" w:lineRule="exact"/>
              <w:ind w:firstLine="420" w:firstLineChars="200"/>
              <w:jc w:val="both"/>
              <w:rPr>
                <w:sz w:val="21"/>
                <w:szCs w:val="21"/>
              </w:rPr>
            </w:pPr>
            <w:r>
              <w:rPr>
                <w:rFonts w:hint="eastAsia"/>
                <w:sz w:val="21"/>
                <w:szCs w:val="21"/>
                <w:lang w:val="en-US" w:eastAsia="zh-CN"/>
              </w:rPr>
              <w:t>2.</w:t>
            </w:r>
            <w:r>
              <w:rPr>
                <w:sz w:val="21"/>
                <w:szCs w:val="21"/>
              </w:rPr>
              <w:t>供应商属于中小企业的提供《中小企业声明函》，属于监狱企业的提供相关证明文件，属于残疾人福利性单位的提供《残疾人福利性单位声明 函》；（</w:t>
            </w:r>
            <w:r>
              <w:rPr>
                <w:rFonts w:hint="eastAsia"/>
                <w:b/>
                <w:bCs/>
                <w:sz w:val="21"/>
                <w:szCs w:val="21"/>
                <w:lang w:eastAsia="zh-CN"/>
              </w:rPr>
              <w:t>必须</w:t>
            </w:r>
            <w:r>
              <w:rPr>
                <w:b/>
                <w:bCs/>
                <w:sz w:val="21"/>
                <w:szCs w:val="21"/>
              </w:rPr>
              <w:t>提供）</w:t>
            </w:r>
          </w:p>
          <w:p w14:paraId="2BC7D485">
            <w:pPr>
              <w:pStyle w:val="43"/>
              <w:tabs>
                <w:tab w:val="left" w:pos="210"/>
              </w:tabs>
              <w:spacing w:line="400" w:lineRule="exact"/>
              <w:ind w:firstLine="420" w:firstLineChars="200"/>
              <w:rPr>
                <w:sz w:val="21"/>
                <w:szCs w:val="21"/>
              </w:rPr>
            </w:pPr>
            <w:r>
              <w:rPr>
                <w:rFonts w:hint="eastAsia"/>
                <w:sz w:val="21"/>
                <w:szCs w:val="21"/>
                <w:lang w:val="en-US" w:eastAsia="zh-CN"/>
              </w:rPr>
              <w:t>3.</w:t>
            </w:r>
            <w:r>
              <w:rPr>
                <w:sz w:val="21"/>
                <w:szCs w:val="21"/>
              </w:rPr>
              <w:t>供应商直接控股、管理关系信息表;</w:t>
            </w:r>
            <w:r>
              <w:rPr>
                <w:b/>
                <w:bCs/>
                <w:sz w:val="21"/>
                <w:szCs w:val="21"/>
              </w:rPr>
              <w:t>（</w:t>
            </w:r>
            <w:r>
              <w:rPr>
                <w:rFonts w:hint="eastAsia"/>
                <w:b/>
                <w:bCs/>
                <w:sz w:val="21"/>
                <w:szCs w:val="21"/>
                <w:lang w:eastAsia="zh-CN"/>
              </w:rPr>
              <w:t>必须</w:t>
            </w:r>
            <w:r>
              <w:rPr>
                <w:b/>
                <w:bCs/>
                <w:sz w:val="21"/>
                <w:szCs w:val="21"/>
              </w:rPr>
              <w:t>提供）</w:t>
            </w:r>
          </w:p>
          <w:p w14:paraId="27C0A30C">
            <w:pPr>
              <w:pStyle w:val="43"/>
              <w:tabs>
                <w:tab w:val="left" w:pos="195"/>
              </w:tabs>
              <w:spacing w:line="400" w:lineRule="exact"/>
              <w:ind w:firstLine="420" w:firstLineChars="200"/>
              <w:rPr>
                <w:color w:val="auto"/>
                <w:sz w:val="21"/>
                <w:szCs w:val="21"/>
              </w:rPr>
            </w:pPr>
            <w:r>
              <w:rPr>
                <w:rFonts w:hint="eastAsia"/>
                <w:color w:val="auto"/>
                <w:sz w:val="21"/>
                <w:szCs w:val="21"/>
                <w:lang w:val="en-US" w:eastAsia="zh-CN"/>
              </w:rPr>
              <w:t>4.竞标声明</w:t>
            </w:r>
            <w:r>
              <w:rPr>
                <w:color w:val="auto"/>
                <w:sz w:val="21"/>
                <w:szCs w:val="21"/>
              </w:rPr>
              <w:t>；</w:t>
            </w:r>
            <w:r>
              <w:rPr>
                <w:b/>
                <w:bCs/>
                <w:color w:val="auto"/>
                <w:sz w:val="21"/>
                <w:szCs w:val="21"/>
              </w:rPr>
              <w:t>（</w:t>
            </w:r>
            <w:r>
              <w:rPr>
                <w:rFonts w:hint="eastAsia"/>
                <w:b/>
                <w:bCs/>
                <w:color w:val="auto"/>
                <w:sz w:val="21"/>
                <w:szCs w:val="21"/>
                <w:lang w:eastAsia="zh-CN"/>
              </w:rPr>
              <w:t>必须</w:t>
            </w:r>
            <w:r>
              <w:rPr>
                <w:b/>
                <w:bCs/>
                <w:color w:val="auto"/>
                <w:sz w:val="21"/>
                <w:szCs w:val="21"/>
              </w:rPr>
              <w:t>提供）</w:t>
            </w:r>
          </w:p>
          <w:p w14:paraId="4B015CD9">
            <w:pPr>
              <w:pStyle w:val="43"/>
              <w:tabs>
                <w:tab w:val="left" w:pos="210"/>
              </w:tabs>
              <w:spacing w:line="400" w:lineRule="exact"/>
              <w:ind w:firstLine="420" w:firstLineChars="200"/>
              <w:rPr>
                <w:rFonts w:hint="eastAsia"/>
                <w:color w:val="auto"/>
                <w:sz w:val="21"/>
                <w:szCs w:val="21"/>
                <w:lang w:val="en-US" w:eastAsia="zh-CN"/>
              </w:rPr>
            </w:pPr>
            <w:r>
              <w:rPr>
                <w:rFonts w:hint="eastAsia"/>
                <w:color w:val="auto"/>
                <w:sz w:val="21"/>
                <w:szCs w:val="21"/>
                <w:lang w:val="en-US" w:eastAsia="zh-CN"/>
              </w:rPr>
              <w:t>5.本项目的特定资格要求证明；</w:t>
            </w:r>
            <w:r>
              <w:rPr>
                <w:b/>
                <w:bCs/>
                <w:sz w:val="21"/>
                <w:szCs w:val="21"/>
              </w:rPr>
              <w:t>（如有请提供）</w:t>
            </w:r>
          </w:p>
          <w:p w14:paraId="55415FC6">
            <w:pPr>
              <w:pStyle w:val="43"/>
              <w:tabs>
                <w:tab w:val="left" w:pos="210"/>
              </w:tabs>
              <w:spacing w:line="400" w:lineRule="exact"/>
              <w:ind w:firstLine="420" w:firstLineChars="200"/>
              <w:rPr>
                <w:sz w:val="21"/>
                <w:szCs w:val="21"/>
              </w:rPr>
            </w:pPr>
            <w:r>
              <w:rPr>
                <w:rFonts w:hint="eastAsia"/>
                <w:sz w:val="21"/>
                <w:szCs w:val="21"/>
                <w:lang w:val="en-US" w:eastAsia="zh-CN"/>
              </w:rPr>
              <w:t>6.</w:t>
            </w:r>
            <w:r>
              <w:rPr>
                <w:sz w:val="21"/>
                <w:szCs w:val="21"/>
              </w:rPr>
              <w:t>磋商保证金缴纳凭证；</w:t>
            </w:r>
            <w:r>
              <w:rPr>
                <w:b/>
                <w:bCs/>
                <w:sz w:val="21"/>
                <w:szCs w:val="21"/>
              </w:rPr>
              <w:t>（如有请提供）</w:t>
            </w:r>
          </w:p>
          <w:p w14:paraId="2F739C3D">
            <w:pPr>
              <w:pStyle w:val="43"/>
              <w:tabs>
                <w:tab w:val="left" w:pos="315"/>
              </w:tabs>
              <w:spacing w:line="400" w:lineRule="exact"/>
              <w:ind w:firstLine="420" w:firstLineChars="200"/>
              <w:jc w:val="both"/>
              <w:rPr>
                <w:sz w:val="21"/>
                <w:szCs w:val="21"/>
              </w:rPr>
            </w:pPr>
            <w:r>
              <w:rPr>
                <w:rFonts w:hint="eastAsia"/>
                <w:sz w:val="21"/>
                <w:szCs w:val="21"/>
                <w:lang w:val="en-US" w:eastAsia="zh-CN"/>
              </w:rPr>
              <w:t>7.</w:t>
            </w:r>
            <w:r>
              <w:rPr>
                <w:sz w:val="21"/>
                <w:szCs w:val="21"/>
              </w:rPr>
              <w:t xml:space="preserve">除磋商文件规定必须提供以外，供应商认为需要提供的其他证明材料； </w:t>
            </w:r>
          </w:p>
          <w:p w14:paraId="7B83A05D">
            <w:pPr>
              <w:pStyle w:val="43"/>
              <w:tabs>
                <w:tab w:val="left" w:pos="315"/>
              </w:tabs>
              <w:spacing w:line="380" w:lineRule="exact"/>
              <w:ind w:firstLine="422" w:firstLineChars="200"/>
              <w:jc w:val="both"/>
              <w:rPr>
                <w:sz w:val="21"/>
                <w:szCs w:val="21"/>
                <w:lang w:eastAsia="zh-CN"/>
              </w:rPr>
            </w:pPr>
            <w:r>
              <w:rPr>
                <w:b/>
                <w:bCs/>
                <w:sz w:val="21"/>
                <w:szCs w:val="21"/>
              </w:rPr>
              <w:t>注：</w:t>
            </w:r>
            <w:r>
              <w:rPr>
                <w:rFonts w:hint="eastAsia"/>
                <w:b/>
                <w:bCs/>
                <w:sz w:val="21"/>
                <w:szCs w:val="21"/>
                <w:lang w:val="zh-CN" w:eastAsia="zh-CN" w:bidi="zh-CN"/>
              </w:rPr>
              <w:t>以上材料</w:t>
            </w:r>
            <w:r>
              <w:rPr>
                <w:b/>
                <w:bCs/>
                <w:sz w:val="21"/>
                <w:szCs w:val="21"/>
              </w:rPr>
              <w:t>标注</w:t>
            </w:r>
            <w:r>
              <w:rPr>
                <w:b/>
                <w:bCs/>
                <w:sz w:val="21"/>
                <w:szCs w:val="21"/>
                <w:lang w:val="zh-CN" w:eastAsia="zh-CN" w:bidi="zh-CN"/>
              </w:rPr>
              <w:t>“</w:t>
            </w:r>
            <w:r>
              <w:rPr>
                <w:rFonts w:hint="eastAsia"/>
                <w:b/>
                <w:bCs/>
                <w:sz w:val="21"/>
                <w:szCs w:val="21"/>
                <w:lang w:val="zh-CN" w:eastAsia="zh-CN" w:bidi="zh-CN"/>
              </w:rPr>
              <w:t>必须</w:t>
            </w:r>
            <w:r>
              <w:rPr>
                <w:b/>
                <w:bCs/>
                <w:sz w:val="21"/>
                <w:szCs w:val="21"/>
              </w:rPr>
              <w:t>提供“的如</w:t>
            </w:r>
            <w:r>
              <w:rPr>
                <w:rFonts w:hint="eastAsia"/>
                <w:b/>
                <w:bCs/>
                <w:sz w:val="21"/>
                <w:szCs w:val="21"/>
                <w:lang w:eastAsia="zh-CN"/>
              </w:rPr>
              <w:t>不按要求提供</w:t>
            </w:r>
            <w:r>
              <w:rPr>
                <w:b/>
                <w:bCs/>
                <w:sz w:val="21"/>
                <w:szCs w:val="21"/>
              </w:rPr>
              <w:t>，响应文件</w:t>
            </w:r>
            <w:r>
              <w:rPr>
                <w:rFonts w:hint="eastAsia"/>
                <w:b/>
                <w:bCs/>
                <w:sz w:val="21"/>
                <w:szCs w:val="21"/>
                <w:lang w:eastAsia="zh-CN"/>
              </w:rPr>
              <w:t>按无效响应处理。</w:t>
            </w:r>
          </w:p>
        </w:tc>
      </w:tr>
      <w:tr w14:paraId="444E03D3">
        <w:tblPrEx>
          <w:tblCellMar>
            <w:top w:w="0" w:type="dxa"/>
            <w:left w:w="10" w:type="dxa"/>
            <w:bottom w:w="0" w:type="dxa"/>
            <w:right w:w="10" w:type="dxa"/>
          </w:tblCellMar>
        </w:tblPrEx>
        <w:trPr>
          <w:trHeight w:val="4090" w:hRule="exact"/>
          <w:jc w:val="center"/>
        </w:trPr>
        <w:tc>
          <w:tcPr>
            <w:tcW w:w="960" w:type="dxa"/>
            <w:tcBorders>
              <w:top w:val="single" w:color="auto" w:sz="4" w:space="0"/>
              <w:left w:val="single" w:color="auto" w:sz="4" w:space="0"/>
              <w:bottom w:val="single" w:color="auto" w:sz="4" w:space="0"/>
            </w:tcBorders>
            <w:shd w:val="clear" w:color="auto" w:fill="FFFFFF"/>
            <w:vAlign w:val="center"/>
          </w:tcPr>
          <w:p w14:paraId="3BE8BFC9">
            <w:pPr>
              <w:pStyle w:val="43"/>
              <w:spacing w:line="240" w:lineRule="auto"/>
              <w:ind w:firstLine="0"/>
              <w:rPr>
                <w:sz w:val="21"/>
                <w:szCs w:val="21"/>
                <w:lang w:val="en-US" w:eastAsia="en-US" w:bidi="en-US"/>
              </w:rPr>
            </w:pPr>
            <w:r>
              <w:rPr>
                <w:sz w:val="21"/>
                <w:szCs w:val="21"/>
                <w:lang w:val="en-US" w:eastAsia="en-US" w:bidi="en-US"/>
              </w:rPr>
              <w:t>12.1.2</w:t>
            </w:r>
          </w:p>
        </w:tc>
        <w:tc>
          <w:tcPr>
            <w:tcW w:w="2220" w:type="dxa"/>
            <w:tcBorders>
              <w:top w:val="single" w:color="auto" w:sz="4" w:space="0"/>
              <w:left w:val="single" w:color="auto" w:sz="4" w:space="0"/>
              <w:bottom w:val="single" w:color="auto" w:sz="4" w:space="0"/>
            </w:tcBorders>
            <w:shd w:val="clear" w:color="auto" w:fill="FFFFFF"/>
            <w:vAlign w:val="center"/>
          </w:tcPr>
          <w:p w14:paraId="7FCB967D">
            <w:pPr>
              <w:pStyle w:val="43"/>
              <w:spacing w:line="240" w:lineRule="auto"/>
              <w:ind w:firstLine="420"/>
              <w:rPr>
                <w:sz w:val="21"/>
                <w:szCs w:val="21"/>
              </w:rPr>
            </w:pPr>
            <w:r>
              <w:rPr>
                <w:sz w:val="21"/>
                <w:szCs w:val="21"/>
              </w:rPr>
              <w:t>商务文</w:t>
            </w:r>
            <w:r>
              <w:rPr>
                <w:rFonts w:hint="eastAsia"/>
                <w:sz w:val="21"/>
                <w:szCs w:val="21"/>
                <w:lang w:eastAsia="zh-CN"/>
              </w:rPr>
              <w:t>件组成</w:t>
            </w:r>
          </w:p>
        </w:tc>
        <w:tc>
          <w:tcPr>
            <w:tcW w:w="6855" w:type="dxa"/>
            <w:tcBorders>
              <w:top w:val="single" w:color="auto" w:sz="4" w:space="0"/>
              <w:left w:val="single" w:color="auto" w:sz="4" w:space="0"/>
              <w:bottom w:val="single" w:color="auto" w:sz="4" w:space="0"/>
              <w:right w:val="single" w:color="auto" w:sz="4" w:space="0"/>
            </w:tcBorders>
            <w:shd w:val="clear" w:color="auto" w:fill="FFFFFF"/>
          </w:tcPr>
          <w:p w14:paraId="40B3DB2C">
            <w:pPr>
              <w:spacing w:line="360" w:lineRule="auto"/>
              <w:rPr>
                <w:rFonts w:hint="eastAsia" w:ascii="宋体" w:hAnsi="宋体" w:cs="宋体"/>
                <w:color w:val="000000"/>
                <w:sz w:val="21"/>
                <w:szCs w:val="21"/>
              </w:rPr>
            </w:pPr>
            <w:r>
              <w:rPr>
                <w:rFonts w:hint="eastAsia" w:ascii="宋体" w:hAnsi="宋体" w:eastAsia="宋体" w:cs="宋体"/>
                <w:color w:val="auto"/>
                <w:sz w:val="21"/>
                <w:szCs w:val="21"/>
                <w:lang w:val="en-US" w:eastAsia="zh-CN" w:bidi="zh-TW"/>
              </w:rPr>
              <w:t>1.无串通竞标行为的承诺函（格式后附）</w:t>
            </w:r>
            <w:r>
              <w:rPr>
                <w:rFonts w:hint="eastAsia" w:ascii="宋体" w:hAnsi="宋体" w:cs="宋体"/>
                <w:color w:val="000000"/>
                <w:sz w:val="21"/>
                <w:szCs w:val="21"/>
              </w:rPr>
              <w:t>；（</w:t>
            </w:r>
            <w:r>
              <w:rPr>
                <w:rFonts w:hint="eastAsia" w:ascii="宋体" w:hAnsi="宋体" w:cs="宋体"/>
                <w:b/>
                <w:color w:val="000000"/>
                <w:sz w:val="21"/>
                <w:szCs w:val="21"/>
              </w:rPr>
              <w:t>必须提供，否则响应文件按无效响应处理</w:t>
            </w:r>
            <w:r>
              <w:rPr>
                <w:rFonts w:hint="eastAsia" w:ascii="宋体" w:hAnsi="宋体" w:cs="宋体"/>
                <w:color w:val="000000"/>
                <w:sz w:val="21"/>
                <w:szCs w:val="21"/>
              </w:rPr>
              <w:t>）</w:t>
            </w:r>
          </w:p>
          <w:p w14:paraId="5A2940F0">
            <w:pPr>
              <w:snapToGrid w:val="0"/>
              <w:spacing w:line="360" w:lineRule="auto"/>
              <w:jc w:val="left"/>
              <w:rPr>
                <w:rFonts w:hint="eastAsia" w:ascii="宋体" w:hAnsi="宋体" w:cs="宋体"/>
                <w:color w:val="000000"/>
                <w:sz w:val="21"/>
                <w:szCs w:val="21"/>
              </w:rPr>
            </w:pPr>
            <w:r>
              <w:rPr>
                <w:rFonts w:hint="eastAsia" w:ascii="宋体" w:hAnsi="宋体" w:cs="宋体"/>
                <w:color w:val="000000"/>
                <w:sz w:val="21"/>
                <w:szCs w:val="21"/>
              </w:rPr>
              <w:t>2.法定代表人身份证明书及法定代表人有效身份证正反面复印件（格式后附）；（</w:t>
            </w:r>
            <w:r>
              <w:rPr>
                <w:rFonts w:hint="eastAsia" w:ascii="宋体" w:hAnsi="宋体" w:cs="宋体"/>
                <w:b/>
                <w:bCs/>
                <w:color w:val="000000"/>
                <w:sz w:val="21"/>
                <w:szCs w:val="21"/>
              </w:rPr>
              <w:t>除自然人竞标外</w:t>
            </w:r>
            <w:r>
              <w:rPr>
                <w:rFonts w:hint="eastAsia" w:ascii="宋体" w:hAnsi="宋体" w:cs="宋体"/>
                <w:b/>
                <w:color w:val="000000"/>
                <w:sz w:val="21"/>
                <w:szCs w:val="21"/>
              </w:rPr>
              <w:t>必须提供，否则响应文件按无效响应处理</w:t>
            </w:r>
            <w:r>
              <w:rPr>
                <w:rFonts w:hint="eastAsia" w:ascii="宋体" w:hAnsi="宋体" w:cs="宋体"/>
                <w:color w:val="000000"/>
                <w:sz w:val="21"/>
                <w:szCs w:val="21"/>
              </w:rPr>
              <w:t>）</w:t>
            </w:r>
          </w:p>
          <w:p w14:paraId="7BF2AA63">
            <w:pPr>
              <w:spacing w:line="360" w:lineRule="auto"/>
              <w:rPr>
                <w:rFonts w:hint="eastAsia" w:ascii="宋体" w:hAnsi="宋体" w:cs="宋体"/>
                <w:b/>
                <w:color w:val="000000"/>
                <w:sz w:val="21"/>
                <w:szCs w:val="21"/>
              </w:rPr>
            </w:pPr>
            <w:r>
              <w:rPr>
                <w:rFonts w:hint="eastAsia" w:ascii="宋体" w:hAnsi="宋体" w:cs="宋体"/>
                <w:color w:val="000000"/>
                <w:sz w:val="21"/>
                <w:szCs w:val="21"/>
              </w:rPr>
              <w:t>3.授权委托书及委托代理人有效身份证正反面复印件（格式后附）；（</w:t>
            </w:r>
            <w:r>
              <w:rPr>
                <w:rFonts w:hint="eastAsia" w:ascii="宋体" w:hAnsi="宋体" w:cs="宋体"/>
                <w:b/>
                <w:color w:val="000000"/>
                <w:sz w:val="21"/>
                <w:szCs w:val="21"/>
              </w:rPr>
              <w:t>委托时必须提供，否则响应文件按无效响应处理</w:t>
            </w:r>
            <w:r>
              <w:rPr>
                <w:rFonts w:hint="eastAsia" w:ascii="宋体" w:hAnsi="宋体" w:cs="宋体"/>
                <w:color w:val="000000"/>
                <w:sz w:val="21"/>
                <w:szCs w:val="21"/>
              </w:rPr>
              <w:t>）</w:t>
            </w:r>
          </w:p>
          <w:p w14:paraId="3319766F">
            <w:pPr>
              <w:spacing w:line="360" w:lineRule="auto"/>
              <w:rPr>
                <w:rFonts w:hint="eastAsia" w:ascii="宋体" w:hAnsi="宋体" w:cs="宋体"/>
                <w:color w:val="000000"/>
                <w:sz w:val="21"/>
                <w:szCs w:val="21"/>
              </w:rPr>
            </w:pPr>
            <w:r>
              <w:rPr>
                <w:rFonts w:hint="eastAsia" w:ascii="宋体" w:hAnsi="宋体" w:cs="宋体"/>
                <w:color w:val="000000"/>
                <w:sz w:val="21"/>
                <w:szCs w:val="21"/>
              </w:rPr>
              <w:t>4.磋商保证金提交凭证；（</w:t>
            </w:r>
            <w:r>
              <w:rPr>
                <w:rFonts w:hint="eastAsia"/>
                <w:b/>
                <w:bCs/>
                <w:color w:val="000000"/>
                <w:sz w:val="21"/>
                <w:szCs w:val="21"/>
              </w:rPr>
              <w:t>如要求提交磋商保证金的则必须提供</w:t>
            </w:r>
            <w:r>
              <w:rPr>
                <w:rFonts w:hint="eastAsia" w:ascii="宋体" w:hAnsi="宋体" w:cs="宋体"/>
                <w:b/>
                <w:color w:val="000000"/>
                <w:sz w:val="21"/>
                <w:szCs w:val="21"/>
              </w:rPr>
              <w:t>，否则响应文件按无效响应处理</w:t>
            </w:r>
            <w:r>
              <w:rPr>
                <w:rFonts w:hint="eastAsia" w:ascii="宋体" w:hAnsi="宋体" w:cs="宋体"/>
                <w:color w:val="000000"/>
                <w:sz w:val="21"/>
                <w:szCs w:val="21"/>
              </w:rPr>
              <w:t>）</w:t>
            </w:r>
          </w:p>
          <w:p w14:paraId="691123E0">
            <w:pPr>
              <w:pStyle w:val="43"/>
              <w:spacing w:line="405" w:lineRule="exact"/>
              <w:ind w:firstLine="422" w:firstLineChars="200"/>
              <w:jc w:val="both"/>
              <w:rPr>
                <w:b/>
                <w:bCs/>
                <w:sz w:val="21"/>
                <w:szCs w:val="21"/>
              </w:rPr>
            </w:pPr>
            <w:r>
              <w:rPr>
                <w:b/>
                <w:bCs/>
                <w:sz w:val="21"/>
                <w:szCs w:val="21"/>
              </w:rPr>
              <w:t>注：</w:t>
            </w:r>
            <w:r>
              <w:rPr>
                <w:rFonts w:hint="eastAsia"/>
                <w:b/>
                <w:bCs/>
                <w:sz w:val="21"/>
                <w:szCs w:val="21"/>
                <w:lang w:val="zh-CN" w:eastAsia="zh-CN" w:bidi="zh-CN"/>
              </w:rPr>
              <w:t>以上材料</w:t>
            </w:r>
            <w:r>
              <w:rPr>
                <w:b/>
                <w:bCs/>
                <w:sz w:val="21"/>
                <w:szCs w:val="21"/>
              </w:rPr>
              <w:t>标注</w:t>
            </w:r>
            <w:r>
              <w:rPr>
                <w:b/>
                <w:bCs/>
                <w:sz w:val="21"/>
                <w:szCs w:val="21"/>
                <w:lang w:val="zh-CN" w:eastAsia="zh-CN" w:bidi="zh-CN"/>
              </w:rPr>
              <w:t>“</w:t>
            </w:r>
            <w:r>
              <w:rPr>
                <w:rFonts w:hint="eastAsia"/>
                <w:b/>
                <w:bCs/>
                <w:sz w:val="21"/>
                <w:szCs w:val="21"/>
                <w:lang w:val="zh-CN" w:eastAsia="zh-CN" w:bidi="zh-CN"/>
              </w:rPr>
              <w:t>必须</w:t>
            </w:r>
            <w:r>
              <w:rPr>
                <w:b/>
                <w:bCs/>
                <w:sz w:val="21"/>
                <w:szCs w:val="21"/>
              </w:rPr>
              <w:t>提供“的如</w:t>
            </w:r>
            <w:r>
              <w:rPr>
                <w:rFonts w:hint="eastAsia"/>
                <w:b/>
                <w:bCs/>
                <w:sz w:val="21"/>
                <w:szCs w:val="21"/>
                <w:lang w:eastAsia="zh-CN"/>
              </w:rPr>
              <w:t>不按要求提供</w:t>
            </w:r>
            <w:r>
              <w:rPr>
                <w:b/>
                <w:bCs/>
                <w:sz w:val="21"/>
                <w:szCs w:val="21"/>
              </w:rPr>
              <w:t>，响应文件</w:t>
            </w:r>
            <w:r>
              <w:rPr>
                <w:rFonts w:hint="eastAsia"/>
                <w:b/>
                <w:bCs/>
                <w:sz w:val="21"/>
                <w:szCs w:val="21"/>
                <w:lang w:eastAsia="zh-CN"/>
              </w:rPr>
              <w:t>按无效响应处理。</w:t>
            </w:r>
          </w:p>
        </w:tc>
      </w:tr>
      <w:tr w14:paraId="55367485">
        <w:tblPrEx>
          <w:tblCellMar>
            <w:top w:w="0" w:type="dxa"/>
            <w:left w:w="10" w:type="dxa"/>
            <w:bottom w:w="0" w:type="dxa"/>
            <w:right w:w="10" w:type="dxa"/>
          </w:tblCellMar>
        </w:tblPrEx>
        <w:trPr>
          <w:trHeight w:val="4300" w:hRule="exact"/>
          <w:jc w:val="center"/>
        </w:trPr>
        <w:tc>
          <w:tcPr>
            <w:tcW w:w="960" w:type="dxa"/>
            <w:tcBorders>
              <w:top w:val="single" w:color="auto" w:sz="4" w:space="0"/>
              <w:left w:val="single" w:color="auto" w:sz="4" w:space="0"/>
              <w:bottom w:val="single" w:color="auto" w:sz="4" w:space="0"/>
            </w:tcBorders>
            <w:shd w:val="clear" w:color="auto" w:fill="FFFFFF"/>
            <w:vAlign w:val="center"/>
          </w:tcPr>
          <w:p w14:paraId="1F8C0697">
            <w:pPr>
              <w:pStyle w:val="43"/>
              <w:spacing w:line="240" w:lineRule="auto"/>
              <w:ind w:firstLine="0"/>
              <w:rPr>
                <w:sz w:val="21"/>
                <w:szCs w:val="21"/>
                <w:lang w:val="en-US" w:eastAsia="zh-CN" w:bidi="en-US"/>
              </w:rPr>
            </w:pPr>
          </w:p>
        </w:tc>
        <w:tc>
          <w:tcPr>
            <w:tcW w:w="2220" w:type="dxa"/>
            <w:tcBorders>
              <w:top w:val="single" w:color="auto" w:sz="4" w:space="0"/>
              <w:left w:val="single" w:color="auto" w:sz="4" w:space="0"/>
              <w:bottom w:val="single" w:color="auto" w:sz="4" w:space="0"/>
            </w:tcBorders>
            <w:shd w:val="clear" w:color="auto" w:fill="FFFFFF"/>
            <w:vAlign w:val="center"/>
          </w:tcPr>
          <w:p w14:paraId="73BDC1AF">
            <w:pPr>
              <w:pStyle w:val="43"/>
              <w:spacing w:line="240" w:lineRule="auto"/>
              <w:ind w:firstLine="420"/>
              <w:rPr>
                <w:sz w:val="21"/>
                <w:szCs w:val="21"/>
              </w:rPr>
            </w:pPr>
            <w:r>
              <w:rPr>
                <w:rFonts w:hint="eastAsia"/>
                <w:sz w:val="21"/>
                <w:szCs w:val="21"/>
                <w:lang w:eastAsia="zh-CN"/>
              </w:rPr>
              <w:t>技术文件组成</w:t>
            </w:r>
          </w:p>
        </w:tc>
        <w:tc>
          <w:tcPr>
            <w:tcW w:w="6855" w:type="dxa"/>
            <w:tcBorders>
              <w:top w:val="single" w:color="auto" w:sz="4" w:space="0"/>
              <w:left w:val="single" w:color="auto" w:sz="4" w:space="0"/>
              <w:bottom w:val="single" w:color="auto" w:sz="4" w:space="0"/>
              <w:right w:val="single" w:color="auto" w:sz="4" w:space="0"/>
            </w:tcBorders>
            <w:shd w:val="clear" w:color="auto" w:fill="FFFFFF"/>
          </w:tcPr>
          <w:p w14:paraId="70C5D465">
            <w:pPr>
              <w:spacing w:line="360" w:lineRule="auto"/>
              <w:rPr>
                <w:rFonts w:hint="eastAsia" w:ascii="宋体" w:hAnsi="宋体" w:eastAsia="宋体" w:cs="宋体"/>
                <w:color w:val="000000"/>
                <w:sz w:val="21"/>
                <w:szCs w:val="21"/>
                <w:lang w:val="zh-TW" w:eastAsia="zh-TW" w:bidi="zh-TW"/>
              </w:rPr>
            </w:pPr>
            <w:r>
              <w:rPr>
                <w:rFonts w:hint="eastAsia" w:ascii="宋体" w:hAnsi="宋体" w:eastAsia="宋体" w:cs="宋体"/>
                <w:color w:val="000000"/>
                <w:sz w:val="21"/>
                <w:szCs w:val="21"/>
                <w:lang w:val="en-US" w:eastAsia="zh-CN" w:bidi="zh-TW"/>
              </w:rPr>
              <w:t>1</w:t>
            </w:r>
            <w:r>
              <w:rPr>
                <w:rFonts w:hint="eastAsia" w:ascii="宋体" w:hAnsi="宋体" w:eastAsia="宋体" w:cs="宋体"/>
                <w:color w:val="000000"/>
                <w:sz w:val="21"/>
                <w:szCs w:val="21"/>
                <w:lang w:val="zh-TW" w:eastAsia="zh-TW" w:bidi="zh-TW"/>
              </w:rPr>
              <w:t>.商务要求偏离表（格式后附）；（必须提供，否则响应文件按无效响应处理）</w:t>
            </w:r>
          </w:p>
          <w:p w14:paraId="0D597C77">
            <w:pPr>
              <w:spacing w:line="360" w:lineRule="auto"/>
              <w:rPr>
                <w:rFonts w:hint="eastAsia" w:ascii="宋体" w:hAnsi="宋体" w:eastAsia="宋体" w:cs="宋体"/>
                <w:color w:val="000000"/>
                <w:sz w:val="21"/>
                <w:szCs w:val="21"/>
                <w:lang w:val="zh-TW" w:eastAsia="zh-TW" w:bidi="zh-TW"/>
              </w:rPr>
            </w:pPr>
            <w:r>
              <w:rPr>
                <w:rFonts w:hint="eastAsia" w:ascii="宋体" w:hAnsi="宋体" w:eastAsia="宋体" w:cs="宋体"/>
                <w:color w:val="000000"/>
                <w:sz w:val="21"/>
                <w:szCs w:val="21"/>
                <w:lang w:val="en-US" w:eastAsia="zh-CN" w:bidi="zh-TW"/>
              </w:rPr>
              <w:t>2</w:t>
            </w:r>
            <w:r>
              <w:rPr>
                <w:rFonts w:hint="eastAsia" w:ascii="宋体" w:hAnsi="宋体" w:eastAsia="宋体" w:cs="宋体"/>
                <w:color w:val="000000"/>
                <w:sz w:val="21"/>
                <w:szCs w:val="21"/>
                <w:lang w:val="zh-TW" w:eastAsia="zh-TW" w:bidi="zh-TW"/>
              </w:rPr>
              <w:t>.服务方案（格式自拟）；（必须提供，否则响应文件按无效响应处理）</w:t>
            </w:r>
          </w:p>
          <w:p w14:paraId="3D11668B">
            <w:pPr>
              <w:spacing w:line="360" w:lineRule="auto"/>
              <w:rPr>
                <w:rFonts w:ascii="宋体" w:hAnsi="宋体" w:eastAsia="宋体" w:cs="宋体"/>
                <w:color w:val="000000"/>
                <w:sz w:val="21"/>
                <w:szCs w:val="21"/>
                <w:lang w:val="zh-TW" w:eastAsia="zh-TW" w:bidi="zh-TW"/>
              </w:rPr>
            </w:pPr>
            <w:r>
              <w:rPr>
                <w:rFonts w:hint="eastAsia" w:ascii="宋体" w:hAnsi="宋体" w:eastAsia="宋体" w:cs="宋体"/>
                <w:color w:val="000000"/>
                <w:sz w:val="21"/>
                <w:szCs w:val="21"/>
                <w:lang w:val="en-US" w:eastAsia="zh-CN" w:bidi="zh-TW"/>
              </w:rPr>
              <w:t>3</w:t>
            </w:r>
            <w:r>
              <w:rPr>
                <w:rFonts w:hint="eastAsia" w:ascii="宋体" w:hAnsi="宋体" w:eastAsia="宋体" w:cs="宋体"/>
                <w:color w:val="000000"/>
                <w:sz w:val="21"/>
                <w:szCs w:val="21"/>
                <w:lang w:val="zh-TW" w:eastAsia="zh-TW" w:bidi="zh-TW"/>
              </w:rPr>
              <w:t>.技术要求偏离表（格式后附）；（必须提供，否则响应文件按无效响应处理）</w:t>
            </w:r>
          </w:p>
          <w:p w14:paraId="4D414FDB">
            <w:pPr>
              <w:spacing w:line="360" w:lineRule="auto"/>
              <w:rPr>
                <w:rFonts w:hint="eastAsia" w:ascii="宋体" w:hAnsi="宋体" w:eastAsia="宋体" w:cs="宋体"/>
                <w:color w:val="000000"/>
                <w:sz w:val="21"/>
                <w:szCs w:val="21"/>
                <w:lang w:val="zh-TW" w:eastAsia="zh-TW" w:bidi="zh-TW"/>
              </w:rPr>
            </w:pPr>
            <w:r>
              <w:rPr>
                <w:rFonts w:hint="eastAsia" w:ascii="宋体" w:hAnsi="宋体" w:eastAsia="宋体" w:cs="宋体"/>
                <w:color w:val="000000"/>
                <w:sz w:val="21"/>
                <w:szCs w:val="21"/>
                <w:lang w:val="en-US" w:eastAsia="zh-CN" w:bidi="zh-TW"/>
              </w:rPr>
              <w:t>4</w:t>
            </w:r>
            <w:r>
              <w:rPr>
                <w:rFonts w:hint="eastAsia" w:ascii="宋体" w:hAnsi="宋体" w:eastAsia="宋体" w:cs="宋体"/>
                <w:color w:val="000000"/>
                <w:sz w:val="21"/>
                <w:szCs w:val="21"/>
                <w:lang w:val="zh-TW" w:eastAsia="zh-TW" w:bidi="zh-TW"/>
              </w:rPr>
              <w:t xml:space="preserve">.项目实施人员一览表（格式自拟）； </w:t>
            </w:r>
          </w:p>
          <w:p w14:paraId="5C11B3D8">
            <w:pPr>
              <w:spacing w:line="360" w:lineRule="auto"/>
              <w:rPr>
                <w:rFonts w:hint="eastAsia" w:ascii="宋体" w:hAnsi="宋体" w:eastAsia="宋体" w:cs="宋体"/>
                <w:color w:val="000000"/>
                <w:sz w:val="21"/>
                <w:szCs w:val="21"/>
                <w:lang w:val="zh-TW" w:eastAsia="zh-TW" w:bidi="zh-TW"/>
              </w:rPr>
            </w:pPr>
            <w:r>
              <w:rPr>
                <w:rFonts w:hint="eastAsia" w:ascii="宋体" w:hAnsi="宋体" w:eastAsia="宋体" w:cs="宋体"/>
                <w:color w:val="000000"/>
                <w:sz w:val="21"/>
                <w:szCs w:val="21"/>
                <w:lang w:val="en-US" w:eastAsia="zh-CN" w:bidi="zh-TW"/>
              </w:rPr>
              <w:t>5</w:t>
            </w:r>
            <w:r>
              <w:rPr>
                <w:rFonts w:hint="eastAsia" w:ascii="宋体" w:hAnsi="宋体" w:eastAsia="宋体" w:cs="宋体"/>
                <w:color w:val="000000"/>
                <w:sz w:val="21"/>
                <w:szCs w:val="21"/>
                <w:lang w:val="zh-TW" w:eastAsia="zh-TW" w:bidi="zh-TW"/>
              </w:rPr>
              <w:t>.对应采购需求的技术要求、商务要求提供的其他文件资料（格式自拟）；</w:t>
            </w:r>
          </w:p>
          <w:p w14:paraId="7CF4BB49">
            <w:pPr>
              <w:spacing w:line="360" w:lineRule="auto"/>
              <w:rPr>
                <w:rFonts w:hint="eastAsia" w:ascii="宋体" w:hAnsi="宋体" w:cs="宋体"/>
                <w:color w:val="000000"/>
                <w:szCs w:val="21"/>
              </w:rPr>
            </w:pPr>
            <w:r>
              <w:rPr>
                <w:rFonts w:hint="eastAsia" w:ascii="宋体" w:hAnsi="宋体" w:eastAsia="宋体" w:cs="宋体"/>
                <w:color w:val="000000"/>
                <w:sz w:val="21"/>
                <w:szCs w:val="21"/>
                <w:lang w:val="en-US" w:eastAsia="zh-CN" w:bidi="zh-TW"/>
              </w:rPr>
              <w:t>6</w:t>
            </w:r>
            <w:r>
              <w:rPr>
                <w:rFonts w:hint="eastAsia" w:ascii="宋体" w:hAnsi="宋体" w:eastAsia="宋体" w:cs="宋体"/>
                <w:color w:val="000000"/>
                <w:sz w:val="21"/>
                <w:szCs w:val="21"/>
                <w:lang w:val="zh-TW" w:eastAsia="zh-TW" w:bidi="zh-TW"/>
              </w:rPr>
              <w:t>.供应商认为需要提供的其他有关资料</w:t>
            </w:r>
            <w:r>
              <w:rPr>
                <w:rFonts w:hint="eastAsia" w:ascii="宋体" w:hAnsi="宋体" w:cs="宋体"/>
                <w:color w:val="000000"/>
                <w:szCs w:val="21"/>
              </w:rPr>
              <w:t>。</w:t>
            </w:r>
          </w:p>
          <w:p w14:paraId="35E22C72">
            <w:pPr>
              <w:pStyle w:val="43"/>
              <w:spacing w:after="160" w:line="400" w:lineRule="exact"/>
              <w:ind w:left="0" w:leftChars="0" w:firstLine="0" w:firstLineChars="0"/>
              <w:rPr>
                <w:b/>
                <w:bCs/>
                <w:sz w:val="21"/>
                <w:szCs w:val="21"/>
              </w:rPr>
            </w:pPr>
            <w:r>
              <w:rPr>
                <w:b/>
                <w:bCs/>
                <w:sz w:val="21"/>
                <w:szCs w:val="21"/>
              </w:rPr>
              <w:t>注：</w:t>
            </w:r>
            <w:r>
              <w:rPr>
                <w:rFonts w:hint="eastAsia"/>
                <w:b/>
                <w:bCs/>
                <w:sz w:val="21"/>
                <w:szCs w:val="21"/>
                <w:lang w:val="zh-CN" w:eastAsia="zh-CN" w:bidi="zh-CN"/>
              </w:rPr>
              <w:t>以上材料</w:t>
            </w:r>
            <w:r>
              <w:rPr>
                <w:b/>
                <w:bCs/>
                <w:sz w:val="21"/>
                <w:szCs w:val="21"/>
              </w:rPr>
              <w:t>标注</w:t>
            </w:r>
            <w:r>
              <w:rPr>
                <w:b/>
                <w:bCs/>
                <w:sz w:val="21"/>
                <w:szCs w:val="21"/>
                <w:lang w:val="zh-CN" w:eastAsia="zh-CN" w:bidi="zh-CN"/>
              </w:rPr>
              <w:t>“</w:t>
            </w:r>
            <w:r>
              <w:rPr>
                <w:rFonts w:hint="eastAsia"/>
                <w:b/>
                <w:bCs/>
                <w:sz w:val="21"/>
                <w:szCs w:val="21"/>
                <w:lang w:val="zh-CN" w:eastAsia="zh-CN" w:bidi="zh-CN"/>
              </w:rPr>
              <w:t>必须</w:t>
            </w:r>
            <w:r>
              <w:rPr>
                <w:b/>
                <w:bCs/>
                <w:sz w:val="21"/>
                <w:szCs w:val="21"/>
              </w:rPr>
              <w:t>提供“的如</w:t>
            </w:r>
            <w:r>
              <w:rPr>
                <w:rFonts w:hint="eastAsia"/>
                <w:b/>
                <w:bCs/>
                <w:sz w:val="21"/>
                <w:szCs w:val="21"/>
                <w:lang w:eastAsia="zh-CN"/>
              </w:rPr>
              <w:t>不按要求提供</w:t>
            </w:r>
            <w:r>
              <w:rPr>
                <w:b/>
                <w:bCs/>
                <w:sz w:val="21"/>
                <w:szCs w:val="21"/>
              </w:rPr>
              <w:t>，响应文件</w:t>
            </w:r>
            <w:r>
              <w:rPr>
                <w:rFonts w:hint="eastAsia"/>
                <w:b/>
                <w:bCs/>
                <w:sz w:val="21"/>
                <w:szCs w:val="21"/>
                <w:lang w:eastAsia="zh-CN"/>
              </w:rPr>
              <w:t>按无效响应处理。</w:t>
            </w:r>
          </w:p>
        </w:tc>
      </w:tr>
      <w:tr w14:paraId="38A49005">
        <w:tblPrEx>
          <w:tblCellMar>
            <w:top w:w="0" w:type="dxa"/>
            <w:left w:w="10" w:type="dxa"/>
            <w:bottom w:w="0" w:type="dxa"/>
            <w:right w:w="10" w:type="dxa"/>
          </w:tblCellMar>
        </w:tblPrEx>
        <w:trPr>
          <w:trHeight w:val="1950" w:hRule="exact"/>
          <w:jc w:val="center"/>
        </w:trPr>
        <w:tc>
          <w:tcPr>
            <w:tcW w:w="960" w:type="dxa"/>
            <w:tcBorders>
              <w:top w:val="single" w:color="auto" w:sz="4" w:space="0"/>
              <w:left w:val="single" w:color="auto" w:sz="4" w:space="0"/>
              <w:bottom w:val="single" w:color="auto" w:sz="4" w:space="0"/>
            </w:tcBorders>
            <w:shd w:val="clear" w:color="auto" w:fill="FFFFFF"/>
            <w:vAlign w:val="center"/>
          </w:tcPr>
          <w:p w14:paraId="0F5F7C68">
            <w:pPr>
              <w:pStyle w:val="43"/>
              <w:spacing w:line="240" w:lineRule="auto"/>
              <w:ind w:firstLine="140"/>
              <w:rPr>
                <w:sz w:val="21"/>
                <w:szCs w:val="21"/>
                <w:lang w:val="en-US" w:eastAsia="en-US" w:bidi="en-US"/>
              </w:rPr>
            </w:pPr>
            <w:r>
              <w:rPr>
                <w:sz w:val="21"/>
                <w:szCs w:val="21"/>
                <w:lang w:val="en-US" w:eastAsia="en-US" w:bidi="en-US"/>
              </w:rPr>
              <w:t>12.1.3</w:t>
            </w:r>
          </w:p>
        </w:tc>
        <w:tc>
          <w:tcPr>
            <w:tcW w:w="2220" w:type="dxa"/>
            <w:tcBorders>
              <w:top w:val="single" w:color="auto" w:sz="4" w:space="0"/>
              <w:left w:val="single" w:color="auto" w:sz="4" w:space="0"/>
              <w:bottom w:val="single" w:color="auto" w:sz="4" w:space="0"/>
            </w:tcBorders>
            <w:shd w:val="clear" w:color="auto" w:fill="FFFFFF"/>
            <w:vAlign w:val="center"/>
          </w:tcPr>
          <w:p w14:paraId="1DE82B0E">
            <w:pPr>
              <w:pStyle w:val="43"/>
              <w:spacing w:line="240" w:lineRule="auto"/>
              <w:ind w:firstLine="420"/>
              <w:rPr>
                <w:sz w:val="21"/>
                <w:szCs w:val="21"/>
                <w:lang w:eastAsia="zh-CN"/>
              </w:rPr>
            </w:pPr>
            <w:r>
              <w:rPr>
                <w:sz w:val="21"/>
                <w:szCs w:val="21"/>
              </w:rPr>
              <w:t>报价文</w:t>
            </w:r>
            <w:r>
              <w:rPr>
                <w:rFonts w:hint="eastAsia"/>
                <w:sz w:val="21"/>
                <w:szCs w:val="21"/>
                <w:lang w:eastAsia="zh-CN"/>
              </w:rPr>
              <w:t>件组成</w:t>
            </w:r>
          </w:p>
        </w:tc>
        <w:tc>
          <w:tcPr>
            <w:tcW w:w="6855" w:type="dxa"/>
            <w:tcBorders>
              <w:top w:val="single" w:color="auto" w:sz="4" w:space="0"/>
              <w:left w:val="single" w:color="auto" w:sz="4" w:space="0"/>
              <w:bottom w:val="single" w:color="auto" w:sz="4" w:space="0"/>
              <w:right w:val="single" w:color="auto" w:sz="4" w:space="0"/>
            </w:tcBorders>
            <w:shd w:val="clear" w:color="auto" w:fill="FFFFFF"/>
          </w:tcPr>
          <w:p w14:paraId="1C6C3248">
            <w:pPr>
              <w:pStyle w:val="43"/>
              <w:tabs>
                <w:tab w:val="left" w:pos="135"/>
              </w:tabs>
              <w:spacing w:after="160" w:line="240" w:lineRule="auto"/>
              <w:ind w:firstLine="420" w:firstLineChars="200"/>
              <w:rPr>
                <w:sz w:val="21"/>
                <w:szCs w:val="21"/>
              </w:rPr>
            </w:pPr>
            <w:r>
              <w:rPr>
                <w:rFonts w:hint="eastAsia"/>
                <w:sz w:val="21"/>
                <w:szCs w:val="21"/>
                <w:lang w:val="en-US" w:eastAsia="zh-CN"/>
              </w:rPr>
              <w:t>1.</w:t>
            </w:r>
            <w:r>
              <w:rPr>
                <w:sz w:val="21"/>
                <w:szCs w:val="21"/>
              </w:rPr>
              <w:t>响应函；</w:t>
            </w:r>
            <w:r>
              <w:rPr>
                <w:b/>
                <w:bCs/>
                <w:sz w:val="21"/>
                <w:szCs w:val="21"/>
              </w:rPr>
              <w:t>（</w:t>
            </w:r>
            <w:r>
              <w:rPr>
                <w:rFonts w:hint="eastAsia"/>
                <w:b/>
                <w:bCs/>
                <w:sz w:val="21"/>
                <w:szCs w:val="21"/>
                <w:lang w:eastAsia="zh-CN"/>
              </w:rPr>
              <w:t>必须</w:t>
            </w:r>
            <w:r>
              <w:rPr>
                <w:b/>
                <w:bCs/>
                <w:sz w:val="21"/>
                <w:szCs w:val="21"/>
              </w:rPr>
              <w:t>提供）</w:t>
            </w:r>
          </w:p>
          <w:p w14:paraId="254C8F2A">
            <w:pPr>
              <w:numPr>
                <w:ilvl w:val="0"/>
                <w:numId w:val="0"/>
              </w:numPr>
              <w:tabs>
                <w:tab w:val="left" w:pos="459"/>
              </w:tabs>
              <w:snapToGrid w:val="0"/>
              <w:spacing w:line="360" w:lineRule="auto"/>
              <w:ind w:left="420" w:leftChars="0"/>
              <w:jc w:val="left"/>
              <w:rPr>
                <w:rFonts w:ascii="宋体" w:hAnsi="宋体" w:cs="宋体"/>
                <w:color w:val="auto"/>
                <w:szCs w:val="21"/>
                <w:highlight w:val="none"/>
              </w:rPr>
            </w:pPr>
            <w:r>
              <w:rPr>
                <w:rFonts w:hint="eastAsia"/>
                <w:sz w:val="21"/>
                <w:szCs w:val="21"/>
                <w:lang w:val="en-US" w:eastAsia="zh-CN"/>
              </w:rPr>
              <w:t>2.</w:t>
            </w:r>
            <w:r>
              <w:rPr>
                <w:sz w:val="21"/>
                <w:szCs w:val="21"/>
              </w:rPr>
              <w:t>响应报价表；</w:t>
            </w:r>
            <w:r>
              <w:rPr>
                <w:b/>
                <w:bCs/>
                <w:sz w:val="21"/>
                <w:szCs w:val="21"/>
              </w:rPr>
              <w:t>（</w:t>
            </w:r>
            <w:r>
              <w:rPr>
                <w:rFonts w:hint="eastAsia"/>
                <w:b/>
                <w:bCs/>
                <w:sz w:val="21"/>
                <w:szCs w:val="21"/>
                <w:lang w:eastAsia="zh-CN"/>
              </w:rPr>
              <w:t>必须</w:t>
            </w:r>
            <w:r>
              <w:rPr>
                <w:b/>
                <w:bCs/>
                <w:sz w:val="21"/>
                <w:szCs w:val="21"/>
              </w:rPr>
              <w:t>提供）</w:t>
            </w:r>
          </w:p>
          <w:p w14:paraId="06D7173F">
            <w:pPr>
              <w:numPr>
                <w:ilvl w:val="0"/>
                <w:numId w:val="0"/>
              </w:numPr>
              <w:tabs>
                <w:tab w:val="left" w:pos="459"/>
              </w:tabs>
              <w:snapToGrid w:val="0"/>
              <w:spacing w:line="360" w:lineRule="auto"/>
              <w:ind w:left="420" w:leftChars="0"/>
              <w:jc w:val="left"/>
              <w:rPr>
                <w:rFonts w:ascii="宋体" w:hAnsi="宋体" w:cs="宋体"/>
                <w:color w:val="auto"/>
                <w:szCs w:val="21"/>
                <w:highlight w:val="none"/>
              </w:rPr>
            </w:pPr>
            <w:r>
              <w:rPr>
                <w:rFonts w:hint="eastAsia" w:eastAsia="宋体"/>
                <w:sz w:val="21"/>
                <w:szCs w:val="21"/>
                <w:lang w:val="en-US" w:eastAsia="zh-CN"/>
              </w:rPr>
              <w:t>3.</w:t>
            </w:r>
            <w:r>
              <w:rPr>
                <w:rFonts w:hint="eastAsia" w:ascii="宋体" w:hAnsi="宋体" w:eastAsia="宋体" w:cs="宋体"/>
                <w:color w:val="auto"/>
                <w:szCs w:val="21"/>
                <w:highlight w:val="none"/>
                <w:lang w:eastAsia="zh-CN"/>
              </w:rPr>
              <w:t>供应商</w:t>
            </w:r>
            <w:r>
              <w:rPr>
                <w:rFonts w:hint="eastAsia" w:ascii="宋体" w:hAnsi="宋体" w:cs="宋体"/>
                <w:color w:val="auto"/>
                <w:szCs w:val="21"/>
                <w:highlight w:val="none"/>
              </w:rPr>
              <w:t>针对报价需要说明的其他文件和说明（格式自拟）。</w:t>
            </w:r>
          </w:p>
          <w:p w14:paraId="4296A1E2">
            <w:pPr>
              <w:pStyle w:val="43"/>
              <w:tabs>
                <w:tab w:val="left" w:pos="150"/>
              </w:tabs>
              <w:spacing w:after="160" w:line="240" w:lineRule="auto"/>
              <w:ind w:firstLine="422" w:firstLineChars="200"/>
              <w:rPr>
                <w:sz w:val="21"/>
                <w:szCs w:val="21"/>
              </w:rPr>
            </w:pPr>
            <w:r>
              <w:rPr>
                <w:b/>
                <w:bCs/>
                <w:sz w:val="21"/>
                <w:szCs w:val="21"/>
              </w:rPr>
              <w:t>注：</w:t>
            </w:r>
            <w:r>
              <w:rPr>
                <w:rFonts w:hint="eastAsia"/>
                <w:b/>
                <w:bCs/>
                <w:sz w:val="21"/>
                <w:szCs w:val="21"/>
                <w:lang w:val="zh-CN" w:eastAsia="zh-CN" w:bidi="zh-CN"/>
              </w:rPr>
              <w:t>以上材料</w:t>
            </w:r>
            <w:r>
              <w:rPr>
                <w:b/>
                <w:bCs/>
                <w:sz w:val="21"/>
                <w:szCs w:val="21"/>
              </w:rPr>
              <w:t>标注</w:t>
            </w:r>
            <w:r>
              <w:rPr>
                <w:b/>
                <w:bCs/>
                <w:sz w:val="21"/>
                <w:szCs w:val="21"/>
                <w:lang w:val="zh-CN" w:eastAsia="zh-CN" w:bidi="zh-CN"/>
              </w:rPr>
              <w:t>“</w:t>
            </w:r>
            <w:r>
              <w:rPr>
                <w:rFonts w:hint="eastAsia"/>
                <w:b/>
                <w:bCs/>
                <w:sz w:val="21"/>
                <w:szCs w:val="21"/>
                <w:lang w:val="zh-CN" w:eastAsia="zh-CN" w:bidi="zh-CN"/>
              </w:rPr>
              <w:t>必须</w:t>
            </w:r>
            <w:r>
              <w:rPr>
                <w:b/>
                <w:bCs/>
                <w:sz w:val="21"/>
                <w:szCs w:val="21"/>
              </w:rPr>
              <w:t>提供“的如</w:t>
            </w:r>
            <w:r>
              <w:rPr>
                <w:rFonts w:hint="eastAsia"/>
                <w:b/>
                <w:bCs/>
                <w:sz w:val="21"/>
                <w:szCs w:val="21"/>
                <w:lang w:eastAsia="zh-CN"/>
              </w:rPr>
              <w:t>不按要求提供</w:t>
            </w:r>
            <w:r>
              <w:rPr>
                <w:b/>
                <w:bCs/>
                <w:sz w:val="21"/>
                <w:szCs w:val="21"/>
              </w:rPr>
              <w:t>，响应文件</w:t>
            </w:r>
            <w:r>
              <w:rPr>
                <w:rFonts w:hint="eastAsia"/>
                <w:b/>
                <w:bCs/>
                <w:sz w:val="21"/>
                <w:szCs w:val="21"/>
                <w:lang w:eastAsia="zh-CN"/>
              </w:rPr>
              <w:t>按无效响应处理。</w:t>
            </w:r>
          </w:p>
          <w:p w14:paraId="00CF35B7">
            <w:pPr>
              <w:pStyle w:val="43"/>
              <w:spacing w:after="160" w:line="240" w:lineRule="auto"/>
              <w:ind w:firstLine="420" w:firstLineChars="200"/>
              <w:rPr>
                <w:b/>
                <w:bCs/>
                <w:sz w:val="21"/>
                <w:szCs w:val="21"/>
              </w:rPr>
            </w:pPr>
            <w:r>
              <w:rPr>
                <w:sz w:val="21"/>
                <w:szCs w:val="21"/>
              </w:rPr>
              <w:t>注：</w:t>
            </w:r>
            <w:r>
              <w:rPr>
                <w:rFonts w:hint="eastAsia"/>
                <w:b/>
                <w:bCs/>
                <w:sz w:val="21"/>
                <w:szCs w:val="21"/>
                <w:lang w:val="zh-CN" w:eastAsia="zh-CN" w:bidi="zh-CN"/>
              </w:rPr>
              <w:t>以上材料</w:t>
            </w:r>
            <w:r>
              <w:rPr>
                <w:b/>
                <w:bCs/>
                <w:sz w:val="21"/>
                <w:szCs w:val="21"/>
              </w:rPr>
              <w:t>标注</w:t>
            </w:r>
            <w:r>
              <w:rPr>
                <w:b/>
                <w:bCs/>
                <w:sz w:val="21"/>
                <w:szCs w:val="21"/>
                <w:lang w:val="zh-CN" w:eastAsia="zh-CN" w:bidi="zh-CN"/>
              </w:rPr>
              <w:t>“</w:t>
            </w:r>
            <w:r>
              <w:rPr>
                <w:rFonts w:hint="eastAsia"/>
                <w:b/>
                <w:bCs/>
                <w:sz w:val="21"/>
                <w:szCs w:val="21"/>
                <w:lang w:val="zh-CN" w:eastAsia="zh-CN" w:bidi="zh-CN"/>
              </w:rPr>
              <w:t>必须</w:t>
            </w:r>
            <w:r>
              <w:rPr>
                <w:b/>
                <w:bCs/>
                <w:sz w:val="21"/>
                <w:szCs w:val="21"/>
              </w:rPr>
              <w:t>提供“的如</w:t>
            </w:r>
            <w:r>
              <w:rPr>
                <w:rFonts w:hint="eastAsia"/>
                <w:b/>
                <w:bCs/>
                <w:sz w:val="21"/>
                <w:szCs w:val="21"/>
                <w:lang w:eastAsia="zh-CN"/>
              </w:rPr>
              <w:t>不按要求提供</w:t>
            </w:r>
            <w:r>
              <w:rPr>
                <w:b/>
                <w:bCs/>
                <w:sz w:val="21"/>
                <w:szCs w:val="21"/>
              </w:rPr>
              <w:t>，响应文件</w:t>
            </w:r>
            <w:r>
              <w:rPr>
                <w:rFonts w:hint="eastAsia"/>
                <w:b/>
                <w:bCs/>
                <w:sz w:val="21"/>
                <w:szCs w:val="21"/>
                <w:lang w:eastAsia="zh-CN"/>
              </w:rPr>
              <w:t>按无效响应处理。</w:t>
            </w:r>
          </w:p>
        </w:tc>
      </w:tr>
      <w:tr w14:paraId="6E093BE3">
        <w:tblPrEx>
          <w:tblCellMar>
            <w:top w:w="0" w:type="dxa"/>
            <w:left w:w="10" w:type="dxa"/>
            <w:bottom w:w="0" w:type="dxa"/>
            <w:right w:w="10" w:type="dxa"/>
          </w:tblCellMar>
        </w:tblPrEx>
        <w:trPr>
          <w:trHeight w:val="3440" w:hRule="exact"/>
          <w:jc w:val="center"/>
        </w:trPr>
        <w:tc>
          <w:tcPr>
            <w:tcW w:w="960" w:type="dxa"/>
            <w:tcBorders>
              <w:top w:val="single" w:color="auto" w:sz="4" w:space="0"/>
              <w:left w:val="single" w:color="auto" w:sz="4" w:space="0"/>
              <w:bottom w:val="single" w:color="auto" w:sz="4" w:space="0"/>
            </w:tcBorders>
            <w:shd w:val="clear" w:color="auto" w:fill="FFFFFF"/>
            <w:vAlign w:val="center"/>
          </w:tcPr>
          <w:p w14:paraId="0372A402">
            <w:pPr>
              <w:pStyle w:val="43"/>
              <w:spacing w:line="240" w:lineRule="auto"/>
              <w:ind w:firstLine="240"/>
              <w:rPr>
                <w:sz w:val="21"/>
                <w:szCs w:val="21"/>
                <w:lang w:val="en-US" w:eastAsia="en-US" w:bidi="en-US"/>
              </w:rPr>
            </w:pPr>
            <w:r>
              <w:rPr>
                <w:sz w:val="21"/>
                <w:szCs w:val="21"/>
                <w:lang w:val="en-US" w:eastAsia="en-US" w:bidi="en-US"/>
              </w:rPr>
              <w:t>12.2</w:t>
            </w:r>
          </w:p>
        </w:tc>
        <w:tc>
          <w:tcPr>
            <w:tcW w:w="2220" w:type="dxa"/>
            <w:tcBorders>
              <w:top w:val="single" w:color="auto" w:sz="4" w:space="0"/>
              <w:left w:val="single" w:color="auto" w:sz="4" w:space="0"/>
              <w:bottom w:val="single" w:color="auto" w:sz="4" w:space="0"/>
            </w:tcBorders>
            <w:shd w:val="clear" w:color="auto" w:fill="FFFFFF"/>
            <w:vAlign w:val="center"/>
          </w:tcPr>
          <w:p w14:paraId="633C1022">
            <w:pPr>
              <w:pStyle w:val="43"/>
              <w:spacing w:line="240" w:lineRule="auto"/>
              <w:ind w:firstLine="0"/>
              <w:rPr>
                <w:sz w:val="21"/>
                <w:szCs w:val="21"/>
                <w:lang w:eastAsia="zh-CN"/>
              </w:rPr>
            </w:pPr>
            <w:r>
              <w:rPr>
                <w:sz w:val="21"/>
                <w:szCs w:val="21"/>
              </w:rPr>
              <w:t>响应文件电子版要求</w:t>
            </w:r>
          </w:p>
        </w:tc>
        <w:tc>
          <w:tcPr>
            <w:tcW w:w="6855" w:type="dxa"/>
            <w:tcBorders>
              <w:top w:val="single" w:color="auto" w:sz="4" w:space="0"/>
              <w:left w:val="single" w:color="auto" w:sz="4" w:space="0"/>
              <w:bottom w:val="single" w:color="auto" w:sz="4" w:space="0"/>
              <w:right w:val="single" w:color="auto" w:sz="4" w:space="0"/>
            </w:tcBorders>
            <w:shd w:val="clear" w:color="auto" w:fill="FFFFFF"/>
          </w:tcPr>
          <w:p w14:paraId="7E179B06">
            <w:pPr>
              <w:pStyle w:val="43"/>
              <w:tabs>
                <w:tab w:val="left" w:pos="210"/>
              </w:tabs>
              <w:spacing w:line="405" w:lineRule="exact"/>
              <w:ind w:firstLine="0"/>
              <w:rPr>
                <w:sz w:val="21"/>
                <w:szCs w:val="21"/>
              </w:rPr>
            </w:pPr>
            <w:r>
              <w:rPr>
                <w:rFonts w:hint="eastAsia"/>
                <w:sz w:val="21"/>
                <w:szCs w:val="21"/>
                <w:lang w:val="en-US" w:eastAsia="zh-CN"/>
              </w:rPr>
              <w:t>1.</w:t>
            </w:r>
            <w:r>
              <w:rPr>
                <w:sz w:val="21"/>
                <w:szCs w:val="21"/>
              </w:rPr>
              <w:t>响应文件应按资格证明文件、商务文件技术文件、报价文件分别编制， 报价文件、资格证明文件分别生产电子文件，商务文件和技术文件按顺序合并生成电子文件。电子版响应文件制作方式见公告附件。</w:t>
            </w:r>
          </w:p>
          <w:p w14:paraId="60F905AB">
            <w:pPr>
              <w:pStyle w:val="43"/>
              <w:tabs>
                <w:tab w:val="left" w:pos="195"/>
              </w:tabs>
              <w:spacing w:line="405" w:lineRule="exact"/>
              <w:ind w:firstLine="0"/>
              <w:jc w:val="both"/>
              <w:rPr>
                <w:sz w:val="21"/>
                <w:szCs w:val="21"/>
              </w:rPr>
            </w:pPr>
            <w:r>
              <w:rPr>
                <w:rFonts w:hint="eastAsia"/>
                <w:sz w:val="21"/>
                <w:szCs w:val="21"/>
                <w:lang w:val="en-US" w:eastAsia="zh-CN"/>
              </w:rPr>
              <w:t>2.</w:t>
            </w:r>
            <w:r>
              <w:rPr>
                <w:sz w:val="21"/>
                <w:szCs w:val="21"/>
              </w:rPr>
              <w:t>响应文件电子版要求：按照本采购文件</w:t>
            </w:r>
            <w:r>
              <w:rPr>
                <w:sz w:val="21"/>
                <w:szCs w:val="21"/>
                <w:lang w:val="zh-CN" w:eastAsia="zh-CN" w:bidi="zh-CN"/>
              </w:rPr>
              <w:t>“第</w:t>
            </w:r>
            <w:r>
              <w:rPr>
                <w:sz w:val="21"/>
                <w:szCs w:val="21"/>
              </w:rPr>
              <w:t>五章响应文件格式</w:t>
            </w:r>
            <w:r>
              <w:rPr>
                <w:sz w:val="21"/>
                <w:szCs w:val="21"/>
                <w:lang w:val="zh-CN" w:eastAsia="zh-CN" w:bidi="zh-CN"/>
              </w:rPr>
              <w:t xml:space="preserve">”编写 </w:t>
            </w:r>
            <w:r>
              <w:rPr>
                <w:sz w:val="21"/>
                <w:szCs w:val="21"/>
              </w:rPr>
              <w:t>（第五章未附格式的，由供应商自行拟定），不可</w:t>
            </w:r>
            <w:r>
              <w:rPr>
                <w:rFonts w:hint="eastAsia"/>
                <w:sz w:val="21"/>
                <w:szCs w:val="21"/>
                <w:lang w:eastAsia="zh-CN"/>
              </w:rPr>
              <w:t>涂</w:t>
            </w:r>
            <w:r>
              <w:rPr>
                <w:sz w:val="21"/>
                <w:szCs w:val="21"/>
              </w:rPr>
              <w:t>改并在规定加盖公章处加盖电子公章，否则响应文件按</w:t>
            </w:r>
            <w:r>
              <w:rPr>
                <w:rFonts w:hint="eastAsia"/>
                <w:sz w:val="21"/>
                <w:szCs w:val="21"/>
                <w:lang w:eastAsia="zh-CN"/>
              </w:rPr>
              <w:t>无效</w:t>
            </w:r>
            <w:r>
              <w:rPr>
                <w:sz w:val="21"/>
                <w:szCs w:val="21"/>
              </w:rPr>
              <w:t>响应处理。</w:t>
            </w:r>
          </w:p>
          <w:p w14:paraId="19F434A2">
            <w:pPr>
              <w:pStyle w:val="43"/>
              <w:tabs>
                <w:tab w:val="left" w:pos="210"/>
              </w:tabs>
              <w:spacing w:line="435" w:lineRule="exact"/>
              <w:ind w:firstLine="0"/>
              <w:jc w:val="both"/>
              <w:rPr>
                <w:b/>
                <w:bCs/>
                <w:sz w:val="21"/>
                <w:szCs w:val="21"/>
              </w:rPr>
            </w:pPr>
            <w:r>
              <w:rPr>
                <w:rFonts w:hint="eastAsia"/>
                <w:sz w:val="21"/>
                <w:szCs w:val="21"/>
                <w:lang w:val="en-US" w:eastAsia="zh-CN"/>
              </w:rPr>
              <w:t>3.</w:t>
            </w:r>
            <w:r>
              <w:rPr>
                <w:sz w:val="21"/>
                <w:szCs w:val="21"/>
              </w:rPr>
              <w:t>响应文件电子版密封方式:电子响应文件通过平台有效</w:t>
            </w:r>
            <w:r>
              <w:rPr>
                <w:sz w:val="21"/>
                <w:szCs w:val="21"/>
                <w:lang w:val="en-US" w:eastAsia="zh-CN" w:bidi="en-US"/>
              </w:rPr>
              <w:t>CA</w:t>
            </w:r>
            <w:r>
              <w:rPr>
                <w:sz w:val="21"/>
                <w:szCs w:val="21"/>
              </w:rPr>
              <w:t>加密后在"政 采云'平台投送。</w:t>
            </w:r>
          </w:p>
        </w:tc>
      </w:tr>
      <w:tr w14:paraId="7BA6E544">
        <w:tblPrEx>
          <w:tblCellMar>
            <w:top w:w="0" w:type="dxa"/>
            <w:left w:w="10" w:type="dxa"/>
            <w:bottom w:w="0" w:type="dxa"/>
            <w:right w:w="10" w:type="dxa"/>
          </w:tblCellMar>
        </w:tblPrEx>
        <w:trPr>
          <w:trHeight w:val="1815" w:hRule="exact"/>
          <w:jc w:val="center"/>
        </w:trPr>
        <w:tc>
          <w:tcPr>
            <w:tcW w:w="960" w:type="dxa"/>
            <w:tcBorders>
              <w:top w:val="single" w:color="auto" w:sz="4" w:space="0"/>
              <w:left w:val="single" w:color="auto" w:sz="4" w:space="0"/>
              <w:bottom w:val="single" w:color="auto" w:sz="4" w:space="0"/>
            </w:tcBorders>
            <w:shd w:val="clear" w:color="auto" w:fill="FFFFFF"/>
            <w:vAlign w:val="center"/>
          </w:tcPr>
          <w:p w14:paraId="15D21BB7">
            <w:pPr>
              <w:pStyle w:val="43"/>
              <w:spacing w:line="240" w:lineRule="auto"/>
              <w:ind w:firstLine="240"/>
              <w:rPr>
                <w:sz w:val="21"/>
                <w:szCs w:val="21"/>
                <w:lang w:val="en-US" w:eastAsia="en-US" w:bidi="en-US"/>
              </w:rPr>
            </w:pPr>
            <w:r>
              <w:rPr>
                <w:sz w:val="21"/>
                <w:szCs w:val="21"/>
                <w:lang w:val="en-US" w:eastAsia="en-US" w:bidi="en-US"/>
              </w:rPr>
              <w:t>15.3</w:t>
            </w:r>
          </w:p>
        </w:tc>
        <w:tc>
          <w:tcPr>
            <w:tcW w:w="2220" w:type="dxa"/>
            <w:tcBorders>
              <w:top w:val="single" w:color="auto" w:sz="4" w:space="0"/>
              <w:left w:val="single" w:color="auto" w:sz="4" w:space="0"/>
              <w:bottom w:val="single" w:color="auto" w:sz="4" w:space="0"/>
            </w:tcBorders>
            <w:shd w:val="clear" w:color="auto" w:fill="FFFFFF"/>
            <w:vAlign w:val="center"/>
          </w:tcPr>
          <w:p w14:paraId="6535B687">
            <w:pPr>
              <w:pStyle w:val="43"/>
              <w:spacing w:line="240" w:lineRule="auto"/>
              <w:ind w:firstLine="420"/>
              <w:rPr>
                <w:sz w:val="21"/>
                <w:szCs w:val="21"/>
                <w:lang w:eastAsia="zh-CN"/>
              </w:rPr>
            </w:pPr>
            <w:r>
              <w:rPr>
                <w:color w:val="auto"/>
                <w:sz w:val="21"/>
                <w:szCs w:val="21"/>
              </w:rPr>
              <w:t>响应报价要求</w:t>
            </w:r>
          </w:p>
        </w:tc>
        <w:tc>
          <w:tcPr>
            <w:tcW w:w="6855" w:type="dxa"/>
            <w:tcBorders>
              <w:top w:val="single" w:color="auto" w:sz="4" w:space="0"/>
              <w:left w:val="single" w:color="auto" w:sz="4" w:space="0"/>
              <w:bottom w:val="single" w:color="auto" w:sz="4" w:space="0"/>
              <w:right w:val="single" w:color="auto" w:sz="4" w:space="0"/>
            </w:tcBorders>
            <w:shd w:val="clear" w:color="auto" w:fill="FFFFFF"/>
          </w:tcPr>
          <w:p w14:paraId="2FFFD673">
            <w:pPr>
              <w:pStyle w:val="43"/>
              <w:spacing w:line="412" w:lineRule="exact"/>
              <w:ind w:firstLine="0"/>
              <w:jc w:val="both"/>
              <w:rPr>
                <w:b/>
                <w:bCs/>
                <w:sz w:val="21"/>
                <w:szCs w:val="21"/>
              </w:rPr>
            </w:pPr>
            <w:r>
              <w:rPr>
                <w:sz w:val="21"/>
                <w:szCs w:val="21"/>
              </w:rPr>
              <w:t>响应报价必须包含</w:t>
            </w:r>
            <w:r>
              <w:rPr>
                <w:rFonts w:hint="eastAsia"/>
                <w:sz w:val="21"/>
                <w:szCs w:val="21"/>
                <w:lang w:eastAsia="zh-CN"/>
              </w:rPr>
              <w:t>满</w:t>
            </w:r>
            <w:r>
              <w:rPr>
                <w:sz w:val="21"/>
                <w:szCs w:val="21"/>
              </w:rPr>
              <w:t>足本次竟标全部采购需求所应提供的服务，以及伴随 的货物和工程（如有）的价格；包含竞标服务、货物、工程的成本、运输 （含保险）、安装（如有）、调试、检验、技术服务、培训、税费等所有</w:t>
            </w:r>
            <w:r>
              <w:rPr>
                <w:rFonts w:hint="eastAsia"/>
                <w:sz w:val="21"/>
                <w:szCs w:val="21"/>
                <w:lang w:eastAsia="zh-CN"/>
              </w:rPr>
              <w:t>费用。</w:t>
            </w:r>
            <w:r>
              <w:rPr>
                <w:b/>
                <w:bCs/>
                <w:sz w:val="21"/>
                <w:szCs w:val="21"/>
              </w:rPr>
              <w:t>（采购需求另有约定的，从其约定。）</w:t>
            </w:r>
          </w:p>
        </w:tc>
      </w:tr>
    </w:tbl>
    <w:p w14:paraId="5D7FFE97">
      <w:pPr>
        <w:spacing w:line="1" w:lineRule="exact"/>
        <w:ind w:firstLine="560" w:firstLineChars="200"/>
        <w:rPr>
          <w:sz w:val="4"/>
          <w:szCs w:val="4"/>
        </w:rPr>
      </w:pPr>
      <w:r>
        <w:rPr>
          <w:sz w:val="28"/>
          <w:szCs w:val="28"/>
        </w:rPr>
        <w:br w:type="page"/>
      </w:r>
    </w:p>
    <w:p w14:paraId="2AC1F329">
      <w:pPr>
        <w:pStyle w:val="45"/>
        <w:ind w:left="4950" w:firstLine="480" w:firstLineChars="200"/>
        <w:rPr>
          <w:sz w:val="24"/>
          <w:szCs w:val="24"/>
        </w:rPr>
      </w:pPr>
    </w:p>
    <w:tbl>
      <w:tblPr>
        <w:tblStyle w:val="14"/>
        <w:tblW w:w="0" w:type="auto"/>
        <w:jc w:val="center"/>
        <w:tblLayout w:type="fixed"/>
        <w:tblCellMar>
          <w:top w:w="0" w:type="dxa"/>
          <w:left w:w="10" w:type="dxa"/>
          <w:bottom w:w="0" w:type="dxa"/>
          <w:right w:w="10" w:type="dxa"/>
        </w:tblCellMar>
      </w:tblPr>
      <w:tblGrid>
        <w:gridCol w:w="960"/>
        <w:gridCol w:w="2220"/>
        <w:gridCol w:w="6855"/>
      </w:tblGrid>
      <w:tr w14:paraId="040499FB">
        <w:tblPrEx>
          <w:tblCellMar>
            <w:top w:w="0" w:type="dxa"/>
            <w:left w:w="10" w:type="dxa"/>
            <w:bottom w:w="0" w:type="dxa"/>
            <w:right w:w="10" w:type="dxa"/>
          </w:tblCellMar>
        </w:tblPrEx>
        <w:trPr>
          <w:trHeight w:val="480" w:hRule="exact"/>
          <w:jc w:val="center"/>
        </w:trPr>
        <w:tc>
          <w:tcPr>
            <w:tcW w:w="960" w:type="dxa"/>
            <w:tcBorders>
              <w:top w:val="single" w:color="auto" w:sz="4" w:space="0"/>
              <w:left w:val="single" w:color="auto" w:sz="4" w:space="0"/>
            </w:tcBorders>
            <w:shd w:val="clear" w:color="auto" w:fill="FFFFFF"/>
          </w:tcPr>
          <w:p w14:paraId="2E018DB2">
            <w:pPr>
              <w:pStyle w:val="43"/>
              <w:spacing w:line="240" w:lineRule="auto"/>
              <w:ind w:firstLine="240"/>
              <w:rPr>
                <w:sz w:val="21"/>
                <w:szCs w:val="21"/>
              </w:rPr>
            </w:pPr>
            <w:r>
              <w:rPr>
                <w:sz w:val="21"/>
                <w:szCs w:val="21"/>
                <w:lang w:val="en-US" w:eastAsia="en-US" w:bidi="en-US"/>
              </w:rPr>
              <w:t>16.2</w:t>
            </w:r>
          </w:p>
        </w:tc>
        <w:tc>
          <w:tcPr>
            <w:tcW w:w="2220" w:type="dxa"/>
            <w:tcBorders>
              <w:top w:val="single" w:color="auto" w:sz="4" w:space="0"/>
              <w:left w:val="single" w:color="auto" w:sz="4" w:space="0"/>
            </w:tcBorders>
            <w:shd w:val="clear" w:color="auto" w:fill="FFFFFF"/>
          </w:tcPr>
          <w:p w14:paraId="6E42B38B">
            <w:pPr>
              <w:pStyle w:val="43"/>
              <w:spacing w:line="240" w:lineRule="auto"/>
              <w:ind w:firstLine="540"/>
              <w:rPr>
                <w:sz w:val="21"/>
                <w:szCs w:val="21"/>
              </w:rPr>
            </w:pPr>
            <w:r>
              <w:rPr>
                <w:sz w:val="21"/>
                <w:szCs w:val="21"/>
              </w:rPr>
              <w:t>竞标有效期</w:t>
            </w:r>
          </w:p>
        </w:tc>
        <w:tc>
          <w:tcPr>
            <w:tcW w:w="6855" w:type="dxa"/>
            <w:tcBorders>
              <w:top w:val="single" w:color="auto" w:sz="4" w:space="0"/>
              <w:left w:val="single" w:color="auto" w:sz="4" w:space="0"/>
              <w:right w:val="single" w:color="auto" w:sz="4" w:space="0"/>
            </w:tcBorders>
            <w:shd w:val="clear" w:color="auto" w:fill="FFFFFF"/>
          </w:tcPr>
          <w:p w14:paraId="596E816F">
            <w:pPr>
              <w:pStyle w:val="43"/>
              <w:spacing w:line="240" w:lineRule="auto"/>
              <w:ind w:firstLine="0"/>
              <w:rPr>
                <w:sz w:val="21"/>
                <w:szCs w:val="21"/>
              </w:rPr>
            </w:pPr>
            <w:r>
              <w:rPr>
                <w:sz w:val="21"/>
                <w:szCs w:val="21"/>
              </w:rPr>
              <w:t>自首次响应文件提交截止之日起</w:t>
            </w:r>
            <w:r>
              <w:rPr>
                <w:sz w:val="21"/>
                <w:szCs w:val="21"/>
                <w:lang w:val="en-US" w:eastAsia="zh-CN" w:bidi="en-US"/>
              </w:rPr>
              <w:t>60</w:t>
            </w:r>
            <w:r>
              <w:rPr>
                <w:rFonts w:hint="eastAsia"/>
                <w:sz w:val="21"/>
                <w:szCs w:val="21"/>
                <w:lang w:val="en-US" w:eastAsia="zh-CN" w:bidi="en-US"/>
              </w:rPr>
              <w:t>日</w:t>
            </w:r>
            <w:r>
              <w:rPr>
                <w:i/>
                <w:iCs/>
                <w:sz w:val="21"/>
                <w:szCs w:val="21"/>
              </w:rPr>
              <w:t>。</w:t>
            </w:r>
          </w:p>
        </w:tc>
      </w:tr>
      <w:tr w14:paraId="20005C07">
        <w:tblPrEx>
          <w:tblCellMar>
            <w:top w:w="0" w:type="dxa"/>
            <w:left w:w="10" w:type="dxa"/>
            <w:bottom w:w="0" w:type="dxa"/>
            <w:right w:w="10" w:type="dxa"/>
          </w:tblCellMar>
        </w:tblPrEx>
        <w:trPr>
          <w:trHeight w:val="4165" w:hRule="exact"/>
          <w:jc w:val="center"/>
        </w:trPr>
        <w:tc>
          <w:tcPr>
            <w:tcW w:w="960" w:type="dxa"/>
            <w:tcBorders>
              <w:top w:val="single" w:color="auto" w:sz="4" w:space="0"/>
              <w:left w:val="single" w:color="auto" w:sz="4" w:space="0"/>
            </w:tcBorders>
            <w:shd w:val="clear" w:color="auto" w:fill="FFFFFF"/>
            <w:vAlign w:val="center"/>
          </w:tcPr>
          <w:p w14:paraId="5C04C85C">
            <w:pPr>
              <w:pStyle w:val="43"/>
              <w:spacing w:line="240" w:lineRule="auto"/>
              <w:ind w:firstLine="0"/>
              <w:jc w:val="center"/>
              <w:rPr>
                <w:sz w:val="21"/>
                <w:szCs w:val="21"/>
              </w:rPr>
            </w:pPr>
            <w:r>
              <w:rPr>
                <w:sz w:val="21"/>
                <w:szCs w:val="21"/>
                <w:lang w:val="zh-CN" w:eastAsia="zh-CN" w:bidi="zh-CN"/>
              </w:rPr>
              <w:t>17</w:t>
            </w:r>
          </w:p>
        </w:tc>
        <w:tc>
          <w:tcPr>
            <w:tcW w:w="2220" w:type="dxa"/>
            <w:tcBorders>
              <w:top w:val="single" w:color="auto" w:sz="4" w:space="0"/>
              <w:left w:val="single" w:color="auto" w:sz="4" w:space="0"/>
            </w:tcBorders>
            <w:shd w:val="clear" w:color="auto" w:fill="FFFFFF"/>
            <w:vAlign w:val="center"/>
          </w:tcPr>
          <w:p w14:paraId="15D55F18">
            <w:pPr>
              <w:pStyle w:val="43"/>
              <w:spacing w:line="240" w:lineRule="auto"/>
              <w:ind w:firstLine="540"/>
              <w:rPr>
                <w:sz w:val="21"/>
                <w:szCs w:val="21"/>
              </w:rPr>
            </w:pPr>
            <w:r>
              <w:rPr>
                <w:sz w:val="21"/>
                <w:szCs w:val="21"/>
              </w:rPr>
              <w:t>磋商保证金</w:t>
            </w:r>
          </w:p>
        </w:tc>
        <w:tc>
          <w:tcPr>
            <w:tcW w:w="6855" w:type="dxa"/>
            <w:tcBorders>
              <w:top w:val="single" w:color="auto" w:sz="4" w:space="0"/>
              <w:left w:val="single" w:color="auto" w:sz="4" w:space="0"/>
              <w:right w:val="single" w:color="auto" w:sz="4" w:space="0"/>
            </w:tcBorders>
            <w:shd w:val="clear" w:color="auto" w:fill="FFFFFF"/>
            <w:vAlign w:val="bottom"/>
          </w:tcPr>
          <w:p w14:paraId="6BAB3CE0">
            <w:pPr>
              <w:pStyle w:val="43"/>
              <w:spacing w:line="365" w:lineRule="exact"/>
              <w:ind w:firstLine="420" w:firstLineChars="200"/>
              <w:rPr>
                <w:sz w:val="21"/>
                <w:szCs w:val="21"/>
                <w:lang w:eastAsia="zh-CN"/>
              </w:rPr>
            </w:pPr>
            <w:r>
              <w:rPr>
                <w:rFonts w:hint="eastAsia"/>
                <w:sz w:val="21"/>
                <w:szCs w:val="21"/>
                <w:lang w:eastAsia="zh-CN"/>
              </w:rPr>
              <w:t>磋商保证金</w:t>
            </w:r>
            <w:r>
              <w:rPr>
                <w:sz w:val="21"/>
                <w:szCs w:val="21"/>
              </w:rPr>
              <w:t>：</w:t>
            </w:r>
            <w:r>
              <w:rPr>
                <w:rFonts w:hint="eastAsia"/>
                <w:sz w:val="21"/>
                <w:szCs w:val="21"/>
                <w:lang w:eastAsia="zh-CN"/>
              </w:rPr>
              <w:t>本项目不收取磋商保证金</w:t>
            </w:r>
          </w:p>
          <w:p w14:paraId="4B3FDA2B">
            <w:pPr>
              <w:pStyle w:val="43"/>
              <w:spacing w:line="365" w:lineRule="exact"/>
              <w:ind w:firstLine="420" w:firstLineChars="200"/>
              <w:jc w:val="both"/>
              <w:rPr>
                <w:sz w:val="21"/>
                <w:szCs w:val="21"/>
              </w:rPr>
            </w:pPr>
            <w:r>
              <w:rPr>
                <w:sz w:val="21"/>
                <w:szCs w:val="21"/>
              </w:rPr>
              <w:t>磋商保证金的交纳方式：银行转账、支票、汇票、本票、银行出具的保函或保险机构出具的保函、保险单，禁止采用现钞方式。采用银行转账方式的，在投标截止时间前交至指定账户并且到账</w:t>
            </w:r>
          </w:p>
          <w:p w14:paraId="20FCC50B">
            <w:pPr>
              <w:pStyle w:val="43"/>
              <w:spacing w:line="365" w:lineRule="exact"/>
              <w:ind w:firstLine="420" w:firstLineChars="200"/>
              <w:jc w:val="both"/>
              <w:rPr>
                <w:sz w:val="21"/>
                <w:szCs w:val="21"/>
              </w:rPr>
            </w:pPr>
            <w:r>
              <w:rPr>
                <w:sz w:val="21"/>
                <w:szCs w:val="21"/>
              </w:rPr>
              <w:t>账户名称：/</w:t>
            </w:r>
          </w:p>
          <w:p w14:paraId="0BE95A7E">
            <w:pPr>
              <w:pStyle w:val="43"/>
              <w:spacing w:line="365" w:lineRule="exact"/>
              <w:ind w:firstLine="420" w:firstLineChars="200"/>
              <w:jc w:val="both"/>
              <w:rPr>
                <w:sz w:val="21"/>
                <w:szCs w:val="21"/>
              </w:rPr>
            </w:pPr>
            <w:r>
              <w:rPr>
                <w:sz w:val="21"/>
                <w:szCs w:val="21"/>
              </w:rPr>
              <w:t>开户银行：/</w:t>
            </w:r>
          </w:p>
          <w:p w14:paraId="2AD1928D">
            <w:pPr>
              <w:pStyle w:val="43"/>
              <w:spacing w:line="365" w:lineRule="exact"/>
              <w:ind w:firstLine="420" w:firstLineChars="200"/>
              <w:jc w:val="both"/>
              <w:rPr>
                <w:sz w:val="21"/>
                <w:szCs w:val="21"/>
              </w:rPr>
            </w:pPr>
            <w:r>
              <w:rPr>
                <w:sz w:val="21"/>
                <w:szCs w:val="21"/>
              </w:rPr>
              <w:t>银行账号：/</w:t>
            </w:r>
          </w:p>
          <w:p w14:paraId="287B5E14">
            <w:pPr>
              <w:pStyle w:val="43"/>
              <w:spacing w:line="365" w:lineRule="exact"/>
              <w:ind w:firstLine="420" w:firstLineChars="200"/>
              <w:jc w:val="both"/>
              <w:rPr>
                <w:sz w:val="21"/>
                <w:szCs w:val="21"/>
              </w:rPr>
            </w:pPr>
            <w:r>
              <w:rPr>
                <w:sz w:val="21"/>
                <w:szCs w:val="21"/>
              </w:rPr>
              <w:t>注：</w:t>
            </w:r>
          </w:p>
          <w:p w14:paraId="0E743FBB">
            <w:pPr>
              <w:pStyle w:val="43"/>
              <w:numPr>
                <w:ilvl w:val="0"/>
                <w:numId w:val="4"/>
              </w:numPr>
              <w:tabs>
                <w:tab w:val="left" w:pos="195"/>
              </w:tabs>
              <w:spacing w:line="365" w:lineRule="exact"/>
              <w:ind w:firstLine="420" w:firstLineChars="200"/>
              <w:jc w:val="both"/>
              <w:rPr>
                <w:sz w:val="21"/>
                <w:szCs w:val="21"/>
              </w:rPr>
            </w:pPr>
            <w:r>
              <w:rPr>
                <w:sz w:val="21"/>
                <w:szCs w:val="21"/>
              </w:rPr>
              <w:t>竟标人请</w:t>
            </w:r>
            <w:r>
              <w:rPr>
                <w:rFonts w:hint="eastAsia"/>
                <w:sz w:val="21"/>
                <w:szCs w:val="21"/>
                <w:lang w:eastAsia="zh-CN"/>
              </w:rPr>
              <w:t>在转账</w:t>
            </w:r>
            <w:r>
              <w:rPr>
                <w:sz w:val="21"/>
                <w:szCs w:val="21"/>
              </w:rPr>
              <w:t>备注栏注明本竟标项目名称</w:t>
            </w:r>
            <w:r>
              <w:rPr>
                <w:rFonts w:hint="eastAsia"/>
                <w:sz w:val="21"/>
                <w:szCs w:val="21"/>
                <w:lang w:eastAsia="zh-CN"/>
              </w:rPr>
              <w:t>或者编</w:t>
            </w:r>
            <w:r>
              <w:rPr>
                <w:sz w:val="21"/>
                <w:szCs w:val="21"/>
              </w:rPr>
              <w:t>号。</w:t>
            </w:r>
          </w:p>
          <w:p w14:paraId="0CF532ED">
            <w:pPr>
              <w:pStyle w:val="43"/>
              <w:numPr>
                <w:ilvl w:val="0"/>
                <w:numId w:val="4"/>
              </w:numPr>
              <w:tabs>
                <w:tab w:val="left" w:pos="210"/>
              </w:tabs>
              <w:spacing w:line="365" w:lineRule="exact"/>
              <w:ind w:firstLine="420" w:firstLineChars="200"/>
              <w:jc w:val="both"/>
              <w:rPr>
                <w:sz w:val="21"/>
                <w:szCs w:val="21"/>
              </w:rPr>
            </w:pPr>
            <w:r>
              <w:rPr>
                <w:sz w:val="21"/>
                <w:szCs w:val="21"/>
              </w:rPr>
              <w:t>竞标保证金采用转账方式的只</w:t>
            </w:r>
            <w:r>
              <w:rPr>
                <w:rFonts w:hint="eastAsia"/>
                <w:sz w:val="21"/>
                <w:szCs w:val="21"/>
                <w:lang w:eastAsia="zh-CN"/>
              </w:rPr>
              <w:t>接</w:t>
            </w:r>
            <w:r>
              <w:rPr>
                <w:sz w:val="21"/>
                <w:szCs w:val="21"/>
              </w:rPr>
              <w:t>受竞标入基本账户汇出的款项，对非竞标人基本账户汇出的款项一律不予认可。</w:t>
            </w:r>
          </w:p>
        </w:tc>
      </w:tr>
      <w:tr w14:paraId="3CE68886">
        <w:tblPrEx>
          <w:tblCellMar>
            <w:top w:w="0" w:type="dxa"/>
            <w:left w:w="10" w:type="dxa"/>
            <w:bottom w:w="0" w:type="dxa"/>
            <w:right w:w="10" w:type="dxa"/>
          </w:tblCellMar>
        </w:tblPrEx>
        <w:trPr>
          <w:trHeight w:val="1175" w:hRule="exact"/>
          <w:jc w:val="center"/>
        </w:trPr>
        <w:tc>
          <w:tcPr>
            <w:tcW w:w="960" w:type="dxa"/>
            <w:vMerge w:val="restart"/>
            <w:tcBorders>
              <w:top w:val="single" w:color="auto" w:sz="4" w:space="0"/>
              <w:left w:val="single" w:color="auto" w:sz="4" w:space="0"/>
            </w:tcBorders>
            <w:shd w:val="clear" w:color="auto" w:fill="FFFFFF"/>
            <w:vAlign w:val="center"/>
          </w:tcPr>
          <w:p w14:paraId="56F057DE">
            <w:pPr>
              <w:pStyle w:val="43"/>
              <w:spacing w:line="240" w:lineRule="auto"/>
              <w:ind w:firstLine="240"/>
              <w:rPr>
                <w:sz w:val="21"/>
                <w:szCs w:val="21"/>
              </w:rPr>
            </w:pPr>
            <w:r>
              <w:rPr>
                <w:sz w:val="21"/>
                <w:szCs w:val="21"/>
                <w:lang w:val="en-US" w:eastAsia="en-US" w:bidi="en-US"/>
              </w:rPr>
              <w:t>20.1</w:t>
            </w:r>
          </w:p>
        </w:tc>
        <w:tc>
          <w:tcPr>
            <w:tcW w:w="2220" w:type="dxa"/>
            <w:tcBorders>
              <w:top w:val="single" w:color="auto" w:sz="4" w:space="0"/>
              <w:left w:val="single" w:color="auto" w:sz="4" w:space="0"/>
            </w:tcBorders>
            <w:shd w:val="clear" w:color="auto" w:fill="FFFFFF"/>
          </w:tcPr>
          <w:p w14:paraId="1C9F36A1">
            <w:pPr>
              <w:pStyle w:val="43"/>
              <w:spacing w:after="180" w:line="240" w:lineRule="auto"/>
              <w:ind w:firstLine="0"/>
              <w:rPr>
                <w:sz w:val="21"/>
                <w:szCs w:val="21"/>
              </w:rPr>
            </w:pPr>
          </w:p>
          <w:p w14:paraId="1AF89968">
            <w:pPr>
              <w:pStyle w:val="43"/>
              <w:spacing w:after="180" w:line="240" w:lineRule="auto"/>
              <w:ind w:firstLine="0"/>
              <w:rPr>
                <w:sz w:val="21"/>
                <w:szCs w:val="21"/>
              </w:rPr>
            </w:pPr>
            <w:r>
              <w:rPr>
                <w:sz w:val="21"/>
                <w:szCs w:val="21"/>
              </w:rPr>
              <w:t>首次响应文件提交起止时间</w:t>
            </w:r>
          </w:p>
        </w:tc>
        <w:tc>
          <w:tcPr>
            <w:tcW w:w="6855" w:type="dxa"/>
            <w:tcBorders>
              <w:top w:val="single" w:color="auto" w:sz="4" w:space="0"/>
              <w:left w:val="single" w:color="auto" w:sz="4" w:space="0"/>
              <w:right w:val="single" w:color="auto" w:sz="4" w:space="0"/>
            </w:tcBorders>
            <w:shd w:val="clear" w:color="auto" w:fill="FFFFFF"/>
            <w:vAlign w:val="center"/>
          </w:tcPr>
          <w:p w14:paraId="35E2EBCA">
            <w:pPr>
              <w:pStyle w:val="43"/>
              <w:spacing w:line="240" w:lineRule="auto"/>
              <w:ind w:firstLine="0"/>
              <w:jc w:val="both"/>
              <w:rPr>
                <w:sz w:val="21"/>
                <w:szCs w:val="21"/>
              </w:rPr>
            </w:pPr>
            <w:r>
              <w:rPr>
                <w:sz w:val="21"/>
                <w:szCs w:val="21"/>
              </w:rPr>
              <w:t>详见竞争性磋商公告。</w:t>
            </w:r>
          </w:p>
        </w:tc>
      </w:tr>
      <w:tr w14:paraId="5D0DD12F">
        <w:tblPrEx>
          <w:tblCellMar>
            <w:top w:w="0" w:type="dxa"/>
            <w:left w:w="10" w:type="dxa"/>
            <w:bottom w:w="0" w:type="dxa"/>
            <w:right w:w="10" w:type="dxa"/>
          </w:tblCellMar>
        </w:tblPrEx>
        <w:trPr>
          <w:trHeight w:val="2535" w:hRule="exact"/>
          <w:jc w:val="center"/>
        </w:trPr>
        <w:tc>
          <w:tcPr>
            <w:tcW w:w="960" w:type="dxa"/>
            <w:vMerge w:val="continue"/>
            <w:tcBorders>
              <w:left w:val="single" w:color="auto" w:sz="4" w:space="0"/>
            </w:tcBorders>
            <w:shd w:val="clear" w:color="auto" w:fill="FFFFFF"/>
            <w:vAlign w:val="center"/>
          </w:tcPr>
          <w:p w14:paraId="21838D6B">
            <w:pPr>
              <w:rPr>
                <w:sz w:val="28"/>
                <w:szCs w:val="28"/>
                <w:lang w:eastAsia="zh-CN"/>
              </w:rPr>
            </w:pPr>
          </w:p>
        </w:tc>
        <w:tc>
          <w:tcPr>
            <w:tcW w:w="2220" w:type="dxa"/>
            <w:tcBorders>
              <w:top w:val="single" w:color="auto" w:sz="4" w:space="0"/>
              <w:left w:val="single" w:color="auto" w:sz="4" w:space="0"/>
            </w:tcBorders>
            <w:shd w:val="clear" w:color="auto" w:fill="FFFFFF"/>
            <w:vAlign w:val="center"/>
          </w:tcPr>
          <w:p w14:paraId="5062360F">
            <w:pPr>
              <w:pStyle w:val="43"/>
              <w:spacing w:line="240" w:lineRule="auto"/>
              <w:ind w:firstLine="420"/>
              <w:rPr>
                <w:sz w:val="21"/>
                <w:szCs w:val="21"/>
              </w:rPr>
            </w:pPr>
            <w:r>
              <w:rPr>
                <w:sz w:val="21"/>
                <w:szCs w:val="21"/>
              </w:rPr>
              <w:t>磋商注意事项</w:t>
            </w:r>
          </w:p>
        </w:tc>
        <w:tc>
          <w:tcPr>
            <w:tcW w:w="6855" w:type="dxa"/>
            <w:tcBorders>
              <w:top w:val="single" w:color="auto" w:sz="4" w:space="0"/>
              <w:left w:val="single" w:color="auto" w:sz="4" w:space="0"/>
              <w:right w:val="single" w:color="auto" w:sz="4" w:space="0"/>
            </w:tcBorders>
            <w:shd w:val="clear" w:color="auto" w:fill="FFFFFF"/>
            <w:vAlign w:val="bottom"/>
          </w:tcPr>
          <w:p w14:paraId="31734C63">
            <w:pPr>
              <w:pStyle w:val="43"/>
              <w:spacing w:line="360" w:lineRule="exact"/>
              <w:ind w:firstLine="0"/>
              <w:jc w:val="both"/>
              <w:rPr>
                <w:sz w:val="21"/>
                <w:szCs w:val="21"/>
              </w:rPr>
            </w:pPr>
            <w:r>
              <w:rPr>
                <w:sz w:val="21"/>
                <w:szCs w:val="21"/>
              </w:rPr>
              <w:t>磋商参加人员及响应文件解密事项：供应商法定代表人</w:t>
            </w:r>
            <w:r>
              <w:rPr>
                <w:rFonts w:hint="eastAsia"/>
                <w:sz w:val="21"/>
                <w:szCs w:val="21"/>
                <w:lang w:eastAsia="zh-CN"/>
              </w:rPr>
              <w:t>或委托代理人</w:t>
            </w:r>
            <w:r>
              <w:rPr>
                <w:sz w:val="21"/>
                <w:szCs w:val="21"/>
              </w:rPr>
              <w:t>开标</w:t>
            </w:r>
            <w:r>
              <w:rPr>
                <w:rFonts w:hint="eastAsia"/>
                <w:sz w:val="21"/>
                <w:szCs w:val="21"/>
                <w:lang w:eastAsia="zh-CN"/>
              </w:rPr>
              <w:t>无需到现场参</w:t>
            </w:r>
            <w:r>
              <w:rPr>
                <w:sz w:val="21"/>
                <w:szCs w:val="21"/>
                <w:lang w:val="zh-CN" w:eastAsia="zh-CN" w:bidi="zh-CN"/>
              </w:rPr>
              <w:t>加</w:t>
            </w:r>
            <w:r>
              <w:rPr>
                <w:sz w:val="21"/>
                <w:szCs w:val="21"/>
              </w:rPr>
              <w:t>磋商会议，在开标</w:t>
            </w:r>
            <w:r>
              <w:rPr>
                <w:rFonts w:hint="eastAsia"/>
                <w:sz w:val="21"/>
                <w:szCs w:val="21"/>
                <w:lang w:eastAsia="zh-CN"/>
              </w:rPr>
              <w:t>须安排相关授权代理人</w:t>
            </w:r>
            <w:r>
              <w:rPr>
                <w:sz w:val="21"/>
                <w:szCs w:val="21"/>
              </w:rPr>
              <w:t>在响应文件</w:t>
            </w:r>
            <w:r>
              <w:rPr>
                <w:rFonts w:hint="eastAsia"/>
                <w:sz w:val="21"/>
                <w:szCs w:val="21"/>
                <w:lang w:eastAsia="zh-CN"/>
              </w:rPr>
              <w:t>递交</w:t>
            </w:r>
            <w:r>
              <w:rPr>
                <w:sz w:val="21"/>
                <w:szCs w:val="21"/>
              </w:rPr>
              <w:t>截止时间到后及时登录</w:t>
            </w:r>
            <w:r>
              <w:rPr>
                <w:rFonts w:hint="eastAsia"/>
                <w:sz w:val="21"/>
                <w:szCs w:val="21"/>
                <w:lang w:eastAsia="zh-CN"/>
              </w:rPr>
              <w:t>广西政府采购云平台</w:t>
            </w:r>
            <w:r>
              <w:rPr>
                <w:sz w:val="21"/>
                <w:szCs w:val="21"/>
              </w:rPr>
              <w:t>平台解密本</w:t>
            </w:r>
            <w:r>
              <w:rPr>
                <w:rFonts w:hint="eastAsia"/>
                <w:sz w:val="21"/>
                <w:szCs w:val="21"/>
                <w:lang w:eastAsia="zh-CN"/>
              </w:rPr>
              <w:t>单位</w:t>
            </w:r>
            <w:r>
              <w:rPr>
                <w:sz w:val="21"/>
                <w:szCs w:val="21"/>
              </w:rPr>
              <w:t>的电子响应文件，解密时限30分钟（具体以系统</w:t>
            </w:r>
            <w:r>
              <w:rPr>
                <w:rFonts w:hint="eastAsia"/>
                <w:sz w:val="21"/>
                <w:szCs w:val="21"/>
                <w:lang w:eastAsia="zh-CN"/>
              </w:rPr>
              <w:t>解密</w:t>
            </w:r>
            <w:r>
              <w:rPr>
                <w:sz w:val="21"/>
                <w:szCs w:val="21"/>
              </w:rPr>
              <w:t>倒计时为准），解密过程如遇到技术问题请及时致电政</w:t>
            </w:r>
            <w:r>
              <w:rPr>
                <w:rFonts w:hint="eastAsia"/>
                <w:sz w:val="21"/>
                <w:szCs w:val="21"/>
                <w:lang w:eastAsia="zh-CN"/>
              </w:rPr>
              <w:t>广西政府采购云平台</w:t>
            </w:r>
            <w:r>
              <w:rPr>
                <w:sz w:val="21"/>
                <w:szCs w:val="21"/>
              </w:rPr>
              <w:t>客服处理）</w:t>
            </w:r>
            <w:r>
              <w:rPr>
                <w:i/>
                <w:iCs/>
                <w:sz w:val="21"/>
                <w:szCs w:val="21"/>
              </w:rPr>
              <w:t>，</w:t>
            </w:r>
            <w:r>
              <w:rPr>
                <w:sz w:val="21"/>
                <w:szCs w:val="21"/>
              </w:rPr>
              <w:t>供应商须在此时间</w:t>
            </w:r>
            <w:r>
              <w:rPr>
                <w:rFonts w:hint="eastAsia"/>
                <w:sz w:val="21"/>
                <w:szCs w:val="21"/>
                <w:lang w:eastAsia="zh-CN"/>
              </w:rPr>
              <w:t>内按时解</w:t>
            </w:r>
            <w:r>
              <w:rPr>
                <w:sz w:val="21"/>
                <w:szCs w:val="21"/>
              </w:rPr>
              <w:t>密电子响应文件，</w:t>
            </w:r>
            <w:r>
              <w:rPr>
                <w:rFonts w:hint="eastAsia"/>
                <w:sz w:val="21"/>
                <w:szCs w:val="21"/>
                <w:lang w:eastAsia="zh-CN"/>
              </w:rPr>
              <w:t>逾期未解密</w:t>
            </w:r>
            <w:r>
              <w:rPr>
                <w:sz w:val="21"/>
                <w:szCs w:val="21"/>
              </w:rPr>
              <w:t>则视为自动放弃竞标资格，因此造成的所有损失均由供应商自行承担。</w:t>
            </w:r>
          </w:p>
        </w:tc>
      </w:tr>
      <w:tr w14:paraId="3962739D">
        <w:tblPrEx>
          <w:tblCellMar>
            <w:top w:w="0" w:type="dxa"/>
            <w:left w:w="10" w:type="dxa"/>
            <w:bottom w:w="0" w:type="dxa"/>
            <w:right w:w="10" w:type="dxa"/>
          </w:tblCellMar>
        </w:tblPrEx>
        <w:trPr>
          <w:trHeight w:val="420" w:hRule="exact"/>
          <w:jc w:val="center"/>
        </w:trPr>
        <w:tc>
          <w:tcPr>
            <w:tcW w:w="960" w:type="dxa"/>
            <w:tcBorders>
              <w:top w:val="single" w:color="auto" w:sz="4" w:space="0"/>
              <w:left w:val="single" w:color="auto" w:sz="4" w:space="0"/>
            </w:tcBorders>
            <w:shd w:val="clear" w:color="auto" w:fill="FFFFFF"/>
          </w:tcPr>
          <w:p w14:paraId="74B919A0">
            <w:pPr>
              <w:pStyle w:val="43"/>
              <w:spacing w:line="240" w:lineRule="auto"/>
              <w:ind w:firstLine="240"/>
              <w:rPr>
                <w:sz w:val="21"/>
                <w:szCs w:val="21"/>
              </w:rPr>
            </w:pPr>
            <w:r>
              <w:rPr>
                <w:sz w:val="21"/>
                <w:szCs w:val="21"/>
                <w:lang w:val="en-US" w:eastAsia="en-US" w:bidi="en-US"/>
              </w:rPr>
              <w:t>20.6</w:t>
            </w:r>
          </w:p>
        </w:tc>
        <w:tc>
          <w:tcPr>
            <w:tcW w:w="2220" w:type="dxa"/>
            <w:tcBorders>
              <w:top w:val="single" w:color="auto" w:sz="4" w:space="0"/>
              <w:left w:val="single" w:color="auto" w:sz="4" w:space="0"/>
            </w:tcBorders>
            <w:shd w:val="clear" w:color="auto" w:fill="FFFFFF"/>
          </w:tcPr>
          <w:p w14:paraId="1E09EDCC">
            <w:pPr>
              <w:pStyle w:val="43"/>
              <w:spacing w:line="240" w:lineRule="auto"/>
              <w:ind w:firstLine="420"/>
              <w:rPr>
                <w:sz w:val="21"/>
                <w:szCs w:val="21"/>
              </w:rPr>
            </w:pPr>
            <w:r>
              <w:rPr>
                <w:sz w:val="21"/>
                <w:szCs w:val="21"/>
              </w:rPr>
              <w:t>备份响应文件</w:t>
            </w:r>
          </w:p>
        </w:tc>
        <w:tc>
          <w:tcPr>
            <w:tcW w:w="6855" w:type="dxa"/>
            <w:tcBorders>
              <w:top w:val="single" w:color="auto" w:sz="4" w:space="0"/>
              <w:left w:val="single" w:color="auto" w:sz="4" w:space="0"/>
              <w:right w:val="single" w:color="auto" w:sz="4" w:space="0"/>
            </w:tcBorders>
            <w:shd w:val="clear" w:color="auto" w:fill="FFFFFF"/>
          </w:tcPr>
          <w:p w14:paraId="18A1412D">
            <w:pPr>
              <w:pStyle w:val="43"/>
              <w:spacing w:line="240" w:lineRule="auto"/>
              <w:ind w:firstLine="0"/>
              <w:jc w:val="both"/>
              <w:rPr>
                <w:sz w:val="21"/>
                <w:szCs w:val="21"/>
              </w:rPr>
            </w:pPr>
            <w:r>
              <w:rPr>
                <w:sz w:val="21"/>
                <w:szCs w:val="21"/>
              </w:rPr>
              <w:t>本项目不接受备份响应文件。</w:t>
            </w:r>
          </w:p>
        </w:tc>
      </w:tr>
      <w:tr w14:paraId="45B1F3B7">
        <w:tblPrEx>
          <w:tblCellMar>
            <w:top w:w="0" w:type="dxa"/>
            <w:left w:w="10" w:type="dxa"/>
            <w:bottom w:w="0" w:type="dxa"/>
            <w:right w:w="10" w:type="dxa"/>
          </w:tblCellMar>
        </w:tblPrEx>
        <w:trPr>
          <w:trHeight w:val="2055" w:hRule="exact"/>
          <w:jc w:val="center"/>
        </w:trPr>
        <w:tc>
          <w:tcPr>
            <w:tcW w:w="960" w:type="dxa"/>
            <w:tcBorders>
              <w:top w:val="single" w:color="auto" w:sz="4" w:space="0"/>
              <w:left w:val="single" w:color="auto" w:sz="4" w:space="0"/>
            </w:tcBorders>
            <w:shd w:val="clear" w:color="auto" w:fill="FFFFFF"/>
            <w:vAlign w:val="center"/>
          </w:tcPr>
          <w:p w14:paraId="03BD86BF">
            <w:pPr>
              <w:pStyle w:val="43"/>
              <w:spacing w:line="240" w:lineRule="auto"/>
              <w:ind w:firstLine="360"/>
              <w:rPr>
                <w:sz w:val="21"/>
                <w:szCs w:val="21"/>
              </w:rPr>
            </w:pPr>
            <w:r>
              <w:rPr>
                <w:sz w:val="21"/>
                <w:szCs w:val="21"/>
                <w:lang w:val="zh-CN" w:eastAsia="zh-CN" w:bidi="zh-CN"/>
              </w:rPr>
              <w:t>21</w:t>
            </w:r>
          </w:p>
        </w:tc>
        <w:tc>
          <w:tcPr>
            <w:tcW w:w="2220" w:type="dxa"/>
            <w:tcBorders>
              <w:top w:val="single" w:color="auto" w:sz="4" w:space="0"/>
              <w:left w:val="single" w:color="auto" w:sz="4" w:space="0"/>
            </w:tcBorders>
            <w:shd w:val="clear" w:color="auto" w:fill="FFFFFF"/>
            <w:vAlign w:val="center"/>
          </w:tcPr>
          <w:p w14:paraId="2AC3F6A9">
            <w:pPr>
              <w:pStyle w:val="43"/>
              <w:spacing w:line="240" w:lineRule="auto"/>
              <w:ind w:firstLine="0"/>
              <w:rPr>
                <w:sz w:val="21"/>
                <w:szCs w:val="21"/>
              </w:rPr>
            </w:pPr>
            <w:r>
              <w:rPr>
                <w:sz w:val="21"/>
                <w:szCs w:val="21"/>
              </w:rPr>
              <w:t>首次响应文件的退回</w:t>
            </w:r>
          </w:p>
        </w:tc>
        <w:tc>
          <w:tcPr>
            <w:tcW w:w="6855" w:type="dxa"/>
            <w:tcBorders>
              <w:top w:val="single" w:color="auto" w:sz="4" w:space="0"/>
              <w:left w:val="single" w:color="auto" w:sz="4" w:space="0"/>
              <w:right w:val="single" w:color="auto" w:sz="4" w:space="0"/>
            </w:tcBorders>
            <w:shd w:val="clear" w:color="auto" w:fill="FFFFFF"/>
          </w:tcPr>
          <w:p w14:paraId="1CCD0AE8">
            <w:pPr>
              <w:pStyle w:val="43"/>
              <w:spacing w:line="409" w:lineRule="exact"/>
              <w:ind w:firstLine="0"/>
              <w:jc w:val="both"/>
              <w:rPr>
                <w:sz w:val="21"/>
                <w:szCs w:val="21"/>
              </w:rPr>
            </w:pPr>
            <w:r>
              <w:rPr>
                <w:sz w:val="21"/>
                <w:szCs w:val="21"/>
              </w:rPr>
              <w:t>供应商应当在提交响应文件截止时间前完成响应文件的传输提交,并可以 补充、修改或者撤回响应文件。补充或者修改响应文件的，应当先行撤回 原文件，补充、修改后重新传输提交。提交响应文件截止时间前未完成传 输的，视为撤回响应文件。响应文件提交截止时间后提交的响应文件，电子交易平台将拒收。</w:t>
            </w:r>
          </w:p>
        </w:tc>
      </w:tr>
      <w:tr w14:paraId="2D186C6E">
        <w:tblPrEx>
          <w:tblCellMar>
            <w:top w:w="0" w:type="dxa"/>
            <w:left w:w="10" w:type="dxa"/>
            <w:bottom w:w="0" w:type="dxa"/>
            <w:right w:w="10" w:type="dxa"/>
          </w:tblCellMar>
        </w:tblPrEx>
        <w:trPr>
          <w:trHeight w:val="825" w:hRule="exact"/>
          <w:jc w:val="center"/>
        </w:trPr>
        <w:tc>
          <w:tcPr>
            <w:tcW w:w="960" w:type="dxa"/>
            <w:vMerge w:val="restart"/>
            <w:tcBorders>
              <w:top w:val="single" w:color="auto" w:sz="4" w:space="0"/>
              <w:left w:val="single" w:color="auto" w:sz="4" w:space="0"/>
            </w:tcBorders>
            <w:shd w:val="clear" w:color="auto" w:fill="FFFFFF"/>
            <w:vAlign w:val="center"/>
          </w:tcPr>
          <w:p w14:paraId="589F16E2">
            <w:pPr>
              <w:pStyle w:val="43"/>
              <w:spacing w:line="240" w:lineRule="auto"/>
              <w:ind w:firstLine="240"/>
              <w:rPr>
                <w:sz w:val="21"/>
                <w:szCs w:val="21"/>
              </w:rPr>
            </w:pPr>
            <w:r>
              <w:rPr>
                <w:sz w:val="21"/>
                <w:szCs w:val="21"/>
                <w:lang w:val="en-US" w:eastAsia="en-US" w:bidi="en-US"/>
              </w:rPr>
              <w:t>26.2</w:t>
            </w:r>
          </w:p>
        </w:tc>
        <w:tc>
          <w:tcPr>
            <w:tcW w:w="2220" w:type="dxa"/>
            <w:tcBorders>
              <w:top w:val="single" w:color="auto" w:sz="4" w:space="0"/>
              <w:left w:val="single" w:color="auto" w:sz="4" w:space="0"/>
            </w:tcBorders>
            <w:shd w:val="clear" w:color="auto" w:fill="FFFFFF"/>
            <w:vAlign w:val="center"/>
          </w:tcPr>
          <w:p w14:paraId="0FD0A0D1">
            <w:pPr>
              <w:pStyle w:val="43"/>
              <w:spacing w:line="240" w:lineRule="auto"/>
              <w:ind w:firstLine="540"/>
              <w:rPr>
                <w:sz w:val="21"/>
                <w:szCs w:val="21"/>
              </w:rPr>
            </w:pPr>
            <w:r>
              <w:rPr>
                <w:sz w:val="21"/>
                <w:szCs w:val="21"/>
              </w:rPr>
              <w:t>负偏离要求</w:t>
            </w:r>
          </w:p>
        </w:tc>
        <w:tc>
          <w:tcPr>
            <w:tcW w:w="6855" w:type="dxa"/>
            <w:tcBorders>
              <w:top w:val="single" w:color="auto" w:sz="4" w:space="0"/>
              <w:left w:val="single" w:color="auto" w:sz="4" w:space="0"/>
              <w:right w:val="single" w:color="auto" w:sz="4" w:space="0"/>
            </w:tcBorders>
            <w:shd w:val="clear" w:color="auto" w:fill="FFFFFF"/>
          </w:tcPr>
          <w:p w14:paraId="67BA8951">
            <w:pPr>
              <w:pStyle w:val="43"/>
              <w:spacing w:line="405" w:lineRule="exact"/>
              <w:ind w:firstLine="420" w:firstLineChars="200"/>
              <w:rPr>
                <w:sz w:val="21"/>
                <w:szCs w:val="21"/>
              </w:rPr>
            </w:pPr>
            <w:r>
              <w:rPr>
                <w:sz w:val="21"/>
                <w:szCs w:val="21"/>
              </w:rPr>
              <w:t>商务条款评亩中允许负偏离的条款数为</w:t>
            </w:r>
            <w:r>
              <w:rPr>
                <w:rFonts w:hint="eastAsia"/>
                <w:sz w:val="21"/>
                <w:szCs w:val="21"/>
                <w:u w:val="single"/>
                <w:lang w:val="en-US" w:eastAsia="zh-CN"/>
              </w:rPr>
              <w:t xml:space="preserve"> / </w:t>
            </w:r>
            <w:r>
              <w:rPr>
                <w:sz w:val="21"/>
                <w:szCs w:val="21"/>
              </w:rPr>
              <w:t>项。</w:t>
            </w:r>
          </w:p>
          <w:p w14:paraId="015F26E2">
            <w:pPr>
              <w:pStyle w:val="43"/>
              <w:spacing w:line="405" w:lineRule="exact"/>
              <w:ind w:firstLine="420" w:firstLineChars="200"/>
              <w:rPr>
                <w:sz w:val="21"/>
                <w:szCs w:val="21"/>
              </w:rPr>
            </w:pPr>
            <w:r>
              <w:rPr>
                <w:sz w:val="21"/>
                <w:szCs w:val="21"/>
              </w:rPr>
              <w:t>服务需求评审中允许负偏离的条款数为</w:t>
            </w:r>
            <w:r>
              <w:rPr>
                <w:rFonts w:hint="eastAsia"/>
                <w:sz w:val="21"/>
                <w:szCs w:val="21"/>
                <w:u w:val="single"/>
                <w:lang w:val="en-US" w:eastAsia="zh-CN"/>
              </w:rPr>
              <w:t xml:space="preserve"> / </w:t>
            </w:r>
            <w:r>
              <w:rPr>
                <w:sz w:val="21"/>
                <w:szCs w:val="21"/>
              </w:rPr>
              <w:t>项。</w:t>
            </w:r>
          </w:p>
        </w:tc>
      </w:tr>
      <w:tr w14:paraId="4416BA2C">
        <w:tblPrEx>
          <w:tblCellMar>
            <w:top w:w="0" w:type="dxa"/>
            <w:left w:w="10" w:type="dxa"/>
            <w:bottom w:w="0" w:type="dxa"/>
            <w:right w:w="10" w:type="dxa"/>
          </w:tblCellMar>
        </w:tblPrEx>
        <w:trPr>
          <w:trHeight w:val="1635" w:hRule="exact"/>
          <w:jc w:val="center"/>
        </w:trPr>
        <w:tc>
          <w:tcPr>
            <w:tcW w:w="960" w:type="dxa"/>
            <w:vMerge w:val="continue"/>
            <w:tcBorders>
              <w:left w:val="single" w:color="auto" w:sz="4" w:space="0"/>
            </w:tcBorders>
            <w:shd w:val="clear" w:color="auto" w:fill="FFFFFF"/>
            <w:vAlign w:val="center"/>
          </w:tcPr>
          <w:p w14:paraId="21152126">
            <w:pPr>
              <w:rPr>
                <w:sz w:val="28"/>
                <w:szCs w:val="28"/>
                <w:lang w:eastAsia="zh-CN"/>
              </w:rPr>
            </w:pPr>
          </w:p>
        </w:tc>
        <w:tc>
          <w:tcPr>
            <w:tcW w:w="2220" w:type="dxa"/>
            <w:tcBorders>
              <w:top w:val="single" w:color="auto" w:sz="4" w:space="0"/>
              <w:left w:val="single" w:color="auto" w:sz="4" w:space="0"/>
            </w:tcBorders>
            <w:shd w:val="clear" w:color="auto" w:fill="FFFFFF"/>
            <w:vAlign w:val="center"/>
          </w:tcPr>
          <w:p w14:paraId="6604C2C6">
            <w:pPr>
              <w:pStyle w:val="43"/>
              <w:spacing w:line="240" w:lineRule="auto"/>
              <w:ind w:firstLine="540"/>
              <w:rPr>
                <w:sz w:val="21"/>
                <w:szCs w:val="21"/>
              </w:rPr>
            </w:pPr>
            <w:r>
              <w:rPr>
                <w:sz w:val="21"/>
                <w:szCs w:val="21"/>
              </w:rPr>
              <w:t>磋商的顺序</w:t>
            </w:r>
          </w:p>
        </w:tc>
        <w:tc>
          <w:tcPr>
            <w:tcW w:w="6855" w:type="dxa"/>
            <w:tcBorders>
              <w:top w:val="single" w:color="auto" w:sz="4" w:space="0"/>
              <w:left w:val="single" w:color="auto" w:sz="4" w:space="0"/>
              <w:right w:val="single" w:color="auto" w:sz="4" w:space="0"/>
            </w:tcBorders>
            <w:shd w:val="clear" w:color="auto" w:fill="FFFFFF"/>
          </w:tcPr>
          <w:p w14:paraId="40DFB196">
            <w:pPr>
              <w:pStyle w:val="43"/>
              <w:spacing w:line="405" w:lineRule="exact"/>
              <w:ind w:firstLine="420" w:firstLineChars="200"/>
              <w:jc w:val="both"/>
              <w:rPr>
                <w:sz w:val="21"/>
                <w:szCs w:val="21"/>
              </w:rPr>
            </w:pPr>
            <w:r>
              <w:rPr>
                <w:sz w:val="21"/>
                <w:szCs w:val="21"/>
              </w:rPr>
              <w:t>口按照提交首次响应文件的顺序，通知磋商时，若某供应商不在通知现场时，该供应商排序到最后磋商，按照签到的顺序由其下一位供应商先参与 磋商。</w:t>
            </w:r>
          </w:p>
          <w:p w14:paraId="57A7D1AA">
            <w:pPr>
              <w:pStyle w:val="43"/>
              <w:spacing w:line="405" w:lineRule="exact"/>
              <w:ind w:firstLine="420" w:firstLineChars="200"/>
              <w:jc w:val="both"/>
              <w:rPr>
                <w:sz w:val="21"/>
                <w:szCs w:val="21"/>
              </w:rPr>
            </w:pPr>
            <w:r>
              <w:rPr>
                <w:sz w:val="21"/>
                <w:szCs w:val="21"/>
              </w:rPr>
              <w:sym w:font="Wingdings 2" w:char="0052"/>
            </w:r>
            <w:r>
              <w:rPr>
                <w:sz w:val="21"/>
                <w:szCs w:val="21"/>
              </w:rPr>
              <w:t>随机排序。</w:t>
            </w:r>
          </w:p>
        </w:tc>
      </w:tr>
      <w:tr w14:paraId="75CC36AC">
        <w:tblPrEx>
          <w:tblCellMar>
            <w:top w:w="0" w:type="dxa"/>
            <w:left w:w="10" w:type="dxa"/>
            <w:bottom w:w="0" w:type="dxa"/>
            <w:right w:w="10" w:type="dxa"/>
          </w:tblCellMar>
        </w:tblPrEx>
        <w:trPr>
          <w:trHeight w:val="620" w:hRule="exact"/>
          <w:jc w:val="center"/>
        </w:trPr>
        <w:tc>
          <w:tcPr>
            <w:tcW w:w="960" w:type="dxa"/>
            <w:tcBorders>
              <w:top w:val="single" w:color="auto" w:sz="4" w:space="0"/>
              <w:left w:val="single" w:color="auto" w:sz="4" w:space="0"/>
              <w:bottom w:val="single" w:color="auto" w:sz="4" w:space="0"/>
            </w:tcBorders>
            <w:shd w:val="clear" w:color="auto" w:fill="FFFFFF"/>
          </w:tcPr>
          <w:p w14:paraId="2D9F6A8A">
            <w:pPr>
              <w:pStyle w:val="43"/>
              <w:spacing w:line="240" w:lineRule="auto"/>
              <w:ind w:firstLine="360"/>
              <w:rPr>
                <w:sz w:val="21"/>
                <w:szCs w:val="21"/>
              </w:rPr>
            </w:pPr>
            <w:r>
              <w:rPr>
                <w:sz w:val="21"/>
                <w:szCs w:val="21"/>
                <w:lang w:val="zh-CN" w:eastAsia="zh-CN" w:bidi="zh-CN"/>
              </w:rPr>
              <w:t>28</w:t>
            </w:r>
          </w:p>
        </w:tc>
        <w:tc>
          <w:tcPr>
            <w:tcW w:w="2220" w:type="dxa"/>
            <w:tcBorders>
              <w:top w:val="single" w:color="auto" w:sz="4" w:space="0"/>
              <w:left w:val="single" w:color="auto" w:sz="4" w:space="0"/>
              <w:bottom w:val="single" w:color="auto" w:sz="4" w:space="0"/>
            </w:tcBorders>
            <w:shd w:val="clear" w:color="auto" w:fill="FFFFFF"/>
          </w:tcPr>
          <w:p w14:paraId="625FEB69">
            <w:pPr>
              <w:pStyle w:val="43"/>
              <w:spacing w:line="240" w:lineRule="auto"/>
              <w:ind w:firstLine="540"/>
              <w:rPr>
                <w:sz w:val="21"/>
                <w:szCs w:val="21"/>
              </w:rPr>
            </w:pPr>
            <w:r>
              <w:rPr>
                <w:sz w:val="21"/>
                <w:szCs w:val="21"/>
              </w:rPr>
              <w:t>履约保证金</w:t>
            </w:r>
          </w:p>
        </w:tc>
        <w:tc>
          <w:tcPr>
            <w:tcW w:w="6855" w:type="dxa"/>
            <w:tcBorders>
              <w:top w:val="single" w:color="auto" w:sz="4" w:space="0"/>
              <w:left w:val="single" w:color="auto" w:sz="4" w:space="0"/>
              <w:bottom w:val="single" w:color="auto" w:sz="4" w:space="0"/>
              <w:right w:val="single" w:color="auto" w:sz="4" w:space="0"/>
            </w:tcBorders>
            <w:shd w:val="clear" w:color="auto" w:fill="FFFFFF"/>
          </w:tcPr>
          <w:p w14:paraId="0D92B89B">
            <w:pPr>
              <w:pStyle w:val="43"/>
              <w:spacing w:line="240" w:lineRule="auto"/>
              <w:ind w:firstLine="0"/>
              <w:jc w:val="both"/>
              <w:rPr>
                <w:sz w:val="21"/>
                <w:szCs w:val="21"/>
              </w:rPr>
            </w:pPr>
            <w:r>
              <w:rPr>
                <w:sz w:val="21"/>
                <w:szCs w:val="21"/>
              </w:rPr>
              <w:t>本项目不收职履约保证金</w:t>
            </w:r>
          </w:p>
        </w:tc>
      </w:tr>
      <w:tr w14:paraId="68291153">
        <w:tblPrEx>
          <w:tblCellMar>
            <w:top w:w="0" w:type="dxa"/>
            <w:left w:w="10" w:type="dxa"/>
            <w:bottom w:w="0" w:type="dxa"/>
            <w:right w:w="10" w:type="dxa"/>
          </w:tblCellMar>
        </w:tblPrEx>
        <w:trPr>
          <w:trHeight w:val="420" w:hRule="exact"/>
          <w:jc w:val="center"/>
        </w:trPr>
        <w:tc>
          <w:tcPr>
            <w:tcW w:w="960" w:type="dxa"/>
            <w:tcBorders>
              <w:top w:val="single" w:color="auto" w:sz="4" w:space="0"/>
              <w:left w:val="single" w:color="auto" w:sz="4" w:space="0"/>
              <w:bottom w:val="single" w:color="auto" w:sz="4" w:space="0"/>
            </w:tcBorders>
            <w:shd w:val="clear" w:color="auto" w:fill="FFFFFF"/>
          </w:tcPr>
          <w:p w14:paraId="3E3F037E">
            <w:pPr>
              <w:pStyle w:val="43"/>
              <w:spacing w:line="240" w:lineRule="auto"/>
              <w:ind w:firstLine="240"/>
              <w:rPr>
                <w:sz w:val="21"/>
                <w:szCs w:val="21"/>
              </w:rPr>
            </w:pPr>
            <w:r>
              <w:rPr>
                <w:sz w:val="21"/>
                <w:szCs w:val="21"/>
                <w:lang w:val="en-US" w:eastAsia="en-US" w:bidi="en-US"/>
              </w:rPr>
              <w:t>29.5</w:t>
            </w:r>
          </w:p>
        </w:tc>
        <w:tc>
          <w:tcPr>
            <w:tcW w:w="2220" w:type="dxa"/>
            <w:tcBorders>
              <w:top w:val="single" w:color="auto" w:sz="4" w:space="0"/>
              <w:left w:val="single" w:color="auto" w:sz="4" w:space="0"/>
              <w:bottom w:val="single" w:color="auto" w:sz="4" w:space="0"/>
            </w:tcBorders>
            <w:shd w:val="clear" w:color="auto" w:fill="FFFFFF"/>
          </w:tcPr>
          <w:p w14:paraId="4AAABCC6">
            <w:pPr>
              <w:pStyle w:val="43"/>
              <w:spacing w:line="240" w:lineRule="auto"/>
              <w:ind w:firstLine="0"/>
              <w:rPr>
                <w:sz w:val="21"/>
                <w:szCs w:val="21"/>
              </w:rPr>
            </w:pPr>
            <w:r>
              <w:rPr>
                <w:sz w:val="21"/>
                <w:szCs w:val="21"/>
              </w:rPr>
              <w:t>签订合同携帯的材料</w:t>
            </w:r>
          </w:p>
        </w:tc>
        <w:tc>
          <w:tcPr>
            <w:tcW w:w="6855" w:type="dxa"/>
            <w:tcBorders>
              <w:top w:val="single" w:color="auto" w:sz="4" w:space="0"/>
              <w:left w:val="single" w:color="auto" w:sz="4" w:space="0"/>
              <w:bottom w:val="single" w:color="auto" w:sz="4" w:space="0"/>
              <w:right w:val="single" w:color="auto" w:sz="4" w:space="0"/>
            </w:tcBorders>
            <w:shd w:val="clear" w:color="auto" w:fill="FFFFFF"/>
          </w:tcPr>
          <w:p w14:paraId="03BD1FD9">
            <w:pPr>
              <w:pStyle w:val="43"/>
              <w:spacing w:line="240" w:lineRule="auto"/>
              <w:ind w:firstLine="0"/>
              <w:jc w:val="both"/>
              <w:rPr>
                <w:sz w:val="21"/>
                <w:szCs w:val="21"/>
              </w:rPr>
            </w:pPr>
            <w:r>
              <w:rPr>
                <w:sz w:val="21"/>
                <w:szCs w:val="21"/>
              </w:rPr>
              <w:t>使用有效的单位公章</w:t>
            </w:r>
          </w:p>
        </w:tc>
      </w:tr>
      <w:tr w14:paraId="5B0EF954">
        <w:tblPrEx>
          <w:tblCellMar>
            <w:top w:w="0" w:type="dxa"/>
            <w:left w:w="10" w:type="dxa"/>
            <w:bottom w:w="0" w:type="dxa"/>
            <w:right w:w="10" w:type="dxa"/>
          </w:tblCellMar>
        </w:tblPrEx>
        <w:trPr>
          <w:trHeight w:val="420" w:hRule="exact"/>
          <w:jc w:val="center"/>
        </w:trPr>
        <w:tc>
          <w:tcPr>
            <w:tcW w:w="960" w:type="dxa"/>
            <w:tcBorders>
              <w:top w:val="single" w:color="auto" w:sz="4" w:space="0"/>
              <w:left w:val="single" w:color="auto" w:sz="4" w:space="0"/>
              <w:bottom w:val="single" w:color="auto" w:sz="4" w:space="0"/>
            </w:tcBorders>
            <w:shd w:val="clear" w:color="auto" w:fill="FFFFFF"/>
          </w:tcPr>
          <w:p w14:paraId="26B57638">
            <w:pPr>
              <w:pStyle w:val="43"/>
              <w:spacing w:line="240" w:lineRule="auto"/>
              <w:ind w:firstLine="240"/>
              <w:rPr>
                <w:sz w:val="21"/>
                <w:szCs w:val="21"/>
              </w:rPr>
            </w:pPr>
            <w:r>
              <w:rPr>
                <w:sz w:val="21"/>
                <w:szCs w:val="21"/>
                <w:lang w:val="en-US" w:eastAsia="en-US" w:bidi="en-US"/>
              </w:rPr>
              <w:t>31.2</w:t>
            </w:r>
          </w:p>
        </w:tc>
        <w:tc>
          <w:tcPr>
            <w:tcW w:w="2220" w:type="dxa"/>
            <w:tcBorders>
              <w:top w:val="single" w:color="auto" w:sz="4" w:space="0"/>
              <w:left w:val="single" w:color="auto" w:sz="4" w:space="0"/>
              <w:bottom w:val="single" w:color="auto" w:sz="4" w:space="0"/>
            </w:tcBorders>
            <w:shd w:val="clear" w:color="auto" w:fill="FFFFFF"/>
          </w:tcPr>
          <w:p w14:paraId="30837F84">
            <w:pPr>
              <w:pStyle w:val="43"/>
              <w:spacing w:line="240" w:lineRule="auto"/>
              <w:ind w:firstLine="0"/>
              <w:jc w:val="center"/>
              <w:rPr>
                <w:sz w:val="21"/>
                <w:szCs w:val="21"/>
              </w:rPr>
            </w:pPr>
            <w:r>
              <w:rPr>
                <w:sz w:val="21"/>
                <w:szCs w:val="21"/>
              </w:rPr>
              <w:t>接收质疑函方式</w:t>
            </w:r>
          </w:p>
        </w:tc>
        <w:tc>
          <w:tcPr>
            <w:tcW w:w="6855" w:type="dxa"/>
            <w:tcBorders>
              <w:top w:val="single" w:color="auto" w:sz="4" w:space="0"/>
              <w:left w:val="single" w:color="auto" w:sz="4" w:space="0"/>
              <w:bottom w:val="single" w:color="auto" w:sz="4" w:space="0"/>
              <w:right w:val="single" w:color="auto" w:sz="4" w:space="0"/>
            </w:tcBorders>
            <w:shd w:val="clear" w:color="auto" w:fill="FFFFFF"/>
          </w:tcPr>
          <w:p w14:paraId="7D2F134B">
            <w:pPr>
              <w:pStyle w:val="43"/>
              <w:spacing w:line="240" w:lineRule="auto"/>
              <w:ind w:firstLine="0"/>
              <w:jc w:val="both"/>
              <w:rPr>
                <w:sz w:val="21"/>
                <w:szCs w:val="21"/>
              </w:rPr>
            </w:pPr>
            <w:r>
              <w:rPr>
                <w:sz w:val="21"/>
                <w:szCs w:val="21"/>
              </w:rPr>
              <w:t>以书面形式</w:t>
            </w:r>
          </w:p>
        </w:tc>
      </w:tr>
      <w:tr w14:paraId="3F222EA8">
        <w:tblPrEx>
          <w:tblCellMar>
            <w:top w:w="0" w:type="dxa"/>
            <w:left w:w="10" w:type="dxa"/>
            <w:bottom w:w="0" w:type="dxa"/>
            <w:right w:w="10" w:type="dxa"/>
          </w:tblCellMar>
        </w:tblPrEx>
        <w:trPr>
          <w:trHeight w:val="2540" w:hRule="exact"/>
          <w:jc w:val="center"/>
        </w:trPr>
        <w:tc>
          <w:tcPr>
            <w:tcW w:w="960" w:type="dxa"/>
            <w:vMerge w:val="restart"/>
            <w:tcBorders>
              <w:top w:val="single" w:color="auto" w:sz="4" w:space="0"/>
              <w:left w:val="single" w:color="auto" w:sz="4" w:space="0"/>
            </w:tcBorders>
            <w:shd w:val="clear" w:color="auto" w:fill="FFFFFF"/>
          </w:tcPr>
          <w:p w14:paraId="0872645F">
            <w:pPr>
              <w:rPr>
                <w:sz w:val="11"/>
                <w:szCs w:val="11"/>
              </w:rPr>
            </w:pPr>
          </w:p>
        </w:tc>
        <w:tc>
          <w:tcPr>
            <w:tcW w:w="2220" w:type="dxa"/>
            <w:tcBorders>
              <w:top w:val="single" w:color="auto" w:sz="4" w:space="0"/>
              <w:left w:val="single" w:color="auto" w:sz="4" w:space="0"/>
            </w:tcBorders>
            <w:shd w:val="clear" w:color="auto" w:fill="FFFFFF"/>
            <w:vAlign w:val="center"/>
          </w:tcPr>
          <w:p w14:paraId="3F2EA606">
            <w:pPr>
              <w:pStyle w:val="43"/>
              <w:spacing w:line="405" w:lineRule="exact"/>
              <w:ind w:firstLine="0"/>
              <w:jc w:val="center"/>
              <w:rPr>
                <w:color w:val="auto"/>
                <w:sz w:val="21"/>
                <w:szCs w:val="21"/>
              </w:rPr>
            </w:pPr>
            <w:r>
              <w:rPr>
                <w:color w:val="auto"/>
                <w:sz w:val="21"/>
                <w:szCs w:val="21"/>
              </w:rPr>
              <w:t>质疑联系部门及联系方式</w:t>
            </w:r>
          </w:p>
        </w:tc>
        <w:tc>
          <w:tcPr>
            <w:tcW w:w="6855" w:type="dxa"/>
            <w:tcBorders>
              <w:top w:val="single" w:color="auto" w:sz="4" w:space="0"/>
              <w:left w:val="single" w:color="auto" w:sz="4" w:space="0"/>
              <w:right w:val="single" w:color="auto" w:sz="4" w:space="0"/>
            </w:tcBorders>
            <w:shd w:val="clear" w:color="auto" w:fill="FFFFFF"/>
          </w:tcPr>
          <w:p w14:paraId="10B70D10">
            <w:pPr>
              <w:pStyle w:val="43"/>
              <w:tabs>
                <w:tab w:val="left" w:pos="580"/>
              </w:tabs>
              <w:spacing w:after="180" w:line="240" w:lineRule="auto"/>
              <w:ind w:firstLine="420" w:firstLineChars="200"/>
              <w:rPr>
                <w:color w:val="auto"/>
                <w:sz w:val="21"/>
                <w:szCs w:val="21"/>
              </w:rPr>
            </w:pPr>
            <w:r>
              <w:rPr>
                <w:color w:val="auto"/>
                <w:sz w:val="21"/>
                <w:szCs w:val="21"/>
              </w:rPr>
              <w:t>（1）</w:t>
            </w:r>
            <w:r>
              <w:rPr>
                <w:rFonts w:hint="eastAsia"/>
                <w:color w:val="auto"/>
                <w:sz w:val="21"/>
                <w:szCs w:val="21"/>
                <w:u w:val="single"/>
                <w:lang w:eastAsia="zh-CN"/>
              </w:rPr>
              <w:t>广西坤珍建设项目管理咨询有限公司</w:t>
            </w:r>
            <w:r>
              <w:rPr>
                <w:color w:val="auto"/>
                <w:sz w:val="21"/>
                <w:szCs w:val="21"/>
              </w:rPr>
              <w:t>；</w:t>
            </w:r>
          </w:p>
          <w:p w14:paraId="2BA7B35A">
            <w:pPr>
              <w:pStyle w:val="43"/>
              <w:spacing w:after="180" w:line="240" w:lineRule="auto"/>
              <w:ind w:firstLine="420" w:firstLineChars="200"/>
              <w:rPr>
                <w:color w:val="auto"/>
                <w:sz w:val="21"/>
                <w:szCs w:val="21"/>
              </w:rPr>
            </w:pPr>
            <w:r>
              <w:rPr>
                <w:color w:val="auto"/>
                <w:sz w:val="21"/>
                <w:szCs w:val="21"/>
              </w:rPr>
              <w:t>联系电话：</w:t>
            </w:r>
            <w:r>
              <w:rPr>
                <w:color w:val="auto"/>
                <w:sz w:val="21"/>
                <w:szCs w:val="21"/>
                <w:u w:val="single"/>
                <w:lang w:val="en-US" w:eastAsia="zh-CN" w:bidi="en-US"/>
              </w:rPr>
              <w:t>0771-</w:t>
            </w:r>
            <w:r>
              <w:rPr>
                <w:rFonts w:hint="eastAsia"/>
                <w:color w:val="auto"/>
                <w:sz w:val="21"/>
                <w:szCs w:val="21"/>
                <w:u w:val="single"/>
                <w:lang w:val="en-US" w:eastAsia="zh-CN" w:bidi="en-US"/>
              </w:rPr>
              <w:t>7945829</w:t>
            </w:r>
            <w:r>
              <w:rPr>
                <w:color w:val="auto"/>
                <w:sz w:val="21"/>
                <w:szCs w:val="21"/>
                <w:lang w:val="en-US" w:eastAsia="zh-CN" w:bidi="en-US"/>
              </w:rPr>
              <w:t>,</w:t>
            </w:r>
          </w:p>
          <w:p w14:paraId="5C6249D3">
            <w:pPr>
              <w:pStyle w:val="43"/>
              <w:spacing w:after="180" w:line="240" w:lineRule="auto"/>
              <w:ind w:firstLine="420" w:firstLineChars="200"/>
              <w:rPr>
                <w:color w:val="auto"/>
                <w:sz w:val="21"/>
                <w:szCs w:val="21"/>
                <w:lang w:val="en-US" w:eastAsia="zh-CN"/>
              </w:rPr>
            </w:pPr>
            <w:r>
              <w:rPr>
                <w:color w:val="auto"/>
                <w:sz w:val="21"/>
                <w:szCs w:val="21"/>
              </w:rPr>
              <w:t>通讯地址：</w:t>
            </w:r>
            <w:r>
              <w:rPr>
                <w:rFonts w:hint="eastAsia"/>
                <w:color w:val="auto"/>
                <w:sz w:val="21"/>
                <w:szCs w:val="21"/>
                <w:u w:val="single"/>
                <w:lang w:eastAsia="zh-CN"/>
              </w:rPr>
              <w:t>崇左市友谊大道嘉苑小区</w:t>
            </w:r>
            <w:r>
              <w:rPr>
                <w:rFonts w:hint="eastAsia"/>
                <w:color w:val="auto"/>
                <w:sz w:val="21"/>
                <w:szCs w:val="21"/>
                <w:u w:val="single"/>
                <w:lang w:val="en-US" w:eastAsia="zh-CN"/>
              </w:rPr>
              <w:t>G组团22号</w:t>
            </w:r>
          </w:p>
          <w:p w14:paraId="0138A041">
            <w:pPr>
              <w:pStyle w:val="43"/>
              <w:tabs>
                <w:tab w:val="left" w:pos="580"/>
              </w:tabs>
              <w:spacing w:after="180" w:line="240" w:lineRule="auto"/>
              <w:ind w:firstLine="420" w:firstLineChars="200"/>
              <w:rPr>
                <w:color w:val="auto"/>
                <w:sz w:val="21"/>
                <w:szCs w:val="21"/>
              </w:rPr>
            </w:pPr>
            <w:r>
              <w:rPr>
                <w:color w:val="auto"/>
                <w:sz w:val="21"/>
                <w:szCs w:val="21"/>
              </w:rPr>
              <w:t>（2）</w:t>
            </w:r>
            <w:r>
              <w:rPr>
                <w:rFonts w:hint="eastAsia"/>
                <w:color w:val="auto"/>
                <w:sz w:val="21"/>
                <w:szCs w:val="21"/>
                <w:u w:val="single"/>
                <w:lang w:eastAsia="zh-CN"/>
              </w:rPr>
              <w:t>凭祥市人民医院</w:t>
            </w:r>
            <w:r>
              <w:rPr>
                <w:color w:val="auto"/>
                <w:sz w:val="21"/>
                <w:szCs w:val="21"/>
              </w:rPr>
              <w:t>；</w:t>
            </w:r>
          </w:p>
          <w:p w14:paraId="791A70BA">
            <w:pPr>
              <w:pStyle w:val="43"/>
              <w:spacing w:after="180" w:line="240" w:lineRule="auto"/>
              <w:ind w:firstLine="420" w:firstLineChars="200"/>
              <w:rPr>
                <w:color w:val="auto"/>
                <w:sz w:val="21"/>
                <w:szCs w:val="21"/>
              </w:rPr>
            </w:pPr>
            <w:r>
              <w:rPr>
                <w:color w:val="auto"/>
                <w:sz w:val="21"/>
                <w:szCs w:val="21"/>
              </w:rPr>
              <w:t>联系</w:t>
            </w:r>
            <w:r>
              <w:rPr>
                <w:color w:val="auto"/>
                <w:sz w:val="21"/>
                <w:szCs w:val="21"/>
                <w:highlight w:val="none"/>
              </w:rPr>
              <w:t>电话：</w:t>
            </w:r>
            <w:r>
              <w:rPr>
                <w:color w:val="auto"/>
                <w:sz w:val="21"/>
                <w:szCs w:val="21"/>
                <w:highlight w:val="none"/>
                <w:u w:val="single"/>
              </w:rPr>
              <w:t>0771-853002</w:t>
            </w:r>
          </w:p>
          <w:p w14:paraId="2FE81AC4">
            <w:pPr>
              <w:pStyle w:val="43"/>
              <w:spacing w:after="180" w:line="240" w:lineRule="auto"/>
              <w:ind w:firstLine="420" w:firstLineChars="200"/>
              <w:rPr>
                <w:color w:val="auto"/>
                <w:sz w:val="21"/>
                <w:szCs w:val="21"/>
              </w:rPr>
            </w:pPr>
            <w:r>
              <w:rPr>
                <w:color w:val="auto"/>
                <w:sz w:val="21"/>
                <w:szCs w:val="21"/>
              </w:rPr>
              <w:t>通讯地址：</w:t>
            </w:r>
            <w:r>
              <w:rPr>
                <w:rFonts w:hint="eastAsia"/>
                <w:color w:val="auto"/>
                <w:sz w:val="21"/>
                <w:szCs w:val="21"/>
                <w:u w:val="single"/>
                <w:lang w:val="en-US" w:eastAsia="zh-CN"/>
              </w:rPr>
              <w:t>凭祥市北大路61号</w:t>
            </w:r>
          </w:p>
        </w:tc>
      </w:tr>
      <w:tr w14:paraId="33BBF666">
        <w:tblPrEx>
          <w:tblCellMar>
            <w:top w:w="0" w:type="dxa"/>
            <w:left w:w="10" w:type="dxa"/>
            <w:bottom w:w="0" w:type="dxa"/>
            <w:right w:w="10" w:type="dxa"/>
          </w:tblCellMar>
        </w:tblPrEx>
        <w:trPr>
          <w:trHeight w:val="840" w:hRule="exact"/>
          <w:jc w:val="center"/>
        </w:trPr>
        <w:tc>
          <w:tcPr>
            <w:tcW w:w="960" w:type="dxa"/>
            <w:vMerge w:val="continue"/>
            <w:tcBorders>
              <w:left w:val="single" w:color="auto" w:sz="4" w:space="0"/>
            </w:tcBorders>
            <w:shd w:val="clear" w:color="auto" w:fill="FFFFFF"/>
          </w:tcPr>
          <w:p w14:paraId="636AD5F0">
            <w:pPr>
              <w:rPr>
                <w:sz w:val="28"/>
                <w:szCs w:val="28"/>
                <w:lang w:eastAsia="zh-CN"/>
              </w:rPr>
            </w:pPr>
          </w:p>
        </w:tc>
        <w:tc>
          <w:tcPr>
            <w:tcW w:w="2220" w:type="dxa"/>
            <w:tcBorders>
              <w:top w:val="single" w:color="auto" w:sz="4" w:space="0"/>
              <w:left w:val="single" w:color="auto" w:sz="4" w:space="0"/>
            </w:tcBorders>
            <w:shd w:val="clear" w:color="auto" w:fill="FFFFFF"/>
          </w:tcPr>
          <w:p w14:paraId="3F2D12A0">
            <w:pPr>
              <w:pStyle w:val="43"/>
              <w:spacing w:line="405" w:lineRule="exact"/>
              <w:ind w:firstLine="0"/>
              <w:jc w:val="center"/>
              <w:rPr>
                <w:sz w:val="21"/>
                <w:szCs w:val="21"/>
              </w:rPr>
            </w:pPr>
            <w:r>
              <w:rPr>
                <w:sz w:val="21"/>
                <w:szCs w:val="21"/>
              </w:rPr>
              <w:t>现场提交质疑办理业务时间</w:t>
            </w:r>
          </w:p>
        </w:tc>
        <w:tc>
          <w:tcPr>
            <w:tcW w:w="6855" w:type="dxa"/>
            <w:tcBorders>
              <w:top w:val="single" w:color="auto" w:sz="4" w:space="0"/>
              <w:left w:val="single" w:color="auto" w:sz="4" w:space="0"/>
              <w:right w:val="single" w:color="auto" w:sz="4" w:space="0"/>
            </w:tcBorders>
            <w:shd w:val="clear" w:color="auto" w:fill="FFFFFF"/>
            <w:vAlign w:val="center"/>
          </w:tcPr>
          <w:p w14:paraId="30EB5EE8">
            <w:pPr>
              <w:pStyle w:val="43"/>
              <w:spacing w:line="240" w:lineRule="auto"/>
              <w:ind w:firstLine="0"/>
              <w:jc w:val="both"/>
              <w:rPr>
                <w:sz w:val="21"/>
                <w:szCs w:val="21"/>
              </w:rPr>
            </w:pPr>
            <w:r>
              <w:rPr>
                <w:sz w:val="21"/>
                <w:szCs w:val="21"/>
              </w:rPr>
              <w:t>质疑期内每个工作日</w:t>
            </w:r>
            <w:r>
              <w:rPr>
                <w:rFonts w:hint="eastAsia"/>
                <w:sz w:val="21"/>
                <w:szCs w:val="21"/>
                <w:u w:val="single"/>
                <w:lang w:val="en-US" w:eastAsia="zh-CN"/>
              </w:rPr>
              <w:t>09</w:t>
            </w:r>
            <w:r>
              <w:rPr>
                <w:sz w:val="21"/>
                <w:szCs w:val="21"/>
              </w:rPr>
              <w:t>时</w:t>
            </w:r>
            <w:r>
              <w:rPr>
                <w:rFonts w:hint="eastAsia"/>
                <w:sz w:val="21"/>
                <w:szCs w:val="21"/>
                <w:u w:val="single"/>
                <w:lang w:val="en-US" w:eastAsia="zh-CN"/>
              </w:rPr>
              <w:t>00</w:t>
            </w:r>
            <w:r>
              <w:rPr>
                <w:sz w:val="21"/>
                <w:szCs w:val="21"/>
              </w:rPr>
              <w:t>分到</w:t>
            </w:r>
            <w:r>
              <w:rPr>
                <w:rFonts w:hint="eastAsia"/>
                <w:sz w:val="21"/>
                <w:szCs w:val="21"/>
                <w:u w:val="single"/>
                <w:lang w:val="en-US" w:eastAsia="zh-CN"/>
              </w:rPr>
              <w:t>12</w:t>
            </w:r>
            <w:r>
              <w:rPr>
                <w:sz w:val="21"/>
                <w:szCs w:val="21"/>
              </w:rPr>
              <w:t>时</w:t>
            </w:r>
            <w:r>
              <w:rPr>
                <w:rFonts w:hint="eastAsia"/>
                <w:sz w:val="21"/>
                <w:szCs w:val="21"/>
                <w:u w:val="single"/>
                <w:lang w:val="en-US" w:eastAsia="zh-CN"/>
              </w:rPr>
              <w:t>00</w:t>
            </w:r>
            <w:r>
              <w:rPr>
                <w:sz w:val="21"/>
                <w:szCs w:val="21"/>
                <w:u w:val="single"/>
              </w:rPr>
              <w:t>_</w:t>
            </w:r>
            <w:r>
              <w:rPr>
                <w:sz w:val="21"/>
                <w:szCs w:val="21"/>
              </w:rPr>
              <w:t>分，</w:t>
            </w:r>
            <w:r>
              <w:rPr>
                <w:sz w:val="21"/>
                <w:szCs w:val="21"/>
                <w:lang w:val="en-US" w:eastAsia="zh-CN" w:bidi="en-US"/>
              </w:rPr>
              <w:t>1</w:t>
            </w:r>
            <w:r>
              <w:rPr>
                <w:rFonts w:hint="eastAsia"/>
                <w:sz w:val="21"/>
                <w:szCs w:val="21"/>
                <w:lang w:val="en-US" w:eastAsia="zh-CN" w:bidi="en-US"/>
              </w:rPr>
              <w:t>4时30分到17时30</w:t>
            </w:r>
            <w:r>
              <w:rPr>
                <w:sz w:val="21"/>
                <w:szCs w:val="21"/>
              </w:rPr>
              <w:t>分</w:t>
            </w:r>
          </w:p>
        </w:tc>
      </w:tr>
      <w:tr w14:paraId="2F382F07">
        <w:tblPrEx>
          <w:tblCellMar>
            <w:top w:w="0" w:type="dxa"/>
            <w:left w:w="10" w:type="dxa"/>
            <w:bottom w:w="0" w:type="dxa"/>
            <w:right w:w="10" w:type="dxa"/>
          </w:tblCellMar>
        </w:tblPrEx>
        <w:trPr>
          <w:trHeight w:val="2065" w:hRule="exact"/>
          <w:jc w:val="center"/>
        </w:trPr>
        <w:tc>
          <w:tcPr>
            <w:tcW w:w="960" w:type="dxa"/>
            <w:tcBorders>
              <w:top w:val="single" w:color="auto" w:sz="4" w:space="0"/>
              <w:left w:val="single" w:color="auto" w:sz="4" w:space="0"/>
            </w:tcBorders>
            <w:shd w:val="clear" w:color="auto" w:fill="FFFFFF"/>
            <w:vAlign w:val="center"/>
          </w:tcPr>
          <w:p w14:paraId="5F481355">
            <w:pPr>
              <w:pStyle w:val="43"/>
              <w:spacing w:line="240" w:lineRule="auto"/>
              <w:ind w:firstLine="0"/>
              <w:jc w:val="center"/>
              <w:rPr>
                <w:sz w:val="21"/>
                <w:szCs w:val="21"/>
              </w:rPr>
            </w:pPr>
            <w:r>
              <w:rPr>
                <w:sz w:val="21"/>
                <w:szCs w:val="21"/>
                <w:lang w:val="en-US" w:eastAsia="en-US" w:bidi="en-US"/>
              </w:rPr>
              <w:t>31.6</w:t>
            </w:r>
          </w:p>
        </w:tc>
        <w:tc>
          <w:tcPr>
            <w:tcW w:w="2220" w:type="dxa"/>
            <w:tcBorders>
              <w:top w:val="single" w:color="auto" w:sz="4" w:space="0"/>
              <w:left w:val="single" w:color="auto" w:sz="4" w:space="0"/>
            </w:tcBorders>
            <w:shd w:val="clear" w:color="auto" w:fill="FFFFFF"/>
            <w:vAlign w:val="center"/>
          </w:tcPr>
          <w:p w14:paraId="58B4C033">
            <w:pPr>
              <w:pStyle w:val="43"/>
              <w:spacing w:line="240" w:lineRule="auto"/>
              <w:ind w:firstLine="0"/>
              <w:jc w:val="center"/>
              <w:rPr>
                <w:sz w:val="21"/>
                <w:szCs w:val="21"/>
              </w:rPr>
            </w:pPr>
            <w:r>
              <w:rPr>
                <w:sz w:val="21"/>
                <w:szCs w:val="21"/>
              </w:rPr>
              <w:t>受理投诉方式</w:t>
            </w:r>
          </w:p>
        </w:tc>
        <w:tc>
          <w:tcPr>
            <w:tcW w:w="6855" w:type="dxa"/>
            <w:tcBorders>
              <w:top w:val="single" w:color="auto" w:sz="4" w:space="0"/>
              <w:left w:val="single" w:color="auto" w:sz="4" w:space="0"/>
              <w:right w:val="single" w:color="auto" w:sz="4" w:space="0"/>
            </w:tcBorders>
            <w:shd w:val="clear" w:color="auto" w:fill="FFFFFF"/>
          </w:tcPr>
          <w:p w14:paraId="11423BD1">
            <w:pPr>
              <w:pStyle w:val="43"/>
              <w:tabs>
                <w:tab w:val="left" w:pos="315"/>
              </w:tabs>
              <w:spacing w:line="405" w:lineRule="exact"/>
              <w:ind w:firstLine="420" w:firstLineChars="200"/>
              <w:jc w:val="both"/>
              <w:rPr>
                <w:sz w:val="21"/>
                <w:szCs w:val="21"/>
              </w:rPr>
            </w:pPr>
            <w:r>
              <w:rPr>
                <w:sz w:val="21"/>
                <w:szCs w:val="21"/>
              </w:rPr>
              <w:t>1、受理方式：纸质方式受理，投诉书正、副本（经过质疑的事项才可投诉）。</w:t>
            </w:r>
          </w:p>
          <w:p w14:paraId="5B69A9A3">
            <w:pPr>
              <w:pStyle w:val="43"/>
              <w:tabs>
                <w:tab w:val="left" w:pos="300"/>
              </w:tabs>
              <w:spacing w:line="405" w:lineRule="exact"/>
              <w:ind w:firstLine="420" w:firstLineChars="200"/>
              <w:jc w:val="both"/>
              <w:rPr>
                <w:sz w:val="21"/>
                <w:szCs w:val="21"/>
              </w:rPr>
            </w:pPr>
            <w:r>
              <w:rPr>
                <w:sz w:val="21"/>
                <w:szCs w:val="21"/>
              </w:rPr>
              <w:t>2、联系方式：</w:t>
            </w:r>
          </w:p>
          <w:p w14:paraId="0B780304">
            <w:pPr>
              <w:pStyle w:val="43"/>
              <w:spacing w:line="405" w:lineRule="exact"/>
              <w:ind w:firstLine="420" w:firstLineChars="200"/>
              <w:jc w:val="both"/>
              <w:rPr>
                <w:sz w:val="21"/>
                <w:szCs w:val="21"/>
              </w:rPr>
            </w:pPr>
            <w:r>
              <w:rPr>
                <w:sz w:val="21"/>
                <w:szCs w:val="21"/>
              </w:rPr>
              <w:t>名称：</w:t>
            </w:r>
            <w:r>
              <w:rPr>
                <w:rFonts w:hint="eastAsia"/>
                <w:sz w:val="21"/>
                <w:szCs w:val="21"/>
                <w:lang w:eastAsia="zh-CN"/>
              </w:rPr>
              <w:t>凭祥市</w:t>
            </w:r>
            <w:r>
              <w:rPr>
                <w:sz w:val="21"/>
                <w:szCs w:val="21"/>
              </w:rPr>
              <w:t>财政局政府采购监督管理股</w:t>
            </w:r>
          </w:p>
          <w:p w14:paraId="3CAEABBC">
            <w:pPr>
              <w:pStyle w:val="43"/>
              <w:spacing w:line="405" w:lineRule="exact"/>
              <w:ind w:firstLine="420" w:firstLineChars="200"/>
              <w:jc w:val="both"/>
              <w:rPr>
                <w:sz w:val="21"/>
                <w:szCs w:val="21"/>
              </w:rPr>
            </w:pPr>
            <w:r>
              <w:rPr>
                <w:color w:val="auto"/>
                <w:sz w:val="21"/>
                <w:szCs w:val="21"/>
              </w:rPr>
              <w:t>联系电话：</w:t>
            </w:r>
            <w:r>
              <w:rPr>
                <w:rFonts w:hint="eastAsia"/>
                <w:color w:val="auto"/>
                <w:sz w:val="21"/>
                <w:szCs w:val="21"/>
                <w:lang w:val="en-US" w:eastAsia="zh-CN"/>
              </w:rPr>
              <w:t xml:space="preserve">0771-5972672  </w:t>
            </w:r>
          </w:p>
        </w:tc>
      </w:tr>
      <w:tr w14:paraId="23F344EB">
        <w:tblPrEx>
          <w:tblCellMar>
            <w:top w:w="0" w:type="dxa"/>
            <w:left w:w="10" w:type="dxa"/>
            <w:bottom w:w="0" w:type="dxa"/>
            <w:right w:w="10" w:type="dxa"/>
          </w:tblCellMar>
        </w:tblPrEx>
        <w:trPr>
          <w:trHeight w:val="5490" w:hRule="exact"/>
          <w:jc w:val="center"/>
        </w:trPr>
        <w:tc>
          <w:tcPr>
            <w:tcW w:w="960" w:type="dxa"/>
            <w:tcBorders>
              <w:top w:val="single" w:color="auto" w:sz="4" w:space="0"/>
              <w:left w:val="single" w:color="auto" w:sz="4" w:space="0"/>
            </w:tcBorders>
            <w:shd w:val="clear" w:color="auto" w:fill="FFFFFF"/>
            <w:vAlign w:val="center"/>
          </w:tcPr>
          <w:p w14:paraId="0184E831">
            <w:pPr>
              <w:pStyle w:val="43"/>
              <w:spacing w:line="240" w:lineRule="auto"/>
              <w:ind w:firstLine="0"/>
              <w:jc w:val="center"/>
              <w:rPr>
                <w:sz w:val="21"/>
                <w:szCs w:val="21"/>
              </w:rPr>
            </w:pPr>
            <w:r>
              <w:rPr>
                <w:sz w:val="21"/>
                <w:szCs w:val="21"/>
                <w:lang w:val="zh-CN" w:eastAsia="zh-CN" w:bidi="zh-CN"/>
              </w:rPr>
              <w:t>33</w:t>
            </w:r>
          </w:p>
        </w:tc>
        <w:tc>
          <w:tcPr>
            <w:tcW w:w="2220" w:type="dxa"/>
            <w:tcBorders>
              <w:top w:val="single" w:color="auto" w:sz="4" w:space="0"/>
              <w:left w:val="single" w:color="auto" w:sz="4" w:space="0"/>
            </w:tcBorders>
            <w:shd w:val="clear" w:color="auto" w:fill="FFFFFF"/>
            <w:vAlign w:val="center"/>
          </w:tcPr>
          <w:p w14:paraId="5A44380D">
            <w:pPr>
              <w:pStyle w:val="43"/>
              <w:spacing w:line="240" w:lineRule="auto"/>
              <w:ind w:firstLine="0"/>
              <w:jc w:val="center"/>
              <w:rPr>
                <w:color w:val="auto"/>
                <w:sz w:val="21"/>
                <w:szCs w:val="21"/>
              </w:rPr>
            </w:pPr>
            <w:r>
              <w:rPr>
                <w:color w:val="auto"/>
                <w:sz w:val="21"/>
                <w:szCs w:val="21"/>
              </w:rPr>
              <w:t>采购代理费</w:t>
            </w:r>
          </w:p>
        </w:tc>
        <w:tc>
          <w:tcPr>
            <w:tcW w:w="6855" w:type="dxa"/>
            <w:tcBorders>
              <w:top w:val="single" w:color="auto" w:sz="4" w:space="0"/>
              <w:left w:val="single" w:color="auto" w:sz="4" w:space="0"/>
              <w:right w:val="single" w:color="auto" w:sz="4" w:space="0"/>
            </w:tcBorders>
            <w:shd w:val="clear" w:color="auto" w:fill="FFFFFF"/>
          </w:tcPr>
          <w:p w14:paraId="1719179D">
            <w:pPr>
              <w:pStyle w:val="43"/>
              <w:tabs>
                <w:tab w:val="left" w:pos="300"/>
              </w:tabs>
              <w:spacing w:line="420" w:lineRule="exact"/>
              <w:ind w:left="480" w:leftChars="200" w:firstLine="0"/>
              <w:jc w:val="both"/>
              <w:rPr>
                <w:color w:val="auto"/>
                <w:sz w:val="21"/>
                <w:szCs w:val="21"/>
                <w:lang w:eastAsia="zh-CN"/>
              </w:rPr>
            </w:pPr>
            <w:r>
              <w:rPr>
                <w:rFonts w:hint="eastAsia"/>
                <w:color w:val="auto"/>
                <w:sz w:val="21"/>
                <w:szCs w:val="21"/>
                <w:lang w:val="en-US" w:eastAsia="zh-CN"/>
              </w:rPr>
              <w:t>1.</w:t>
            </w:r>
            <w:r>
              <w:rPr>
                <w:color w:val="auto"/>
                <w:sz w:val="21"/>
                <w:szCs w:val="21"/>
              </w:rPr>
              <w:t>是否收</w:t>
            </w:r>
            <w:r>
              <w:rPr>
                <w:rFonts w:hint="eastAsia"/>
                <w:color w:val="auto"/>
                <w:sz w:val="21"/>
                <w:szCs w:val="21"/>
                <w:lang w:eastAsia="zh-CN"/>
              </w:rPr>
              <w:t>取</w:t>
            </w:r>
            <w:r>
              <w:rPr>
                <w:color w:val="auto"/>
                <w:sz w:val="21"/>
                <w:szCs w:val="21"/>
              </w:rPr>
              <w:t>采购代理费：</w:t>
            </w:r>
            <w:r>
              <w:rPr>
                <w:color w:val="auto"/>
                <w:sz w:val="21"/>
                <w:szCs w:val="21"/>
              </w:rPr>
              <w:sym w:font="Wingdings 2" w:char="0052"/>
            </w:r>
            <w:r>
              <w:rPr>
                <w:rFonts w:hint="eastAsia"/>
                <w:color w:val="auto"/>
                <w:sz w:val="21"/>
                <w:szCs w:val="21"/>
                <w:lang w:eastAsia="zh-CN"/>
              </w:rPr>
              <w:t>是</w:t>
            </w:r>
          </w:p>
          <w:p w14:paraId="40E340C0">
            <w:pPr>
              <w:pStyle w:val="43"/>
              <w:tabs>
                <w:tab w:val="left" w:pos="195"/>
              </w:tabs>
              <w:spacing w:line="420" w:lineRule="exact"/>
              <w:ind w:firstLine="420" w:firstLineChars="200"/>
              <w:jc w:val="both"/>
              <w:rPr>
                <w:color w:val="auto"/>
                <w:sz w:val="21"/>
                <w:szCs w:val="21"/>
              </w:rPr>
            </w:pPr>
            <w:r>
              <w:rPr>
                <w:rFonts w:hint="eastAsia"/>
                <w:color w:val="auto"/>
                <w:sz w:val="21"/>
                <w:szCs w:val="21"/>
                <w:lang w:val="en-US" w:eastAsia="zh-CN"/>
              </w:rPr>
              <w:t>2.</w:t>
            </w:r>
            <w:r>
              <w:rPr>
                <w:color w:val="auto"/>
                <w:sz w:val="21"/>
                <w:szCs w:val="21"/>
              </w:rPr>
              <w:t>采购代理费支付方式：</w:t>
            </w:r>
          </w:p>
          <w:p w14:paraId="1DDE053C">
            <w:pPr>
              <w:pStyle w:val="43"/>
              <w:spacing w:line="420" w:lineRule="exact"/>
              <w:ind w:firstLine="420" w:firstLineChars="200"/>
              <w:jc w:val="both"/>
              <w:rPr>
                <w:color w:val="auto"/>
                <w:sz w:val="21"/>
                <w:szCs w:val="21"/>
              </w:rPr>
            </w:pPr>
            <w:r>
              <w:rPr>
                <w:color w:val="auto"/>
                <w:sz w:val="21"/>
                <w:szCs w:val="21"/>
              </w:rPr>
              <w:t>本项目代理服务费由</w:t>
            </w:r>
            <w:r>
              <w:rPr>
                <w:color w:val="auto"/>
                <w:sz w:val="21"/>
                <w:szCs w:val="21"/>
                <w:u w:val="single"/>
              </w:rPr>
              <w:t>成交供应商领</w:t>
            </w:r>
            <w:r>
              <w:rPr>
                <w:color w:val="auto"/>
                <w:sz w:val="21"/>
                <w:szCs w:val="21"/>
              </w:rPr>
              <w:t>取成交通知书前，一次性向采购代理 机构支付。</w:t>
            </w:r>
          </w:p>
          <w:p w14:paraId="38774003">
            <w:pPr>
              <w:pStyle w:val="43"/>
              <w:tabs>
                <w:tab w:val="left" w:pos="195"/>
              </w:tabs>
              <w:spacing w:line="420" w:lineRule="exact"/>
              <w:ind w:firstLine="420" w:firstLineChars="200"/>
              <w:jc w:val="both"/>
              <w:rPr>
                <w:color w:val="auto"/>
                <w:sz w:val="21"/>
                <w:szCs w:val="21"/>
              </w:rPr>
            </w:pPr>
            <w:r>
              <w:rPr>
                <w:rFonts w:hint="eastAsia"/>
                <w:color w:val="auto"/>
                <w:sz w:val="21"/>
                <w:szCs w:val="21"/>
                <w:lang w:val="en-US" w:eastAsia="zh-CN"/>
              </w:rPr>
              <w:t>3.</w:t>
            </w:r>
            <w:r>
              <w:rPr>
                <w:color w:val="auto"/>
                <w:sz w:val="21"/>
                <w:szCs w:val="21"/>
              </w:rPr>
              <w:t>采购代理费收取标准：</w:t>
            </w:r>
          </w:p>
          <w:p w14:paraId="2324CF56">
            <w:pPr>
              <w:pStyle w:val="43"/>
              <w:spacing w:line="415" w:lineRule="exact"/>
              <w:ind w:firstLine="420" w:firstLineChars="200"/>
              <w:jc w:val="both"/>
              <w:rPr>
                <w:color w:val="auto"/>
                <w:sz w:val="21"/>
                <w:szCs w:val="21"/>
              </w:rPr>
            </w:pPr>
            <w:r>
              <w:rPr>
                <w:color w:val="auto"/>
                <w:sz w:val="21"/>
                <w:szCs w:val="21"/>
              </w:rPr>
              <w:t>本项目的采购代理服务收费标准按国家发展改革</w:t>
            </w:r>
            <w:r>
              <w:rPr>
                <w:rFonts w:hint="eastAsia"/>
                <w:color w:val="auto"/>
                <w:sz w:val="21"/>
                <w:szCs w:val="21"/>
                <w:lang w:eastAsia="zh-CN"/>
              </w:rPr>
              <w:t>委《</w:t>
            </w:r>
            <w:r>
              <w:rPr>
                <w:color w:val="auto"/>
                <w:sz w:val="21"/>
                <w:szCs w:val="21"/>
              </w:rPr>
              <w:t>关于降低部分建设项目收费标准规范收费行为等有关问题的通知》（发改2011）534号）成交供应商领取成交通知书前,向</w:t>
            </w:r>
            <w:r>
              <w:rPr>
                <w:rFonts w:hint="eastAsia"/>
                <w:color w:val="auto"/>
                <w:sz w:val="21"/>
                <w:szCs w:val="21"/>
                <w:lang w:eastAsia="zh-CN"/>
              </w:rPr>
              <w:t>广西坤珍建设项目管理咨询有限公司</w:t>
            </w:r>
            <w:r>
              <w:rPr>
                <w:color w:val="auto"/>
                <w:sz w:val="21"/>
                <w:szCs w:val="21"/>
              </w:rPr>
              <w:t>一次性付清采购代理服务费</w:t>
            </w:r>
          </w:p>
          <w:p w14:paraId="6E8F0A76">
            <w:pPr>
              <w:pStyle w:val="43"/>
              <w:tabs>
                <w:tab w:val="left" w:pos="300"/>
              </w:tabs>
              <w:spacing w:line="415" w:lineRule="exact"/>
              <w:ind w:firstLine="420" w:firstLineChars="200"/>
              <w:rPr>
                <w:color w:val="auto"/>
                <w:sz w:val="21"/>
                <w:szCs w:val="21"/>
              </w:rPr>
            </w:pPr>
            <w:r>
              <w:rPr>
                <w:rFonts w:hint="eastAsia"/>
                <w:color w:val="auto"/>
                <w:sz w:val="21"/>
                <w:szCs w:val="21"/>
                <w:lang w:val="en-US" w:eastAsia="zh-CN"/>
              </w:rPr>
              <w:t>4.</w:t>
            </w:r>
            <w:r>
              <w:rPr>
                <w:color w:val="auto"/>
                <w:sz w:val="21"/>
                <w:szCs w:val="21"/>
              </w:rPr>
              <w:t>采购代理费收取银行账户</w:t>
            </w:r>
          </w:p>
          <w:p w14:paraId="504A46D8">
            <w:pPr>
              <w:pStyle w:val="43"/>
              <w:spacing w:line="415" w:lineRule="exact"/>
              <w:ind w:firstLine="420" w:firstLineChars="200"/>
              <w:rPr>
                <w:color w:val="auto"/>
                <w:sz w:val="21"/>
                <w:szCs w:val="21"/>
                <w:lang w:eastAsia="zh-CN"/>
              </w:rPr>
            </w:pPr>
            <w:r>
              <w:rPr>
                <w:color w:val="auto"/>
                <w:sz w:val="21"/>
                <w:szCs w:val="21"/>
              </w:rPr>
              <w:t>开户名称：</w:t>
            </w:r>
            <w:r>
              <w:rPr>
                <w:rFonts w:hint="eastAsia"/>
                <w:color w:val="auto"/>
                <w:sz w:val="21"/>
                <w:szCs w:val="21"/>
                <w:lang w:eastAsia="zh-CN"/>
              </w:rPr>
              <w:t>广西坤珍建设项目管理咨询有限公司</w:t>
            </w:r>
          </w:p>
          <w:p w14:paraId="0E353381">
            <w:pPr>
              <w:pStyle w:val="43"/>
              <w:spacing w:after="120" w:line="415" w:lineRule="exact"/>
              <w:ind w:firstLine="420" w:firstLineChars="200"/>
              <w:rPr>
                <w:color w:val="auto"/>
                <w:sz w:val="21"/>
                <w:szCs w:val="21"/>
              </w:rPr>
            </w:pPr>
            <w:r>
              <w:rPr>
                <w:color w:val="auto"/>
                <w:sz w:val="21"/>
                <w:szCs w:val="21"/>
              </w:rPr>
              <w:t>开户银行：</w:t>
            </w:r>
            <w:r>
              <w:rPr>
                <w:rFonts w:hint="eastAsia"/>
                <w:color w:val="auto"/>
                <w:sz w:val="21"/>
                <w:szCs w:val="21"/>
              </w:rPr>
              <w:t>广西崇左桂南农村商业银行股份有限公司城南分理处</w:t>
            </w:r>
          </w:p>
          <w:p w14:paraId="45201AC0">
            <w:pPr>
              <w:pStyle w:val="43"/>
              <w:spacing w:line="240" w:lineRule="auto"/>
              <w:ind w:firstLine="420" w:firstLineChars="200"/>
              <w:rPr>
                <w:color w:val="auto"/>
                <w:sz w:val="21"/>
                <w:szCs w:val="21"/>
              </w:rPr>
            </w:pPr>
            <w:r>
              <w:rPr>
                <w:color w:val="auto"/>
                <w:sz w:val="21"/>
                <w:szCs w:val="21"/>
              </w:rPr>
              <w:t>银行账号:</w:t>
            </w:r>
            <w:r>
              <w:rPr>
                <w:rFonts w:hint="eastAsia"/>
                <w:color w:val="auto"/>
                <w:sz w:val="21"/>
                <w:szCs w:val="21"/>
              </w:rPr>
              <w:t>146512010105163692</w:t>
            </w:r>
          </w:p>
        </w:tc>
      </w:tr>
      <w:tr w14:paraId="48BA9C6C">
        <w:tblPrEx>
          <w:tblCellMar>
            <w:top w:w="0" w:type="dxa"/>
            <w:left w:w="10" w:type="dxa"/>
            <w:bottom w:w="0" w:type="dxa"/>
            <w:right w:w="10" w:type="dxa"/>
          </w:tblCellMar>
        </w:tblPrEx>
        <w:trPr>
          <w:trHeight w:val="2865" w:hRule="exact"/>
          <w:jc w:val="center"/>
        </w:trPr>
        <w:tc>
          <w:tcPr>
            <w:tcW w:w="960" w:type="dxa"/>
            <w:tcBorders>
              <w:top w:val="single" w:color="auto" w:sz="4" w:space="0"/>
              <w:left w:val="single" w:color="auto" w:sz="4" w:space="0"/>
              <w:bottom w:val="single" w:color="auto" w:sz="4" w:space="0"/>
            </w:tcBorders>
            <w:shd w:val="clear" w:color="auto" w:fill="FFFFFF"/>
            <w:vAlign w:val="center"/>
          </w:tcPr>
          <w:p w14:paraId="32C74FCF">
            <w:pPr>
              <w:pStyle w:val="43"/>
              <w:spacing w:line="240" w:lineRule="auto"/>
              <w:ind w:firstLine="240"/>
              <w:rPr>
                <w:sz w:val="21"/>
                <w:szCs w:val="21"/>
              </w:rPr>
            </w:pPr>
            <w:r>
              <w:rPr>
                <w:sz w:val="21"/>
                <w:szCs w:val="21"/>
                <w:lang w:val="en-US" w:eastAsia="en-US" w:bidi="en-US"/>
              </w:rPr>
              <w:t>34.1</w:t>
            </w:r>
          </w:p>
        </w:tc>
        <w:tc>
          <w:tcPr>
            <w:tcW w:w="2220" w:type="dxa"/>
            <w:tcBorders>
              <w:top w:val="single" w:color="auto" w:sz="4" w:space="0"/>
              <w:left w:val="single" w:color="auto" w:sz="4" w:space="0"/>
              <w:bottom w:val="single" w:color="auto" w:sz="4" w:space="0"/>
            </w:tcBorders>
            <w:shd w:val="clear" w:color="auto" w:fill="FFFFFF"/>
            <w:vAlign w:val="center"/>
          </w:tcPr>
          <w:p w14:paraId="302E0D4D">
            <w:pPr>
              <w:pStyle w:val="43"/>
              <w:spacing w:line="240" w:lineRule="auto"/>
              <w:ind w:firstLine="0"/>
              <w:jc w:val="center"/>
              <w:rPr>
                <w:sz w:val="21"/>
                <w:szCs w:val="21"/>
                <w:lang w:eastAsia="zh-CN"/>
              </w:rPr>
            </w:pPr>
            <w:r>
              <w:rPr>
                <w:rFonts w:hint="eastAsia"/>
                <w:sz w:val="21"/>
                <w:szCs w:val="21"/>
                <w:lang w:eastAsia="zh-CN"/>
              </w:rPr>
              <w:t>解释</w:t>
            </w:r>
          </w:p>
        </w:tc>
        <w:tc>
          <w:tcPr>
            <w:tcW w:w="6855" w:type="dxa"/>
            <w:tcBorders>
              <w:top w:val="single" w:color="auto" w:sz="4" w:space="0"/>
              <w:left w:val="single" w:color="auto" w:sz="4" w:space="0"/>
              <w:bottom w:val="single" w:color="auto" w:sz="4" w:space="0"/>
              <w:right w:val="single" w:color="auto" w:sz="4" w:space="0"/>
            </w:tcBorders>
            <w:shd w:val="clear" w:color="auto" w:fill="FFFFFF"/>
          </w:tcPr>
          <w:p w14:paraId="0BC0EE5D">
            <w:pPr>
              <w:pStyle w:val="43"/>
              <w:spacing w:line="407" w:lineRule="exact"/>
              <w:ind w:firstLine="0"/>
              <w:jc w:val="both"/>
              <w:rPr>
                <w:sz w:val="21"/>
                <w:szCs w:val="21"/>
              </w:rPr>
            </w:pPr>
            <w:r>
              <w:rPr>
                <w:sz w:val="21"/>
                <w:szCs w:val="21"/>
              </w:rPr>
              <w:t>解释权：构成本磋商文件的各个组成文件应互为解释，互为说明；除磋商 文件中有特别规定外，仅适用于竞标阶段的规定,按更正公告（澄清公告）、 竟争性磋商公告、供应商须知、采购需求、评审程序、评审方法和评审标 准、响应文件格式、合同文本的先后顺序解释；同一组成文件中就同一事项的规定或者约定不一致的，以编排顺序在后者为准；同一组成文件不同 版本之间有不一致的，以形成时间在后者为准；更正公告（澄清公告）与 同步更新的磋商文件不一致时以更正公告（澄清公告）为准。按本款前述</w:t>
            </w:r>
          </w:p>
        </w:tc>
      </w:tr>
    </w:tbl>
    <w:p w14:paraId="47C53F63">
      <w:pPr>
        <w:rPr>
          <w:sz w:val="11"/>
          <w:szCs w:val="11"/>
        </w:rPr>
        <w:sectPr>
          <w:footerReference r:id="rId12" w:type="default"/>
          <w:footerReference r:id="rId13" w:type="even"/>
          <w:pgSz w:w="11900" w:h="16840"/>
          <w:pgMar w:top="953" w:right="925" w:bottom="927" w:left="940" w:header="525" w:footer="1020" w:gutter="0"/>
          <w:cols w:space="720" w:num="1"/>
          <w:docGrid w:linePitch="360" w:charSpace="0"/>
        </w:sectPr>
      </w:pPr>
    </w:p>
    <w:tbl>
      <w:tblPr>
        <w:tblStyle w:val="14"/>
        <w:tblW w:w="0" w:type="auto"/>
        <w:jc w:val="center"/>
        <w:tblLayout w:type="fixed"/>
        <w:tblCellMar>
          <w:top w:w="0" w:type="dxa"/>
          <w:left w:w="10" w:type="dxa"/>
          <w:bottom w:w="0" w:type="dxa"/>
          <w:right w:w="10" w:type="dxa"/>
        </w:tblCellMar>
      </w:tblPr>
      <w:tblGrid>
        <w:gridCol w:w="960"/>
        <w:gridCol w:w="2220"/>
        <w:gridCol w:w="6855"/>
      </w:tblGrid>
      <w:tr w14:paraId="14ED25EA">
        <w:tblPrEx>
          <w:tblCellMar>
            <w:top w:w="0" w:type="dxa"/>
            <w:left w:w="10" w:type="dxa"/>
            <w:bottom w:w="0" w:type="dxa"/>
            <w:right w:w="10" w:type="dxa"/>
          </w:tblCellMar>
        </w:tblPrEx>
        <w:trPr>
          <w:trHeight w:val="2055" w:hRule="exact"/>
          <w:jc w:val="center"/>
        </w:trPr>
        <w:tc>
          <w:tcPr>
            <w:tcW w:w="960" w:type="dxa"/>
            <w:tcBorders>
              <w:top w:val="single" w:color="auto" w:sz="4" w:space="0"/>
              <w:left w:val="single" w:color="auto" w:sz="4" w:space="0"/>
            </w:tcBorders>
            <w:shd w:val="clear" w:color="auto" w:fill="FFFFFF"/>
          </w:tcPr>
          <w:p w14:paraId="30867750">
            <w:pPr>
              <w:pStyle w:val="19"/>
              <w:ind w:firstLine="480"/>
            </w:pPr>
          </w:p>
        </w:tc>
        <w:tc>
          <w:tcPr>
            <w:tcW w:w="2220" w:type="dxa"/>
            <w:tcBorders>
              <w:top w:val="single" w:color="auto" w:sz="4" w:space="0"/>
              <w:left w:val="single" w:color="auto" w:sz="4" w:space="0"/>
            </w:tcBorders>
            <w:shd w:val="clear" w:color="auto" w:fill="FFFFFF"/>
          </w:tcPr>
          <w:p w14:paraId="7F752849">
            <w:pPr>
              <w:rPr>
                <w:sz w:val="11"/>
                <w:szCs w:val="11"/>
              </w:rPr>
            </w:pPr>
          </w:p>
        </w:tc>
        <w:tc>
          <w:tcPr>
            <w:tcW w:w="6855" w:type="dxa"/>
            <w:tcBorders>
              <w:top w:val="single" w:color="auto" w:sz="4" w:space="0"/>
              <w:left w:val="single" w:color="auto" w:sz="4" w:space="0"/>
              <w:right w:val="single" w:color="auto" w:sz="4" w:space="0"/>
            </w:tcBorders>
            <w:shd w:val="clear" w:color="auto" w:fill="FFFFFF"/>
          </w:tcPr>
          <w:p w14:paraId="2FBEA61A">
            <w:pPr>
              <w:pStyle w:val="43"/>
              <w:spacing w:line="410" w:lineRule="exact"/>
              <w:ind w:firstLine="0"/>
              <w:rPr>
                <w:sz w:val="21"/>
                <w:szCs w:val="21"/>
              </w:rPr>
            </w:pPr>
            <w:r>
              <w:rPr>
                <w:sz w:val="21"/>
                <w:szCs w:val="21"/>
              </w:rPr>
              <w:t>规定仍不能形成结论的，</w:t>
            </w:r>
            <w:r>
              <w:rPr>
                <w:b/>
                <w:bCs/>
                <w:sz w:val="21"/>
                <w:szCs w:val="21"/>
              </w:rPr>
              <w:t>由采购人或者采购牌机构负责解释。</w:t>
            </w:r>
          </w:p>
          <w:p w14:paraId="24772EB0">
            <w:pPr>
              <w:pStyle w:val="43"/>
              <w:spacing w:line="410" w:lineRule="exact"/>
              <w:ind w:firstLine="422" w:firstLineChars="200"/>
              <w:jc w:val="both"/>
              <w:rPr>
                <w:sz w:val="21"/>
                <w:szCs w:val="21"/>
              </w:rPr>
            </w:pPr>
            <w:r>
              <w:rPr>
                <w:b/>
                <w:bCs/>
                <w:sz w:val="21"/>
                <w:szCs w:val="21"/>
              </w:rPr>
              <w:t>法律责任：</w:t>
            </w:r>
            <w:r>
              <w:rPr>
                <w:sz w:val="21"/>
                <w:szCs w:val="21"/>
              </w:rPr>
              <w:t>本采购文件根据《中华人民共和国政府采购法》、《中华人民共和国民法典》；《中华人民共和国政府采购法实施条例》、《政府采购竟争性磋商采购方式管理暂行办法》等有关法律、法规编制，参与本项目的各政府采购当事人依法享有上述法律法规所赋予的权利与义务。</w:t>
            </w:r>
          </w:p>
        </w:tc>
      </w:tr>
      <w:tr w14:paraId="0F7E45BE">
        <w:tblPrEx>
          <w:tblCellMar>
            <w:top w:w="0" w:type="dxa"/>
            <w:left w:w="10" w:type="dxa"/>
            <w:bottom w:w="0" w:type="dxa"/>
            <w:right w:w="10" w:type="dxa"/>
          </w:tblCellMar>
        </w:tblPrEx>
        <w:trPr>
          <w:trHeight w:val="5685" w:hRule="exact"/>
          <w:jc w:val="center"/>
        </w:trPr>
        <w:tc>
          <w:tcPr>
            <w:tcW w:w="960" w:type="dxa"/>
            <w:tcBorders>
              <w:top w:val="single" w:color="auto" w:sz="4" w:space="0"/>
              <w:left w:val="single" w:color="auto" w:sz="4" w:space="0"/>
              <w:bottom w:val="single" w:color="auto" w:sz="4" w:space="0"/>
            </w:tcBorders>
            <w:shd w:val="clear" w:color="auto" w:fill="FFFFFF"/>
            <w:vAlign w:val="center"/>
          </w:tcPr>
          <w:p w14:paraId="2F18FC58">
            <w:pPr>
              <w:pStyle w:val="43"/>
              <w:spacing w:line="240" w:lineRule="auto"/>
              <w:ind w:firstLine="240"/>
              <w:rPr>
                <w:sz w:val="21"/>
                <w:szCs w:val="21"/>
              </w:rPr>
            </w:pPr>
            <w:r>
              <w:rPr>
                <w:sz w:val="21"/>
                <w:szCs w:val="21"/>
                <w:lang w:val="en-US" w:eastAsia="en-US" w:bidi="en-US"/>
              </w:rPr>
              <w:t>34.2</w:t>
            </w:r>
          </w:p>
        </w:tc>
        <w:tc>
          <w:tcPr>
            <w:tcW w:w="2220" w:type="dxa"/>
            <w:tcBorders>
              <w:top w:val="single" w:color="auto" w:sz="4" w:space="0"/>
              <w:left w:val="single" w:color="auto" w:sz="4" w:space="0"/>
              <w:bottom w:val="single" w:color="auto" w:sz="4" w:space="0"/>
            </w:tcBorders>
            <w:shd w:val="clear" w:color="auto" w:fill="FFFFFF"/>
            <w:vAlign w:val="center"/>
          </w:tcPr>
          <w:p w14:paraId="0BFFEE45">
            <w:pPr>
              <w:pStyle w:val="43"/>
              <w:spacing w:line="240" w:lineRule="auto"/>
              <w:ind w:firstLine="0"/>
              <w:jc w:val="center"/>
              <w:rPr>
                <w:sz w:val="21"/>
                <w:szCs w:val="21"/>
              </w:rPr>
            </w:pPr>
            <w:r>
              <w:rPr>
                <w:sz w:val="21"/>
                <w:szCs w:val="21"/>
              </w:rPr>
              <w:t>其他</w:t>
            </w:r>
          </w:p>
        </w:tc>
        <w:tc>
          <w:tcPr>
            <w:tcW w:w="6855" w:type="dxa"/>
            <w:tcBorders>
              <w:top w:val="single" w:color="auto" w:sz="4" w:space="0"/>
              <w:left w:val="single" w:color="auto" w:sz="4" w:space="0"/>
              <w:bottom w:val="single" w:color="auto" w:sz="4" w:space="0"/>
              <w:right w:val="single" w:color="auto" w:sz="4" w:space="0"/>
            </w:tcBorders>
            <w:shd w:val="clear" w:color="auto" w:fill="FFFFFF"/>
          </w:tcPr>
          <w:p w14:paraId="1118A523">
            <w:pPr>
              <w:pStyle w:val="43"/>
              <w:tabs>
                <w:tab w:val="left" w:pos="210"/>
              </w:tabs>
              <w:spacing w:line="408" w:lineRule="exact"/>
              <w:ind w:firstLine="0"/>
              <w:rPr>
                <w:sz w:val="21"/>
                <w:szCs w:val="21"/>
              </w:rPr>
            </w:pPr>
            <w:r>
              <w:rPr>
                <w:rFonts w:hint="eastAsia"/>
                <w:sz w:val="21"/>
                <w:szCs w:val="21"/>
                <w:lang w:val="en-US" w:eastAsia="zh-CN"/>
              </w:rPr>
              <w:t>1.</w:t>
            </w:r>
            <w:r>
              <w:rPr>
                <w:sz w:val="21"/>
                <w:szCs w:val="21"/>
              </w:rPr>
              <w:t>本磋商文件中描述供应商的</w:t>
            </w:r>
            <w:r>
              <w:rPr>
                <w:sz w:val="21"/>
                <w:szCs w:val="21"/>
                <w:lang w:val="zh-CN" w:eastAsia="zh-CN" w:bidi="zh-CN"/>
              </w:rPr>
              <w:t>“公章</w:t>
            </w:r>
            <w:r>
              <w:rPr>
                <w:sz w:val="21"/>
                <w:szCs w:val="21"/>
              </w:rPr>
              <w:t>”是指根据我国对公童的管理规定， 用供应商法定主体行为名称制作的印章，除本磋商文件有特殊规定外，供 应商的财务</w:t>
            </w:r>
            <w:r>
              <w:rPr>
                <w:rFonts w:hint="eastAsia"/>
                <w:sz w:val="21"/>
                <w:szCs w:val="21"/>
                <w:lang w:eastAsia="zh-CN"/>
              </w:rPr>
              <w:t>章</w:t>
            </w:r>
            <w:r>
              <w:rPr>
                <w:sz w:val="21"/>
                <w:szCs w:val="21"/>
              </w:rPr>
              <w:t>、部门</w:t>
            </w:r>
            <w:r>
              <w:rPr>
                <w:rFonts w:hint="eastAsia"/>
                <w:sz w:val="21"/>
                <w:szCs w:val="21"/>
                <w:lang w:eastAsia="zh-CN"/>
              </w:rPr>
              <w:t>章</w:t>
            </w:r>
            <w:r>
              <w:rPr>
                <w:sz w:val="21"/>
                <w:szCs w:val="21"/>
              </w:rPr>
              <w:t>、分公司</w:t>
            </w:r>
            <w:r>
              <w:rPr>
                <w:rFonts w:hint="eastAsia"/>
                <w:sz w:val="21"/>
                <w:szCs w:val="21"/>
                <w:lang w:eastAsia="zh-CN"/>
              </w:rPr>
              <w:t>章</w:t>
            </w:r>
            <w:r>
              <w:rPr>
                <w:sz w:val="21"/>
                <w:szCs w:val="21"/>
              </w:rPr>
              <w:t>、工会</w:t>
            </w:r>
            <w:r>
              <w:rPr>
                <w:rFonts w:hint="eastAsia"/>
                <w:sz w:val="21"/>
                <w:szCs w:val="21"/>
                <w:lang w:eastAsia="zh-CN"/>
              </w:rPr>
              <w:t>章</w:t>
            </w:r>
            <w:r>
              <w:rPr>
                <w:sz w:val="21"/>
                <w:szCs w:val="21"/>
              </w:rPr>
              <w:t>、合同</w:t>
            </w:r>
            <w:r>
              <w:rPr>
                <w:rFonts w:hint="eastAsia"/>
                <w:sz w:val="21"/>
                <w:szCs w:val="21"/>
                <w:lang w:eastAsia="zh-CN"/>
              </w:rPr>
              <w:t>章</w:t>
            </w:r>
            <w:r>
              <w:rPr>
                <w:sz w:val="21"/>
                <w:szCs w:val="21"/>
              </w:rPr>
              <w:t>、竞标/投标专用</w:t>
            </w:r>
            <w:r>
              <w:rPr>
                <w:rFonts w:hint="eastAsia"/>
                <w:sz w:val="21"/>
                <w:szCs w:val="21"/>
                <w:lang w:eastAsia="zh-CN"/>
              </w:rPr>
              <w:t>章</w:t>
            </w:r>
            <w:r>
              <w:rPr>
                <w:sz w:val="21"/>
                <w:szCs w:val="21"/>
              </w:rPr>
              <w:t>、 业务专用</w:t>
            </w:r>
            <w:r>
              <w:rPr>
                <w:rFonts w:hint="eastAsia"/>
                <w:sz w:val="21"/>
                <w:szCs w:val="21"/>
                <w:lang w:eastAsia="zh-CN"/>
              </w:rPr>
              <w:t>章</w:t>
            </w:r>
            <w:r>
              <w:rPr>
                <w:sz w:val="21"/>
                <w:szCs w:val="21"/>
              </w:rPr>
              <w:t>及银行的转账</w:t>
            </w:r>
            <w:r>
              <w:rPr>
                <w:rFonts w:hint="eastAsia"/>
                <w:sz w:val="21"/>
                <w:szCs w:val="21"/>
                <w:lang w:eastAsia="zh-CN"/>
              </w:rPr>
              <w:t>章</w:t>
            </w:r>
            <w:r>
              <w:rPr>
                <w:sz w:val="21"/>
                <w:szCs w:val="21"/>
              </w:rPr>
              <w:t>、现金收讫</w:t>
            </w:r>
            <w:r>
              <w:rPr>
                <w:rFonts w:hint="eastAsia"/>
                <w:sz w:val="21"/>
                <w:szCs w:val="21"/>
                <w:lang w:eastAsia="zh-CN"/>
              </w:rPr>
              <w:t>章</w:t>
            </w:r>
            <w:r>
              <w:rPr>
                <w:sz w:val="21"/>
                <w:szCs w:val="21"/>
              </w:rPr>
              <w:t>、现金付讫</w:t>
            </w:r>
            <w:r>
              <w:rPr>
                <w:rFonts w:hint="eastAsia"/>
                <w:sz w:val="21"/>
                <w:szCs w:val="21"/>
                <w:lang w:eastAsia="zh-CN"/>
              </w:rPr>
              <w:t>章</w:t>
            </w:r>
            <w:r>
              <w:rPr>
                <w:sz w:val="21"/>
                <w:szCs w:val="21"/>
              </w:rPr>
              <w:t>等其他形式印</w:t>
            </w:r>
            <w:r>
              <w:rPr>
                <w:rFonts w:hint="eastAsia"/>
                <w:sz w:val="21"/>
                <w:szCs w:val="21"/>
                <w:lang w:eastAsia="zh-CN"/>
              </w:rPr>
              <w:t>章</w:t>
            </w:r>
            <w:r>
              <w:rPr>
                <w:sz w:val="21"/>
                <w:szCs w:val="21"/>
              </w:rPr>
              <w:t>均不能代替公章。</w:t>
            </w:r>
          </w:p>
          <w:p w14:paraId="6C3139D5">
            <w:pPr>
              <w:pStyle w:val="43"/>
              <w:tabs>
                <w:tab w:val="left" w:pos="210"/>
              </w:tabs>
              <w:spacing w:line="408" w:lineRule="exact"/>
              <w:ind w:firstLine="0"/>
              <w:rPr>
                <w:sz w:val="21"/>
                <w:szCs w:val="21"/>
              </w:rPr>
            </w:pPr>
            <w:r>
              <w:rPr>
                <w:rFonts w:hint="eastAsia"/>
                <w:sz w:val="21"/>
                <w:szCs w:val="21"/>
                <w:lang w:val="en-US" w:eastAsia="zh-CN"/>
              </w:rPr>
              <w:t>2.</w:t>
            </w:r>
            <w:r>
              <w:rPr>
                <w:sz w:val="21"/>
                <w:szCs w:val="21"/>
              </w:rPr>
              <w:t>供应商为其他组织或者</w:t>
            </w:r>
            <w:r>
              <w:rPr>
                <w:rFonts w:hint="eastAsia"/>
                <w:sz w:val="21"/>
                <w:szCs w:val="21"/>
                <w:lang w:eastAsia="zh-CN"/>
              </w:rPr>
              <w:t>自</w:t>
            </w:r>
            <w:r>
              <w:rPr>
                <w:sz w:val="21"/>
                <w:szCs w:val="21"/>
              </w:rPr>
              <w:t>然人时,本磋商文件规定的法定代表人指负责 人或者</w:t>
            </w:r>
            <w:r>
              <w:rPr>
                <w:rFonts w:hint="eastAsia"/>
                <w:sz w:val="21"/>
                <w:szCs w:val="21"/>
                <w:lang w:eastAsia="zh-CN"/>
              </w:rPr>
              <w:t>自</w:t>
            </w:r>
            <w:r>
              <w:rPr>
                <w:sz w:val="21"/>
                <w:szCs w:val="21"/>
              </w:rPr>
              <w:t>然人。本磋商文件所称负责人是指参加竟标的其他组织营业执照 上的负责人，本磋商文件所称自然人指参与竞标的自然人本人。</w:t>
            </w:r>
          </w:p>
          <w:p w14:paraId="46215DC4">
            <w:pPr>
              <w:pStyle w:val="43"/>
              <w:tabs>
                <w:tab w:val="left" w:pos="210"/>
              </w:tabs>
              <w:spacing w:line="408" w:lineRule="exact"/>
              <w:ind w:firstLine="0"/>
              <w:rPr>
                <w:sz w:val="21"/>
                <w:szCs w:val="21"/>
              </w:rPr>
            </w:pPr>
            <w:r>
              <w:rPr>
                <w:rFonts w:hint="eastAsia"/>
                <w:sz w:val="21"/>
                <w:szCs w:val="21"/>
                <w:lang w:val="en-US" w:eastAsia="zh-CN"/>
              </w:rPr>
              <w:t>3.</w:t>
            </w:r>
            <w:r>
              <w:rPr>
                <w:sz w:val="21"/>
                <w:szCs w:val="21"/>
              </w:rPr>
              <w:t>本磋商文件中描述供应商的</w:t>
            </w:r>
            <w:r>
              <w:rPr>
                <w:sz w:val="21"/>
                <w:szCs w:val="21"/>
                <w:lang w:val="zh-CN" w:eastAsia="zh-CN" w:bidi="zh-CN"/>
              </w:rPr>
              <w:t>“签字</w:t>
            </w:r>
            <w:r>
              <w:rPr>
                <w:sz w:val="21"/>
                <w:szCs w:val="21"/>
              </w:rPr>
              <w:t>"是指供应商的法定代表人或者委托 代理人亲自在文件规定签署处亲笔写上个人的名字的行为，私</w:t>
            </w:r>
            <w:r>
              <w:rPr>
                <w:rFonts w:hint="eastAsia"/>
                <w:sz w:val="21"/>
                <w:szCs w:val="21"/>
                <w:lang w:eastAsia="zh-CN"/>
              </w:rPr>
              <w:t>章</w:t>
            </w:r>
            <w:r>
              <w:rPr>
                <w:sz w:val="21"/>
                <w:szCs w:val="21"/>
              </w:rPr>
              <w:t>、签字</w:t>
            </w:r>
            <w:r>
              <w:rPr>
                <w:rFonts w:hint="eastAsia"/>
                <w:sz w:val="21"/>
                <w:szCs w:val="21"/>
                <w:lang w:eastAsia="zh-CN"/>
              </w:rPr>
              <w:t>章</w:t>
            </w:r>
            <w:r>
              <w:rPr>
                <w:sz w:val="21"/>
                <w:szCs w:val="21"/>
              </w:rPr>
              <w:t>、 印鉴、影印等其他形式均不能代替亲笔签字。</w:t>
            </w:r>
          </w:p>
          <w:p w14:paraId="7CCEDC8D">
            <w:pPr>
              <w:pStyle w:val="43"/>
              <w:tabs>
                <w:tab w:val="left" w:pos="210"/>
              </w:tabs>
              <w:spacing w:line="408" w:lineRule="exact"/>
              <w:ind w:firstLine="0"/>
              <w:rPr>
                <w:sz w:val="21"/>
                <w:szCs w:val="21"/>
              </w:rPr>
            </w:pPr>
            <w:r>
              <w:rPr>
                <w:rFonts w:hint="eastAsia"/>
                <w:sz w:val="21"/>
                <w:szCs w:val="21"/>
                <w:lang w:val="en-US" w:eastAsia="zh-CN"/>
              </w:rPr>
              <w:t>4.</w:t>
            </w:r>
            <w:r>
              <w:rPr>
                <w:sz w:val="21"/>
                <w:szCs w:val="21"/>
              </w:rPr>
              <w:t>自然人竟标的，磋商文件规定盖公章处由自然人</w:t>
            </w:r>
            <w:r>
              <w:rPr>
                <w:rFonts w:hint="eastAsia"/>
                <w:sz w:val="21"/>
                <w:szCs w:val="21"/>
                <w:lang w:eastAsia="zh-CN"/>
              </w:rPr>
              <w:t>摁</w:t>
            </w:r>
            <w:r>
              <w:rPr>
                <w:sz w:val="21"/>
                <w:szCs w:val="21"/>
              </w:rPr>
              <w:t>手指指印。</w:t>
            </w:r>
          </w:p>
          <w:p w14:paraId="73325421">
            <w:pPr>
              <w:pStyle w:val="43"/>
              <w:tabs>
                <w:tab w:val="left" w:pos="210"/>
              </w:tabs>
              <w:spacing w:line="408" w:lineRule="exact"/>
              <w:ind w:firstLine="0"/>
              <w:rPr>
                <w:sz w:val="21"/>
                <w:szCs w:val="21"/>
              </w:rPr>
            </w:pPr>
            <w:r>
              <w:rPr>
                <w:rFonts w:hint="eastAsia"/>
                <w:sz w:val="21"/>
                <w:szCs w:val="21"/>
                <w:lang w:val="en-US" w:eastAsia="zh-CN"/>
              </w:rPr>
              <w:t>5.</w:t>
            </w:r>
            <w:r>
              <w:rPr>
                <w:sz w:val="21"/>
                <w:szCs w:val="21"/>
              </w:rPr>
              <w:t>本磋商文件所称的</w:t>
            </w:r>
            <w:r>
              <w:rPr>
                <w:sz w:val="21"/>
                <w:szCs w:val="21"/>
                <w:lang w:val="zh-CN" w:eastAsia="zh-CN" w:bidi="zh-CN"/>
              </w:rPr>
              <w:t>“以</w:t>
            </w:r>
            <w:r>
              <w:rPr>
                <w:sz w:val="21"/>
                <w:szCs w:val="21"/>
              </w:rPr>
              <w:t xml:space="preserve">上” </w:t>
            </w:r>
            <w:r>
              <w:rPr>
                <w:sz w:val="21"/>
                <w:szCs w:val="21"/>
                <w:lang w:val="zh-CN" w:eastAsia="zh-CN" w:bidi="zh-CN"/>
              </w:rPr>
              <w:t>“以</w:t>
            </w:r>
            <w:r>
              <w:rPr>
                <w:sz w:val="21"/>
                <w:szCs w:val="21"/>
              </w:rPr>
              <w:t xml:space="preserve">下” </w:t>
            </w:r>
            <w:r>
              <w:rPr>
                <w:sz w:val="21"/>
                <w:szCs w:val="21"/>
                <w:lang w:val="zh-CN" w:eastAsia="zh-CN" w:bidi="zh-CN"/>
              </w:rPr>
              <w:t>“以</w:t>
            </w:r>
            <w:r>
              <w:rPr>
                <w:sz w:val="21"/>
                <w:szCs w:val="21"/>
              </w:rPr>
              <w:t xml:space="preserve">内” </w:t>
            </w:r>
            <w:r>
              <w:rPr>
                <w:sz w:val="21"/>
                <w:szCs w:val="21"/>
                <w:lang w:val="zh-CN" w:eastAsia="zh-CN" w:bidi="zh-CN"/>
              </w:rPr>
              <w:t>“</w:t>
            </w:r>
            <w:r>
              <w:rPr>
                <w:rFonts w:hint="eastAsia"/>
                <w:sz w:val="21"/>
                <w:szCs w:val="21"/>
                <w:lang w:val="zh-CN" w:eastAsia="zh-CN" w:bidi="zh-CN"/>
              </w:rPr>
              <w:t>届满</w:t>
            </w:r>
            <w:r>
              <w:rPr>
                <w:sz w:val="21"/>
                <w:szCs w:val="21"/>
              </w:rPr>
              <w:t>”,包括本数；所 称的</w:t>
            </w:r>
            <w:r>
              <w:rPr>
                <w:sz w:val="21"/>
                <w:szCs w:val="21"/>
                <w:lang w:val="zh-CN" w:eastAsia="zh-CN" w:bidi="zh-CN"/>
              </w:rPr>
              <w:t>“不</w:t>
            </w:r>
            <w:r>
              <w:rPr>
                <w:sz w:val="21"/>
                <w:szCs w:val="21"/>
              </w:rPr>
              <w:t>满</w:t>
            </w:r>
            <w:r>
              <w:rPr>
                <w:sz w:val="21"/>
                <w:szCs w:val="21"/>
                <w:lang w:val="zh-CN" w:eastAsia="zh-CN" w:bidi="zh-CN"/>
              </w:rPr>
              <w:t>”“超</w:t>
            </w:r>
            <w:r>
              <w:rPr>
                <w:sz w:val="21"/>
                <w:szCs w:val="21"/>
              </w:rPr>
              <w:t>过”“以外”</w:t>
            </w:r>
            <w:r>
              <w:rPr>
                <w:i/>
                <w:iCs/>
                <w:sz w:val="21"/>
                <w:szCs w:val="21"/>
              </w:rPr>
              <w:t>，</w:t>
            </w:r>
            <w:r>
              <w:rPr>
                <w:sz w:val="21"/>
                <w:szCs w:val="21"/>
              </w:rPr>
              <w:t>不包括本数。</w:t>
            </w:r>
          </w:p>
          <w:p w14:paraId="2AB328A1">
            <w:pPr>
              <w:pStyle w:val="43"/>
              <w:tabs>
                <w:tab w:val="left" w:pos="210"/>
              </w:tabs>
              <w:spacing w:line="408" w:lineRule="exact"/>
              <w:ind w:firstLine="0"/>
              <w:rPr>
                <w:sz w:val="21"/>
                <w:szCs w:val="21"/>
              </w:rPr>
            </w:pPr>
          </w:p>
        </w:tc>
      </w:tr>
      <w:tr w14:paraId="20FA3D62">
        <w:tblPrEx>
          <w:tblCellMar>
            <w:top w:w="0" w:type="dxa"/>
            <w:left w:w="10" w:type="dxa"/>
            <w:bottom w:w="0" w:type="dxa"/>
            <w:right w:w="10" w:type="dxa"/>
          </w:tblCellMar>
        </w:tblPrEx>
        <w:trPr>
          <w:trHeight w:val="1740" w:hRule="exact"/>
          <w:jc w:val="center"/>
        </w:trPr>
        <w:tc>
          <w:tcPr>
            <w:tcW w:w="960" w:type="dxa"/>
            <w:tcBorders>
              <w:top w:val="single" w:color="auto" w:sz="4" w:space="0"/>
              <w:left w:val="single" w:color="auto" w:sz="4" w:space="0"/>
              <w:bottom w:val="single" w:color="auto" w:sz="4" w:space="0"/>
            </w:tcBorders>
            <w:shd w:val="clear" w:color="auto" w:fill="FFFFFF"/>
            <w:vAlign w:val="center"/>
          </w:tcPr>
          <w:p w14:paraId="282A5D55">
            <w:pPr>
              <w:pStyle w:val="43"/>
              <w:spacing w:line="240" w:lineRule="auto"/>
              <w:ind w:firstLine="240"/>
              <w:rPr>
                <w:sz w:val="21"/>
                <w:szCs w:val="21"/>
                <w:lang w:val="en-US" w:eastAsia="zh-CN" w:bidi="en-US"/>
              </w:rPr>
            </w:pPr>
            <w:r>
              <w:rPr>
                <w:rFonts w:hint="eastAsia"/>
                <w:sz w:val="21"/>
                <w:szCs w:val="21"/>
                <w:lang w:val="en-US" w:eastAsia="zh-CN" w:bidi="en-US"/>
              </w:rPr>
              <w:t>35</w:t>
            </w:r>
          </w:p>
        </w:tc>
        <w:tc>
          <w:tcPr>
            <w:tcW w:w="2220" w:type="dxa"/>
            <w:tcBorders>
              <w:top w:val="single" w:color="auto" w:sz="4" w:space="0"/>
              <w:left w:val="single" w:color="auto" w:sz="4" w:space="0"/>
              <w:bottom w:val="single" w:color="auto" w:sz="4" w:space="0"/>
            </w:tcBorders>
            <w:shd w:val="clear" w:color="auto" w:fill="FFFFFF"/>
            <w:vAlign w:val="center"/>
          </w:tcPr>
          <w:p w14:paraId="78118C17">
            <w:pPr>
              <w:pStyle w:val="43"/>
              <w:spacing w:line="240" w:lineRule="auto"/>
              <w:ind w:firstLine="0"/>
              <w:jc w:val="center"/>
              <w:rPr>
                <w:sz w:val="21"/>
                <w:szCs w:val="21"/>
              </w:rPr>
            </w:pPr>
            <w:r>
              <w:rPr>
                <w:rFonts w:hint="eastAsia"/>
                <w:sz w:val="21"/>
                <w:szCs w:val="21"/>
              </w:rPr>
              <w:t>线上“政采贷”</w:t>
            </w:r>
            <w:r>
              <w:rPr>
                <w:rFonts w:hint="eastAsia"/>
                <w:sz w:val="21"/>
                <w:szCs w:val="21"/>
                <w:lang w:eastAsia="zh-CN"/>
              </w:rPr>
              <w:t>相关说明</w:t>
            </w:r>
          </w:p>
        </w:tc>
        <w:tc>
          <w:tcPr>
            <w:tcW w:w="6855" w:type="dxa"/>
            <w:tcBorders>
              <w:top w:val="single" w:color="auto" w:sz="4" w:space="0"/>
              <w:left w:val="single" w:color="auto" w:sz="4" w:space="0"/>
              <w:bottom w:val="single" w:color="auto" w:sz="4" w:space="0"/>
              <w:right w:val="single" w:color="auto" w:sz="4" w:space="0"/>
            </w:tcBorders>
            <w:shd w:val="clear" w:color="auto" w:fill="FFFFFF"/>
          </w:tcPr>
          <w:p w14:paraId="747528B0">
            <w:pPr>
              <w:pStyle w:val="43"/>
              <w:tabs>
                <w:tab w:val="left" w:pos="210"/>
              </w:tabs>
              <w:spacing w:line="408" w:lineRule="exact"/>
              <w:ind w:firstLine="0"/>
              <w:rPr>
                <w:sz w:val="21"/>
                <w:szCs w:val="21"/>
              </w:rPr>
            </w:pPr>
            <w:r>
              <w:rPr>
                <w:rFonts w:hint="eastAsia" w:ascii="Arial" w:hAnsi="Arial"/>
                <w:b/>
                <w:bCs/>
                <w:sz w:val="21"/>
                <w:lang w:eastAsia="zh-CN"/>
              </w:rPr>
              <w:t>温馨提示</w:t>
            </w:r>
            <w:r>
              <w:rPr>
                <w:rFonts w:ascii="Arial" w:hAnsi="Arial"/>
                <w:b/>
                <w:bCs/>
                <w:sz w:val="21"/>
                <w:lang w:eastAsia="zh-CN"/>
              </w:rPr>
              <w:t>(</w:t>
            </w:r>
            <w:r>
              <w:rPr>
                <w:rFonts w:hint="eastAsia" w:ascii="Arial" w:hAnsi="Arial"/>
                <w:b/>
                <w:bCs/>
                <w:sz w:val="21"/>
                <w:lang w:eastAsia="zh-CN"/>
              </w:rPr>
              <w:t>非强制要求</w:t>
            </w:r>
            <w:r>
              <w:rPr>
                <w:rFonts w:ascii="Arial" w:hAnsi="Arial"/>
                <w:b/>
                <w:bCs/>
                <w:sz w:val="21"/>
                <w:lang w:eastAsia="zh-CN"/>
              </w:rPr>
              <w:t>) :</w:t>
            </w:r>
            <w:r>
              <w:rPr>
                <w:rFonts w:hint="eastAsia" w:ascii="Arial" w:hAnsi="Arial"/>
                <w:b/>
                <w:bCs/>
                <w:sz w:val="21"/>
                <w:lang w:eastAsia="zh-CN"/>
              </w:rPr>
              <w:t>根据《崇左市财政局关于进一步做好线上“政采贷”融资业务工作的通知》</w:t>
            </w:r>
            <w:r>
              <w:rPr>
                <w:rFonts w:ascii="Arial" w:hAnsi="Arial"/>
                <w:b/>
                <w:bCs/>
                <w:sz w:val="21"/>
                <w:lang w:eastAsia="zh-CN"/>
              </w:rPr>
              <w:t xml:space="preserve">( </w:t>
            </w:r>
            <w:r>
              <w:rPr>
                <w:rFonts w:hint="eastAsia" w:ascii="Arial" w:hAnsi="Arial"/>
                <w:b/>
                <w:bCs/>
                <w:sz w:val="21"/>
                <w:lang w:eastAsia="zh-CN"/>
              </w:rPr>
              <w:t>崇财采</w:t>
            </w:r>
            <w:r>
              <w:rPr>
                <w:rFonts w:ascii="Arial" w:hAnsi="Arial"/>
                <w:b/>
                <w:bCs/>
                <w:sz w:val="21"/>
                <w:lang w:eastAsia="zh-CN"/>
              </w:rPr>
              <w:t>(2023)10</w:t>
            </w:r>
            <w:r>
              <w:rPr>
                <w:rFonts w:hint="eastAsia" w:ascii="Arial" w:hAnsi="Arial"/>
                <w:b/>
                <w:bCs/>
                <w:sz w:val="21"/>
                <w:lang w:eastAsia="zh-CN"/>
              </w:rPr>
              <w:t>号</w:t>
            </w:r>
            <w:r>
              <w:rPr>
                <w:rFonts w:ascii="Arial" w:hAnsi="Arial"/>
                <w:b/>
                <w:bCs/>
                <w:sz w:val="21"/>
                <w:lang w:eastAsia="zh-CN"/>
              </w:rPr>
              <w:t>) ,</w:t>
            </w:r>
            <w:r>
              <w:rPr>
                <w:rFonts w:hint="eastAsia" w:ascii="Arial" w:hAnsi="Arial"/>
                <w:b/>
                <w:bCs/>
                <w:sz w:val="21"/>
                <w:lang w:eastAsia="zh-CN"/>
              </w:rPr>
              <w:t>供应商可凭成交通知书、政府采购合同，通过中征应收账款融资服务平台向银行在线申请“政采贷”融资。</w:t>
            </w:r>
            <w:r>
              <w:rPr>
                <w:rFonts w:ascii="Arial" w:hAnsi="Arial"/>
                <w:b/>
                <w:bCs/>
                <w:sz w:val="21"/>
                <w:lang w:eastAsia="zh-CN"/>
              </w:rPr>
              <w:t>(</w:t>
            </w:r>
            <w:r>
              <w:rPr>
                <w:rFonts w:hint="eastAsia" w:ascii="Arial" w:hAnsi="Arial"/>
                <w:b/>
                <w:bCs/>
                <w:sz w:val="21"/>
                <w:lang w:eastAsia="zh-CN"/>
              </w:rPr>
              <w:t>具体详见采购文件中关于“政采贷”相关信息</w:t>
            </w:r>
            <w:r>
              <w:rPr>
                <w:rFonts w:ascii="Arial" w:hAnsi="Arial"/>
                <w:b/>
                <w:bCs/>
                <w:sz w:val="21"/>
                <w:lang w:eastAsia="zh-CN"/>
              </w:rPr>
              <w:t>)</w:t>
            </w:r>
          </w:p>
          <w:p w14:paraId="0CD374E1">
            <w:pPr>
              <w:pStyle w:val="43"/>
              <w:tabs>
                <w:tab w:val="left" w:pos="210"/>
              </w:tabs>
              <w:spacing w:line="408" w:lineRule="exact"/>
              <w:ind w:firstLine="0"/>
              <w:rPr>
                <w:sz w:val="21"/>
                <w:szCs w:val="21"/>
              </w:rPr>
            </w:pPr>
          </w:p>
        </w:tc>
      </w:tr>
    </w:tbl>
    <w:p w14:paraId="018232EF">
      <w:pPr>
        <w:rPr>
          <w:sz w:val="28"/>
          <w:szCs w:val="28"/>
          <w:lang w:eastAsia="zh-CN"/>
        </w:rPr>
        <w:sectPr>
          <w:footerReference r:id="rId14" w:type="default"/>
          <w:footerReference r:id="rId15" w:type="even"/>
          <w:pgSz w:w="11900" w:h="16840"/>
          <w:pgMar w:top="953" w:right="925" w:bottom="927" w:left="940" w:header="525" w:footer="964" w:gutter="0"/>
          <w:cols w:space="720" w:num="1"/>
          <w:docGrid w:linePitch="360" w:charSpace="0"/>
        </w:sectPr>
      </w:pPr>
    </w:p>
    <w:p w14:paraId="7D4E0046">
      <w:pPr>
        <w:pStyle w:val="41"/>
        <w:keepNext/>
        <w:keepLines/>
        <w:spacing w:after="340"/>
        <w:ind w:firstLine="640" w:firstLineChars="200"/>
        <w:rPr>
          <w:sz w:val="32"/>
          <w:szCs w:val="32"/>
        </w:rPr>
      </w:pPr>
      <w:bookmarkStart w:id="25" w:name="bookmark46"/>
      <w:bookmarkStart w:id="26" w:name="bookmark45"/>
      <w:bookmarkStart w:id="27" w:name="bookmark44"/>
      <w:r>
        <w:rPr>
          <w:sz w:val="32"/>
          <w:szCs w:val="32"/>
        </w:rPr>
        <w:t>第二节供应商须知正文</w:t>
      </w:r>
      <w:bookmarkEnd w:id="25"/>
    </w:p>
    <w:p w14:paraId="5674E976">
      <w:pPr>
        <w:pStyle w:val="41"/>
        <w:keepNext/>
        <w:keepLines/>
        <w:spacing w:after="80"/>
        <w:ind w:firstLine="640" w:firstLineChars="200"/>
        <w:rPr>
          <w:sz w:val="32"/>
          <w:szCs w:val="32"/>
        </w:rPr>
      </w:pPr>
      <w:bookmarkStart w:id="28" w:name="bookmark47"/>
      <w:r>
        <w:rPr>
          <w:sz w:val="32"/>
          <w:szCs w:val="32"/>
        </w:rPr>
        <w:t>一、总则</w:t>
      </w:r>
      <w:bookmarkEnd w:id="26"/>
      <w:bookmarkEnd w:id="27"/>
      <w:bookmarkEnd w:id="28"/>
    </w:p>
    <w:p w14:paraId="1E2F10C6">
      <w:pPr>
        <w:pStyle w:val="37"/>
        <w:numPr>
          <w:ilvl w:val="0"/>
          <w:numId w:val="5"/>
        </w:numPr>
        <w:spacing w:line="420" w:lineRule="exact"/>
        <w:ind w:firstLine="422" w:firstLineChars="200"/>
        <w:jc w:val="both"/>
        <w:rPr>
          <w:b/>
          <w:bCs/>
          <w:sz w:val="21"/>
          <w:szCs w:val="21"/>
        </w:rPr>
      </w:pPr>
      <w:bookmarkStart w:id="29" w:name="bookmark48"/>
      <w:bookmarkEnd w:id="29"/>
      <w:r>
        <w:rPr>
          <w:b/>
          <w:bCs/>
          <w:sz w:val="21"/>
          <w:szCs w:val="21"/>
        </w:rPr>
        <w:t>适用范围</w:t>
      </w:r>
    </w:p>
    <w:p w14:paraId="3CCCF7DC">
      <w:pPr>
        <w:pStyle w:val="37"/>
        <w:spacing w:line="412" w:lineRule="exact"/>
        <w:ind w:firstLine="420" w:firstLineChars="200"/>
        <w:rPr>
          <w:sz w:val="21"/>
          <w:szCs w:val="21"/>
        </w:rPr>
      </w:pPr>
      <w:r>
        <w:rPr>
          <w:sz w:val="21"/>
          <w:szCs w:val="21"/>
          <w:lang w:val="en-US" w:eastAsia="zh-CN" w:bidi="en-US"/>
        </w:rPr>
        <w:t>1.1</w:t>
      </w:r>
      <w:r>
        <w:rPr>
          <w:sz w:val="21"/>
          <w:szCs w:val="21"/>
        </w:rPr>
        <w:t>本项目采购人、采购代理机构、供应商、磋商小组的相关行为均受《中华人民共和国政府采购法》 《中华人民共和国政府采购法实施条例》《政府采购竟争性磋商采购方式管理暂行办法》《财政部关于政 府采购竟争性磋商采购方式管理暂行办法有关问题的补充通知》及本项目本级和上级财政部门政府采购有关规定的约束和保护。</w:t>
      </w:r>
    </w:p>
    <w:p w14:paraId="13BD6419">
      <w:pPr>
        <w:pStyle w:val="37"/>
        <w:numPr>
          <w:ilvl w:val="0"/>
          <w:numId w:val="6"/>
        </w:numPr>
        <w:tabs>
          <w:tab w:val="left" w:pos="755"/>
        </w:tabs>
        <w:spacing w:line="412" w:lineRule="exact"/>
        <w:ind w:firstLine="420" w:firstLineChars="200"/>
        <w:rPr>
          <w:sz w:val="21"/>
          <w:szCs w:val="21"/>
        </w:rPr>
      </w:pPr>
      <w:bookmarkStart w:id="30" w:name="bookmark49"/>
      <w:bookmarkEnd w:id="30"/>
      <w:r>
        <w:rPr>
          <w:sz w:val="21"/>
          <w:szCs w:val="21"/>
        </w:rPr>
        <w:t>2本</w:t>
      </w:r>
      <w:r>
        <w:rPr>
          <w:rFonts w:hint="eastAsia"/>
          <w:sz w:val="21"/>
          <w:szCs w:val="21"/>
          <w:lang w:eastAsia="zh-CN"/>
        </w:rPr>
        <w:t>竞争性</w:t>
      </w:r>
      <w:r>
        <w:rPr>
          <w:sz w:val="21"/>
          <w:szCs w:val="21"/>
        </w:rPr>
        <w:t>磋商</w:t>
      </w:r>
      <w:r>
        <w:rPr>
          <w:rFonts w:hint="eastAsia"/>
          <w:sz w:val="21"/>
          <w:szCs w:val="21"/>
          <w:lang w:eastAsia="zh-CN"/>
        </w:rPr>
        <w:t>文件</w:t>
      </w:r>
      <w:r>
        <w:rPr>
          <w:sz w:val="21"/>
          <w:szCs w:val="21"/>
        </w:rPr>
        <w:t>（以下简称磋商</w:t>
      </w:r>
      <w:r>
        <w:rPr>
          <w:rFonts w:hint="eastAsia"/>
          <w:sz w:val="21"/>
          <w:szCs w:val="21"/>
          <w:lang w:eastAsia="zh-CN"/>
        </w:rPr>
        <w:t>文件</w:t>
      </w:r>
      <w:r>
        <w:rPr>
          <w:sz w:val="21"/>
          <w:szCs w:val="21"/>
        </w:rPr>
        <w:t>）适</w:t>
      </w:r>
      <w:r>
        <w:rPr>
          <w:rFonts w:hint="eastAsia"/>
          <w:sz w:val="21"/>
          <w:szCs w:val="21"/>
          <w:lang w:eastAsia="zh-CN"/>
        </w:rPr>
        <w:t>用于本项目</w:t>
      </w:r>
      <w:r>
        <w:rPr>
          <w:sz w:val="21"/>
          <w:szCs w:val="21"/>
        </w:rPr>
        <w:t>的</w:t>
      </w:r>
      <w:r>
        <w:rPr>
          <w:rFonts w:hint="eastAsia"/>
          <w:sz w:val="21"/>
          <w:szCs w:val="21"/>
          <w:lang w:eastAsia="zh-CN"/>
        </w:rPr>
        <w:t>所有采购程序和环节（法律、法规另有）规定的，</w:t>
      </w:r>
      <w:r>
        <w:rPr>
          <w:sz w:val="21"/>
          <w:szCs w:val="21"/>
        </w:rPr>
        <w:t>从其规定）</w:t>
      </w:r>
      <w:r>
        <w:rPr>
          <w:i/>
          <w:iCs/>
          <w:sz w:val="21"/>
          <w:szCs w:val="21"/>
        </w:rPr>
        <w:t>。</w:t>
      </w:r>
    </w:p>
    <w:p w14:paraId="6EBBE8F3">
      <w:pPr>
        <w:pStyle w:val="37"/>
        <w:spacing w:line="420" w:lineRule="exact"/>
        <w:ind w:firstLine="422" w:firstLineChars="200"/>
        <w:jc w:val="both"/>
        <w:rPr>
          <w:b/>
          <w:bCs/>
          <w:sz w:val="21"/>
          <w:szCs w:val="21"/>
          <w:lang w:eastAsia="zh-CN"/>
        </w:rPr>
      </w:pPr>
      <w:bookmarkStart w:id="31" w:name="bookmark50"/>
      <w:bookmarkEnd w:id="31"/>
      <w:r>
        <w:rPr>
          <w:rFonts w:hint="eastAsia"/>
          <w:b/>
          <w:bCs/>
          <w:sz w:val="21"/>
          <w:szCs w:val="21"/>
          <w:lang w:val="en-US" w:eastAsia="zh-CN"/>
        </w:rPr>
        <w:t>2.</w:t>
      </w:r>
      <w:r>
        <w:rPr>
          <w:rFonts w:hint="eastAsia"/>
          <w:b/>
          <w:bCs/>
          <w:sz w:val="21"/>
          <w:szCs w:val="21"/>
          <w:lang w:eastAsia="zh-CN"/>
        </w:rPr>
        <w:t>定义</w:t>
      </w:r>
    </w:p>
    <w:p w14:paraId="4C2298AE">
      <w:pPr>
        <w:pStyle w:val="37"/>
        <w:spacing w:line="420" w:lineRule="exact"/>
        <w:ind w:firstLine="420" w:firstLineChars="200"/>
        <w:jc w:val="both"/>
        <w:rPr>
          <w:sz w:val="21"/>
          <w:szCs w:val="21"/>
        </w:rPr>
      </w:pPr>
      <w:r>
        <w:rPr>
          <w:sz w:val="21"/>
          <w:szCs w:val="21"/>
          <w:lang w:val="en-US" w:eastAsia="zh-CN" w:bidi="en-US"/>
        </w:rPr>
        <w:t>2.1“</w:t>
      </w:r>
      <w:r>
        <w:rPr>
          <w:sz w:val="21"/>
          <w:szCs w:val="21"/>
        </w:rPr>
        <w:t>采购人</w:t>
      </w:r>
      <w:r>
        <w:rPr>
          <w:sz w:val="21"/>
          <w:szCs w:val="21"/>
          <w:lang w:val="zh-CN" w:eastAsia="zh-CN" w:bidi="zh-CN"/>
        </w:rPr>
        <w:t>”是</w:t>
      </w:r>
      <w:r>
        <w:rPr>
          <w:sz w:val="21"/>
          <w:szCs w:val="21"/>
        </w:rPr>
        <w:t>指依法进行政府采购的国家机关、事业单位、团体组织。</w:t>
      </w:r>
    </w:p>
    <w:p w14:paraId="29DF5805">
      <w:pPr>
        <w:pStyle w:val="37"/>
        <w:numPr>
          <w:ilvl w:val="0"/>
          <w:numId w:val="5"/>
        </w:numPr>
        <w:tabs>
          <w:tab w:val="left" w:pos="775"/>
        </w:tabs>
        <w:spacing w:line="420" w:lineRule="exact"/>
        <w:ind w:firstLine="420" w:firstLineChars="200"/>
        <w:jc w:val="both"/>
        <w:rPr>
          <w:sz w:val="21"/>
          <w:szCs w:val="21"/>
        </w:rPr>
      </w:pPr>
      <w:bookmarkStart w:id="32" w:name="bookmark51"/>
      <w:bookmarkEnd w:id="32"/>
      <w:r>
        <w:rPr>
          <w:sz w:val="21"/>
          <w:szCs w:val="21"/>
        </w:rPr>
        <w:t>2 “采购代理机构</w:t>
      </w:r>
      <w:r>
        <w:rPr>
          <w:sz w:val="21"/>
          <w:szCs w:val="21"/>
          <w:lang w:val="zh-CN" w:eastAsia="zh-CN" w:bidi="zh-CN"/>
        </w:rPr>
        <w:t>”是指</w:t>
      </w:r>
      <w:r>
        <w:rPr>
          <w:sz w:val="21"/>
          <w:szCs w:val="21"/>
        </w:rPr>
        <w:t>政府采购集中采购机构和集中采购机构以外的采购代理机构。</w:t>
      </w:r>
    </w:p>
    <w:p w14:paraId="12D5F537">
      <w:pPr>
        <w:pStyle w:val="37"/>
        <w:spacing w:line="420" w:lineRule="exact"/>
        <w:ind w:firstLine="420" w:firstLineChars="200"/>
        <w:jc w:val="both"/>
        <w:rPr>
          <w:sz w:val="21"/>
          <w:szCs w:val="21"/>
        </w:rPr>
      </w:pPr>
      <w:r>
        <w:rPr>
          <w:sz w:val="21"/>
          <w:szCs w:val="21"/>
          <w:lang w:val="en-US" w:eastAsia="zh-CN" w:bidi="en-US"/>
        </w:rPr>
        <w:t>2.3“</w:t>
      </w:r>
      <w:r>
        <w:rPr>
          <w:sz w:val="21"/>
          <w:szCs w:val="21"/>
        </w:rPr>
        <w:t>供应商</w:t>
      </w:r>
      <w:r>
        <w:rPr>
          <w:sz w:val="21"/>
          <w:szCs w:val="21"/>
          <w:lang w:val="zh-CN" w:eastAsia="zh-CN" w:bidi="zh-CN"/>
        </w:rPr>
        <w:t>”是指</w:t>
      </w:r>
      <w:r>
        <w:rPr>
          <w:sz w:val="21"/>
          <w:szCs w:val="21"/>
        </w:rPr>
        <w:t>向采购人提供货物、工程或者服务的法人、其他组织或者自然人。</w:t>
      </w:r>
    </w:p>
    <w:p w14:paraId="0D9A0DC5">
      <w:pPr>
        <w:pStyle w:val="37"/>
        <w:numPr>
          <w:ilvl w:val="1"/>
          <w:numId w:val="5"/>
        </w:numPr>
        <w:tabs>
          <w:tab w:val="left" w:pos="925"/>
        </w:tabs>
        <w:spacing w:line="435" w:lineRule="exact"/>
        <w:ind w:firstLine="420" w:firstLineChars="200"/>
        <w:jc w:val="both"/>
        <w:rPr>
          <w:sz w:val="21"/>
          <w:szCs w:val="21"/>
        </w:rPr>
      </w:pPr>
      <w:bookmarkStart w:id="33" w:name="bookmark52"/>
      <w:bookmarkEnd w:id="33"/>
      <w:r>
        <w:rPr>
          <w:sz w:val="21"/>
          <w:szCs w:val="21"/>
          <w:lang w:val="zh-CN" w:eastAsia="zh-CN" w:bidi="zh-CN"/>
        </w:rPr>
        <w:t>“服务”是指</w:t>
      </w:r>
      <w:r>
        <w:rPr>
          <w:sz w:val="21"/>
          <w:szCs w:val="21"/>
        </w:rPr>
        <w:t>除货物和工程以外的其他政府采购对象。</w:t>
      </w:r>
    </w:p>
    <w:p w14:paraId="1D565C76">
      <w:pPr>
        <w:pStyle w:val="37"/>
        <w:numPr>
          <w:ilvl w:val="1"/>
          <w:numId w:val="5"/>
        </w:numPr>
        <w:tabs>
          <w:tab w:val="left" w:pos="905"/>
        </w:tabs>
        <w:spacing w:line="435" w:lineRule="exact"/>
        <w:ind w:firstLine="420" w:firstLineChars="200"/>
        <w:jc w:val="both"/>
        <w:rPr>
          <w:sz w:val="21"/>
          <w:szCs w:val="21"/>
        </w:rPr>
      </w:pPr>
      <w:bookmarkStart w:id="34" w:name="bookmark53"/>
      <w:bookmarkEnd w:id="34"/>
      <w:r>
        <w:rPr>
          <w:sz w:val="21"/>
          <w:szCs w:val="21"/>
          <w:lang w:val="zh-CN" w:eastAsia="zh-CN" w:bidi="zh-CN"/>
        </w:rPr>
        <w:t>“竞标”是</w:t>
      </w:r>
      <w:r>
        <w:rPr>
          <w:sz w:val="21"/>
          <w:szCs w:val="21"/>
        </w:rPr>
        <w:t>指供应商按照本项目竟争性磋商公告或者激请函规定的方式获取磋商文件、提交响应 文件并希望获得标的的行为。</w:t>
      </w:r>
    </w:p>
    <w:p w14:paraId="2FA2AB5F">
      <w:pPr>
        <w:pStyle w:val="37"/>
        <w:spacing w:line="420" w:lineRule="exact"/>
        <w:ind w:firstLine="420" w:firstLineChars="200"/>
        <w:jc w:val="both"/>
        <w:rPr>
          <w:sz w:val="21"/>
          <w:szCs w:val="21"/>
        </w:rPr>
      </w:pPr>
      <w:bookmarkStart w:id="35" w:name="bookmark54"/>
      <w:r>
        <w:rPr>
          <w:sz w:val="21"/>
          <w:szCs w:val="21"/>
          <w:lang w:val="en-US" w:eastAsia="zh-CN" w:bidi="en-US"/>
        </w:rPr>
        <w:t>2</w:t>
      </w:r>
      <w:bookmarkEnd w:id="35"/>
      <w:r>
        <w:rPr>
          <w:sz w:val="21"/>
          <w:szCs w:val="21"/>
          <w:lang w:val="en-US" w:eastAsia="zh-CN" w:bidi="en-US"/>
        </w:rPr>
        <w:t>.</w:t>
      </w:r>
      <w:r>
        <w:rPr>
          <w:sz w:val="21"/>
          <w:szCs w:val="21"/>
        </w:rPr>
        <w:t>6“响应文件"</w:t>
      </w:r>
      <w:r>
        <w:rPr>
          <w:rFonts w:hint="eastAsia"/>
          <w:sz w:val="21"/>
          <w:szCs w:val="21"/>
          <w:lang w:eastAsia="zh-CN"/>
        </w:rPr>
        <w:t>是指</w:t>
      </w:r>
      <w:r>
        <w:rPr>
          <w:sz w:val="21"/>
          <w:szCs w:val="21"/>
        </w:rPr>
        <w:t>：供应商</w:t>
      </w:r>
      <w:r>
        <w:rPr>
          <w:rFonts w:hint="eastAsia"/>
          <w:sz w:val="21"/>
          <w:szCs w:val="21"/>
          <w:lang w:eastAsia="zh-CN"/>
        </w:rPr>
        <w:t>根据本</w:t>
      </w:r>
      <w:r>
        <w:rPr>
          <w:sz w:val="21"/>
          <w:szCs w:val="21"/>
        </w:rPr>
        <w:t>磋商文件要求，</w:t>
      </w:r>
      <w:r>
        <w:rPr>
          <w:rFonts w:hint="eastAsia"/>
          <w:sz w:val="21"/>
          <w:szCs w:val="21"/>
          <w:lang w:eastAsia="zh-CN"/>
        </w:rPr>
        <w:t>编制包含资格证明</w:t>
      </w:r>
      <w:r>
        <w:rPr>
          <w:sz w:val="21"/>
          <w:szCs w:val="21"/>
        </w:rPr>
        <w:t>、报价商务技术等所有</w:t>
      </w:r>
      <w:r>
        <w:rPr>
          <w:rFonts w:hint="eastAsia"/>
          <w:sz w:val="21"/>
          <w:szCs w:val="21"/>
          <w:lang w:eastAsia="zh-CN"/>
        </w:rPr>
        <w:t>内容文件</w:t>
      </w:r>
      <w:r>
        <w:rPr>
          <w:sz w:val="21"/>
          <w:szCs w:val="21"/>
        </w:rPr>
        <w:t>。</w:t>
      </w:r>
    </w:p>
    <w:p w14:paraId="4D3E42C8">
      <w:pPr>
        <w:pStyle w:val="37"/>
        <w:numPr>
          <w:ilvl w:val="0"/>
          <w:numId w:val="7"/>
        </w:numPr>
        <w:tabs>
          <w:tab w:val="left" w:pos="905"/>
        </w:tabs>
        <w:spacing w:line="420" w:lineRule="exact"/>
        <w:ind w:firstLine="420" w:firstLineChars="200"/>
        <w:jc w:val="both"/>
        <w:rPr>
          <w:sz w:val="21"/>
          <w:szCs w:val="21"/>
        </w:rPr>
      </w:pPr>
      <w:bookmarkStart w:id="36" w:name="bookmark55"/>
      <w:bookmarkEnd w:id="36"/>
      <w:r>
        <w:rPr>
          <w:sz w:val="21"/>
          <w:szCs w:val="21"/>
        </w:rPr>
        <w:t>“实质性要求”是指磋商文件中已经指明不满足则响应文件按无效响应处理的条款，或者不能负 偏离的条款，或者采购需求中带</w:t>
      </w:r>
      <w:r>
        <w:rPr>
          <w:sz w:val="21"/>
          <w:szCs w:val="21"/>
          <w:lang w:val="en-US" w:eastAsia="zh-CN" w:bidi="en-US"/>
        </w:rPr>
        <w:t>“▲〃</w:t>
      </w:r>
      <w:r>
        <w:rPr>
          <w:sz w:val="21"/>
          <w:szCs w:val="21"/>
        </w:rPr>
        <w:t>的条款。</w:t>
      </w:r>
    </w:p>
    <w:p w14:paraId="1F56AF21">
      <w:pPr>
        <w:pStyle w:val="37"/>
        <w:numPr>
          <w:ilvl w:val="0"/>
          <w:numId w:val="7"/>
        </w:numPr>
        <w:tabs>
          <w:tab w:val="left" w:pos="905"/>
        </w:tabs>
        <w:spacing w:line="420" w:lineRule="exact"/>
        <w:ind w:firstLine="420" w:firstLineChars="200"/>
        <w:jc w:val="both"/>
        <w:rPr>
          <w:sz w:val="21"/>
          <w:szCs w:val="21"/>
        </w:rPr>
      </w:pPr>
      <w:bookmarkStart w:id="37" w:name="bookmark56"/>
      <w:bookmarkEnd w:id="37"/>
      <w:r>
        <w:rPr>
          <w:sz w:val="21"/>
          <w:szCs w:val="21"/>
          <w:lang w:val="zh-CN" w:eastAsia="zh-CN" w:bidi="zh-CN"/>
        </w:rPr>
        <w:t>“正</w:t>
      </w:r>
      <w:r>
        <w:rPr>
          <w:sz w:val="21"/>
          <w:szCs w:val="21"/>
        </w:rPr>
        <w:t>偏离”，是指响应文件对磋商文件</w:t>
      </w:r>
      <w:r>
        <w:rPr>
          <w:sz w:val="21"/>
          <w:szCs w:val="21"/>
          <w:lang w:val="zh-CN" w:eastAsia="zh-CN" w:bidi="zh-CN"/>
        </w:rPr>
        <w:t>“采</w:t>
      </w:r>
      <w:r>
        <w:rPr>
          <w:sz w:val="21"/>
          <w:szCs w:val="21"/>
        </w:rPr>
        <w:t>购需求〃中有关条款作出的响应优于条款要求并有利 于采购人的情形。</w:t>
      </w:r>
    </w:p>
    <w:p w14:paraId="05DBEAF1">
      <w:pPr>
        <w:pStyle w:val="37"/>
        <w:spacing w:line="420" w:lineRule="exact"/>
        <w:ind w:firstLine="420" w:firstLineChars="200"/>
        <w:jc w:val="both"/>
        <w:rPr>
          <w:sz w:val="21"/>
          <w:szCs w:val="21"/>
        </w:rPr>
      </w:pPr>
      <w:r>
        <w:rPr>
          <w:sz w:val="21"/>
          <w:szCs w:val="21"/>
          <w:lang w:val="en-US" w:eastAsia="zh-CN" w:bidi="en-US"/>
        </w:rPr>
        <w:t>2.9“</w:t>
      </w:r>
      <w:r>
        <w:rPr>
          <w:sz w:val="21"/>
          <w:szCs w:val="21"/>
        </w:rPr>
        <w:t>负偏离”，是指响应文件对磋商文件</w:t>
      </w:r>
      <w:r>
        <w:rPr>
          <w:sz w:val="21"/>
          <w:szCs w:val="21"/>
          <w:lang w:val="zh-CN" w:eastAsia="zh-CN" w:bidi="zh-CN"/>
        </w:rPr>
        <w:t>“采购</w:t>
      </w:r>
      <w:r>
        <w:rPr>
          <w:sz w:val="21"/>
          <w:szCs w:val="21"/>
        </w:rPr>
        <w:t>需求〃中有关条款作出的响应不满足条款要求，导 致采购人要求不能得到满足的情形。</w:t>
      </w:r>
    </w:p>
    <w:p w14:paraId="0DFC868B">
      <w:pPr>
        <w:pStyle w:val="37"/>
        <w:spacing w:line="420" w:lineRule="exact"/>
        <w:ind w:firstLine="420" w:firstLineChars="200"/>
        <w:jc w:val="both"/>
        <w:rPr>
          <w:sz w:val="21"/>
          <w:szCs w:val="21"/>
        </w:rPr>
      </w:pPr>
      <w:r>
        <w:rPr>
          <w:sz w:val="21"/>
          <w:szCs w:val="21"/>
          <w:lang w:val="en-US" w:eastAsia="zh-CN" w:bidi="en-US"/>
        </w:rPr>
        <w:t>2.</w:t>
      </w:r>
      <w:r>
        <w:rPr>
          <w:sz w:val="21"/>
          <w:szCs w:val="21"/>
        </w:rPr>
        <w:t xml:space="preserve">10 </w:t>
      </w:r>
      <w:r>
        <w:rPr>
          <w:sz w:val="21"/>
          <w:szCs w:val="21"/>
          <w:lang w:val="zh-CN" w:eastAsia="zh-CN" w:bidi="zh-CN"/>
        </w:rPr>
        <w:t>“允许</w:t>
      </w:r>
      <w:r>
        <w:rPr>
          <w:sz w:val="21"/>
          <w:szCs w:val="21"/>
        </w:rPr>
        <w:t>负偏离的条款</w:t>
      </w:r>
      <w:r>
        <w:rPr>
          <w:sz w:val="21"/>
          <w:szCs w:val="21"/>
          <w:lang w:val="zh-CN" w:eastAsia="zh-CN" w:bidi="zh-CN"/>
        </w:rPr>
        <w:t>”是指</w:t>
      </w:r>
      <w:r>
        <w:rPr>
          <w:sz w:val="21"/>
          <w:szCs w:val="21"/>
        </w:rPr>
        <w:t>采购需求中的不属于</w:t>
      </w:r>
      <w:r>
        <w:rPr>
          <w:sz w:val="21"/>
          <w:szCs w:val="21"/>
          <w:lang w:val="zh-CN" w:eastAsia="zh-CN" w:bidi="zh-CN"/>
        </w:rPr>
        <w:t>“实质</w:t>
      </w:r>
      <w:r>
        <w:rPr>
          <w:sz w:val="21"/>
          <w:szCs w:val="21"/>
        </w:rPr>
        <w:t>性要求〃的条款。</w:t>
      </w:r>
    </w:p>
    <w:p w14:paraId="3C673A40">
      <w:pPr>
        <w:pStyle w:val="37"/>
        <w:spacing w:line="420" w:lineRule="exact"/>
        <w:ind w:firstLine="420" w:firstLineChars="200"/>
        <w:jc w:val="both"/>
        <w:rPr>
          <w:sz w:val="21"/>
          <w:szCs w:val="21"/>
        </w:rPr>
      </w:pPr>
      <w:r>
        <w:rPr>
          <w:sz w:val="21"/>
          <w:szCs w:val="21"/>
          <w:lang w:val="en-US" w:eastAsia="zh-CN" w:bidi="en-US"/>
        </w:rPr>
        <w:t>2.11“</w:t>
      </w:r>
      <w:r>
        <w:rPr>
          <w:sz w:val="21"/>
          <w:szCs w:val="21"/>
        </w:rPr>
        <w:t>书面形式”是指合同书、信件和数据电文（包括电报、电传、传真、电子数据交换和电子邮件） 等可以有形地表现所载内容的形式。</w:t>
      </w:r>
    </w:p>
    <w:p w14:paraId="34C9BEC9">
      <w:pPr>
        <w:pStyle w:val="37"/>
        <w:spacing w:line="420" w:lineRule="exact"/>
        <w:ind w:firstLine="420" w:firstLineChars="200"/>
        <w:jc w:val="both"/>
        <w:rPr>
          <w:sz w:val="21"/>
          <w:szCs w:val="21"/>
        </w:rPr>
      </w:pPr>
      <w:r>
        <w:rPr>
          <w:sz w:val="21"/>
          <w:szCs w:val="21"/>
          <w:lang w:val="en-US" w:eastAsia="zh-CN" w:bidi="en-US"/>
        </w:rPr>
        <w:t>2.</w:t>
      </w:r>
      <w:r>
        <w:rPr>
          <w:sz w:val="21"/>
          <w:szCs w:val="21"/>
        </w:rPr>
        <w:t>12 “首次报价</w:t>
      </w:r>
      <w:r>
        <w:rPr>
          <w:sz w:val="21"/>
          <w:szCs w:val="21"/>
          <w:lang w:val="zh-CN" w:eastAsia="zh-CN" w:bidi="zh-CN"/>
        </w:rPr>
        <w:t>”是</w:t>
      </w:r>
      <w:r>
        <w:rPr>
          <w:sz w:val="21"/>
          <w:szCs w:val="21"/>
        </w:rPr>
        <w:t>指供应商提交的首次响应文件中的报价。</w:t>
      </w:r>
    </w:p>
    <w:p w14:paraId="43E548AC">
      <w:pPr>
        <w:pStyle w:val="37"/>
        <w:spacing w:line="420" w:lineRule="exact"/>
        <w:ind w:firstLine="420" w:firstLineChars="200"/>
        <w:jc w:val="both"/>
        <w:rPr>
          <w:sz w:val="21"/>
          <w:szCs w:val="21"/>
        </w:rPr>
      </w:pPr>
      <w:r>
        <w:rPr>
          <w:sz w:val="21"/>
          <w:szCs w:val="21"/>
          <w:lang w:val="en-US" w:eastAsia="zh-CN" w:bidi="en-US"/>
        </w:rPr>
        <w:t>2.13“</w:t>
      </w:r>
      <w:r>
        <w:rPr>
          <w:sz w:val="21"/>
          <w:szCs w:val="21"/>
        </w:rPr>
        <w:t>评审报价”是指供应商提交的最后报价并经修正（如有）和政策功能价格扣除（如有）后的价 格。</w:t>
      </w:r>
    </w:p>
    <w:p w14:paraId="23EC1882">
      <w:pPr>
        <w:pStyle w:val="37"/>
        <w:numPr>
          <w:ilvl w:val="0"/>
          <w:numId w:val="5"/>
        </w:numPr>
        <w:tabs>
          <w:tab w:val="left" w:pos="850"/>
        </w:tabs>
        <w:spacing w:line="420" w:lineRule="exact"/>
        <w:ind w:firstLine="422" w:firstLineChars="200"/>
        <w:jc w:val="both"/>
        <w:rPr>
          <w:b/>
          <w:bCs/>
          <w:sz w:val="21"/>
          <w:szCs w:val="21"/>
        </w:rPr>
      </w:pPr>
      <w:bookmarkStart w:id="38" w:name="bookmark57"/>
      <w:bookmarkEnd w:id="38"/>
      <w:r>
        <w:rPr>
          <w:b/>
          <w:bCs/>
          <w:sz w:val="21"/>
          <w:szCs w:val="21"/>
        </w:rPr>
        <w:t>供应商的资格条件</w:t>
      </w:r>
    </w:p>
    <w:p w14:paraId="4AD165E2">
      <w:pPr>
        <w:pStyle w:val="37"/>
        <w:spacing w:line="420" w:lineRule="exact"/>
        <w:ind w:firstLine="420" w:firstLineChars="200"/>
        <w:jc w:val="both"/>
        <w:rPr>
          <w:sz w:val="21"/>
          <w:szCs w:val="21"/>
        </w:rPr>
      </w:pPr>
      <w:r>
        <w:rPr>
          <w:sz w:val="21"/>
          <w:szCs w:val="21"/>
        </w:rPr>
        <w:t>供应商的资格条件详见“供应商须知前附表”。</w:t>
      </w:r>
    </w:p>
    <w:p w14:paraId="773982A7">
      <w:pPr>
        <w:pStyle w:val="37"/>
        <w:spacing w:line="420" w:lineRule="exact"/>
        <w:ind w:firstLine="422" w:firstLineChars="200"/>
        <w:jc w:val="both"/>
        <w:rPr>
          <w:b/>
          <w:bCs/>
          <w:sz w:val="21"/>
          <w:szCs w:val="21"/>
        </w:rPr>
      </w:pPr>
      <w:r>
        <w:rPr>
          <w:b/>
          <w:bCs/>
          <w:sz w:val="21"/>
          <w:szCs w:val="21"/>
        </w:rPr>
        <w:t>4•磋商费用</w:t>
      </w:r>
    </w:p>
    <w:p w14:paraId="1B687AF3">
      <w:pPr>
        <w:pStyle w:val="37"/>
        <w:spacing w:line="420" w:lineRule="exact"/>
        <w:ind w:firstLine="420" w:firstLineChars="200"/>
        <w:jc w:val="both"/>
        <w:rPr>
          <w:sz w:val="21"/>
          <w:szCs w:val="21"/>
        </w:rPr>
      </w:pPr>
      <w:r>
        <w:rPr>
          <w:sz w:val="21"/>
          <w:szCs w:val="21"/>
        </w:rPr>
        <w:t>供应商应承担参与本次采购活动有关的所有费用，包括但不限于、勘查现场、编制和提交响应文件、</w:t>
      </w:r>
    </w:p>
    <w:p w14:paraId="389EC638">
      <w:pPr>
        <w:pStyle w:val="37"/>
        <w:spacing w:line="418" w:lineRule="exact"/>
        <w:ind w:firstLine="420" w:firstLineChars="200"/>
        <w:rPr>
          <w:sz w:val="21"/>
          <w:szCs w:val="21"/>
        </w:rPr>
      </w:pPr>
      <w:r>
        <w:rPr>
          <w:sz w:val="21"/>
          <w:szCs w:val="21"/>
        </w:rPr>
        <w:t>参加磋商与应答、签订合同等，不论竞标结果如何，均应自行承担。</w:t>
      </w:r>
    </w:p>
    <w:p w14:paraId="356AD454">
      <w:pPr>
        <w:pStyle w:val="37"/>
        <w:spacing w:line="240" w:lineRule="auto"/>
        <w:ind w:firstLine="422" w:firstLineChars="200"/>
        <w:jc w:val="both"/>
        <w:rPr>
          <w:b/>
          <w:bCs/>
          <w:sz w:val="21"/>
          <w:szCs w:val="21"/>
          <w:lang w:val="en-US" w:eastAsia="zh-CN" w:bidi="en-US"/>
        </w:rPr>
      </w:pPr>
      <w:bookmarkStart w:id="39" w:name="bookmark58"/>
      <w:bookmarkEnd w:id="39"/>
      <w:r>
        <w:rPr>
          <w:rFonts w:hint="eastAsia"/>
          <w:b/>
          <w:bCs/>
          <w:sz w:val="21"/>
          <w:szCs w:val="21"/>
          <w:lang w:val="en-US" w:eastAsia="zh-CN" w:bidi="en-US"/>
        </w:rPr>
        <w:t>5.联合体竞标</w:t>
      </w:r>
    </w:p>
    <w:p w14:paraId="589390F9">
      <w:pPr>
        <w:pStyle w:val="37"/>
        <w:spacing w:line="240" w:lineRule="auto"/>
        <w:ind w:firstLine="420" w:firstLineChars="200"/>
        <w:jc w:val="both"/>
        <w:rPr>
          <w:sz w:val="21"/>
          <w:szCs w:val="21"/>
        </w:rPr>
      </w:pPr>
      <w:r>
        <w:rPr>
          <w:sz w:val="21"/>
          <w:szCs w:val="21"/>
          <w:lang w:val="en-US" w:eastAsia="zh-CN" w:bidi="en-US"/>
        </w:rPr>
        <w:t>5.1</w:t>
      </w:r>
      <w:r>
        <w:rPr>
          <w:sz w:val="21"/>
          <w:szCs w:val="21"/>
        </w:rPr>
        <w:t>本项目是否接受联合体竟标，详见“供应商须知前附表”。</w:t>
      </w:r>
    </w:p>
    <w:p w14:paraId="55E93C07">
      <w:pPr>
        <w:pStyle w:val="37"/>
        <w:numPr>
          <w:ilvl w:val="0"/>
          <w:numId w:val="8"/>
        </w:numPr>
        <w:tabs>
          <w:tab w:val="left" w:pos="720"/>
        </w:tabs>
        <w:spacing w:line="416" w:lineRule="exact"/>
        <w:ind w:firstLine="420" w:firstLineChars="200"/>
        <w:jc w:val="both"/>
        <w:rPr>
          <w:sz w:val="21"/>
          <w:szCs w:val="21"/>
        </w:rPr>
      </w:pPr>
      <w:bookmarkStart w:id="40" w:name="bookmark59"/>
      <w:bookmarkEnd w:id="40"/>
      <w:r>
        <w:rPr>
          <w:sz w:val="21"/>
          <w:szCs w:val="21"/>
        </w:rPr>
        <w:t>2如接受联合体竟标，联合体竞标要求详见</w:t>
      </w:r>
      <w:r>
        <w:rPr>
          <w:sz w:val="21"/>
          <w:szCs w:val="21"/>
          <w:lang w:val="zh-CN" w:eastAsia="zh-CN" w:bidi="zh-CN"/>
        </w:rPr>
        <w:t>“供</w:t>
      </w:r>
      <w:r>
        <w:rPr>
          <w:sz w:val="21"/>
          <w:szCs w:val="21"/>
        </w:rPr>
        <w:t>应商须知前附表”。</w:t>
      </w:r>
    </w:p>
    <w:p w14:paraId="4EF5BE82">
      <w:pPr>
        <w:pStyle w:val="37"/>
        <w:numPr>
          <w:ilvl w:val="0"/>
          <w:numId w:val="9"/>
        </w:numPr>
        <w:tabs>
          <w:tab w:val="left" w:pos="820"/>
        </w:tabs>
        <w:spacing w:line="416" w:lineRule="exact"/>
        <w:ind w:firstLine="420" w:firstLineChars="200"/>
        <w:jc w:val="both"/>
        <w:rPr>
          <w:sz w:val="21"/>
          <w:szCs w:val="21"/>
        </w:rPr>
      </w:pPr>
      <w:bookmarkStart w:id="41" w:name="bookmark60"/>
      <w:bookmarkEnd w:id="41"/>
      <w:r>
        <w:rPr>
          <w:sz w:val="21"/>
          <w:szCs w:val="21"/>
        </w:rPr>
        <w:t>3根据《政府采购促进中小企业发展暂行办法》（财库</w:t>
      </w:r>
      <w:r>
        <w:rPr>
          <w:sz w:val="21"/>
          <w:szCs w:val="21"/>
          <w:lang w:val="en-US" w:eastAsia="zh-CN" w:bidi="en-US"/>
        </w:rPr>
        <w:t xml:space="preserve">[2020] </w:t>
      </w:r>
      <w:r>
        <w:rPr>
          <w:sz w:val="21"/>
          <w:szCs w:val="21"/>
        </w:rPr>
        <w:t>46号）第九条规定，接受大中型企业 与小微企业组成联合体的采购项目，对于联合协议约定小微企业的合同份额占到合同总金额</w:t>
      </w:r>
      <w:r>
        <w:rPr>
          <w:rFonts w:hint="eastAsia"/>
          <w:sz w:val="21"/>
          <w:szCs w:val="21"/>
          <w:lang w:val="en-US" w:eastAsia="zh-CN"/>
        </w:rPr>
        <w:t>4</w:t>
      </w:r>
      <w:r>
        <w:rPr>
          <w:sz w:val="21"/>
          <w:szCs w:val="21"/>
        </w:rPr>
        <w:t>0%以上的， 采购人、采购代理机构应当对联合体的报价给</w:t>
      </w:r>
      <w:r>
        <w:rPr>
          <w:color w:val="auto"/>
          <w:sz w:val="21"/>
          <w:szCs w:val="21"/>
        </w:rPr>
        <w:t>予</w:t>
      </w:r>
      <w:r>
        <w:rPr>
          <w:rFonts w:hint="eastAsia"/>
          <w:color w:val="auto"/>
          <w:sz w:val="21"/>
          <w:szCs w:val="21"/>
          <w:lang w:val="en-US" w:eastAsia="zh-CN"/>
        </w:rPr>
        <w:t>6</w:t>
      </w:r>
      <w:r>
        <w:rPr>
          <w:color w:val="auto"/>
          <w:sz w:val="21"/>
          <w:szCs w:val="21"/>
        </w:rPr>
        <w:t>% （工程</w:t>
      </w:r>
      <w:r>
        <w:rPr>
          <w:sz w:val="21"/>
          <w:szCs w:val="21"/>
        </w:rPr>
        <w:t>项目为</w:t>
      </w:r>
      <w:r>
        <w:rPr>
          <w:rFonts w:hint="eastAsia"/>
          <w:sz w:val="21"/>
          <w:szCs w:val="21"/>
          <w:lang w:val="en-US" w:eastAsia="zh-CN"/>
        </w:rPr>
        <w:t>1%-2%</w:t>
      </w:r>
      <w:r>
        <w:rPr>
          <w:sz w:val="21"/>
          <w:szCs w:val="21"/>
        </w:rPr>
        <w:t>的扣除，用扣除后的价格参加评审。组成联合体的小微企业与联合体内其他企业、分包企业之间存在直接控股、管理关系的，不享 受价格扣除优惠政策。</w:t>
      </w:r>
    </w:p>
    <w:p w14:paraId="6934FDFE">
      <w:pPr>
        <w:pStyle w:val="37"/>
        <w:spacing w:line="240" w:lineRule="auto"/>
        <w:ind w:firstLine="422" w:firstLineChars="200"/>
        <w:jc w:val="both"/>
        <w:rPr>
          <w:b/>
          <w:bCs/>
          <w:sz w:val="21"/>
          <w:szCs w:val="21"/>
          <w:lang w:val="en-US" w:eastAsia="zh-CN" w:bidi="en-US"/>
        </w:rPr>
      </w:pPr>
      <w:bookmarkStart w:id="42" w:name="bookmark61"/>
      <w:bookmarkEnd w:id="42"/>
      <w:r>
        <w:rPr>
          <w:rFonts w:hint="eastAsia"/>
          <w:b/>
          <w:bCs/>
          <w:sz w:val="21"/>
          <w:szCs w:val="21"/>
          <w:lang w:val="en-US" w:eastAsia="zh-CN" w:bidi="en-US"/>
        </w:rPr>
        <w:t>6.转包与分包</w:t>
      </w:r>
    </w:p>
    <w:p w14:paraId="1368C33E">
      <w:pPr>
        <w:pStyle w:val="37"/>
        <w:spacing w:line="240" w:lineRule="auto"/>
        <w:ind w:firstLine="420" w:firstLineChars="200"/>
        <w:jc w:val="both"/>
        <w:rPr>
          <w:sz w:val="21"/>
          <w:szCs w:val="21"/>
        </w:rPr>
      </w:pPr>
      <w:r>
        <w:rPr>
          <w:sz w:val="21"/>
          <w:szCs w:val="21"/>
          <w:lang w:val="en-US" w:eastAsia="zh-CN" w:bidi="en-US"/>
        </w:rPr>
        <w:t>6.1</w:t>
      </w:r>
      <w:r>
        <w:rPr>
          <w:sz w:val="21"/>
          <w:szCs w:val="21"/>
        </w:rPr>
        <w:t>本项目是否允许分包详见“供应商须知前附表”，本项目不允许违法分包。</w:t>
      </w:r>
    </w:p>
    <w:p w14:paraId="349BAC2B">
      <w:pPr>
        <w:pStyle w:val="37"/>
        <w:numPr>
          <w:ilvl w:val="0"/>
          <w:numId w:val="8"/>
        </w:numPr>
        <w:tabs>
          <w:tab w:val="left" w:pos="820"/>
        </w:tabs>
        <w:spacing w:line="424" w:lineRule="exact"/>
        <w:ind w:firstLine="420" w:firstLineChars="200"/>
        <w:jc w:val="both"/>
        <w:rPr>
          <w:sz w:val="21"/>
          <w:szCs w:val="21"/>
        </w:rPr>
      </w:pPr>
      <w:bookmarkStart w:id="43" w:name="bookmark62"/>
      <w:bookmarkEnd w:id="43"/>
      <w:r>
        <w:rPr>
          <w:sz w:val="21"/>
          <w:szCs w:val="21"/>
        </w:rPr>
        <w:t>2根据《政府采购促进中小企业发展暂行办法》（财库</w:t>
      </w:r>
      <w:r>
        <w:rPr>
          <w:sz w:val="21"/>
          <w:szCs w:val="21"/>
          <w:lang w:val="en-US" w:eastAsia="zh-CN" w:bidi="en-US"/>
        </w:rPr>
        <w:t xml:space="preserve">[2020] </w:t>
      </w:r>
      <w:r>
        <w:rPr>
          <w:sz w:val="21"/>
          <w:szCs w:val="21"/>
        </w:rPr>
        <w:t xml:space="preserve">46号）第九条规定，允许大中型企业 向一家或者多家小微企业分包的采购项目，对于分包意向协议约定小微企业的合同份额占到合同总金额 </w:t>
      </w:r>
      <w:r>
        <w:rPr>
          <w:rFonts w:hint="eastAsia"/>
          <w:sz w:val="21"/>
          <w:szCs w:val="21"/>
          <w:lang w:val="en-US" w:eastAsia="zh-CN"/>
        </w:rPr>
        <w:t>4</w:t>
      </w:r>
      <w:r>
        <w:rPr>
          <w:sz w:val="21"/>
          <w:szCs w:val="21"/>
        </w:rPr>
        <w:t>0%以上的，采购人、采购代理机构应当对大中型企业的报</w:t>
      </w:r>
      <w:r>
        <w:rPr>
          <w:color w:val="auto"/>
          <w:sz w:val="21"/>
          <w:szCs w:val="21"/>
        </w:rPr>
        <w:t>价给予</w:t>
      </w:r>
      <w:r>
        <w:rPr>
          <w:rFonts w:hint="eastAsia"/>
          <w:color w:val="auto"/>
          <w:sz w:val="21"/>
          <w:szCs w:val="21"/>
          <w:lang w:val="en-US" w:eastAsia="zh-CN"/>
        </w:rPr>
        <w:t>6</w:t>
      </w:r>
      <w:r>
        <w:rPr>
          <w:color w:val="auto"/>
          <w:sz w:val="21"/>
          <w:szCs w:val="21"/>
        </w:rPr>
        <w:t>%的</w:t>
      </w:r>
      <w:r>
        <w:rPr>
          <w:sz w:val="21"/>
          <w:szCs w:val="21"/>
        </w:rPr>
        <w:t>扣除，用扣除后的价格参加评宙。接受分包的小微企业与分包企业之间存在直接控股、管理关系的，不享受价格扣除优惠政策。</w:t>
      </w:r>
    </w:p>
    <w:p w14:paraId="36AF2EAE">
      <w:pPr>
        <w:pStyle w:val="37"/>
        <w:numPr>
          <w:ilvl w:val="0"/>
          <w:numId w:val="8"/>
        </w:numPr>
        <w:tabs>
          <w:tab w:val="left" w:pos="750"/>
        </w:tabs>
        <w:spacing w:line="424" w:lineRule="exact"/>
        <w:ind w:firstLine="420" w:firstLineChars="200"/>
        <w:jc w:val="both"/>
        <w:rPr>
          <w:sz w:val="21"/>
          <w:szCs w:val="21"/>
        </w:rPr>
      </w:pPr>
      <w:bookmarkStart w:id="44" w:name="bookmark63"/>
      <w:bookmarkEnd w:id="44"/>
      <w:r>
        <w:rPr>
          <w:sz w:val="21"/>
          <w:szCs w:val="21"/>
        </w:rPr>
        <w:t>特别说明</w:t>
      </w:r>
    </w:p>
    <w:p w14:paraId="2AF2B734">
      <w:pPr>
        <w:pStyle w:val="37"/>
        <w:spacing w:line="424" w:lineRule="exact"/>
        <w:ind w:firstLine="420" w:firstLineChars="200"/>
        <w:jc w:val="both"/>
        <w:rPr>
          <w:sz w:val="21"/>
          <w:szCs w:val="21"/>
        </w:rPr>
      </w:pPr>
      <w:r>
        <w:rPr>
          <w:sz w:val="21"/>
          <w:szCs w:val="21"/>
          <w:lang w:val="en-US" w:eastAsia="zh-CN" w:bidi="en-US"/>
        </w:rPr>
        <w:t>7.1</w:t>
      </w:r>
      <w:r>
        <w:rPr>
          <w:sz w:val="21"/>
          <w:szCs w:val="21"/>
        </w:rPr>
        <w:t>如果本磋商文件要求提供供应商或制造商的资格、信誉、荣誉、业绩与企业认证等材料的，资格、 信誉、荣誉、业绩与企业认证等必须为供应商或者制造商所拥有或自身获得。</w:t>
      </w:r>
    </w:p>
    <w:p w14:paraId="12DED5E6">
      <w:pPr>
        <w:pStyle w:val="37"/>
        <w:tabs>
          <w:tab w:val="left" w:pos="820"/>
        </w:tabs>
        <w:spacing w:line="420" w:lineRule="exact"/>
        <w:ind w:left="480" w:firstLine="420" w:firstLineChars="200"/>
        <w:jc w:val="both"/>
        <w:rPr>
          <w:sz w:val="21"/>
          <w:szCs w:val="21"/>
        </w:rPr>
      </w:pPr>
      <w:bookmarkStart w:id="45" w:name="bookmark64"/>
      <w:bookmarkEnd w:id="45"/>
      <w:r>
        <w:rPr>
          <w:rFonts w:hint="eastAsia"/>
          <w:sz w:val="21"/>
          <w:szCs w:val="21"/>
          <w:lang w:val="en-US" w:eastAsia="zh-CN"/>
        </w:rPr>
        <w:t>7.</w:t>
      </w:r>
      <w:r>
        <w:rPr>
          <w:sz w:val="21"/>
          <w:szCs w:val="21"/>
        </w:rPr>
        <w:t>2供应商应仔细阅读磋商文件的所有内容，按照磋商文件的要求提交响应文件，并对所提供的全部资料的真实性承担法律责任。</w:t>
      </w:r>
    </w:p>
    <w:p w14:paraId="521A3D7D">
      <w:pPr>
        <w:pStyle w:val="37"/>
        <w:spacing w:after="140" w:line="420" w:lineRule="exact"/>
        <w:ind w:firstLine="420" w:firstLineChars="200"/>
        <w:jc w:val="both"/>
        <w:rPr>
          <w:sz w:val="21"/>
          <w:szCs w:val="21"/>
        </w:rPr>
      </w:pPr>
      <w:r>
        <w:rPr>
          <w:sz w:val="21"/>
          <w:szCs w:val="21"/>
          <w:lang w:val="en-US" w:eastAsia="zh-CN" w:bidi="en-US"/>
        </w:rPr>
        <w:t xml:space="preserve">7. </w:t>
      </w:r>
      <w:r>
        <w:rPr>
          <w:sz w:val="21"/>
          <w:szCs w:val="21"/>
        </w:rPr>
        <w:t>3供应商在竞标活动中提供任何疑似虚假材料，将报监管部门查处；签订合同后发现的，成交供应 商须依照《中华人民共和国消费者权益保护法》规定赔偿采购人，且民事赔偿并不免除违法供应商的行政 与刑事责任。</w:t>
      </w:r>
    </w:p>
    <w:p w14:paraId="579BB7EA">
      <w:pPr>
        <w:pStyle w:val="37"/>
        <w:spacing w:after="200" w:line="240" w:lineRule="auto"/>
        <w:ind w:firstLine="420" w:firstLineChars="200"/>
        <w:jc w:val="both"/>
        <w:rPr>
          <w:sz w:val="21"/>
          <w:szCs w:val="21"/>
        </w:rPr>
      </w:pPr>
      <w:r>
        <w:rPr>
          <w:sz w:val="21"/>
          <w:szCs w:val="21"/>
          <w:lang w:val="en-US" w:eastAsia="zh-CN" w:bidi="en-US"/>
        </w:rPr>
        <w:t xml:space="preserve">7. </w:t>
      </w:r>
      <w:r>
        <w:rPr>
          <w:sz w:val="21"/>
          <w:szCs w:val="21"/>
        </w:rPr>
        <w:t>4在政府采购活动中，采购人员及相关人员与供应商有下列利害关系之一的，应当回避：</w:t>
      </w:r>
    </w:p>
    <w:p w14:paraId="5CEEE087">
      <w:pPr>
        <w:pStyle w:val="37"/>
        <w:tabs>
          <w:tab w:val="left" w:pos="915"/>
        </w:tabs>
        <w:spacing w:after="140" w:line="240" w:lineRule="auto"/>
        <w:ind w:firstLine="420" w:firstLineChars="200"/>
        <w:jc w:val="both"/>
        <w:rPr>
          <w:sz w:val="21"/>
          <w:szCs w:val="21"/>
        </w:rPr>
      </w:pPr>
      <w:bookmarkStart w:id="46" w:name="bookmark65"/>
      <w:r>
        <w:rPr>
          <w:sz w:val="21"/>
          <w:szCs w:val="21"/>
        </w:rPr>
        <w:t>（</w:t>
      </w:r>
      <w:bookmarkEnd w:id="46"/>
      <w:r>
        <w:rPr>
          <w:sz w:val="21"/>
          <w:szCs w:val="21"/>
        </w:rPr>
        <w:t>1）</w:t>
      </w:r>
      <w:r>
        <w:rPr>
          <w:sz w:val="21"/>
          <w:szCs w:val="21"/>
        </w:rPr>
        <w:tab/>
      </w:r>
      <w:r>
        <w:rPr>
          <w:sz w:val="21"/>
          <w:szCs w:val="21"/>
        </w:rPr>
        <w:t>参加采购活动前3年内与供应商存在劳动关系；</w:t>
      </w:r>
    </w:p>
    <w:p w14:paraId="4C3A1589">
      <w:pPr>
        <w:pStyle w:val="37"/>
        <w:tabs>
          <w:tab w:val="left" w:pos="915"/>
        </w:tabs>
        <w:spacing w:line="240" w:lineRule="auto"/>
        <w:ind w:firstLine="420" w:firstLineChars="200"/>
        <w:jc w:val="both"/>
        <w:rPr>
          <w:sz w:val="21"/>
          <w:szCs w:val="21"/>
        </w:rPr>
      </w:pPr>
      <w:bookmarkStart w:id="47" w:name="bookmark66"/>
      <w:r>
        <w:rPr>
          <w:sz w:val="21"/>
          <w:szCs w:val="21"/>
        </w:rPr>
        <w:t>（</w:t>
      </w:r>
      <w:bookmarkEnd w:id="47"/>
      <w:r>
        <w:rPr>
          <w:sz w:val="21"/>
          <w:szCs w:val="21"/>
        </w:rPr>
        <w:t>2）</w:t>
      </w:r>
      <w:r>
        <w:rPr>
          <w:sz w:val="21"/>
          <w:szCs w:val="21"/>
        </w:rPr>
        <w:tab/>
      </w:r>
      <w:r>
        <w:rPr>
          <w:sz w:val="21"/>
          <w:szCs w:val="21"/>
        </w:rPr>
        <w:t>参加采购活动前3年内担任供应商的董事、监事；</w:t>
      </w:r>
    </w:p>
    <w:p w14:paraId="56CF7A79">
      <w:pPr>
        <w:pStyle w:val="37"/>
        <w:tabs>
          <w:tab w:val="left" w:pos="915"/>
        </w:tabs>
        <w:spacing w:line="412" w:lineRule="exact"/>
        <w:ind w:firstLine="420" w:firstLineChars="200"/>
        <w:jc w:val="both"/>
        <w:rPr>
          <w:sz w:val="21"/>
          <w:szCs w:val="21"/>
        </w:rPr>
      </w:pPr>
      <w:bookmarkStart w:id="48" w:name="bookmark67"/>
      <w:r>
        <w:rPr>
          <w:sz w:val="21"/>
          <w:szCs w:val="21"/>
        </w:rPr>
        <w:t>（</w:t>
      </w:r>
      <w:bookmarkEnd w:id="48"/>
      <w:r>
        <w:rPr>
          <w:sz w:val="21"/>
          <w:szCs w:val="21"/>
        </w:rPr>
        <w:t>3）</w:t>
      </w:r>
      <w:r>
        <w:rPr>
          <w:sz w:val="21"/>
          <w:szCs w:val="21"/>
        </w:rPr>
        <w:tab/>
      </w:r>
      <w:r>
        <w:rPr>
          <w:sz w:val="21"/>
          <w:szCs w:val="21"/>
        </w:rPr>
        <w:t>参加采购活动前3年内是供应商的控股股东或者实际控制人；</w:t>
      </w:r>
    </w:p>
    <w:p w14:paraId="34FE3D09">
      <w:pPr>
        <w:pStyle w:val="37"/>
        <w:tabs>
          <w:tab w:val="left" w:pos="915"/>
        </w:tabs>
        <w:spacing w:line="412" w:lineRule="exact"/>
        <w:ind w:firstLine="420" w:firstLineChars="200"/>
        <w:jc w:val="both"/>
        <w:rPr>
          <w:sz w:val="21"/>
          <w:szCs w:val="21"/>
        </w:rPr>
      </w:pPr>
      <w:bookmarkStart w:id="49" w:name="bookmark68"/>
      <w:r>
        <w:rPr>
          <w:sz w:val="21"/>
          <w:szCs w:val="21"/>
        </w:rPr>
        <w:t>（</w:t>
      </w:r>
      <w:bookmarkEnd w:id="49"/>
      <w:r>
        <w:rPr>
          <w:sz w:val="21"/>
          <w:szCs w:val="21"/>
        </w:rPr>
        <w:t>4）</w:t>
      </w:r>
      <w:r>
        <w:rPr>
          <w:sz w:val="21"/>
          <w:szCs w:val="21"/>
        </w:rPr>
        <w:tab/>
      </w:r>
      <w:r>
        <w:rPr>
          <w:sz w:val="21"/>
          <w:szCs w:val="21"/>
        </w:rPr>
        <w:t>与供应商的法定代表人或者负责人有夫妻、直系血亲、三代以内旁系血亲或者近姻亲关系；</w:t>
      </w:r>
    </w:p>
    <w:p w14:paraId="358C93A6">
      <w:pPr>
        <w:pStyle w:val="37"/>
        <w:tabs>
          <w:tab w:val="left" w:pos="915"/>
        </w:tabs>
        <w:spacing w:line="412" w:lineRule="exact"/>
        <w:ind w:firstLine="420" w:firstLineChars="200"/>
        <w:jc w:val="both"/>
        <w:rPr>
          <w:sz w:val="21"/>
          <w:szCs w:val="21"/>
        </w:rPr>
      </w:pPr>
      <w:bookmarkStart w:id="50" w:name="bookmark69"/>
      <w:r>
        <w:rPr>
          <w:sz w:val="21"/>
          <w:szCs w:val="21"/>
        </w:rPr>
        <w:t>（</w:t>
      </w:r>
      <w:bookmarkEnd w:id="50"/>
      <w:r>
        <w:rPr>
          <w:sz w:val="21"/>
          <w:szCs w:val="21"/>
        </w:rPr>
        <w:t>5）</w:t>
      </w:r>
      <w:r>
        <w:rPr>
          <w:sz w:val="21"/>
          <w:szCs w:val="21"/>
        </w:rPr>
        <w:tab/>
      </w:r>
      <w:r>
        <w:rPr>
          <w:sz w:val="21"/>
          <w:szCs w:val="21"/>
        </w:rPr>
        <w:t>与供应商有其他可能影响政府采购活动公平、公正进行的关系。</w:t>
      </w:r>
    </w:p>
    <w:p w14:paraId="61B31ACD">
      <w:pPr>
        <w:pStyle w:val="37"/>
        <w:spacing w:line="412" w:lineRule="exact"/>
        <w:ind w:firstLine="420" w:firstLineChars="200"/>
        <w:jc w:val="both"/>
        <w:rPr>
          <w:sz w:val="21"/>
          <w:szCs w:val="21"/>
        </w:rPr>
      </w:pPr>
      <w:r>
        <w:rPr>
          <w:sz w:val="21"/>
          <w:szCs w:val="21"/>
        </w:rPr>
        <w:t>供应商认为采购人员及相关人员与其他供应商有利害关系的，可以向采购人或者采购代理机构书面提 出回避申请，并说明理由。采购人或者采购代理机构应当及时询问被申请回避人员，有利害关系的被申请 回避人员应当回避。</w:t>
      </w:r>
    </w:p>
    <w:p w14:paraId="00EDA2F0">
      <w:pPr>
        <w:pStyle w:val="37"/>
        <w:spacing w:line="418" w:lineRule="exact"/>
        <w:ind w:firstLine="420" w:firstLineChars="200"/>
        <w:jc w:val="both"/>
        <w:rPr>
          <w:sz w:val="21"/>
          <w:szCs w:val="21"/>
        </w:rPr>
      </w:pPr>
      <w:r>
        <w:rPr>
          <w:sz w:val="21"/>
          <w:szCs w:val="21"/>
          <w:lang w:val="en-US" w:eastAsia="zh-CN" w:bidi="en-US"/>
        </w:rPr>
        <w:t>7.5</w:t>
      </w:r>
      <w:r>
        <w:rPr>
          <w:sz w:val="21"/>
          <w:szCs w:val="21"/>
        </w:rPr>
        <w:t>有下列情形之一的视为供应商相互串通竟标，响应文件将被视为无效：</w:t>
      </w:r>
    </w:p>
    <w:p w14:paraId="0534BE72">
      <w:pPr>
        <w:pStyle w:val="37"/>
        <w:tabs>
          <w:tab w:val="left" w:pos="915"/>
        </w:tabs>
        <w:spacing w:line="418" w:lineRule="exact"/>
        <w:ind w:firstLine="420" w:firstLineChars="200"/>
        <w:jc w:val="both"/>
        <w:rPr>
          <w:sz w:val="21"/>
          <w:szCs w:val="21"/>
        </w:rPr>
      </w:pPr>
      <w:bookmarkStart w:id="51" w:name="bookmark70"/>
      <w:r>
        <w:rPr>
          <w:sz w:val="21"/>
          <w:szCs w:val="21"/>
        </w:rPr>
        <w:t>（</w:t>
      </w:r>
      <w:bookmarkEnd w:id="51"/>
      <w:r>
        <w:rPr>
          <w:sz w:val="21"/>
          <w:szCs w:val="21"/>
        </w:rPr>
        <w:t>1）</w:t>
      </w:r>
      <w:r>
        <w:rPr>
          <w:sz w:val="21"/>
          <w:szCs w:val="21"/>
        </w:rPr>
        <w:tab/>
      </w:r>
      <w:r>
        <w:rPr>
          <w:sz w:val="21"/>
          <w:szCs w:val="21"/>
        </w:rPr>
        <w:t>不同供应商的响应文件由同一单位或者个人编制；</w:t>
      </w:r>
    </w:p>
    <w:p w14:paraId="40F16AC9">
      <w:pPr>
        <w:pStyle w:val="37"/>
        <w:tabs>
          <w:tab w:val="left" w:pos="915"/>
        </w:tabs>
        <w:spacing w:after="160" w:line="418" w:lineRule="exact"/>
        <w:ind w:firstLine="420" w:firstLineChars="200"/>
        <w:jc w:val="both"/>
        <w:rPr>
          <w:sz w:val="21"/>
          <w:szCs w:val="21"/>
        </w:rPr>
      </w:pPr>
      <w:bookmarkStart w:id="52" w:name="bookmark71"/>
      <w:r>
        <w:rPr>
          <w:sz w:val="21"/>
          <w:szCs w:val="21"/>
        </w:rPr>
        <w:t>（</w:t>
      </w:r>
      <w:bookmarkEnd w:id="52"/>
      <w:r>
        <w:rPr>
          <w:sz w:val="21"/>
          <w:szCs w:val="21"/>
        </w:rPr>
        <w:t>2）</w:t>
      </w:r>
      <w:r>
        <w:rPr>
          <w:sz w:val="21"/>
          <w:szCs w:val="21"/>
        </w:rPr>
        <w:tab/>
      </w:r>
      <w:r>
        <w:rPr>
          <w:sz w:val="21"/>
          <w:szCs w:val="21"/>
        </w:rPr>
        <w:t>不同供应商委托同一单位或者个人办理竞标事宜；</w:t>
      </w:r>
      <w:bookmarkStart w:id="53" w:name="bookmark72"/>
    </w:p>
    <w:p w14:paraId="7EB1B58F">
      <w:pPr>
        <w:pStyle w:val="37"/>
        <w:tabs>
          <w:tab w:val="left" w:pos="915"/>
        </w:tabs>
        <w:spacing w:after="160" w:line="418" w:lineRule="exact"/>
        <w:ind w:firstLine="420" w:firstLineChars="200"/>
        <w:jc w:val="both"/>
        <w:rPr>
          <w:sz w:val="21"/>
          <w:szCs w:val="21"/>
        </w:rPr>
      </w:pPr>
      <w:r>
        <w:rPr>
          <w:sz w:val="21"/>
          <w:szCs w:val="21"/>
          <w:lang w:val="zh-CN" w:eastAsia="zh-CN" w:bidi="zh-CN"/>
        </w:rPr>
        <w:t>（</w:t>
      </w:r>
      <w:bookmarkEnd w:id="53"/>
      <w:r>
        <w:rPr>
          <w:sz w:val="21"/>
          <w:szCs w:val="21"/>
          <w:lang w:val="zh-CN" w:eastAsia="zh-CN" w:bidi="zh-CN"/>
        </w:rPr>
        <w:t>3）</w:t>
      </w:r>
      <w:r>
        <w:rPr>
          <w:sz w:val="21"/>
          <w:szCs w:val="21"/>
          <w:lang w:val="zh-CN" w:eastAsia="zh-CN" w:bidi="zh-CN"/>
        </w:rPr>
        <w:tab/>
      </w:r>
      <w:r>
        <w:rPr>
          <w:sz w:val="21"/>
          <w:szCs w:val="21"/>
        </w:rPr>
        <w:t>不同的供应商的响应文件载明的项目管理员为同一个人；</w:t>
      </w:r>
    </w:p>
    <w:p w14:paraId="0BE2E302">
      <w:pPr>
        <w:pStyle w:val="37"/>
        <w:tabs>
          <w:tab w:val="left" w:pos="1015"/>
        </w:tabs>
        <w:spacing w:line="410" w:lineRule="exact"/>
        <w:ind w:firstLine="420" w:firstLineChars="200"/>
        <w:rPr>
          <w:sz w:val="21"/>
          <w:szCs w:val="21"/>
        </w:rPr>
      </w:pPr>
      <w:bookmarkStart w:id="54" w:name="bookmark73"/>
      <w:r>
        <w:rPr>
          <w:sz w:val="21"/>
          <w:szCs w:val="21"/>
        </w:rPr>
        <w:t>（</w:t>
      </w:r>
      <w:bookmarkEnd w:id="54"/>
      <w:r>
        <w:rPr>
          <w:sz w:val="21"/>
          <w:szCs w:val="21"/>
        </w:rPr>
        <w:t>4）不同供应商的响应文件异常一致或者报价呈规律性差异；</w:t>
      </w:r>
    </w:p>
    <w:p w14:paraId="63AC4AFD">
      <w:pPr>
        <w:pStyle w:val="37"/>
        <w:spacing w:line="410" w:lineRule="exact"/>
        <w:ind w:firstLine="420" w:firstLineChars="200"/>
        <w:rPr>
          <w:sz w:val="21"/>
          <w:szCs w:val="21"/>
        </w:rPr>
      </w:pPr>
      <w:r>
        <w:rPr>
          <w:sz w:val="21"/>
          <w:szCs w:val="21"/>
        </w:rPr>
        <w:t>（5 ）不同供应商的响应文件相互混装；</w:t>
      </w:r>
    </w:p>
    <w:p w14:paraId="16A1565D">
      <w:pPr>
        <w:pStyle w:val="37"/>
        <w:spacing w:line="410" w:lineRule="exact"/>
        <w:ind w:firstLine="420" w:firstLineChars="200"/>
        <w:rPr>
          <w:sz w:val="21"/>
          <w:szCs w:val="21"/>
        </w:rPr>
      </w:pPr>
      <w:r>
        <w:rPr>
          <w:sz w:val="21"/>
          <w:szCs w:val="21"/>
        </w:rPr>
        <w:t>（6 ）不同供应商的磋商保证金从同一单位或者个人账户转出。</w:t>
      </w:r>
    </w:p>
    <w:p w14:paraId="63BF1E41">
      <w:pPr>
        <w:pStyle w:val="37"/>
        <w:spacing w:line="410" w:lineRule="exact"/>
        <w:ind w:firstLine="420" w:firstLineChars="200"/>
        <w:rPr>
          <w:sz w:val="21"/>
          <w:szCs w:val="21"/>
        </w:rPr>
      </w:pPr>
      <w:r>
        <w:rPr>
          <w:sz w:val="21"/>
          <w:szCs w:val="21"/>
          <w:lang w:val="en-US" w:eastAsia="zh-CN" w:bidi="en-US"/>
        </w:rPr>
        <w:t>7.6</w:t>
      </w:r>
      <w:r>
        <w:rPr>
          <w:sz w:val="21"/>
          <w:szCs w:val="21"/>
        </w:rPr>
        <w:t>供应商有下列情形之一的，属于恶意串通行为，将报同级监督管理部门：</w:t>
      </w:r>
    </w:p>
    <w:p w14:paraId="6247BD08">
      <w:pPr>
        <w:pStyle w:val="37"/>
        <w:tabs>
          <w:tab w:val="left" w:pos="1010"/>
        </w:tabs>
        <w:spacing w:line="410" w:lineRule="exact"/>
        <w:ind w:firstLine="420" w:firstLineChars="200"/>
        <w:jc w:val="both"/>
        <w:rPr>
          <w:sz w:val="21"/>
          <w:szCs w:val="21"/>
        </w:rPr>
      </w:pPr>
      <w:bookmarkStart w:id="55" w:name="bookmark74"/>
      <w:r>
        <w:rPr>
          <w:sz w:val="21"/>
          <w:szCs w:val="21"/>
        </w:rPr>
        <w:t>（</w:t>
      </w:r>
      <w:bookmarkEnd w:id="55"/>
      <w:r>
        <w:rPr>
          <w:sz w:val="21"/>
          <w:szCs w:val="21"/>
        </w:rPr>
        <w:t>1）供应商直接或者间接从采购人或者采购代理机构处获得其他供应商的相关信息并修改其响应文 件；</w:t>
      </w:r>
    </w:p>
    <w:p w14:paraId="62808670">
      <w:pPr>
        <w:pStyle w:val="37"/>
        <w:tabs>
          <w:tab w:val="left" w:pos="1015"/>
        </w:tabs>
        <w:spacing w:line="410" w:lineRule="exact"/>
        <w:ind w:firstLine="420" w:firstLineChars="200"/>
        <w:rPr>
          <w:sz w:val="21"/>
          <w:szCs w:val="21"/>
        </w:rPr>
      </w:pPr>
      <w:bookmarkStart w:id="56" w:name="bookmark75"/>
      <w:r>
        <w:rPr>
          <w:sz w:val="21"/>
          <w:szCs w:val="21"/>
        </w:rPr>
        <w:t>（</w:t>
      </w:r>
      <w:bookmarkEnd w:id="56"/>
      <w:r>
        <w:rPr>
          <w:sz w:val="21"/>
          <w:szCs w:val="21"/>
        </w:rPr>
        <w:t>2）供应商按照采购人或者采购代理机构的授意撤换、修改响应文件；</w:t>
      </w:r>
    </w:p>
    <w:p w14:paraId="70D08DAA">
      <w:pPr>
        <w:pStyle w:val="37"/>
        <w:tabs>
          <w:tab w:val="left" w:pos="1015"/>
        </w:tabs>
        <w:spacing w:line="410" w:lineRule="exact"/>
        <w:ind w:firstLine="420" w:firstLineChars="200"/>
        <w:rPr>
          <w:sz w:val="21"/>
          <w:szCs w:val="21"/>
        </w:rPr>
      </w:pPr>
      <w:bookmarkStart w:id="57" w:name="bookmark76"/>
      <w:r>
        <w:rPr>
          <w:sz w:val="21"/>
          <w:szCs w:val="21"/>
        </w:rPr>
        <w:t>（</w:t>
      </w:r>
      <w:bookmarkEnd w:id="57"/>
      <w:r>
        <w:rPr>
          <w:sz w:val="21"/>
          <w:szCs w:val="21"/>
        </w:rPr>
        <w:t>3）供应商之间协商报价、技术方案等响应文件或者响应文件的实质性内容；</w:t>
      </w:r>
    </w:p>
    <w:p w14:paraId="7971C30C">
      <w:pPr>
        <w:pStyle w:val="37"/>
        <w:tabs>
          <w:tab w:val="left" w:pos="1015"/>
        </w:tabs>
        <w:spacing w:line="410" w:lineRule="exact"/>
        <w:ind w:firstLine="420" w:firstLineChars="200"/>
        <w:rPr>
          <w:sz w:val="21"/>
          <w:szCs w:val="21"/>
        </w:rPr>
      </w:pPr>
      <w:bookmarkStart w:id="58" w:name="bookmark77"/>
      <w:r>
        <w:rPr>
          <w:sz w:val="21"/>
          <w:szCs w:val="21"/>
        </w:rPr>
        <w:t>（</w:t>
      </w:r>
      <w:bookmarkEnd w:id="58"/>
      <w:r>
        <w:rPr>
          <w:sz w:val="21"/>
          <w:szCs w:val="21"/>
        </w:rPr>
        <w:t>4）属于同一集团、协会、商会等组织成员的供应商按照该组织要求协同参加政府采购活动；</w:t>
      </w:r>
    </w:p>
    <w:p w14:paraId="05DA8A19">
      <w:pPr>
        <w:pStyle w:val="37"/>
        <w:tabs>
          <w:tab w:val="left" w:pos="1025"/>
        </w:tabs>
        <w:spacing w:line="410" w:lineRule="exact"/>
        <w:ind w:firstLine="420" w:firstLineChars="200"/>
        <w:jc w:val="both"/>
        <w:rPr>
          <w:sz w:val="21"/>
          <w:szCs w:val="21"/>
        </w:rPr>
      </w:pPr>
      <w:bookmarkStart w:id="59" w:name="bookmark78"/>
      <w:r>
        <w:rPr>
          <w:sz w:val="21"/>
          <w:szCs w:val="21"/>
        </w:rPr>
        <w:t>（</w:t>
      </w:r>
      <w:bookmarkEnd w:id="59"/>
      <w:r>
        <w:rPr>
          <w:sz w:val="21"/>
          <w:szCs w:val="21"/>
        </w:rPr>
        <w:t>5）供应商之间事先约定一致抬高或者压低报价，或者在政府采购活动中事先约定轮流以高价位或 者低价位成交，或者事先约定由某一特定供应商成交，然后再参加竟标；</w:t>
      </w:r>
    </w:p>
    <w:p w14:paraId="27B6E9F3">
      <w:pPr>
        <w:pStyle w:val="37"/>
        <w:spacing w:line="410" w:lineRule="exact"/>
        <w:ind w:firstLine="420" w:firstLineChars="200"/>
        <w:rPr>
          <w:sz w:val="21"/>
          <w:szCs w:val="21"/>
        </w:rPr>
      </w:pPr>
      <w:r>
        <w:rPr>
          <w:sz w:val="21"/>
          <w:szCs w:val="21"/>
        </w:rPr>
        <w:t>（6）供应商之间商定部分供应商放弃参加政府采购活动或者放弃成交</w:t>
      </w:r>
      <w:r>
        <w:rPr>
          <w:sz w:val="21"/>
          <w:szCs w:val="21"/>
          <w:lang w:val="zh-CN" w:eastAsia="zh-CN" w:bidi="zh-CN"/>
        </w:rPr>
        <w:t>：</w:t>
      </w:r>
    </w:p>
    <w:p w14:paraId="317A32BF">
      <w:pPr>
        <w:pStyle w:val="37"/>
        <w:spacing w:after="180" w:line="410" w:lineRule="exact"/>
        <w:ind w:firstLine="420" w:firstLineChars="200"/>
        <w:jc w:val="both"/>
        <w:rPr>
          <w:sz w:val="21"/>
          <w:szCs w:val="21"/>
        </w:rPr>
      </w:pPr>
      <w:r>
        <w:rPr>
          <w:sz w:val="21"/>
          <w:szCs w:val="21"/>
        </w:rPr>
        <w:t>（7）供应商与采购人或者采购代理机构之间、供应商相互之间，为谋求特定供应商成交或者排斥其他供应商的其他串通行为。</w:t>
      </w:r>
    </w:p>
    <w:p w14:paraId="62709DF1">
      <w:pPr>
        <w:pStyle w:val="41"/>
        <w:keepNext/>
        <w:keepLines/>
        <w:spacing w:after="120"/>
        <w:ind w:firstLine="643" w:firstLineChars="200"/>
        <w:jc w:val="left"/>
        <w:rPr>
          <w:b/>
          <w:bCs/>
          <w:sz w:val="32"/>
          <w:szCs w:val="32"/>
        </w:rPr>
      </w:pPr>
      <w:bookmarkStart w:id="60" w:name="bookmark79"/>
      <w:bookmarkStart w:id="61" w:name="bookmark81"/>
      <w:bookmarkStart w:id="62" w:name="bookmark80"/>
      <w:r>
        <w:rPr>
          <w:b/>
          <w:bCs/>
          <w:sz w:val="32"/>
          <w:szCs w:val="32"/>
        </w:rPr>
        <w:t>二、磋</w:t>
      </w:r>
      <w:r>
        <w:rPr>
          <w:b/>
          <w:bCs/>
          <w:color w:val="3E2D25"/>
          <w:sz w:val="32"/>
          <w:szCs w:val="32"/>
        </w:rPr>
        <w:t>商文件</w:t>
      </w:r>
      <w:bookmarkEnd w:id="60"/>
      <w:bookmarkEnd w:id="61"/>
      <w:bookmarkEnd w:id="62"/>
    </w:p>
    <w:p w14:paraId="48D7B500">
      <w:pPr>
        <w:pStyle w:val="37"/>
        <w:spacing w:line="410" w:lineRule="exact"/>
        <w:ind w:firstLine="422" w:firstLineChars="200"/>
        <w:rPr>
          <w:b/>
          <w:bCs/>
          <w:sz w:val="21"/>
          <w:szCs w:val="21"/>
        </w:rPr>
      </w:pPr>
      <w:r>
        <w:rPr>
          <w:b/>
          <w:bCs/>
          <w:sz w:val="21"/>
          <w:szCs w:val="21"/>
        </w:rPr>
        <w:t>8•磋商文件的构成</w:t>
      </w:r>
    </w:p>
    <w:p w14:paraId="7B3565AD">
      <w:pPr>
        <w:pStyle w:val="37"/>
        <w:spacing w:line="410" w:lineRule="exact"/>
        <w:ind w:firstLine="420" w:firstLineChars="200"/>
        <w:rPr>
          <w:sz w:val="21"/>
          <w:szCs w:val="21"/>
        </w:rPr>
      </w:pPr>
      <w:r>
        <w:rPr>
          <w:sz w:val="21"/>
          <w:szCs w:val="21"/>
        </w:rPr>
        <w:t>第一童竞争性磋商公告；</w:t>
      </w:r>
    </w:p>
    <w:p w14:paraId="1C8880C3">
      <w:pPr>
        <w:pStyle w:val="37"/>
        <w:spacing w:line="410" w:lineRule="exact"/>
        <w:ind w:firstLine="420" w:firstLineChars="200"/>
        <w:rPr>
          <w:sz w:val="21"/>
          <w:szCs w:val="21"/>
        </w:rPr>
      </w:pPr>
      <w:r>
        <w:rPr>
          <w:sz w:val="21"/>
          <w:szCs w:val="21"/>
        </w:rPr>
        <w:t>第二章采购需求；</w:t>
      </w:r>
    </w:p>
    <w:p w14:paraId="18659611">
      <w:pPr>
        <w:pStyle w:val="37"/>
        <w:spacing w:line="410" w:lineRule="exact"/>
        <w:ind w:firstLine="420" w:firstLineChars="200"/>
        <w:rPr>
          <w:sz w:val="21"/>
          <w:szCs w:val="21"/>
        </w:rPr>
      </w:pPr>
      <w:r>
        <w:rPr>
          <w:sz w:val="21"/>
          <w:szCs w:val="21"/>
        </w:rPr>
        <w:t>第三章供应商须知；</w:t>
      </w:r>
    </w:p>
    <w:p w14:paraId="675E0EA0">
      <w:pPr>
        <w:pStyle w:val="37"/>
        <w:spacing w:line="410" w:lineRule="exact"/>
        <w:ind w:firstLine="420" w:firstLineChars="200"/>
        <w:rPr>
          <w:sz w:val="21"/>
          <w:szCs w:val="21"/>
        </w:rPr>
      </w:pPr>
      <w:r>
        <w:rPr>
          <w:sz w:val="21"/>
          <w:szCs w:val="21"/>
        </w:rPr>
        <w:t>第四章评审程序、评审方法和评审标准；</w:t>
      </w:r>
    </w:p>
    <w:p w14:paraId="7EC24C01">
      <w:pPr>
        <w:pStyle w:val="37"/>
        <w:spacing w:line="410" w:lineRule="exact"/>
        <w:ind w:firstLine="420" w:firstLineChars="200"/>
        <w:jc w:val="both"/>
        <w:rPr>
          <w:sz w:val="21"/>
          <w:szCs w:val="21"/>
        </w:rPr>
      </w:pPr>
      <w:r>
        <w:rPr>
          <w:sz w:val="21"/>
          <w:szCs w:val="21"/>
        </w:rPr>
        <w:t>第五章响应文件格式；</w:t>
      </w:r>
    </w:p>
    <w:p w14:paraId="2FC400B9">
      <w:pPr>
        <w:pStyle w:val="37"/>
        <w:spacing w:line="410" w:lineRule="exact"/>
        <w:ind w:firstLine="420" w:firstLineChars="200"/>
        <w:jc w:val="both"/>
        <w:rPr>
          <w:sz w:val="21"/>
          <w:szCs w:val="21"/>
        </w:rPr>
      </w:pPr>
      <w:r>
        <w:rPr>
          <w:sz w:val="21"/>
          <w:szCs w:val="21"/>
        </w:rPr>
        <w:t>第六章合同文本；</w:t>
      </w:r>
    </w:p>
    <w:p w14:paraId="488531E5">
      <w:pPr>
        <w:pStyle w:val="37"/>
        <w:spacing w:line="410" w:lineRule="exact"/>
        <w:ind w:firstLine="420" w:firstLineChars="200"/>
        <w:jc w:val="both"/>
        <w:rPr>
          <w:sz w:val="21"/>
          <w:szCs w:val="21"/>
        </w:rPr>
      </w:pPr>
      <w:r>
        <w:rPr>
          <w:sz w:val="21"/>
          <w:szCs w:val="21"/>
        </w:rPr>
        <w:t>第七章质疑、投诉材料格式。</w:t>
      </w:r>
    </w:p>
    <w:p w14:paraId="7D1A6EB2">
      <w:pPr>
        <w:pStyle w:val="37"/>
        <w:numPr>
          <w:ilvl w:val="0"/>
          <w:numId w:val="10"/>
        </w:numPr>
        <w:tabs>
          <w:tab w:val="left" w:pos="850"/>
        </w:tabs>
        <w:spacing w:after="60" w:line="410" w:lineRule="exact"/>
        <w:ind w:firstLine="422" w:firstLineChars="200"/>
        <w:rPr>
          <w:b/>
          <w:bCs/>
          <w:sz w:val="21"/>
          <w:szCs w:val="21"/>
        </w:rPr>
      </w:pPr>
      <w:bookmarkStart w:id="63" w:name="bookmark82"/>
      <w:bookmarkEnd w:id="63"/>
      <w:r>
        <w:rPr>
          <w:b/>
          <w:bCs/>
          <w:sz w:val="21"/>
          <w:szCs w:val="21"/>
        </w:rPr>
        <w:t>供应商的询问</w:t>
      </w:r>
    </w:p>
    <w:p w14:paraId="1EBEC8D0">
      <w:pPr>
        <w:pStyle w:val="37"/>
        <w:spacing w:line="405" w:lineRule="exact"/>
        <w:ind w:firstLine="420" w:firstLineChars="200"/>
        <w:jc w:val="both"/>
        <w:rPr>
          <w:sz w:val="21"/>
          <w:szCs w:val="21"/>
        </w:rPr>
      </w:pPr>
      <w:r>
        <w:rPr>
          <w:sz w:val="21"/>
          <w:szCs w:val="21"/>
        </w:rPr>
        <w:t>供应商应认真阅读磋商文件的采购需求，如供应商对磋商文件有疑问的，如要求采购人作出澄清或者 修改的，供应商尽应在提交首次响应文件截止之日前，以书面形式向采购人、采购代理机构提出。</w:t>
      </w:r>
    </w:p>
    <w:p w14:paraId="72DDB784">
      <w:pPr>
        <w:pStyle w:val="37"/>
        <w:numPr>
          <w:ilvl w:val="0"/>
          <w:numId w:val="10"/>
        </w:numPr>
        <w:tabs>
          <w:tab w:val="left" w:pos="955"/>
        </w:tabs>
        <w:spacing w:line="405" w:lineRule="exact"/>
        <w:ind w:firstLine="422" w:firstLineChars="200"/>
        <w:rPr>
          <w:b/>
          <w:bCs/>
          <w:sz w:val="21"/>
          <w:szCs w:val="21"/>
        </w:rPr>
      </w:pPr>
      <w:bookmarkStart w:id="64" w:name="bookmark83"/>
      <w:bookmarkEnd w:id="64"/>
      <w:r>
        <w:rPr>
          <w:b/>
          <w:bCs/>
          <w:sz w:val="21"/>
          <w:szCs w:val="21"/>
        </w:rPr>
        <w:t>磋商文件的渣清和修改</w:t>
      </w:r>
    </w:p>
    <w:p w14:paraId="2AA34D8B">
      <w:pPr>
        <w:pStyle w:val="37"/>
        <w:spacing w:line="412" w:lineRule="exact"/>
        <w:ind w:firstLine="420" w:firstLineChars="200"/>
        <w:jc w:val="both"/>
        <w:rPr>
          <w:sz w:val="21"/>
          <w:szCs w:val="21"/>
        </w:rPr>
      </w:pPr>
      <w:r>
        <w:rPr>
          <w:sz w:val="21"/>
          <w:szCs w:val="21"/>
          <w:lang w:val="en-US" w:eastAsia="zh-CN" w:bidi="en-US"/>
        </w:rPr>
        <w:t>10.1</w:t>
      </w:r>
      <w:r>
        <w:rPr>
          <w:sz w:val="21"/>
          <w:szCs w:val="21"/>
        </w:rPr>
        <w:t>已获取磋商文件的潜在供应商，若有问题需要澄清，应于应标截止时间前，以书面形式向采购代 理机构提出，采购代理机构与采购人研究后，对认为有必要回答的问题，按照本</w:t>
      </w:r>
      <w:r>
        <w:rPr>
          <w:rFonts w:hint="eastAsia"/>
          <w:sz w:val="21"/>
          <w:szCs w:val="21"/>
          <w:lang w:val="en-US" w:eastAsia="zh-CN" w:bidi="en-US"/>
        </w:rPr>
        <w:t>章</w:t>
      </w:r>
      <w:r>
        <w:rPr>
          <w:sz w:val="21"/>
          <w:szCs w:val="21"/>
          <w:lang w:val="en-US" w:eastAsia="zh-CN" w:bidi="en-US"/>
        </w:rPr>
        <w:t>10.3</w:t>
      </w:r>
      <w:r>
        <w:rPr>
          <w:sz w:val="21"/>
          <w:szCs w:val="21"/>
        </w:rPr>
        <w:t>的内容处理。</w:t>
      </w:r>
    </w:p>
    <w:p w14:paraId="555AD36E">
      <w:pPr>
        <w:pStyle w:val="37"/>
        <w:spacing w:after="380" w:line="412" w:lineRule="exact"/>
        <w:ind w:firstLine="420" w:firstLineChars="200"/>
        <w:jc w:val="both"/>
        <w:rPr>
          <w:b/>
          <w:bCs/>
          <w:sz w:val="21"/>
          <w:szCs w:val="21"/>
          <w:lang w:val="en-US" w:eastAsia="zh-CN"/>
        </w:rPr>
      </w:pPr>
      <w:r>
        <w:rPr>
          <w:sz w:val="21"/>
          <w:szCs w:val="21"/>
          <w:lang w:val="en-US" w:eastAsia="zh-CN" w:bidi="en-US"/>
        </w:rPr>
        <w:t>10.</w:t>
      </w:r>
      <w:r>
        <w:rPr>
          <w:sz w:val="21"/>
          <w:szCs w:val="21"/>
        </w:rPr>
        <w:t>2</w:t>
      </w:r>
      <w:r>
        <w:rPr>
          <w:b/>
          <w:bCs/>
          <w:sz w:val="21"/>
          <w:szCs w:val="21"/>
        </w:rPr>
        <w:t>采购人或者采购</w:t>
      </w:r>
      <w:r>
        <w:rPr>
          <w:rFonts w:hint="eastAsia"/>
          <w:b/>
          <w:bCs/>
          <w:sz w:val="21"/>
          <w:szCs w:val="21"/>
          <w:lang w:eastAsia="zh-CN"/>
        </w:rPr>
        <w:t>代理</w:t>
      </w:r>
      <w:r>
        <w:rPr>
          <w:b/>
          <w:bCs/>
          <w:sz w:val="21"/>
          <w:szCs w:val="21"/>
        </w:rPr>
        <w:t>机构可以对已发出的磋商文件进行必要的</w:t>
      </w:r>
      <w:r>
        <w:rPr>
          <w:rFonts w:hint="eastAsia"/>
          <w:b/>
          <w:bCs/>
          <w:sz w:val="21"/>
          <w:szCs w:val="21"/>
          <w:lang w:eastAsia="zh-CN"/>
        </w:rPr>
        <w:t>澄清</w:t>
      </w:r>
      <w:r>
        <w:rPr>
          <w:b/>
          <w:bCs/>
          <w:sz w:val="21"/>
          <w:szCs w:val="21"/>
        </w:rPr>
        <w:t>或者修改，但不得改变采购 标的和资格条件。渣清或者修改</w:t>
      </w:r>
      <w:r>
        <w:rPr>
          <w:rFonts w:hint="eastAsia"/>
          <w:b/>
          <w:bCs/>
          <w:sz w:val="21"/>
          <w:szCs w:val="21"/>
          <w:lang w:eastAsia="zh-CN"/>
        </w:rPr>
        <w:t>应当</w:t>
      </w:r>
      <w:r>
        <w:rPr>
          <w:b/>
          <w:bCs/>
          <w:sz w:val="21"/>
          <w:szCs w:val="21"/>
        </w:rPr>
        <w:t>在原公告发布媒体上发布澄清公告。澄清或者修改的</w:t>
      </w:r>
      <w:r>
        <w:rPr>
          <w:rFonts w:hint="eastAsia"/>
          <w:b/>
          <w:bCs/>
          <w:sz w:val="21"/>
          <w:szCs w:val="21"/>
          <w:lang w:eastAsia="zh-CN"/>
        </w:rPr>
        <w:t>内容</w:t>
      </w:r>
      <w:r>
        <w:rPr>
          <w:b/>
          <w:bCs/>
          <w:sz w:val="21"/>
          <w:szCs w:val="21"/>
        </w:rPr>
        <w:t>为磋商文件</w:t>
      </w:r>
      <w:r>
        <w:rPr>
          <w:rFonts w:hint="eastAsia"/>
          <w:b/>
          <w:bCs/>
          <w:sz w:val="21"/>
          <w:szCs w:val="21"/>
          <w:lang w:eastAsia="zh-CN"/>
        </w:rPr>
        <w:t>的组成部分。</w:t>
      </w:r>
    </w:p>
    <w:p w14:paraId="2B7F46CF">
      <w:pPr>
        <w:pStyle w:val="37"/>
        <w:spacing w:line="405" w:lineRule="exact"/>
        <w:ind w:firstLine="420" w:firstLineChars="200"/>
        <w:jc w:val="both"/>
        <w:rPr>
          <w:sz w:val="21"/>
          <w:szCs w:val="21"/>
        </w:rPr>
      </w:pPr>
      <w:r>
        <w:rPr>
          <w:rFonts w:hint="eastAsia"/>
          <w:sz w:val="21"/>
          <w:szCs w:val="21"/>
          <w:lang w:val="en-US" w:eastAsia="zh-CN"/>
        </w:rPr>
        <w:t>10.</w:t>
      </w:r>
      <w:r>
        <w:rPr>
          <w:sz w:val="21"/>
          <w:szCs w:val="21"/>
        </w:rPr>
        <w:t>3提交首次响应文件截止之日前，采购人、采购代理机构或者磋商小组可以对已发出的磋商文件进 行必要的澄清或者修改，澄清或者修改的内容作为磋商文件的组成部分。澄清或者修改的内容可能影响响应文件编制的，采购人、采购代理机构或者磋商小组在提交首次响应文件截止之日3个工作日前，以书面 形式（目前为网上公告和系统短信等形式）通知所有获取磋商文件的供应商，不足3个工作日的，应当顺 延提交首次响应文件截止之日。</w:t>
      </w:r>
      <w:bookmarkStart w:id="65" w:name="bookmark84"/>
      <w:bookmarkEnd w:id="65"/>
    </w:p>
    <w:p w14:paraId="3E66A3B1">
      <w:pPr>
        <w:pStyle w:val="37"/>
        <w:spacing w:line="405" w:lineRule="exact"/>
        <w:ind w:firstLine="420" w:firstLineChars="200"/>
        <w:jc w:val="both"/>
        <w:rPr>
          <w:sz w:val="21"/>
          <w:szCs w:val="21"/>
          <w:lang w:val="en-US" w:eastAsia="zh-CN"/>
        </w:rPr>
      </w:pPr>
      <w:r>
        <w:rPr>
          <w:rFonts w:hint="eastAsia"/>
          <w:sz w:val="21"/>
          <w:szCs w:val="21"/>
          <w:lang w:val="en-US" w:eastAsia="zh-CN"/>
        </w:rPr>
        <w:t>10.4采购信息更正公告的内容应当包括采购人和采购代理机构名称、地址、联系方式，原公告的采购 项目名称及首次公告日期，更正事项、内容及日期，采购项目联系人和电话。</w:t>
      </w:r>
    </w:p>
    <w:p w14:paraId="52B4EC9C">
      <w:pPr>
        <w:pStyle w:val="37"/>
        <w:spacing w:line="405" w:lineRule="exact"/>
        <w:ind w:firstLine="420" w:firstLineChars="200"/>
        <w:jc w:val="both"/>
        <w:rPr>
          <w:sz w:val="21"/>
          <w:szCs w:val="21"/>
          <w:lang w:val="en-US" w:eastAsia="zh-CN"/>
        </w:rPr>
      </w:pPr>
      <w:r>
        <w:rPr>
          <w:rFonts w:hint="eastAsia"/>
          <w:sz w:val="21"/>
          <w:szCs w:val="21"/>
          <w:lang w:val="en-US" w:eastAsia="zh-CN"/>
        </w:rPr>
        <w:t>10.5采购人和采购代理机构可以视采购具体情况，变更提交首次响应文件截止时间和磋商时间，将变更时间将在</w:t>
      </w:r>
      <w:r>
        <w:rPr>
          <w:rFonts w:hint="eastAsia"/>
          <w:sz w:val="21"/>
          <w:szCs w:val="21"/>
          <w:lang w:val="zh-CN" w:eastAsia="zh-CN"/>
        </w:rPr>
        <w:t>“采购</w:t>
      </w:r>
      <w:r>
        <w:rPr>
          <w:rFonts w:hint="eastAsia"/>
          <w:sz w:val="21"/>
          <w:szCs w:val="21"/>
          <w:lang w:val="en-US" w:eastAsia="zh-CN"/>
        </w:rPr>
        <w:t>文件公告”中</w:t>
      </w:r>
      <w:r>
        <w:rPr>
          <w:rFonts w:hint="eastAsia"/>
          <w:sz w:val="21"/>
          <w:szCs w:val="21"/>
          <w:lang w:val="zh-CN" w:eastAsia="zh-CN"/>
        </w:rPr>
        <w:t>“七、</w:t>
      </w:r>
      <w:r>
        <w:rPr>
          <w:rFonts w:hint="eastAsia"/>
          <w:sz w:val="21"/>
          <w:szCs w:val="21"/>
          <w:lang w:val="en-US" w:eastAsia="zh-CN"/>
        </w:rPr>
        <w:t>其他补充事宜3.网上查询地址〃规定的政府采购信息发布媒体上 发布更正公告。</w:t>
      </w:r>
    </w:p>
    <w:p w14:paraId="7F7C1BB9">
      <w:pPr>
        <w:pStyle w:val="37"/>
        <w:spacing w:line="510" w:lineRule="exact"/>
        <w:ind w:firstLine="420" w:firstLineChars="200"/>
        <w:jc w:val="both"/>
        <w:rPr>
          <w:sz w:val="21"/>
          <w:szCs w:val="21"/>
        </w:rPr>
      </w:pPr>
      <w:r>
        <w:rPr>
          <w:sz w:val="21"/>
          <w:szCs w:val="21"/>
          <w:shd w:val="clear" w:color="auto" w:fill="FFFFFF"/>
        </w:rPr>
        <w:t>▲</w:t>
      </w:r>
      <w:r>
        <w:rPr>
          <w:b/>
          <w:bCs/>
          <w:sz w:val="21"/>
          <w:szCs w:val="21"/>
          <w:shd w:val="clear" w:color="auto" w:fill="FFFFFF"/>
        </w:rPr>
        <w:t>响应文件未按磋商文件的</w:t>
      </w:r>
      <w:r>
        <w:rPr>
          <w:rFonts w:hint="eastAsia"/>
          <w:b/>
          <w:bCs/>
          <w:sz w:val="21"/>
          <w:szCs w:val="21"/>
          <w:shd w:val="clear" w:color="auto" w:fill="FFFFFF"/>
          <w:lang w:eastAsia="zh-CN"/>
        </w:rPr>
        <w:t>澄清</w:t>
      </w:r>
      <w:r>
        <w:rPr>
          <w:b/>
          <w:bCs/>
          <w:sz w:val="21"/>
          <w:szCs w:val="21"/>
          <w:shd w:val="clear" w:color="auto" w:fill="FFFFFF"/>
        </w:rPr>
        <w:t>、修改的内容编制，又不答合实质性要求的，其响应文件作无效处理。</w:t>
      </w:r>
    </w:p>
    <w:p w14:paraId="578F7A58">
      <w:pPr>
        <w:pStyle w:val="41"/>
        <w:keepNext/>
        <w:keepLines/>
        <w:spacing w:after="260" w:line="510" w:lineRule="exact"/>
        <w:ind w:firstLine="640" w:firstLineChars="200"/>
        <w:jc w:val="left"/>
        <w:rPr>
          <w:sz w:val="32"/>
          <w:szCs w:val="32"/>
        </w:rPr>
      </w:pPr>
      <w:bookmarkStart w:id="66" w:name="bookmark87"/>
      <w:bookmarkStart w:id="67" w:name="bookmark88"/>
      <w:bookmarkStart w:id="68" w:name="bookmark85"/>
      <w:bookmarkStart w:id="69" w:name="bookmark86"/>
      <w:r>
        <w:rPr>
          <w:sz w:val="32"/>
          <w:szCs w:val="32"/>
        </w:rPr>
        <w:t>三</w:t>
      </w:r>
      <w:bookmarkEnd w:id="66"/>
      <w:r>
        <w:rPr>
          <w:sz w:val="32"/>
          <w:szCs w:val="32"/>
        </w:rPr>
        <w:t>、响应文件的编制</w:t>
      </w:r>
      <w:bookmarkEnd w:id="67"/>
    </w:p>
    <w:p w14:paraId="19CC9CC5">
      <w:pPr>
        <w:pStyle w:val="41"/>
        <w:keepNext/>
        <w:keepLines/>
        <w:tabs>
          <w:tab w:val="left" w:pos="955"/>
        </w:tabs>
        <w:spacing w:after="0"/>
        <w:ind w:left="500" w:firstLine="482" w:firstLineChars="200"/>
        <w:jc w:val="both"/>
        <w:rPr>
          <w:b/>
          <w:bCs/>
          <w:sz w:val="24"/>
          <w:szCs w:val="24"/>
        </w:rPr>
      </w:pPr>
      <w:bookmarkStart w:id="70" w:name="bookmark89"/>
      <w:bookmarkEnd w:id="70"/>
      <w:bookmarkStart w:id="71" w:name="bookmark90"/>
      <w:r>
        <w:rPr>
          <w:rFonts w:hint="eastAsia"/>
          <w:b/>
          <w:bCs/>
          <w:sz w:val="24"/>
          <w:szCs w:val="24"/>
          <w:lang w:val="en-US" w:eastAsia="zh-CN"/>
        </w:rPr>
        <w:t>11.</w:t>
      </w:r>
      <w:r>
        <w:rPr>
          <w:b/>
          <w:bCs/>
          <w:sz w:val="24"/>
          <w:szCs w:val="24"/>
        </w:rPr>
        <w:t>响应文件的编制原则</w:t>
      </w:r>
      <w:bookmarkEnd w:id="68"/>
      <w:bookmarkEnd w:id="69"/>
      <w:bookmarkEnd w:id="71"/>
    </w:p>
    <w:p w14:paraId="686A069D">
      <w:pPr>
        <w:pStyle w:val="37"/>
        <w:spacing w:after="160" w:line="420" w:lineRule="exact"/>
        <w:ind w:firstLine="420" w:firstLineChars="200"/>
        <w:jc w:val="both"/>
        <w:rPr>
          <w:sz w:val="21"/>
          <w:szCs w:val="21"/>
        </w:rPr>
      </w:pPr>
      <w:r>
        <w:rPr>
          <w:sz w:val="21"/>
          <w:szCs w:val="21"/>
        </w:rPr>
        <w:t>供应商必须按照磋商文件的要求编制响应文件，并对其提交的响应文件的真实性、合法性承担法律责 任。响应文件必须对磋商文件作出实质性响应。</w:t>
      </w:r>
    </w:p>
    <w:p w14:paraId="0AB0CD7F">
      <w:pPr>
        <w:pStyle w:val="41"/>
        <w:keepNext/>
        <w:keepLines/>
        <w:tabs>
          <w:tab w:val="left" w:pos="955"/>
        </w:tabs>
        <w:spacing w:after="0"/>
        <w:ind w:left="480" w:firstLine="562" w:firstLineChars="200"/>
        <w:jc w:val="both"/>
        <w:rPr>
          <w:b/>
          <w:bCs/>
          <w:sz w:val="28"/>
          <w:szCs w:val="28"/>
        </w:rPr>
      </w:pPr>
      <w:bookmarkStart w:id="72" w:name="bookmark93"/>
      <w:bookmarkEnd w:id="72"/>
      <w:bookmarkStart w:id="73" w:name="bookmark91"/>
      <w:bookmarkStart w:id="74" w:name="bookmark94"/>
      <w:bookmarkStart w:id="75" w:name="bookmark92"/>
      <w:r>
        <w:rPr>
          <w:rFonts w:hint="eastAsia"/>
          <w:b/>
          <w:bCs/>
          <w:sz w:val="28"/>
          <w:szCs w:val="28"/>
          <w:lang w:val="en-US" w:eastAsia="zh-CN"/>
        </w:rPr>
        <w:t>12.</w:t>
      </w:r>
      <w:r>
        <w:rPr>
          <w:b/>
          <w:bCs/>
          <w:sz w:val="28"/>
          <w:szCs w:val="28"/>
        </w:rPr>
        <w:t>响应文件的组成</w:t>
      </w:r>
      <w:bookmarkEnd w:id="73"/>
      <w:bookmarkEnd w:id="74"/>
      <w:bookmarkEnd w:id="75"/>
    </w:p>
    <w:p w14:paraId="41112573">
      <w:pPr>
        <w:pStyle w:val="37"/>
        <w:spacing w:line="420" w:lineRule="exact"/>
        <w:ind w:firstLine="420" w:firstLineChars="200"/>
        <w:rPr>
          <w:sz w:val="21"/>
          <w:szCs w:val="21"/>
        </w:rPr>
      </w:pPr>
      <w:r>
        <w:rPr>
          <w:sz w:val="21"/>
          <w:szCs w:val="21"/>
          <w:lang w:val="en-US" w:eastAsia="zh-CN" w:bidi="en-US"/>
        </w:rPr>
        <w:t>12.1</w:t>
      </w:r>
      <w:r>
        <w:rPr>
          <w:sz w:val="21"/>
          <w:szCs w:val="21"/>
        </w:rPr>
        <w:t>响应文件由资格证明文件、报价文件、商务和技术文件三部分组成。</w:t>
      </w:r>
    </w:p>
    <w:p w14:paraId="29C18BE5">
      <w:pPr>
        <w:pStyle w:val="37"/>
        <w:spacing w:line="420" w:lineRule="exact"/>
        <w:ind w:firstLine="420" w:firstLineChars="200"/>
        <w:rPr>
          <w:sz w:val="21"/>
          <w:szCs w:val="21"/>
        </w:rPr>
      </w:pPr>
      <w:r>
        <w:rPr>
          <w:sz w:val="21"/>
          <w:szCs w:val="21"/>
          <w:lang w:val="en-US" w:eastAsia="zh-CN" w:bidi="en-US"/>
        </w:rPr>
        <w:t>12.1.</w:t>
      </w:r>
      <w:r>
        <w:rPr>
          <w:sz w:val="21"/>
          <w:szCs w:val="21"/>
        </w:rPr>
        <w:t>1资格证明文件：详见须知前附表</w:t>
      </w:r>
    </w:p>
    <w:p w14:paraId="21FE8C7D">
      <w:pPr>
        <w:pStyle w:val="37"/>
        <w:spacing w:line="420" w:lineRule="exact"/>
        <w:ind w:firstLine="420" w:firstLineChars="200"/>
        <w:rPr>
          <w:sz w:val="21"/>
          <w:szCs w:val="21"/>
        </w:rPr>
      </w:pPr>
      <w:r>
        <w:rPr>
          <w:sz w:val="21"/>
          <w:szCs w:val="21"/>
          <w:lang w:val="en-US" w:eastAsia="zh-CN" w:bidi="en-US"/>
        </w:rPr>
        <w:t xml:space="preserve">12.1. </w:t>
      </w:r>
      <w:r>
        <w:rPr>
          <w:sz w:val="21"/>
          <w:szCs w:val="21"/>
        </w:rPr>
        <w:t>2商务技术文件：详见须知前附表</w:t>
      </w:r>
    </w:p>
    <w:p w14:paraId="76C4F842">
      <w:pPr>
        <w:pStyle w:val="37"/>
        <w:spacing w:line="420" w:lineRule="exact"/>
        <w:ind w:firstLine="420" w:firstLineChars="200"/>
        <w:rPr>
          <w:sz w:val="21"/>
          <w:szCs w:val="21"/>
        </w:rPr>
      </w:pPr>
      <w:r>
        <w:rPr>
          <w:sz w:val="21"/>
          <w:szCs w:val="21"/>
          <w:lang w:val="en-US" w:eastAsia="zh-CN" w:bidi="en-US"/>
        </w:rPr>
        <w:t>12.1.3</w:t>
      </w:r>
      <w:r>
        <w:rPr>
          <w:sz w:val="21"/>
          <w:szCs w:val="21"/>
        </w:rPr>
        <w:t>报价文件：详见须知前附表</w:t>
      </w:r>
    </w:p>
    <w:p w14:paraId="6DCF5B72">
      <w:pPr>
        <w:pStyle w:val="37"/>
        <w:tabs>
          <w:tab w:val="left" w:pos="825"/>
        </w:tabs>
        <w:spacing w:after="160" w:line="420" w:lineRule="exact"/>
        <w:ind w:left="400" w:firstLine="420" w:firstLineChars="200"/>
        <w:jc w:val="both"/>
        <w:rPr>
          <w:sz w:val="21"/>
          <w:szCs w:val="21"/>
        </w:rPr>
      </w:pPr>
      <w:bookmarkStart w:id="76" w:name="bookmark95"/>
      <w:bookmarkEnd w:id="76"/>
      <w:r>
        <w:rPr>
          <w:rFonts w:hint="eastAsia"/>
          <w:sz w:val="21"/>
          <w:szCs w:val="21"/>
          <w:lang w:val="en-US" w:eastAsia="zh-CN"/>
        </w:rPr>
        <w:t>12.2</w:t>
      </w:r>
      <w:r>
        <w:rPr>
          <w:sz w:val="21"/>
          <w:szCs w:val="21"/>
        </w:rPr>
        <w:t>响应文件电子版：详见须知前附表</w:t>
      </w:r>
    </w:p>
    <w:p w14:paraId="44ED56F3">
      <w:pPr>
        <w:pStyle w:val="41"/>
        <w:keepNext/>
        <w:keepLines/>
        <w:tabs>
          <w:tab w:val="left" w:pos="955"/>
        </w:tabs>
        <w:spacing w:after="0"/>
        <w:ind w:left="500" w:firstLine="562" w:firstLineChars="200"/>
        <w:jc w:val="both"/>
        <w:rPr>
          <w:b/>
          <w:bCs/>
          <w:sz w:val="28"/>
          <w:szCs w:val="28"/>
        </w:rPr>
      </w:pPr>
      <w:bookmarkStart w:id="77" w:name="bookmark98"/>
      <w:bookmarkEnd w:id="77"/>
      <w:bookmarkStart w:id="78" w:name="bookmark99"/>
      <w:bookmarkStart w:id="79" w:name="bookmark97"/>
      <w:bookmarkStart w:id="80" w:name="bookmark96"/>
      <w:r>
        <w:rPr>
          <w:rFonts w:hint="eastAsia"/>
          <w:b/>
          <w:bCs/>
          <w:sz w:val="28"/>
          <w:szCs w:val="28"/>
          <w:lang w:val="en-US" w:eastAsia="zh-CN"/>
        </w:rPr>
        <w:t>13.</w:t>
      </w:r>
      <w:r>
        <w:rPr>
          <w:b/>
          <w:bCs/>
          <w:sz w:val="28"/>
          <w:szCs w:val="28"/>
        </w:rPr>
        <w:t>计量单位</w:t>
      </w:r>
      <w:bookmarkEnd w:id="78"/>
      <w:bookmarkEnd w:id="79"/>
      <w:bookmarkEnd w:id="80"/>
    </w:p>
    <w:p w14:paraId="270AA613">
      <w:pPr>
        <w:pStyle w:val="37"/>
        <w:spacing w:after="160" w:line="405" w:lineRule="exact"/>
        <w:ind w:firstLine="420" w:firstLineChars="200"/>
        <w:jc w:val="both"/>
        <w:rPr>
          <w:sz w:val="21"/>
          <w:szCs w:val="21"/>
        </w:rPr>
      </w:pPr>
      <w:r>
        <w:rPr>
          <w:sz w:val="21"/>
          <w:szCs w:val="21"/>
        </w:rPr>
        <w:t>磋商文件已有明确规定的，使用磋商文件规定的计量单位；磋商文件没有规定的，应采用中华人民共 和国法定计量单位，货币种类为人民币，否则视同未响应。</w:t>
      </w:r>
    </w:p>
    <w:p w14:paraId="1F4D1C6E">
      <w:pPr>
        <w:pStyle w:val="41"/>
        <w:keepNext/>
        <w:keepLines/>
        <w:spacing w:after="0"/>
        <w:ind w:firstLine="442" w:firstLineChars="200"/>
        <w:jc w:val="both"/>
        <w:rPr>
          <w:b/>
          <w:bCs/>
          <w:sz w:val="28"/>
          <w:szCs w:val="28"/>
        </w:rPr>
      </w:pPr>
      <w:bookmarkStart w:id="81" w:name="bookmark102"/>
      <w:bookmarkStart w:id="82" w:name="bookmark101"/>
      <w:bookmarkStart w:id="83" w:name="bookmark100"/>
      <w:r>
        <w:rPr>
          <w:rFonts w:hint="eastAsia" w:ascii="Times New Roman" w:hAnsi="Times New Roman" w:cs="Times New Roman"/>
          <w:b/>
          <w:bCs/>
          <w:sz w:val="22"/>
          <w:szCs w:val="22"/>
          <w:lang w:val="en-US" w:eastAsia="zh-CN"/>
        </w:rPr>
        <w:t>14.</w:t>
      </w:r>
      <w:r>
        <w:rPr>
          <w:rFonts w:hint="eastAsia"/>
          <w:b/>
          <w:bCs/>
          <w:sz w:val="28"/>
          <w:szCs w:val="28"/>
          <w:lang w:eastAsia="zh-CN"/>
        </w:rPr>
        <w:t>竞标的</w:t>
      </w:r>
      <w:r>
        <w:rPr>
          <w:b/>
          <w:bCs/>
          <w:sz w:val="28"/>
          <w:szCs w:val="28"/>
        </w:rPr>
        <w:t>风险</w:t>
      </w:r>
      <w:bookmarkEnd w:id="81"/>
      <w:bookmarkEnd w:id="82"/>
      <w:bookmarkEnd w:id="83"/>
    </w:p>
    <w:p w14:paraId="0A24113D">
      <w:pPr>
        <w:pStyle w:val="37"/>
        <w:spacing w:after="160" w:line="405" w:lineRule="exact"/>
        <w:ind w:firstLine="420" w:firstLineChars="200"/>
        <w:jc w:val="both"/>
        <w:rPr>
          <w:sz w:val="21"/>
          <w:szCs w:val="21"/>
        </w:rPr>
      </w:pPr>
      <w:r>
        <w:rPr>
          <w:sz w:val="21"/>
          <w:szCs w:val="21"/>
        </w:rPr>
        <w:t>供应商没有按照磋商文件要求提供全部资料，或者供应商没有对磋商文件在各方面作出实质性响应可 能导致其响应无效，是供应商应当考虑的风险。</w:t>
      </w:r>
    </w:p>
    <w:p w14:paraId="720504FF">
      <w:pPr>
        <w:pStyle w:val="41"/>
        <w:keepNext/>
        <w:keepLines/>
        <w:spacing w:after="0"/>
        <w:ind w:left="500" w:firstLine="562" w:firstLineChars="200"/>
        <w:jc w:val="both"/>
        <w:rPr>
          <w:b/>
          <w:bCs/>
          <w:sz w:val="28"/>
          <w:szCs w:val="28"/>
        </w:rPr>
      </w:pPr>
      <w:bookmarkStart w:id="84" w:name="bookmark105"/>
      <w:bookmarkEnd w:id="84"/>
      <w:bookmarkStart w:id="85" w:name="bookmark103"/>
      <w:bookmarkStart w:id="86" w:name="bookmark104"/>
      <w:bookmarkStart w:id="87" w:name="bookmark106"/>
      <w:r>
        <w:rPr>
          <w:rFonts w:hint="eastAsia"/>
          <w:b/>
          <w:bCs/>
          <w:sz w:val="28"/>
          <w:szCs w:val="28"/>
          <w:lang w:val="en-US" w:eastAsia="zh-CN"/>
        </w:rPr>
        <w:t>15.</w:t>
      </w:r>
      <w:r>
        <w:rPr>
          <w:b/>
          <w:bCs/>
          <w:sz w:val="28"/>
          <w:szCs w:val="28"/>
        </w:rPr>
        <w:t>响应报价要求和构成</w:t>
      </w:r>
      <w:bookmarkEnd w:id="85"/>
      <w:bookmarkEnd w:id="86"/>
      <w:bookmarkEnd w:id="87"/>
    </w:p>
    <w:p w14:paraId="2530742E">
      <w:pPr>
        <w:pStyle w:val="37"/>
        <w:spacing w:line="420" w:lineRule="exact"/>
        <w:ind w:firstLine="420" w:firstLineChars="200"/>
        <w:rPr>
          <w:sz w:val="21"/>
          <w:szCs w:val="21"/>
        </w:rPr>
      </w:pPr>
      <w:r>
        <w:rPr>
          <w:sz w:val="21"/>
          <w:szCs w:val="21"/>
          <w:lang w:val="en-US" w:eastAsia="zh-CN" w:bidi="en-US"/>
        </w:rPr>
        <w:t>15.1</w:t>
      </w:r>
      <w:r>
        <w:rPr>
          <w:sz w:val="21"/>
          <w:szCs w:val="21"/>
        </w:rPr>
        <w:t>响应报价应按</w:t>
      </w:r>
      <w:r>
        <w:rPr>
          <w:sz w:val="21"/>
          <w:szCs w:val="21"/>
          <w:lang w:val="zh-CN" w:eastAsia="zh-CN" w:bidi="zh-CN"/>
        </w:rPr>
        <w:t>“第</w:t>
      </w:r>
      <w:r>
        <w:rPr>
          <w:sz w:val="21"/>
          <w:szCs w:val="21"/>
        </w:rPr>
        <w:t>五章响应文件格式〃中</w:t>
      </w:r>
      <w:r>
        <w:rPr>
          <w:sz w:val="21"/>
          <w:szCs w:val="21"/>
          <w:lang w:val="zh-CN" w:eastAsia="zh-CN" w:bidi="zh-CN"/>
        </w:rPr>
        <w:t>“响应</w:t>
      </w:r>
      <w:r>
        <w:rPr>
          <w:sz w:val="21"/>
          <w:szCs w:val="21"/>
        </w:rPr>
        <w:t>报价表</w:t>
      </w:r>
      <w:r>
        <w:rPr>
          <w:sz w:val="21"/>
          <w:szCs w:val="21"/>
          <w:lang w:val="zh-CN" w:eastAsia="zh-CN" w:bidi="zh-CN"/>
        </w:rPr>
        <w:t>”格式</w:t>
      </w:r>
      <w:r>
        <w:rPr>
          <w:sz w:val="21"/>
          <w:szCs w:val="21"/>
        </w:rPr>
        <w:t>填写。</w:t>
      </w:r>
    </w:p>
    <w:p w14:paraId="54BEBDEE">
      <w:pPr>
        <w:pStyle w:val="37"/>
        <w:numPr>
          <w:ilvl w:val="0"/>
          <w:numId w:val="11"/>
        </w:numPr>
        <w:tabs>
          <w:tab w:val="left" w:pos="825"/>
        </w:tabs>
        <w:spacing w:line="420" w:lineRule="exact"/>
        <w:ind w:firstLine="420" w:firstLineChars="200"/>
        <w:rPr>
          <w:sz w:val="21"/>
          <w:szCs w:val="21"/>
        </w:rPr>
      </w:pPr>
      <w:bookmarkStart w:id="88" w:name="bookmark107"/>
      <w:bookmarkEnd w:id="88"/>
      <w:r>
        <w:rPr>
          <w:sz w:val="21"/>
          <w:szCs w:val="21"/>
        </w:rPr>
        <w:t>2响应报价的价格构成见“供应商须知前附表”。</w:t>
      </w:r>
    </w:p>
    <w:p w14:paraId="0BEE091F">
      <w:pPr>
        <w:pStyle w:val="37"/>
        <w:numPr>
          <w:ilvl w:val="0"/>
          <w:numId w:val="12"/>
        </w:numPr>
        <w:tabs>
          <w:tab w:val="left" w:pos="825"/>
        </w:tabs>
        <w:spacing w:line="420" w:lineRule="exact"/>
        <w:ind w:firstLine="420" w:firstLineChars="200"/>
        <w:jc w:val="both"/>
        <w:rPr>
          <w:sz w:val="21"/>
          <w:szCs w:val="21"/>
        </w:rPr>
      </w:pPr>
      <w:bookmarkStart w:id="89" w:name="bookmark108"/>
      <w:bookmarkEnd w:id="89"/>
      <w:r>
        <w:rPr>
          <w:sz w:val="21"/>
          <w:szCs w:val="21"/>
        </w:rPr>
        <w:t>3响应报价要求</w:t>
      </w:r>
    </w:p>
    <w:p w14:paraId="192B0E99">
      <w:pPr>
        <w:pStyle w:val="37"/>
        <w:spacing w:line="420" w:lineRule="exact"/>
        <w:ind w:firstLine="420" w:firstLineChars="200"/>
        <w:rPr>
          <w:sz w:val="21"/>
          <w:szCs w:val="21"/>
        </w:rPr>
      </w:pPr>
      <w:r>
        <w:rPr>
          <w:sz w:val="21"/>
          <w:szCs w:val="21"/>
          <w:lang w:val="en-US" w:eastAsia="zh-CN" w:bidi="en-US"/>
        </w:rPr>
        <w:t>15. 3.</w:t>
      </w:r>
      <w:r>
        <w:rPr>
          <w:sz w:val="21"/>
          <w:szCs w:val="21"/>
        </w:rPr>
        <w:t>1供应商的响应报价应符合以下要求，否则响应文件按无效响应处理：</w:t>
      </w:r>
    </w:p>
    <w:p w14:paraId="1DD11625">
      <w:pPr>
        <w:pStyle w:val="37"/>
        <w:tabs>
          <w:tab w:val="left" w:pos="1025"/>
        </w:tabs>
        <w:spacing w:line="420" w:lineRule="exact"/>
        <w:ind w:firstLine="420" w:firstLineChars="200"/>
        <w:jc w:val="both"/>
        <w:rPr>
          <w:sz w:val="21"/>
          <w:szCs w:val="21"/>
        </w:rPr>
      </w:pPr>
      <w:bookmarkStart w:id="90" w:name="bookmark109"/>
      <w:r>
        <w:rPr>
          <w:sz w:val="21"/>
          <w:szCs w:val="21"/>
        </w:rPr>
        <w:t>（</w:t>
      </w:r>
      <w:bookmarkEnd w:id="90"/>
      <w:r>
        <w:rPr>
          <w:sz w:val="21"/>
          <w:szCs w:val="21"/>
        </w:rPr>
        <w:t>1）供应商必须就</w:t>
      </w:r>
      <w:r>
        <w:rPr>
          <w:sz w:val="21"/>
          <w:szCs w:val="21"/>
          <w:lang w:val="zh-CN" w:eastAsia="zh-CN" w:bidi="zh-CN"/>
        </w:rPr>
        <w:t>“采购</w:t>
      </w:r>
      <w:r>
        <w:rPr>
          <w:sz w:val="21"/>
          <w:szCs w:val="21"/>
        </w:rPr>
        <w:t>需求”中所竟标的每个分标的全部内容分别作完整唯一总价报价，不得存 在漏项报价；</w:t>
      </w:r>
    </w:p>
    <w:p w14:paraId="79834682">
      <w:pPr>
        <w:pStyle w:val="37"/>
        <w:tabs>
          <w:tab w:val="left" w:pos="1015"/>
        </w:tabs>
        <w:spacing w:line="420" w:lineRule="exact"/>
        <w:ind w:firstLine="420" w:firstLineChars="200"/>
        <w:jc w:val="both"/>
        <w:rPr>
          <w:sz w:val="21"/>
          <w:szCs w:val="21"/>
        </w:rPr>
      </w:pPr>
      <w:bookmarkStart w:id="91" w:name="bookmark110"/>
      <w:r>
        <w:rPr>
          <w:sz w:val="21"/>
          <w:szCs w:val="21"/>
        </w:rPr>
        <w:t>（</w:t>
      </w:r>
      <w:bookmarkEnd w:id="91"/>
      <w:r>
        <w:rPr>
          <w:sz w:val="21"/>
          <w:szCs w:val="21"/>
        </w:rPr>
        <w:t>2）供应商必须就所竟标的分标的单项内容作唯一报价。</w:t>
      </w:r>
    </w:p>
    <w:p w14:paraId="10D8CADA">
      <w:pPr>
        <w:pStyle w:val="37"/>
        <w:spacing w:after="160" w:line="420" w:lineRule="exact"/>
        <w:ind w:firstLine="420" w:firstLineChars="200"/>
        <w:jc w:val="both"/>
        <w:rPr>
          <w:sz w:val="21"/>
          <w:szCs w:val="21"/>
        </w:rPr>
      </w:pPr>
      <w:r>
        <w:rPr>
          <w:sz w:val="21"/>
          <w:szCs w:val="21"/>
          <w:lang w:val="en-US" w:eastAsia="zh-CN" w:bidi="en-US"/>
        </w:rPr>
        <w:t>15.3.2</w:t>
      </w:r>
      <w:r>
        <w:rPr>
          <w:sz w:val="21"/>
          <w:szCs w:val="21"/>
        </w:rPr>
        <w:t>响应报价（包含首次报价、最后报价）超过所竟标分标规定的采购预算金额或者最高限价的，</w:t>
      </w:r>
    </w:p>
    <w:p w14:paraId="65EB8ED5">
      <w:pPr>
        <w:pStyle w:val="37"/>
        <w:spacing w:line="420" w:lineRule="exact"/>
        <w:ind w:firstLine="420" w:firstLineChars="200"/>
        <w:jc w:val="both"/>
        <w:rPr>
          <w:sz w:val="21"/>
          <w:szCs w:val="21"/>
        </w:rPr>
      </w:pPr>
      <w:r>
        <w:rPr>
          <w:sz w:val="21"/>
          <w:szCs w:val="21"/>
        </w:rPr>
        <w:t>其响应文件将作无效处理。</w:t>
      </w:r>
    </w:p>
    <w:p w14:paraId="24690890">
      <w:pPr>
        <w:pStyle w:val="37"/>
        <w:spacing w:after="160" w:line="420" w:lineRule="exact"/>
        <w:ind w:firstLine="420" w:firstLineChars="200"/>
        <w:jc w:val="both"/>
        <w:rPr>
          <w:sz w:val="21"/>
          <w:szCs w:val="21"/>
        </w:rPr>
      </w:pPr>
      <w:r>
        <w:rPr>
          <w:sz w:val="21"/>
          <w:szCs w:val="21"/>
          <w:lang w:val="en-US" w:eastAsia="zh-CN" w:bidi="en-US"/>
        </w:rPr>
        <w:t>15.3.3</w:t>
      </w:r>
      <w:r>
        <w:rPr>
          <w:sz w:val="21"/>
          <w:szCs w:val="21"/>
        </w:rPr>
        <w:t>响应报价（包含首次报价、最后报价）超过分项采购预算金额或者最高限价的，其响应文件将 作无效处理。</w:t>
      </w:r>
    </w:p>
    <w:p w14:paraId="2BA6E330">
      <w:pPr>
        <w:pStyle w:val="41"/>
        <w:keepNext/>
        <w:keepLines/>
        <w:numPr>
          <w:ilvl w:val="0"/>
          <w:numId w:val="12"/>
        </w:numPr>
        <w:spacing w:after="0"/>
        <w:ind w:firstLine="482" w:firstLineChars="200"/>
        <w:jc w:val="both"/>
        <w:rPr>
          <w:b/>
          <w:bCs/>
          <w:sz w:val="24"/>
          <w:szCs w:val="24"/>
        </w:rPr>
      </w:pPr>
      <w:bookmarkStart w:id="92" w:name="bookmark113"/>
      <w:bookmarkEnd w:id="92"/>
      <w:bookmarkStart w:id="93" w:name="bookmark111"/>
      <w:bookmarkStart w:id="94" w:name="bookmark114"/>
      <w:bookmarkStart w:id="95" w:name="bookmark112"/>
      <w:r>
        <w:rPr>
          <w:b/>
          <w:bCs/>
          <w:sz w:val="24"/>
          <w:szCs w:val="24"/>
        </w:rPr>
        <w:t>竞标</w:t>
      </w:r>
      <w:bookmarkEnd w:id="93"/>
      <w:bookmarkEnd w:id="94"/>
      <w:bookmarkEnd w:id="95"/>
      <w:r>
        <w:rPr>
          <w:rFonts w:hint="eastAsia"/>
          <w:b/>
          <w:bCs/>
          <w:sz w:val="24"/>
          <w:szCs w:val="24"/>
          <w:lang w:eastAsia="zh-CN"/>
        </w:rPr>
        <w:t>有效期</w:t>
      </w:r>
    </w:p>
    <w:p w14:paraId="7C7D3307">
      <w:pPr>
        <w:pStyle w:val="37"/>
        <w:spacing w:line="405" w:lineRule="exact"/>
        <w:ind w:firstLine="420" w:firstLineChars="200"/>
        <w:jc w:val="both"/>
        <w:rPr>
          <w:sz w:val="21"/>
          <w:szCs w:val="21"/>
        </w:rPr>
      </w:pPr>
      <w:r>
        <w:rPr>
          <w:sz w:val="21"/>
          <w:szCs w:val="21"/>
          <w:lang w:val="en-US" w:eastAsia="zh-CN" w:bidi="en-US"/>
        </w:rPr>
        <w:t>16.1</w:t>
      </w:r>
      <w:r>
        <w:rPr>
          <w:sz w:val="21"/>
          <w:szCs w:val="21"/>
        </w:rPr>
        <w:t>竟标有效期是指为保证采购人有足够的时间在提交响应文件后完成评审、确定成交供应商、合同 签订等工作而要求供应商提交的响应文件在一定时间内保持有效的期限。</w:t>
      </w:r>
    </w:p>
    <w:p w14:paraId="39A57214">
      <w:pPr>
        <w:pStyle w:val="37"/>
        <w:numPr>
          <w:ilvl w:val="0"/>
          <w:numId w:val="11"/>
        </w:numPr>
        <w:tabs>
          <w:tab w:val="left" w:pos="865"/>
        </w:tabs>
        <w:spacing w:line="405" w:lineRule="exact"/>
        <w:ind w:firstLine="420" w:firstLineChars="200"/>
        <w:jc w:val="both"/>
        <w:rPr>
          <w:sz w:val="21"/>
          <w:szCs w:val="21"/>
        </w:rPr>
      </w:pPr>
      <w:bookmarkStart w:id="96" w:name="bookmark115"/>
      <w:bookmarkEnd w:id="96"/>
      <w:r>
        <w:rPr>
          <w:sz w:val="21"/>
          <w:szCs w:val="21"/>
        </w:rPr>
        <w:t>2竟标有效期应由供应商按</w:t>
      </w:r>
      <w:r>
        <w:rPr>
          <w:sz w:val="21"/>
          <w:szCs w:val="21"/>
          <w:lang w:val="zh-CN" w:eastAsia="zh-CN" w:bidi="zh-CN"/>
        </w:rPr>
        <w:t>“供应</w:t>
      </w:r>
      <w:r>
        <w:rPr>
          <w:sz w:val="21"/>
          <w:szCs w:val="21"/>
        </w:rPr>
        <w:t>商须知前附表</w:t>
      </w:r>
      <w:r>
        <w:rPr>
          <w:sz w:val="21"/>
          <w:szCs w:val="21"/>
          <w:lang w:val="zh-CN" w:eastAsia="zh-CN" w:bidi="zh-CN"/>
        </w:rPr>
        <w:t>”规</w:t>
      </w:r>
      <w:r>
        <w:rPr>
          <w:sz w:val="21"/>
          <w:szCs w:val="21"/>
        </w:rPr>
        <w:t>定的期限作出响应。</w:t>
      </w:r>
    </w:p>
    <w:p w14:paraId="12D341BE">
      <w:pPr>
        <w:pStyle w:val="37"/>
        <w:numPr>
          <w:ilvl w:val="0"/>
          <w:numId w:val="13"/>
        </w:numPr>
        <w:tabs>
          <w:tab w:val="left" w:pos="865"/>
        </w:tabs>
        <w:spacing w:after="160" w:line="405" w:lineRule="exact"/>
        <w:ind w:firstLine="420" w:firstLineChars="200"/>
        <w:jc w:val="both"/>
        <w:rPr>
          <w:sz w:val="21"/>
          <w:szCs w:val="21"/>
        </w:rPr>
      </w:pPr>
      <w:bookmarkStart w:id="97" w:name="bookmark116"/>
      <w:bookmarkEnd w:id="97"/>
      <w:r>
        <w:rPr>
          <w:sz w:val="21"/>
          <w:szCs w:val="21"/>
        </w:rPr>
        <w:t>3供应商的响应文件在竞标有效期内均保持有效。</w:t>
      </w:r>
    </w:p>
    <w:p w14:paraId="4BC40C2F">
      <w:pPr>
        <w:pStyle w:val="41"/>
        <w:keepNext/>
        <w:keepLines/>
        <w:tabs>
          <w:tab w:val="left" w:pos="955"/>
        </w:tabs>
        <w:spacing w:after="0"/>
        <w:ind w:left="500" w:firstLine="482" w:firstLineChars="200"/>
        <w:jc w:val="both"/>
        <w:rPr>
          <w:b/>
          <w:bCs/>
          <w:sz w:val="28"/>
          <w:szCs w:val="28"/>
        </w:rPr>
      </w:pPr>
      <w:bookmarkStart w:id="98" w:name="bookmark119"/>
      <w:bookmarkEnd w:id="98"/>
      <w:bookmarkStart w:id="99" w:name="bookmark118"/>
      <w:bookmarkStart w:id="100" w:name="bookmark117"/>
      <w:bookmarkStart w:id="101" w:name="bookmark120"/>
      <w:r>
        <w:rPr>
          <w:rFonts w:hint="eastAsia"/>
          <w:b/>
          <w:bCs/>
          <w:sz w:val="24"/>
          <w:szCs w:val="24"/>
          <w:lang w:val="en-US" w:eastAsia="zh-CN"/>
        </w:rPr>
        <w:t>17.</w:t>
      </w:r>
      <w:r>
        <w:rPr>
          <w:b/>
          <w:bCs/>
          <w:sz w:val="24"/>
          <w:szCs w:val="24"/>
        </w:rPr>
        <w:t>磋商保证金</w:t>
      </w:r>
      <w:bookmarkEnd w:id="99"/>
      <w:bookmarkEnd w:id="100"/>
      <w:bookmarkEnd w:id="101"/>
    </w:p>
    <w:p w14:paraId="74417436">
      <w:pPr>
        <w:pStyle w:val="37"/>
        <w:spacing w:after="160" w:line="420" w:lineRule="exact"/>
        <w:ind w:firstLine="420" w:firstLineChars="200"/>
        <w:jc w:val="both"/>
        <w:rPr>
          <w:sz w:val="21"/>
          <w:szCs w:val="21"/>
        </w:rPr>
      </w:pPr>
      <w:r>
        <w:rPr>
          <w:sz w:val="21"/>
          <w:szCs w:val="21"/>
        </w:rPr>
        <w:t>详见“供应商须知前附表”。</w:t>
      </w:r>
    </w:p>
    <w:p w14:paraId="772F864B">
      <w:pPr>
        <w:pStyle w:val="41"/>
        <w:keepNext/>
        <w:keepLines/>
        <w:tabs>
          <w:tab w:val="left" w:pos="955"/>
        </w:tabs>
        <w:spacing w:after="0"/>
        <w:ind w:left="500" w:firstLine="482" w:firstLineChars="200"/>
        <w:jc w:val="both"/>
        <w:rPr>
          <w:b/>
          <w:bCs/>
          <w:sz w:val="28"/>
          <w:szCs w:val="28"/>
        </w:rPr>
      </w:pPr>
      <w:bookmarkStart w:id="102" w:name="bookmark123"/>
      <w:bookmarkEnd w:id="102"/>
      <w:bookmarkStart w:id="103" w:name="bookmark122"/>
      <w:bookmarkStart w:id="104" w:name="bookmark124"/>
      <w:bookmarkStart w:id="105" w:name="bookmark121"/>
      <w:r>
        <w:rPr>
          <w:rFonts w:hint="eastAsia"/>
          <w:b/>
          <w:bCs/>
          <w:sz w:val="24"/>
          <w:szCs w:val="24"/>
          <w:lang w:val="en-US" w:eastAsia="zh-CN"/>
        </w:rPr>
        <w:t>18</w:t>
      </w:r>
      <w:r>
        <w:rPr>
          <w:rFonts w:hint="eastAsia"/>
          <w:b/>
          <w:bCs/>
          <w:sz w:val="28"/>
          <w:szCs w:val="28"/>
          <w:lang w:val="en-US" w:eastAsia="zh-CN"/>
        </w:rPr>
        <w:t>.</w:t>
      </w:r>
      <w:r>
        <w:rPr>
          <w:b/>
          <w:bCs/>
          <w:sz w:val="28"/>
          <w:szCs w:val="28"/>
        </w:rPr>
        <w:t>响应文磅制的要求</w:t>
      </w:r>
      <w:bookmarkEnd w:id="103"/>
      <w:bookmarkEnd w:id="104"/>
      <w:bookmarkEnd w:id="105"/>
    </w:p>
    <w:p w14:paraId="53E84FAD">
      <w:pPr>
        <w:pStyle w:val="37"/>
        <w:spacing w:line="420" w:lineRule="exact"/>
        <w:ind w:firstLine="420" w:firstLineChars="200"/>
        <w:jc w:val="both"/>
        <w:rPr>
          <w:sz w:val="21"/>
          <w:szCs w:val="21"/>
        </w:rPr>
      </w:pPr>
      <w:r>
        <w:rPr>
          <w:sz w:val="21"/>
          <w:szCs w:val="21"/>
          <w:lang w:val="en-US" w:eastAsia="zh-CN" w:bidi="en-US"/>
        </w:rPr>
        <w:t>18.1</w:t>
      </w:r>
      <w:r>
        <w:rPr>
          <w:sz w:val="21"/>
          <w:szCs w:val="21"/>
        </w:rPr>
        <w:t>各供应商在编制响应文件时请按照磋商文件“第五章响应文件格式〃规定的格式进行，混乱的 编排导致响应文件被误读或磋商小组查找不到有效文件是供应商的风险。不完整、编排混乱导致响应文件被误读、漏读或者查找不到相关内容的，由此引发的后果由供应商承担。</w:t>
      </w:r>
    </w:p>
    <w:p w14:paraId="0A3F430C">
      <w:pPr>
        <w:pStyle w:val="37"/>
        <w:numPr>
          <w:ilvl w:val="0"/>
          <w:numId w:val="14"/>
        </w:numPr>
        <w:tabs>
          <w:tab w:val="left" w:pos="860"/>
        </w:tabs>
        <w:spacing w:line="405" w:lineRule="exact"/>
        <w:ind w:firstLine="420" w:firstLineChars="200"/>
        <w:jc w:val="both"/>
        <w:rPr>
          <w:sz w:val="21"/>
          <w:szCs w:val="21"/>
        </w:rPr>
      </w:pPr>
      <w:bookmarkStart w:id="106" w:name="bookmark125"/>
      <w:bookmarkEnd w:id="106"/>
      <w:r>
        <w:rPr>
          <w:sz w:val="21"/>
          <w:szCs w:val="21"/>
        </w:rPr>
        <w:t>2响应文件应按资格证明、报价分别编制，商务技术文件合并编制，本磋商只接受电子版响应文件, 要求见本</w:t>
      </w:r>
      <w:r>
        <w:rPr>
          <w:rFonts w:hint="eastAsia"/>
          <w:sz w:val="21"/>
          <w:szCs w:val="21"/>
          <w:lang w:eastAsia="zh-CN"/>
        </w:rPr>
        <w:t>章</w:t>
      </w:r>
      <w:r>
        <w:rPr>
          <w:sz w:val="21"/>
          <w:szCs w:val="21"/>
          <w:lang w:val="en-US" w:eastAsia="zh-CN" w:bidi="en-US"/>
        </w:rPr>
        <w:t>“12.2</w:t>
      </w:r>
      <w:r>
        <w:rPr>
          <w:sz w:val="21"/>
          <w:szCs w:val="21"/>
        </w:rPr>
        <w:t>响应文件电子版要求”。</w:t>
      </w:r>
    </w:p>
    <w:p w14:paraId="0EF9D969">
      <w:pPr>
        <w:pStyle w:val="37"/>
        <w:numPr>
          <w:ilvl w:val="0"/>
          <w:numId w:val="15"/>
        </w:numPr>
        <w:tabs>
          <w:tab w:val="left" w:pos="860"/>
        </w:tabs>
        <w:spacing w:line="435" w:lineRule="exact"/>
        <w:ind w:firstLine="420" w:firstLineChars="200"/>
        <w:jc w:val="both"/>
        <w:rPr>
          <w:sz w:val="21"/>
          <w:szCs w:val="21"/>
        </w:rPr>
      </w:pPr>
      <w:bookmarkStart w:id="107" w:name="bookmark126"/>
      <w:bookmarkEnd w:id="107"/>
      <w:r>
        <w:rPr>
          <w:sz w:val="21"/>
          <w:szCs w:val="21"/>
        </w:rPr>
        <w:t>3响应文件须由供应商在“第五章响应文件格式</w:t>
      </w:r>
      <w:r>
        <w:rPr>
          <w:sz w:val="21"/>
          <w:szCs w:val="21"/>
          <w:lang w:val="zh-CN" w:eastAsia="zh-CN" w:bidi="zh-CN"/>
        </w:rPr>
        <w:t>”规</w:t>
      </w:r>
      <w:r>
        <w:rPr>
          <w:sz w:val="21"/>
          <w:szCs w:val="21"/>
        </w:rPr>
        <w:t>定位置进行签署、盖</w:t>
      </w:r>
      <w:r>
        <w:rPr>
          <w:rFonts w:hint="eastAsia"/>
          <w:sz w:val="21"/>
          <w:szCs w:val="21"/>
          <w:lang w:eastAsia="zh-CN"/>
        </w:rPr>
        <w:t>章</w:t>
      </w:r>
      <w:r>
        <w:rPr>
          <w:sz w:val="21"/>
          <w:szCs w:val="21"/>
        </w:rPr>
        <w:t>，否则其响应文件按 无效响应处理。骑缝盖公章不视为在规定位置盖</w:t>
      </w:r>
      <w:r>
        <w:rPr>
          <w:rFonts w:hint="eastAsia"/>
          <w:sz w:val="21"/>
          <w:szCs w:val="21"/>
          <w:lang w:eastAsia="zh-CN"/>
        </w:rPr>
        <w:t>章</w:t>
      </w:r>
      <w:r>
        <w:rPr>
          <w:sz w:val="21"/>
          <w:szCs w:val="21"/>
        </w:rPr>
        <w:t>。</w:t>
      </w:r>
    </w:p>
    <w:p w14:paraId="1007204F">
      <w:pPr>
        <w:pStyle w:val="37"/>
        <w:spacing w:line="435" w:lineRule="exact"/>
        <w:ind w:firstLine="420" w:firstLineChars="200"/>
        <w:jc w:val="both"/>
        <w:rPr>
          <w:sz w:val="21"/>
          <w:szCs w:val="21"/>
        </w:rPr>
      </w:pPr>
      <w:r>
        <w:rPr>
          <w:sz w:val="21"/>
          <w:szCs w:val="21"/>
          <w:lang w:val="en-US" w:eastAsia="zh-CN" w:bidi="en-US"/>
        </w:rPr>
        <w:t xml:space="preserve">18. </w:t>
      </w:r>
      <w:r>
        <w:rPr>
          <w:sz w:val="21"/>
          <w:szCs w:val="21"/>
        </w:rPr>
        <w:t>4响应文件中标注的供应商名称应与营业执照（事业单位法人证书、执业许可证、自然人身份证） 及电子公</w:t>
      </w:r>
      <w:r>
        <w:rPr>
          <w:rFonts w:hint="eastAsia"/>
          <w:sz w:val="21"/>
          <w:szCs w:val="21"/>
          <w:lang w:eastAsia="zh-CN"/>
        </w:rPr>
        <w:t>章</w:t>
      </w:r>
      <w:r>
        <w:rPr>
          <w:sz w:val="21"/>
          <w:szCs w:val="21"/>
        </w:rPr>
        <w:t>一致，否则其响应文件按无效响应处理。</w:t>
      </w:r>
    </w:p>
    <w:p w14:paraId="2F7F0821">
      <w:pPr>
        <w:pStyle w:val="37"/>
        <w:numPr>
          <w:ilvl w:val="0"/>
          <w:numId w:val="16"/>
        </w:numPr>
        <w:tabs>
          <w:tab w:val="left" w:pos="865"/>
        </w:tabs>
        <w:spacing w:after="80" w:line="420" w:lineRule="exact"/>
        <w:ind w:firstLine="420" w:firstLineChars="200"/>
        <w:jc w:val="both"/>
        <w:rPr>
          <w:sz w:val="21"/>
          <w:szCs w:val="21"/>
        </w:rPr>
      </w:pPr>
      <w:bookmarkStart w:id="108" w:name="bookmark127"/>
      <w:bookmarkEnd w:id="108"/>
      <w:r>
        <w:rPr>
          <w:sz w:val="21"/>
          <w:szCs w:val="21"/>
        </w:rPr>
        <w:t>5响应文件应避免涂改、行间插字或者删除，否则其响应文件按无效响应处理。</w:t>
      </w:r>
    </w:p>
    <w:p w14:paraId="25A86F2A">
      <w:pPr>
        <w:pStyle w:val="41"/>
        <w:keepNext/>
        <w:keepLines/>
        <w:numPr>
          <w:ilvl w:val="0"/>
          <w:numId w:val="16"/>
        </w:numPr>
        <w:tabs>
          <w:tab w:val="left" w:pos="955"/>
        </w:tabs>
        <w:spacing w:after="0"/>
        <w:ind w:firstLine="562" w:firstLineChars="200"/>
        <w:jc w:val="both"/>
        <w:rPr>
          <w:b/>
          <w:bCs/>
          <w:sz w:val="28"/>
          <w:szCs w:val="28"/>
        </w:rPr>
      </w:pPr>
      <w:bookmarkStart w:id="109" w:name="bookmark130"/>
      <w:bookmarkEnd w:id="109"/>
      <w:bookmarkStart w:id="110" w:name="bookmark128"/>
      <w:bookmarkStart w:id="111" w:name="bookmark129"/>
      <w:bookmarkStart w:id="112" w:name="bookmark131"/>
      <w:r>
        <w:rPr>
          <w:b/>
          <w:bCs/>
          <w:sz w:val="28"/>
          <w:szCs w:val="28"/>
        </w:rPr>
        <w:t>响应文件的密封和标记</w:t>
      </w:r>
      <w:bookmarkEnd w:id="110"/>
      <w:bookmarkEnd w:id="111"/>
      <w:bookmarkEnd w:id="112"/>
    </w:p>
    <w:p w14:paraId="4CA9E715">
      <w:pPr>
        <w:pStyle w:val="37"/>
        <w:spacing w:line="405" w:lineRule="exact"/>
        <w:ind w:firstLine="420" w:firstLineChars="200"/>
        <w:jc w:val="both"/>
        <w:rPr>
          <w:sz w:val="21"/>
          <w:szCs w:val="21"/>
        </w:rPr>
      </w:pPr>
      <w:r>
        <w:rPr>
          <w:sz w:val="21"/>
          <w:szCs w:val="21"/>
          <w:lang w:val="en-US" w:eastAsia="zh-CN" w:bidi="en-US"/>
        </w:rPr>
        <w:t>19.1</w:t>
      </w:r>
      <w:r>
        <w:rPr>
          <w:sz w:val="21"/>
          <w:szCs w:val="21"/>
        </w:rPr>
        <w:t>供应商进行电子交易应安装客户端软件一</w:t>
      </w:r>
      <w:r>
        <w:rPr>
          <w:sz w:val="21"/>
          <w:szCs w:val="21"/>
          <w:lang w:val="zh-CN" w:eastAsia="zh-CN" w:bidi="zh-CN"/>
        </w:rPr>
        <w:t>“</w:t>
      </w:r>
      <w:r>
        <w:rPr>
          <w:rFonts w:hint="eastAsia"/>
          <w:sz w:val="21"/>
          <w:szCs w:val="21"/>
          <w:lang w:val="zh-CN" w:eastAsia="zh-CN" w:bidi="zh-CN"/>
        </w:rPr>
        <w:t>广西政府采购云平台</w:t>
      </w:r>
      <w:r>
        <w:rPr>
          <w:sz w:val="21"/>
          <w:szCs w:val="21"/>
        </w:rPr>
        <w:t>电子交易客户端〃，并按照磋商文件和电子交 易平台的要求编制并加密响应文件。供应商未按规定加密的响应文件，电子交易平台将拒收并提示。</w:t>
      </w:r>
    </w:p>
    <w:p w14:paraId="085EE007">
      <w:pPr>
        <w:pStyle w:val="37"/>
        <w:numPr>
          <w:ilvl w:val="0"/>
          <w:numId w:val="15"/>
        </w:numPr>
        <w:tabs>
          <w:tab w:val="left" w:pos="865"/>
        </w:tabs>
        <w:spacing w:line="435" w:lineRule="exact"/>
        <w:ind w:firstLine="420" w:firstLineChars="200"/>
        <w:jc w:val="both"/>
        <w:rPr>
          <w:sz w:val="21"/>
          <w:szCs w:val="21"/>
        </w:rPr>
      </w:pPr>
      <w:bookmarkStart w:id="113" w:name="bookmark132"/>
      <w:bookmarkEnd w:id="113"/>
      <w:r>
        <w:rPr>
          <w:sz w:val="21"/>
          <w:szCs w:val="21"/>
        </w:rPr>
        <w:t>2使用</w:t>
      </w:r>
      <w:r>
        <w:rPr>
          <w:sz w:val="21"/>
          <w:szCs w:val="21"/>
          <w:lang w:val="zh-CN" w:eastAsia="zh-CN" w:bidi="zh-CN"/>
        </w:rPr>
        <w:t>“</w:t>
      </w:r>
      <w:r>
        <w:rPr>
          <w:rFonts w:hint="eastAsia"/>
          <w:sz w:val="21"/>
          <w:szCs w:val="21"/>
          <w:lang w:val="zh-CN" w:eastAsia="zh-CN" w:bidi="zh-CN"/>
        </w:rPr>
        <w:t>广西政府采购云平台</w:t>
      </w:r>
      <w:r>
        <w:rPr>
          <w:sz w:val="21"/>
          <w:szCs w:val="21"/>
        </w:rPr>
        <w:t>电子交易客户端”需要提前申领</w:t>
      </w:r>
      <w:r>
        <w:rPr>
          <w:sz w:val="21"/>
          <w:szCs w:val="21"/>
          <w:lang w:val="en-US" w:eastAsia="zh-CN" w:bidi="en-US"/>
        </w:rPr>
        <w:t>CA</w:t>
      </w:r>
      <w:r>
        <w:rPr>
          <w:sz w:val="21"/>
          <w:szCs w:val="21"/>
        </w:rPr>
        <w:t>数字证书，申领流程见该项目采购公告。</w:t>
      </w:r>
    </w:p>
    <w:p w14:paraId="22EE544C">
      <w:pPr>
        <w:pStyle w:val="37"/>
        <w:numPr>
          <w:ilvl w:val="0"/>
          <w:numId w:val="14"/>
        </w:numPr>
        <w:tabs>
          <w:tab w:val="left" w:pos="860"/>
        </w:tabs>
        <w:spacing w:after="160" w:line="435" w:lineRule="exact"/>
        <w:ind w:firstLine="420" w:firstLineChars="200"/>
        <w:jc w:val="both"/>
        <w:rPr>
          <w:sz w:val="21"/>
          <w:szCs w:val="21"/>
        </w:rPr>
      </w:pPr>
      <w:bookmarkStart w:id="114" w:name="bookmark133"/>
      <w:bookmarkEnd w:id="114"/>
      <w:r>
        <w:rPr>
          <w:sz w:val="21"/>
          <w:szCs w:val="21"/>
        </w:rPr>
        <w:t>3为确保网上操作合法、有效和安全，供应商应当在响应文件提交截止时间前完成在</w:t>
      </w:r>
      <w:r>
        <w:rPr>
          <w:sz w:val="21"/>
          <w:szCs w:val="21"/>
          <w:lang w:val="zh-CN" w:eastAsia="zh-CN" w:bidi="zh-CN"/>
        </w:rPr>
        <w:t>“政府</w:t>
      </w:r>
      <w:r>
        <w:rPr>
          <w:sz w:val="21"/>
          <w:szCs w:val="21"/>
        </w:rPr>
        <w:t>采购云平台”的身份认证，确保在电子交易过程中能够对相关数据电文进行加密和使用电子签名。</w:t>
      </w:r>
    </w:p>
    <w:p w14:paraId="058FF885">
      <w:pPr>
        <w:pStyle w:val="41"/>
        <w:keepNext/>
        <w:keepLines/>
        <w:numPr>
          <w:ilvl w:val="0"/>
          <w:numId w:val="14"/>
        </w:numPr>
        <w:tabs>
          <w:tab w:val="left" w:pos="970"/>
        </w:tabs>
        <w:spacing w:after="0"/>
        <w:ind w:firstLine="562" w:firstLineChars="200"/>
        <w:jc w:val="both"/>
        <w:rPr>
          <w:b/>
          <w:bCs/>
          <w:sz w:val="28"/>
          <w:szCs w:val="28"/>
        </w:rPr>
      </w:pPr>
      <w:bookmarkStart w:id="115" w:name="bookmark136"/>
      <w:bookmarkEnd w:id="115"/>
      <w:bookmarkStart w:id="116" w:name="bookmark137"/>
      <w:bookmarkStart w:id="117" w:name="bookmark135"/>
      <w:bookmarkStart w:id="118" w:name="bookmark134"/>
      <w:r>
        <w:rPr>
          <w:b/>
          <w:bCs/>
          <w:sz w:val="28"/>
          <w:szCs w:val="28"/>
        </w:rPr>
        <w:t>响应文件的提交</w:t>
      </w:r>
      <w:bookmarkEnd w:id="116"/>
      <w:bookmarkEnd w:id="117"/>
      <w:bookmarkEnd w:id="118"/>
    </w:p>
    <w:p w14:paraId="6683E67B">
      <w:pPr>
        <w:pStyle w:val="37"/>
        <w:spacing w:line="420" w:lineRule="exact"/>
        <w:ind w:firstLine="420" w:firstLineChars="200"/>
        <w:jc w:val="both"/>
        <w:rPr>
          <w:sz w:val="21"/>
          <w:szCs w:val="21"/>
        </w:rPr>
      </w:pPr>
      <w:r>
        <w:rPr>
          <w:sz w:val="21"/>
          <w:szCs w:val="21"/>
          <w:lang w:val="en-US" w:eastAsia="zh-CN" w:bidi="en-US"/>
        </w:rPr>
        <w:t>20.</w:t>
      </w:r>
      <w:r>
        <w:rPr>
          <w:sz w:val="21"/>
          <w:szCs w:val="21"/>
        </w:rPr>
        <w:t>1供应商必须在</w:t>
      </w:r>
      <w:r>
        <w:rPr>
          <w:sz w:val="21"/>
          <w:szCs w:val="21"/>
          <w:lang w:val="zh-CN" w:eastAsia="zh-CN" w:bidi="zh-CN"/>
        </w:rPr>
        <w:t>“供应</w:t>
      </w:r>
      <w:r>
        <w:rPr>
          <w:sz w:val="21"/>
          <w:szCs w:val="21"/>
        </w:rPr>
        <w:t>商须知前附表</w:t>
      </w:r>
      <w:r>
        <w:rPr>
          <w:sz w:val="21"/>
          <w:szCs w:val="21"/>
          <w:lang w:val="zh-CN" w:eastAsia="zh-CN" w:bidi="zh-CN"/>
        </w:rPr>
        <w:t>”规</w:t>
      </w:r>
      <w:r>
        <w:rPr>
          <w:sz w:val="21"/>
          <w:szCs w:val="21"/>
        </w:rPr>
        <w:t>定的时间和地点提交响应文件。</w:t>
      </w:r>
    </w:p>
    <w:p w14:paraId="1B0DC376">
      <w:pPr>
        <w:pStyle w:val="37"/>
        <w:spacing w:line="420" w:lineRule="exact"/>
        <w:ind w:firstLine="420" w:firstLineChars="200"/>
        <w:jc w:val="both"/>
        <w:rPr>
          <w:sz w:val="21"/>
          <w:szCs w:val="21"/>
        </w:rPr>
      </w:pPr>
      <w:r>
        <w:rPr>
          <w:sz w:val="21"/>
          <w:szCs w:val="21"/>
          <w:lang w:val="en-US" w:eastAsia="zh-CN" w:bidi="en-US"/>
        </w:rPr>
        <w:t>20.2</w:t>
      </w:r>
      <w:r>
        <w:rPr>
          <w:sz w:val="21"/>
          <w:szCs w:val="21"/>
        </w:rPr>
        <w:t>在响应文件提交截止时间以后，不能补充、修改响应文件。</w:t>
      </w:r>
    </w:p>
    <w:p w14:paraId="34F026BE">
      <w:pPr>
        <w:pStyle w:val="37"/>
        <w:numPr>
          <w:ilvl w:val="0"/>
          <w:numId w:val="15"/>
        </w:numPr>
        <w:tabs>
          <w:tab w:val="left" w:pos="880"/>
        </w:tabs>
        <w:spacing w:line="420" w:lineRule="exact"/>
        <w:ind w:firstLine="420" w:firstLineChars="200"/>
        <w:jc w:val="both"/>
        <w:rPr>
          <w:sz w:val="21"/>
          <w:szCs w:val="21"/>
        </w:rPr>
      </w:pPr>
      <w:bookmarkStart w:id="119" w:name="bookmark138"/>
      <w:bookmarkEnd w:id="119"/>
      <w:r>
        <w:rPr>
          <w:sz w:val="21"/>
          <w:szCs w:val="21"/>
        </w:rPr>
        <w:t>3在提交</w:t>
      </w:r>
      <w:r>
        <w:rPr>
          <w:sz w:val="21"/>
          <w:szCs w:val="21"/>
          <w:lang w:val="zh-CN" w:eastAsia="zh-CN" w:bidi="zh-CN"/>
        </w:rPr>
        <w:t>“最</w:t>
      </w:r>
      <w:r>
        <w:rPr>
          <w:sz w:val="21"/>
          <w:szCs w:val="21"/>
        </w:rPr>
        <w:t>后报价</w:t>
      </w:r>
      <w:r>
        <w:rPr>
          <w:sz w:val="21"/>
          <w:szCs w:val="21"/>
          <w:lang w:val="zh-CN" w:eastAsia="zh-CN" w:bidi="zh-CN"/>
        </w:rPr>
        <w:t>”后，</w:t>
      </w:r>
      <w:r>
        <w:rPr>
          <w:sz w:val="21"/>
          <w:szCs w:val="21"/>
        </w:rPr>
        <w:t>供应商不能退出磋商。</w:t>
      </w:r>
    </w:p>
    <w:p w14:paraId="42CD8667">
      <w:pPr>
        <w:pStyle w:val="37"/>
        <w:spacing w:after="160" w:line="420" w:lineRule="exact"/>
        <w:ind w:firstLine="420" w:firstLineChars="200"/>
        <w:jc w:val="both"/>
        <w:rPr>
          <w:sz w:val="21"/>
          <w:szCs w:val="21"/>
        </w:rPr>
      </w:pPr>
      <w:r>
        <w:rPr>
          <w:sz w:val="21"/>
          <w:szCs w:val="21"/>
          <w:lang w:val="en-US" w:eastAsia="zh-CN" w:bidi="en-US"/>
        </w:rPr>
        <w:t>20.4</w:t>
      </w:r>
      <w:r>
        <w:rPr>
          <w:sz w:val="21"/>
          <w:szCs w:val="21"/>
        </w:rPr>
        <w:t>电子交易平台收到响应文件，将妥善保存并即时向供应商发出确认回执通知。在响应文件提交 截止时间前，除供应商补充、修改或者撤回响应文件外，任何单位和个人不得解密或提职响应文件。</w:t>
      </w:r>
    </w:p>
    <w:p w14:paraId="650AD1D8">
      <w:pPr>
        <w:pStyle w:val="37"/>
        <w:spacing w:after="160" w:line="240" w:lineRule="auto"/>
        <w:ind w:firstLine="420" w:firstLineChars="200"/>
        <w:jc w:val="both"/>
        <w:rPr>
          <w:sz w:val="21"/>
          <w:szCs w:val="21"/>
        </w:rPr>
      </w:pPr>
      <w:r>
        <w:rPr>
          <w:sz w:val="21"/>
          <w:szCs w:val="21"/>
          <w:lang w:val="en-US" w:eastAsia="zh-CN" w:bidi="en-US"/>
        </w:rPr>
        <w:t>20.5</w:t>
      </w:r>
      <w:r>
        <w:rPr>
          <w:sz w:val="21"/>
          <w:szCs w:val="21"/>
        </w:rPr>
        <w:t>采购机构不可视情况延长提交响应文件的截止时间。</w:t>
      </w:r>
    </w:p>
    <w:p w14:paraId="729D53C5">
      <w:pPr>
        <w:pStyle w:val="37"/>
        <w:spacing w:after="80" w:line="240" w:lineRule="auto"/>
        <w:ind w:firstLine="420" w:firstLineChars="200"/>
        <w:jc w:val="both"/>
        <w:rPr>
          <w:i/>
          <w:iCs/>
          <w:sz w:val="21"/>
          <w:szCs w:val="21"/>
        </w:rPr>
      </w:pPr>
      <w:r>
        <w:rPr>
          <w:sz w:val="21"/>
          <w:szCs w:val="21"/>
          <w:lang w:val="en-US" w:eastAsia="zh-CN" w:bidi="en-US"/>
        </w:rPr>
        <w:t>20.</w:t>
      </w:r>
      <w:r>
        <w:rPr>
          <w:sz w:val="21"/>
          <w:szCs w:val="21"/>
        </w:rPr>
        <w:t>6备份响应文件。详见在</w:t>
      </w:r>
      <w:r>
        <w:rPr>
          <w:sz w:val="21"/>
          <w:szCs w:val="21"/>
          <w:lang w:val="zh-CN" w:eastAsia="zh-CN" w:bidi="zh-CN"/>
        </w:rPr>
        <w:t>“供</w:t>
      </w:r>
      <w:r>
        <w:rPr>
          <w:sz w:val="21"/>
          <w:szCs w:val="21"/>
        </w:rPr>
        <w:t>应商须知前附表”</w:t>
      </w:r>
      <w:r>
        <w:rPr>
          <w:i/>
          <w:iCs/>
          <w:sz w:val="21"/>
          <w:szCs w:val="21"/>
        </w:rPr>
        <w:t>。</w:t>
      </w:r>
    </w:p>
    <w:p w14:paraId="65600145">
      <w:pPr>
        <w:pStyle w:val="41"/>
        <w:keepNext/>
        <w:keepLines/>
        <w:tabs>
          <w:tab w:val="left" w:pos="970"/>
        </w:tabs>
        <w:spacing w:after="0"/>
        <w:ind w:left="500" w:firstLine="562" w:firstLineChars="200"/>
        <w:jc w:val="both"/>
        <w:rPr>
          <w:b/>
          <w:bCs/>
          <w:sz w:val="28"/>
          <w:szCs w:val="28"/>
        </w:rPr>
      </w:pPr>
      <w:bookmarkStart w:id="120" w:name="bookmark141"/>
      <w:bookmarkEnd w:id="120"/>
      <w:bookmarkStart w:id="121" w:name="bookmark140"/>
      <w:bookmarkStart w:id="122" w:name="bookmark139"/>
      <w:bookmarkStart w:id="123" w:name="bookmark142"/>
      <w:r>
        <w:rPr>
          <w:rFonts w:hint="eastAsia"/>
          <w:b/>
          <w:bCs/>
          <w:sz w:val="28"/>
          <w:szCs w:val="28"/>
          <w:lang w:val="en-US" w:eastAsia="zh-CN"/>
        </w:rPr>
        <w:t>21.</w:t>
      </w:r>
      <w:r>
        <w:rPr>
          <w:b/>
          <w:bCs/>
          <w:sz w:val="28"/>
          <w:szCs w:val="28"/>
        </w:rPr>
        <w:t>首次响应文件的补充、修改与撤回</w:t>
      </w:r>
      <w:bookmarkEnd w:id="121"/>
      <w:bookmarkEnd w:id="122"/>
      <w:bookmarkEnd w:id="123"/>
    </w:p>
    <w:p w14:paraId="7A66466D">
      <w:pPr>
        <w:pStyle w:val="37"/>
        <w:spacing w:after="60" w:line="415" w:lineRule="exact"/>
        <w:ind w:firstLine="420" w:firstLineChars="200"/>
        <w:jc w:val="both"/>
        <w:rPr>
          <w:sz w:val="21"/>
          <w:szCs w:val="21"/>
        </w:rPr>
      </w:pPr>
      <w:r>
        <w:rPr>
          <w:sz w:val="21"/>
          <w:szCs w:val="21"/>
        </w:rPr>
        <w:t>详见“供应商须知前附表”。</w:t>
      </w:r>
    </w:p>
    <w:p w14:paraId="69A41FE6">
      <w:pPr>
        <w:pStyle w:val="41"/>
        <w:keepNext/>
        <w:keepLines/>
        <w:tabs>
          <w:tab w:val="left" w:pos="970"/>
        </w:tabs>
        <w:spacing w:after="0"/>
        <w:ind w:left="500" w:firstLine="562" w:firstLineChars="200"/>
        <w:jc w:val="both"/>
        <w:rPr>
          <w:b/>
          <w:bCs/>
          <w:sz w:val="28"/>
          <w:szCs w:val="28"/>
        </w:rPr>
      </w:pPr>
      <w:bookmarkStart w:id="124" w:name="bookmark145"/>
      <w:bookmarkEnd w:id="124"/>
      <w:bookmarkStart w:id="125" w:name="bookmark146"/>
      <w:bookmarkStart w:id="126" w:name="bookmark144"/>
      <w:bookmarkStart w:id="127" w:name="bookmark143"/>
      <w:r>
        <w:rPr>
          <w:rFonts w:hint="eastAsia"/>
          <w:b/>
          <w:bCs/>
          <w:sz w:val="28"/>
          <w:szCs w:val="28"/>
          <w:lang w:val="en-US" w:eastAsia="zh-CN"/>
        </w:rPr>
        <w:t>22.</w:t>
      </w:r>
      <w:r>
        <w:rPr>
          <w:b/>
          <w:bCs/>
          <w:sz w:val="28"/>
          <w:szCs w:val="28"/>
        </w:rPr>
        <w:t>首次响应文件的退回</w:t>
      </w:r>
      <w:bookmarkEnd w:id="125"/>
      <w:bookmarkEnd w:id="126"/>
      <w:bookmarkEnd w:id="127"/>
    </w:p>
    <w:p w14:paraId="68C72196">
      <w:pPr>
        <w:pStyle w:val="37"/>
        <w:spacing w:after="60" w:line="435" w:lineRule="exact"/>
        <w:ind w:firstLine="420" w:firstLineChars="200"/>
        <w:jc w:val="both"/>
        <w:rPr>
          <w:sz w:val="21"/>
          <w:szCs w:val="21"/>
        </w:rPr>
      </w:pPr>
      <w:r>
        <w:rPr>
          <w:sz w:val="21"/>
          <w:szCs w:val="21"/>
        </w:rPr>
        <w:t>在首次响应文件提交截止时间止提交响应文件的供应商不足3家时电子响应文件由代理机构在</w:t>
      </w:r>
      <w:r>
        <w:rPr>
          <w:sz w:val="21"/>
          <w:szCs w:val="21"/>
          <w:lang w:val="zh-CN" w:eastAsia="zh-CN" w:bidi="zh-CN"/>
        </w:rPr>
        <w:t xml:space="preserve">“政采 </w:t>
      </w:r>
      <w:r>
        <w:rPr>
          <w:sz w:val="21"/>
          <w:szCs w:val="21"/>
        </w:rPr>
        <w:t>云”平台操作退回，除此之外采购人和采购代理机构对已提交的电子响应文件概不退回。</w:t>
      </w:r>
    </w:p>
    <w:p w14:paraId="54C0931C">
      <w:pPr>
        <w:pStyle w:val="41"/>
        <w:keepNext/>
        <w:keepLines/>
        <w:tabs>
          <w:tab w:val="left" w:pos="970"/>
        </w:tabs>
        <w:spacing w:after="0"/>
        <w:ind w:left="500" w:firstLine="562" w:firstLineChars="200"/>
        <w:jc w:val="both"/>
        <w:rPr>
          <w:b/>
          <w:bCs/>
          <w:sz w:val="28"/>
          <w:szCs w:val="28"/>
        </w:rPr>
      </w:pPr>
      <w:bookmarkStart w:id="128" w:name="bookmark149"/>
      <w:bookmarkEnd w:id="128"/>
      <w:bookmarkStart w:id="129" w:name="bookmark148"/>
      <w:bookmarkStart w:id="130" w:name="bookmark150"/>
      <w:bookmarkStart w:id="131" w:name="bookmark147"/>
      <w:r>
        <w:rPr>
          <w:rFonts w:hint="eastAsia"/>
          <w:b/>
          <w:bCs/>
          <w:sz w:val="28"/>
          <w:szCs w:val="28"/>
          <w:lang w:val="en-US" w:eastAsia="zh-CN"/>
        </w:rPr>
        <w:t>23.</w:t>
      </w:r>
      <w:r>
        <w:rPr>
          <w:b/>
          <w:bCs/>
          <w:sz w:val="28"/>
          <w:szCs w:val="28"/>
        </w:rPr>
        <w:t>截止时间后的撤回</w:t>
      </w:r>
      <w:bookmarkEnd w:id="129"/>
      <w:bookmarkEnd w:id="130"/>
      <w:bookmarkEnd w:id="131"/>
    </w:p>
    <w:p w14:paraId="4C741F8E">
      <w:pPr>
        <w:pStyle w:val="37"/>
        <w:spacing w:after="180" w:line="405" w:lineRule="exact"/>
        <w:ind w:firstLine="420" w:firstLineChars="200"/>
        <w:jc w:val="both"/>
        <w:rPr>
          <w:sz w:val="21"/>
          <w:szCs w:val="21"/>
        </w:rPr>
      </w:pPr>
      <w:r>
        <w:rPr>
          <w:sz w:val="21"/>
          <w:szCs w:val="21"/>
        </w:rPr>
        <w:t>本项目不收取磋商保证金，供应商在首次响应文件提交截止时间后可向采购人、采购代理机构书面申 请撤回电子响应文件。</w:t>
      </w:r>
    </w:p>
    <w:p w14:paraId="3BE0F65E">
      <w:pPr>
        <w:pStyle w:val="41"/>
        <w:keepNext/>
        <w:keepLines/>
        <w:spacing w:after="180"/>
        <w:ind w:firstLine="562" w:firstLineChars="200"/>
        <w:jc w:val="left"/>
        <w:rPr>
          <w:b/>
          <w:bCs/>
          <w:sz w:val="28"/>
          <w:szCs w:val="28"/>
        </w:rPr>
      </w:pPr>
      <w:bookmarkStart w:id="132" w:name="bookmark153"/>
      <w:bookmarkStart w:id="133" w:name="bookmark154"/>
      <w:bookmarkStart w:id="134" w:name="bookmark151"/>
      <w:bookmarkStart w:id="135" w:name="bookmark152"/>
      <w:r>
        <w:rPr>
          <w:b/>
          <w:bCs/>
          <w:sz w:val="28"/>
          <w:szCs w:val="28"/>
        </w:rPr>
        <w:t>四</w:t>
      </w:r>
      <w:bookmarkEnd w:id="132"/>
      <w:r>
        <w:rPr>
          <w:b/>
          <w:bCs/>
          <w:sz w:val="28"/>
          <w:szCs w:val="28"/>
        </w:rPr>
        <w:t>、评审及磋商</w:t>
      </w:r>
      <w:bookmarkEnd w:id="133"/>
    </w:p>
    <w:p w14:paraId="53F04B45">
      <w:pPr>
        <w:pStyle w:val="41"/>
        <w:keepNext/>
        <w:keepLines/>
        <w:tabs>
          <w:tab w:val="left" w:pos="970"/>
        </w:tabs>
        <w:spacing w:after="0"/>
        <w:ind w:left="500" w:firstLine="562" w:firstLineChars="200"/>
        <w:jc w:val="both"/>
        <w:rPr>
          <w:b/>
          <w:bCs/>
          <w:sz w:val="28"/>
          <w:szCs w:val="28"/>
        </w:rPr>
      </w:pPr>
      <w:bookmarkStart w:id="136" w:name="bookmark155"/>
      <w:bookmarkEnd w:id="136"/>
      <w:bookmarkStart w:id="137" w:name="bookmark156"/>
      <w:r>
        <w:rPr>
          <w:rFonts w:hint="eastAsia"/>
          <w:b/>
          <w:bCs/>
          <w:sz w:val="28"/>
          <w:szCs w:val="28"/>
          <w:lang w:val="en-US" w:eastAsia="zh-CN"/>
        </w:rPr>
        <w:t>24.</w:t>
      </w:r>
      <w:r>
        <w:rPr>
          <w:b/>
          <w:bCs/>
          <w:sz w:val="28"/>
          <w:szCs w:val="28"/>
        </w:rPr>
        <w:t>磋商</w:t>
      </w:r>
      <w:r>
        <w:rPr>
          <w:rFonts w:hint="eastAsia"/>
          <w:b/>
          <w:bCs/>
          <w:sz w:val="28"/>
          <w:szCs w:val="28"/>
          <w:lang w:eastAsia="zh-CN"/>
        </w:rPr>
        <w:t>小组</w:t>
      </w:r>
      <w:r>
        <w:rPr>
          <w:b/>
          <w:bCs/>
          <w:sz w:val="28"/>
          <w:szCs w:val="28"/>
        </w:rPr>
        <w:t>成立</w:t>
      </w:r>
      <w:bookmarkEnd w:id="134"/>
      <w:bookmarkEnd w:id="135"/>
      <w:bookmarkEnd w:id="137"/>
    </w:p>
    <w:p w14:paraId="12FF6843">
      <w:pPr>
        <w:pStyle w:val="37"/>
        <w:spacing w:line="415" w:lineRule="exact"/>
        <w:ind w:firstLine="420" w:firstLineChars="200"/>
        <w:jc w:val="both"/>
        <w:rPr>
          <w:sz w:val="21"/>
          <w:szCs w:val="21"/>
        </w:rPr>
      </w:pPr>
      <w:r>
        <w:rPr>
          <w:sz w:val="21"/>
          <w:szCs w:val="21"/>
          <w:lang w:val="en-US" w:eastAsia="zh-CN" w:bidi="en-US"/>
        </w:rPr>
        <w:t>24.</w:t>
      </w:r>
      <w:r>
        <w:rPr>
          <w:sz w:val="21"/>
          <w:szCs w:val="21"/>
        </w:rPr>
        <w:t>1磋商小组由采购人代表和评审专家共3人以上单数组成，其中评审专家人数不得少于磋商小组成 员总数的2/3。采购人代表不得以评审专家身份参加本部门或者本单位采购项目的评</w:t>
      </w:r>
      <w:r>
        <w:rPr>
          <w:rFonts w:hint="eastAsia"/>
          <w:sz w:val="21"/>
          <w:szCs w:val="21"/>
          <w:lang w:eastAsia="zh-CN"/>
        </w:rPr>
        <w:t>审</w:t>
      </w:r>
      <w:r>
        <w:rPr>
          <w:sz w:val="21"/>
          <w:szCs w:val="21"/>
        </w:rPr>
        <w:t>。采购代理机构人 员不得</w:t>
      </w:r>
      <w:r>
        <w:rPr>
          <w:sz w:val="21"/>
          <w:szCs w:val="21"/>
          <w:lang w:val="zh-CN" w:eastAsia="zh-CN" w:bidi="zh-CN"/>
        </w:rPr>
        <w:t>参加本</w:t>
      </w:r>
      <w:r>
        <w:rPr>
          <w:sz w:val="21"/>
          <w:szCs w:val="21"/>
        </w:rPr>
        <w:t>机构代理的采购项目的评审。达到公幵招标数额标准的货物或者服务采购项目，或者达到公 开招标规模标准的政府采购工程，经批准采用竟争性磋商方式采购的，磋商小组由5人以上单数组成。</w:t>
      </w:r>
    </w:p>
    <w:p w14:paraId="53E30F08">
      <w:pPr>
        <w:pStyle w:val="37"/>
        <w:numPr>
          <w:ilvl w:val="0"/>
          <w:numId w:val="17"/>
        </w:numPr>
        <w:tabs>
          <w:tab w:val="left" w:pos="860"/>
        </w:tabs>
        <w:spacing w:after="60" w:line="420" w:lineRule="exact"/>
        <w:ind w:firstLine="420" w:firstLineChars="200"/>
        <w:jc w:val="both"/>
        <w:rPr>
          <w:sz w:val="21"/>
          <w:szCs w:val="21"/>
        </w:rPr>
      </w:pPr>
      <w:bookmarkStart w:id="138" w:name="bookmark157"/>
      <w:bookmarkEnd w:id="138"/>
      <w:r>
        <w:rPr>
          <w:sz w:val="21"/>
          <w:szCs w:val="21"/>
        </w:rPr>
        <w:t>2评审专家应当从政府采购评审专家库内相关专业的专家名单中随机抽取。市场竟争不充分的科研项目，以及需要扶持的科技成果转化项目，以及情况特殊、通过随机方式难以确定合适的评审专家的项目， 经主管预算单位同意，可以自行选定评审专家。技术复杂、专业性强的采购项目，评审专家中应当包含1 名法律专家。</w:t>
      </w:r>
    </w:p>
    <w:p w14:paraId="7D160DBA">
      <w:pPr>
        <w:pStyle w:val="41"/>
        <w:keepNext/>
        <w:keepLines/>
        <w:numPr>
          <w:ilvl w:val="0"/>
          <w:numId w:val="17"/>
        </w:numPr>
        <w:tabs>
          <w:tab w:val="left" w:pos="970"/>
        </w:tabs>
        <w:spacing w:after="0"/>
        <w:ind w:firstLine="562" w:firstLineChars="200"/>
        <w:jc w:val="both"/>
        <w:rPr>
          <w:b/>
          <w:bCs/>
          <w:sz w:val="28"/>
          <w:szCs w:val="28"/>
        </w:rPr>
      </w:pPr>
      <w:bookmarkStart w:id="139" w:name="bookmark160"/>
      <w:bookmarkEnd w:id="139"/>
      <w:bookmarkStart w:id="140" w:name="bookmark161"/>
      <w:bookmarkStart w:id="141" w:name="bookmark158"/>
      <w:bookmarkStart w:id="142" w:name="bookmark159"/>
      <w:r>
        <w:rPr>
          <w:b/>
          <w:bCs/>
          <w:sz w:val="28"/>
          <w:szCs w:val="28"/>
        </w:rPr>
        <w:t>首次响应文件的开启</w:t>
      </w:r>
      <w:bookmarkEnd w:id="140"/>
      <w:bookmarkEnd w:id="141"/>
      <w:bookmarkEnd w:id="142"/>
    </w:p>
    <w:p w14:paraId="3F6CB40E">
      <w:pPr>
        <w:pStyle w:val="37"/>
        <w:spacing w:line="415" w:lineRule="exact"/>
        <w:ind w:firstLine="420" w:firstLineChars="200"/>
        <w:rPr>
          <w:sz w:val="21"/>
          <w:szCs w:val="21"/>
        </w:rPr>
      </w:pPr>
      <w:r>
        <w:rPr>
          <w:sz w:val="21"/>
          <w:szCs w:val="21"/>
          <w:lang w:val="en-US" w:eastAsia="zh-CN" w:bidi="en-US"/>
        </w:rPr>
        <w:t>25.</w:t>
      </w:r>
      <w:r>
        <w:rPr>
          <w:sz w:val="21"/>
          <w:szCs w:val="21"/>
        </w:rPr>
        <w:t>1首次响应文件由磋商小组或者采购代理机构在</w:t>
      </w:r>
      <w:r>
        <w:rPr>
          <w:sz w:val="21"/>
          <w:szCs w:val="21"/>
          <w:lang w:val="zh-CN" w:eastAsia="zh-CN" w:bidi="zh-CN"/>
        </w:rPr>
        <w:t>“供应</w:t>
      </w:r>
      <w:r>
        <w:rPr>
          <w:sz w:val="21"/>
          <w:szCs w:val="21"/>
        </w:rPr>
        <w:t>商须知前附表</w:t>
      </w:r>
      <w:r>
        <w:rPr>
          <w:sz w:val="21"/>
          <w:szCs w:val="21"/>
          <w:lang w:val="zh-CN" w:eastAsia="zh-CN" w:bidi="zh-CN"/>
        </w:rPr>
        <w:t>”规定</w:t>
      </w:r>
      <w:r>
        <w:rPr>
          <w:sz w:val="21"/>
          <w:szCs w:val="21"/>
        </w:rPr>
        <w:t>的时间开启。</w:t>
      </w:r>
    </w:p>
    <w:p w14:paraId="5F9D9089">
      <w:pPr>
        <w:pStyle w:val="37"/>
        <w:tabs>
          <w:tab w:val="left" w:pos="860"/>
        </w:tabs>
        <w:spacing w:line="415" w:lineRule="exact"/>
        <w:ind w:left="420" w:firstLine="420" w:firstLineChars="200"/>
        <w:jc w:val="both"/>
        <w:rPr>
          <w:sz w:val="21"/>
          <w:szCs w:val="21"/>
        </w:rPr>
      </w:pPr>
      <w:bookmarkStart w:id="143" w:name="bookmark162"/>
      <w:bookmarkEnd w:id="143"/>
      <w:r>
        <w:rPr>
          <w:rFonts w:hint="eastAsia"/>
          <w:sz w:val="21"/>
          <w:szCs w:val="21"/>
          <w:lang w:val="en-US" w:eastAsia="zh-CN"/>
        </w:rPr>
        <w:t>25.</w:t>
      </w:r>
      <w:r>
        <w:rPr>
          <w:sz w:val="21"/>
          <w:szCs w:val="21"/>
        </w:rPr>
        <w:t>2响应文件解密</w:t>
      </w:r>
    </w:p>
    <w:p w14:paraId="688030B0">
      <w:pPr>
        <w:pStyle w:val="37"/>
        <w:spacing w:line="402" w:lineRule="exact"/>
        <w:ind w:firstLine="420" w:firstLineChars="200"/>
        <w:jc w:val="both"/>
        <w:rPr>
          <w:sz w:val="21"/>
          <w:szCs w:val="21"/>
        </w:rPr>
      </w:pPr>
      <w:r>
        <w:rPr>
          <w:sz w:val="21"/>
          <w:szCs w:val="21"/>
        </w:rPr>
        <w:t>采购代理机构将在</w:t>
      </w:r>
      <w:r>
        <w:rPr>
          <w:sz w:val="21"/>
          <w:szCs w:val="21"/>
          <w:lang w:val="zh-CN" w:eastAsia="zh-CN" w:bidi="zh-CN"/>
        </w:rPr>
        <w:t>“供应</w:t>
      </w:r>
      <w:r>
        <w:rPr>
          <w:sz w:val="21"/>
          <w:szCs w:val="21"/>
        </w:rPr>
        <w:t>商须知前附表</w:t>
      </w:r>
      <w:r>
        <w:rPr>
          <w:sz w:val="21"/>
          <w:szCs w:val="21"/>
          <w:lang w:val="zh-CN" w:eastAsia="zh-CN" w:bidi="zh-CN"/>
        </w:rPr>
        <w:t>”规</w:t>
      </w:r>
      <w:r>
        <w:rPr>
          <w:sz w:val="21"/>
          <w:szCs w:val="21"/>
        </w:rPr>
        <w:t>定的时间通过电子交易平台组织响应文件开启，采购机构 依托电子交易平台发起开始解密指令，供应商的法定代表人或其委托代理人</w:t>
      </w:r>
      <w:r>
        <w:rPr>
          <w:b/>
          <w:bCs/>
          <w:sz w:val="21"/>
          <w:szCs w:val="21"/>
        </w:rPr>
        <w:t>须携带</w:t>
      </w:r>
      <w:r>
        <w:rPr>
          <w:rFonts w:hint="eastAsia"/>
          <w:b/>
          <w:bCs/>
          <w:sz w:val="21"/>
          <w:szCs w:val="21"/>
          <w:lang w:eastAsia="zh-CN"/>
        </w:rPr>
        <w:t>加密时所用的</w:t>
      </w:r>
      <w:r>
        <w:rPr>
          <w:b/>
          <w:bCs/>
          <w:sz w:val="21"/>
          <w:szCs w:val="21"/>
          <w:lang w:val="en-US" w:eastAsia="zh-CN" w:bidi="en-US"/>
        </w:rPr>
        <w:t xml:space="preserve">CA </w:t>
      </w:r>
      <w:r>
        <w:rPr>
          <w:rFonts w:hint="eastAsia"/>
          <w:b/>
          <w:bCs/>
          <w:sz w:val="21"/>
          <w:szCs w:val="21"/>
          <w:lang w:eastAsia="zh-CN"/>
        </w:rPr>
        <w:t>锁按平台</w:t>
      </w:r>
      <w:r>
        <w:rPr>
          <w:b/>
          <w:bCs/>
          <w:sz w:val="21"/>
          <w:szCs w:val="21"/>
        </w:rPr>
        <w:t>提示和采购文件的規定登录到“</w:t>
      </w:r>
      <w:r>
        <w:rPr>
          <w:rFonts w:hint="eastAsia"/>
          <w:b/>
          <w:bCs/>
          <w:sz w:val="21"/>
          <w:szCs w:val="21"/>
          <w:lang w:eastAsia="zh-CN"/>
        </w:rPr>
        <w:t>广西政府采购云平台</w:t>
      </w:r>
      <w:r>
        <w:rPr>
          <w:b/>
          <w:bCs/>
          <w:sz w:val="21"/>
          <w:szCs w:val="21"/>
        </w:rPr>
        <w:t>"平台电子开标大厅</w:t>
      </w:r>
      <w:r>
        <w:rPr>
          <w:rFonts w:hint="eastAsia"/>
          <w:b/>
          <w:bCs/>
          <w:sz w:val="21"/>
          <w:szCs w:val="21"/>
          <w:lang w:eastAsia="zh-CN"/>
        </w:rPr>
        <w:t>签到</w:t>
      </w:r>
      <w:r>
        <w:rPr>
          <w:b/>
          <w:bCs/>
          <w:sz w:val="21"/>
          <w:szCs w:val="21"/>
        </w:rPr>
        <w:t>并在发起</w:t>
      </w:r>
      <w:r>
        <w:rPr>
          <w:rFonts w:hint="eastAsia"/>
          <w:b/>
          <w:bCs/>
          <w:sz w:val="21"/>
          <w:szCs w:val="21"/>
          <w:lang w:eastAsia="zh-CN"/>
        </w:rPr>
        <w:t>解密指令</w:t>
      </w:r>
      <w:r>
        <w:rPr>
          <w:b/>
          <w:bCs/>
          <w:sz w:val="21"/>
          <w:szCs w:val="21"/>
        </w:rPr>
        <w:t>之时起30分钟内 完成对电子响应文件在线</w:t>
      </w:r>
      <w:r>
        <w:rPr>
          <w:rFonts w:hint="eastAsia"/>
          <w:b/>
          <w:bCs/>
          <w:sz w:val="21"/>
          <w:szCs w:val="21"/>
          <w:lang w:eastAsia="zh-CN"/>
        </w:rPr>
        <w:t>解密</w:t>
      </w:r>
      <w:r>
        <w:rPr>
          <w:b/>
          <w:bCs/>
          <w:sz w:val="21"/>
          <w:szCs w:val="21"/>
        </w:rPr>
        <w:t>。</w:t>
      </w:r>
      <w:r>
        <w:rPr>
          <w:sz w:val="21"/>
          <w:szCs w:val="21"/>
        </w:rPr>
        <w:t>发起解密指令之时起5分钟内供应商还未进行解密的，代理机构要通知供 应商，供应商没预留联系方式或预留联系方式无效，导致代理机构无法联系到供应商进行解密的，</w:t>
      </w:r>
      <w:r>
        <w:rPr>
          <w:b/>
          <w:bCs/>
          <w:sz w:val="21"/>
          <w:szCs w:val="21"/>
        </w:rPr>
        <w:t>视为响 应文件</w:t>
      </w:r>
      <w:r>
        <w:rPr>
          <w:rFonts w:hint="eastAsia"/>
          <w:b/>
          <w:bCs/>
          <w:sz w:val="21"/>
          <w:szCs w:val="21"/>
          <w:lang w:eastAsia="zh-CN"/>
        </w:rPr>
        <w:t>无效</w:t>
      </w:r>
      <w:r>
        <w:rPr>
          <w:b/>
          <w:bCs/>
          <w:sz w:val="21"/>
          <w:szCs w:val="21"/>
        </w:rPr>
        <w:t>。</w:t>
      </w:r>
      <w:r>
        <w:rPr>
          <w:sz w:val="21"/>
          <w:szCs w:val="21"/>
        </w:rPr>
        <w:t>（解密异常情况处理：详见本</w:t>
      </w:r>
      <w:r>
        <w:rPr>
          <w:rFonts w:hint="eastAsia"/>
          <w:sz w:val="21"/>
          <w:szCs w:val="21"/>
          <w:lang w:eastAsia="zh-CN"/>
        </w:rPr>
        <w:t>章</w:t>
      </w:r>
      <w:r>
        <w:rPr>
          <w:sz w:val="21"/>
          <w:szCs w:val="21"/>
          <w:lang w:val="en-US" w:eastAsia="zh-CN" w:bidi="en-US"/>
        </w:rPr>
        <w:t xml:space="preserve">26. </w:t>
      </w:r>
      <w:r>
        <w:rPr>
          <w:sz w:val="21"/>
          <w:szCs w:val="21"/>
        </w:rPr>
        <w:t>3电子交易活动的中止。）</w:t>
      </w:r>
    </w:p>
    <w:p w14:paraId="79AAA5B7">
      <w:pPr>
        <w:pStyle w:val="37"/>
        <w:spacing w:after="120" w:line="402" w:lineRule="exact"/>
        <w:ind w:firstLine="420" w:firstLineChars="200"/>
        <w:jc w:val="both"/>
        <w:rPr>
          <w:sz w:val="21"/>
          <w:szCs w:val="21"/>
        </w:rPr>
      </w:pPr>
      <w:r>
        <w:rPr>
          <w:sz w:val="21"/>
          <w:szCs w:val="21"/>
        </w:rPr>
        <w:t>如供应商成功解密响应文件，但未在“</w:t>
      </w:r>
      <w:r>
        <w:rPr>
          <w:rFonts w:hint="eastAsia"/>
          <w:sz w:val="21"/>
          <w:szCs w:val="21"/>
          <w:lang w:eastAsia="zh-CN"/>
        </w:rPr>
        <w:t>广西政府采购云平台</w:t>
      </w:r>
      <w:r>
        <w:rPr>
          <w:sz w:val="21"/>
          <w:szCs w:val="21"/>
        </w:rPr>
        <w:t>''电子开标大厅参加磋商的，视同认可磋商过程和结果, 由此产生的后果由供应商自行负责。参与磋商的供应商不足3家的，不得磋商。</w:t>
      </w:r>
    </w:p>
    <w:p w14:paraId="077312A5">
      <w:pPr>
        <w:pStyle w:val="41"/>
        <w:keepNext/>
        <w:keepLines/>
        <w:spacing w:after="0"/>
        <w:ind w:left="500" w:firstLine="442" w:firstLineChars="200"/>
        <w:jc w:val="both"/>
        <w:rPr>
          <w:b/>
          <w:bCs/>
          <w:sz w:val="28"/>
          <w:szCs w:val="28"/>
          <w:lang w:eastAsia="zh-CN"/>
        </w:rPr>
      </w:pPr>
      <w:bookmarkStart w:id="144" w:name="bookmark165"/>
      <w:bookmarkEnd w:id="144"/>
      <w:bookmarkStart w:id="145" w:name="bookmark163"/>
      <w:bookmarkStart w:id="146" w:name="bookmark164"/>
      <w:bookmarkStart w:id="147" w:name="bookmark166"/>
      <w:r>
        <w:rPr>
          <w:rFonts w:hint="eastAsia" w:ascii="Times New Roman" w:hAnsi="Times New Roman" w:cs="Times New Roman"/>
          <w:b/>
          <w:bCs/>
          <w:sz w:val="22"/>
          <w:szCs w:val="22"/>
          <w:lang w:val="en-US" w:eastAsia="zh-CN"/>
        </w:rPr>
        <w:t>26.</w:t>
      </w:r>
      <w:r>
        <w:rPr>
          <w:rFonts w:ascii="Times New Roman" w:hAnsi="Times New Roman" w:eastAsia="Times New Roman" w:cs="Times New Roman"/>
          <w:b/>
          <w:bCs/>
          <w:sz w:val="22"/>
          <w:szCs w:val="22"/>
        </w:rPr>
        <w:t xml:space="preserve"> </w:t>
      </w:r>
      <w:bookmarkEnd w:id="145"/>
      <w:bookmarkEnd w:id="146"/>
      <w:bookmarkEnd w:id="147"/>
      <w:r>
        <w:rPr>
          <w:rFonts w:hint="eastAsia" w:ascii="Times New Roman" w:hAnsi="Times New Roman" w:cs="Times New Roman"/>
          <w:b/>
          <w:bCs/>
          <w:sz w:val="22"/>
          <w:szCs w:val="22"/>
          <w:lang w:eastAsia="zh-CN"/>
        </w:rPr>
        <w:t>评审程序、评审方法和评审标准</w:t>
      </w:r>
    </w:p>
    <w:p w14:paraId="0FD642F2">
      <w:pPr>
        <w:pStyle w:val="37"/>
        <w:spacing w:line="420" w:lineRule="exact"/>
        <w:ind w:firstLine="420" w:firstLineChars="200"/>
        <w:jc w:val="both"/>
        <w:rPr>
          <w:sz w:val="21"/>
          <w:szCs w:val="21"/>
        </w:rPr>
      </w:pPr>
      <w:r>
        <w:rPr>
          <w:sz w:val="21"/>
          <w:szCs w:val="21"/>
          <w:lang w:val="en-US" w:eastAsia="zh-CN" w:bidi="en-US"/>
        </w:rPr>
        <w:t>26.1</w:t>
      </w:r>
      <w:r>
        <w:rPr>
          <w:sz w:val="21"/>
          <w:szCs w:val="21"/>
        </w:rPr>
        <w:t>磋商小组按照</w:t>
      </w:r>
      <w:r>
        <w:rPr>
          <w:sz w:val="21"/>
          <w:szCs w:val="21"/>
          <w:lang w:val="zh-CN" w:eastAsia="zh-CN" w:bidi="zh-CN"/>
        </w:rPr>
        <w:t>“第</w:t>
      </w:r>
      <w:r>
        <w:rPr>
          <w:sz w:val="21"/>
          <w:szCs w:val="21"/>
        </w:rPr>
        <w:t>四章评审程序、评审方法和评审标准</w:t>
      </w:r>
      <w:r>
        <w:rPr>
          <w:sz w:val="21"/>
          <w:szCs w:val="21"/>
          <w:lang w:val="zh-CN" w:eastAsia="zh-CN" w:bidi="zh-CN"/>
        </w:rPr>
        <w:t>”规定</w:t>
      </w:r>
      <w:r>
        <w:rPr>
          <w:sz w:val="21"/>
          <w:szCs w:val="21"/>
        </w:rPr>
        <w:t>的方法、评宙因素、标准和程序 对响应文件进行评审。</w:t>
      </w:r>
    </w:p>
    <w:p w14:paraId="305FC770">
      <w:pPr>
        <w:pStyle w:val="37"/>
        <w:tabs>
          <w:tab w:val="left" w:pos="860"/>
        </w:tabs>
        <w:spacing w:line="415" w:lineRule="exact"/>
        <w:ind w:left="420" w:firstLine="420" w:firstLineChars="200"/>
        <w:jc w:val="both"/>
        <w:rPr>
          <w:sz w:val="21"/>
          <w:szCs w:val="21"/>
        </w:rPr>
      </w:pPr>
      <w:bookmarkStart w:id="148" w:name="bookmark167"/>
      <w:bookmarkEnd w:id="148"/>
      <w:r>
        <w:rPr>
          <w:rFonts w:hint="eastAsia"/>
          <w:sz w:val="21"/>
          <w:szCs w:val="21"/>
          <w:lang w:val="en-US" w:eastAsia="zh-CN"/>
        </w:rPr>
        <w:t>26.</w:t>
      </w:r>
      <w:r>
        <w:rPr>
          <w:sz w:val="21"/>
          <w:szCs w:val="21"/>
        </w:rPr>
        <w:t>2采购需求负偏离要求及磋商顺序详见</w:t>
      </w:r>
      <w:r>
        <w:rPr>
          <w:sz w:val="21"/>
          <w:szCs w:val="21"/>
          <w:lang w:val="zh-CN" w:eastAsia="zh-CN" w:bidi="zh-CN"/>
        </w:rPr>
        <w:t>“供</w:t>
      </w:r>
      <w:r>
        <w:rPr>
          <w:sz w:val="21"/>
          <w:szCs w:val="21"/>
        </w:rPr>
        <w:t>应商须知前附表”。</w:t>
      </w:r>
    </w:p>
    <w:p w14:paraId="5D043EAA">
      <w:pPr>
        <w:pStyle w:val="37"/>
        <w:spacing w:line="415" w:lineRule="exact"/>
        <w:ind w:firstLine="420" w:firstLineChars="200"/>
        <w:rPr>
          <w:sz w:val="21"/>
          <w:szCs w:val="21"/>
        </w:rPr>
      </w:pPr>
      <w:bookmarkStart w:id="149" w:name="bookmark168"/>
      <w:bookmarkEnd w:id="149"/>
      <w:r>
        <w:rPr>
          <w:rFonts w:hint="eastAsia"/>
          <w:sz w:val="21"/>
          <w:szCs w:val="21"/>
          <w:lang w:val="en-US" w:eastAsia="zh-CN"/>
        </w:rPr>
        <w:t>26.3</w:t>
      </w:r>
      <w:r>
        <w:rPr>
          <w:sz w:val="21"/>
          <w:szCs w:val="21"/>
        </w:rPr>
        <w:t>电子交易活动的中止。采购过程中出现以下情形，导致电子交易平台无法正常运行，或者无法保证电子交易的公平、公正和安全时，采购机构可中止电子交易活动：</w:t>
      </w:r>
    </w:p>
    <w:p w14:paraId="5BDDB9B5">
      <w:pPr>
        <w:pStyle w:val="37"/>
        <w:tabs>
          <w:tab w:val="left" w:pos="995"/>
        </w:tabs>
        <w:spacing w:line="415" w:lineRule="exact"/>
        <w:ind w:firstLine="420" w:firstLineChars="200"/>
        <w:jc w:val="both"/>
        <w:rPr>
          <w:sz w:val="21"/>
          <w:szCs w:val="21"/>
        </w:rPr>
      </w:pPr>
      <w:bookmarkStart w:id="150" w:name="bookmark169"/>
      <w:r>
        <w:rPr>
          <w:sz w:val="21"/>
          <w:szCs w:val="21"/>
        </w:rPr>
        <w:t>（</w:t>
      </w:r>
      <w:bookmarkEnd w:id="150"/>
      <w:r>
        <w:rPr>
          <w:sz w:val="21"/>
          <w:szCs w:val="21"/>
        </w:rPr>
        <w:t>1）电子交易平台发生故障而无法登录访问的；</w:t>
      </w:r>
    </w:p>
    <w:p w14:paraId="5303164B">
      <w:pPr>
        <w:pStyle w:val="37"/>
        <w:tabs>
          <w:tab w:val="left" w:pos="995"/>
        </w:tabs>
        <w:spacing w:line="415" w:lineRule="exact"/>
        <w:ind w:firstLine="420" w:firstLineChars="200"/>
        <w:jc w:val="both"/>
        <w:rPr>
          <w:sz w:val="21"/>
          <w:szCs w:val="21"/>
        </w:rPr>
      </w:pPr>
      <w:bookmarkStart w:id="151" w:name="bookmark170"/>
      <w:r>
        <w:rPr>
          <w:sz w:val="21"/>
          <w:szCs w:val="21"/>
        </w:rPr>
        <w:t>（</w:t>
      </w:r>
      <w:bookmarkEnd w:id="151"/>
      <w:r>
        <w:rPr>
          <w:sz w:val="21"/>
          <w:szCs w:val="21"/>
        </w:rPr>
        <w:t>2）电子交易平台应用或数据库出现错误，不能进行正常操作的；</w:t>
      </w:r>
    </w:p>
    <w:p w14:paraId="3784FA5E">
      <w:pPr>
        <w:pStyle w:val="37"/>
        <w:tabs>
          <w:tab w:val="left" w:pos="995"/>
        </w:tabs>
        <w:spacing w:line="415" w:lineRule="exact"/>
        <w:ind w:firstLine="420" w:firstLineChars="200"/>
        <w:jc w:val="both"/>
        <w:rPr>
          <w:sz w:val="21"/>
          <w:szCs w:val="21"/>
        </w:rPr>
      </w:pPr>
      <w:bookmarkStart w:id="152" w:name="bookmark171"/>
      <w:r>
        <w:rPr>
          <w:sz w:val="21"/>
          <w:szCs w:val="21"/>
        </w:rPr>
        <w:t>（</w:t>
      </w:r>
      <w:bookmarkEnd w:id="152"/>
      <w:r>
        <w:rPr>
          <w:sz w:val="21"/>
          <w:szCs w:val="21"/>
        </w:rPr>
        <w:t>3）电子交易平台发现严重安全漏洞，有潜在泄密危险的；</w:t>
      </w:r>
    </w:p>
    <w:p w14:paraId="437EDACD">
      <w:pPr>
        <w:pStyle w:val="37"/>
        <w:spacing w:line="415" w:lineRule="exact"/>
        <w:ind w:firstLine="420" w:firstLineChars="200"/>
        <w:jc w:val="both"/>
        <w:rPr>
          <w:sz w:val="21"/>
          <w:szCs w:val="21"/>
        </w:rPr>
      </w:pPr>
      <w:r>
        <w:rPr>
          <w:sz w:val="21"/>
          <w:szCs w:val="21"/>
        </w:rPr>
        <w:t>（4）病毒发作导致不能进行正常操作的</w:t>
      </w:r>
      <w:r>
        <w:rPr>
          <w:sz w:val="21"/>
          <w:szCs w:val="21"/>
          <w:lang w:val="zh-CN" w:eastAsia="zh-CN" w:bidi="zh-CN"/>
        </w:rPr>
        <w:t>：</w:t>
      </w:r>
    </w:p>
    <w:p w14:paraId="526046A6">
      <w:pPr>
        <w:pStyle w:val="37"/>
        <w:tabs>
          <w:tab w:val="left" w:pos="995"/>
        </w:tabs>
        <w:spacing w:line="415" w:lineRule="exact"/>
        <w:ind w:firstLine="420" w:firstLineChars="200"/>
        <w:jc w:val="both"/>
        <w:rPr>
          <w:sz w:val="21"/>
          <w:szCs w:val="21"/>
        </w:rPr>
      </w:pPr>
      <w:bookmarkStart w:id="153" w:name="bookmark172"/>
      <w:r>
        <w:rPr>
          <w:sz w:val="21"/>
          <w:szCs w:val="21"/>
        </w:rPr>
        <w:t>（</w:t>
      </w:r>
      <w:bookmarkEnd w:id="153"/>
      <w:r>
        <w:rPr>
          <w:rFonts w:hint="eastAsia"/>
          <w:sz w:val="21"/>
          <w:szCs w:val="21"/>
          <w:lang w:val="en-US" w:eastAsia="zh-CN"/>
        </w:rPr>
        <w:t>5</w:t>
      </w:r>
      <w:r>
        <w:rPr>
          <w:sz w:val="21"/>
          <w:szCs w:val="21"/>
        </w:rPr>
        <w:t>）其他无法保证电子交易的公平、公正和安全的情况。</w:t>
      </w:r>
    </w:p>
    <w:p w14:paraId="1B4A8716">
      <w:pPr>
        <w:pStyle w:val="37"/>
        <w:tabs>
          <w:tab w:val="left" w:pos="860"/>
        </w:tabs>
        <w:spacing w:after="160" w:line="427" w:lineRule="exact"/>
        <w:ind w:left="420" w:firstLine="420" w:firstLineChars="200"/>
        <w:jc w:val="both"/>
        <w:rPr>
          <w:sz w:val="21"/>
          <w:szCs w:val="21"/>
        </w:rPr>
      </w:pPr>
      <w:bookmarkStart w:id="154" w:name="bookmark173"/>
      <w:bookmarkEnd w:id="154"/>
      <w:r>
        <w:rPr>
          <w:rFonts w:hint="eastAsia"/>
          <w:sz w:val="21"/>
          <w:szCs w:val="21"/>
          <w:lang w:val="en-US" w:eastAsia="zh-CN"/>
        </w:rPr>
        <w:t>26.</w:t>
      </w:r>
      <w:r>
        <w:rPr>
          <w:sz w:val="21"/>
          <w:szCs w:val="21"/>
        </w:rPr>
        <w:t>4出现以上情形，不影响采购公平、公正性的，采购组织机构可以待上述情形消除后继续组织电子 交易活动；影响或可能影响采购公平、公正性的，经采购代理机构确认后，应当重新采购。采购代理机构必须对原有的资料及信息作出妥善保密处理，并报财政部门备案。</w:t>
      </w:r>
    </w:p>
    <w:p w14:paraId="24F9E436">
      <w:pPr>
        <w:pStyle w:val="41"/>
        <w:keepNext/>
        <w:keepLines/>
        <w:spacing w:after="260"/>
        <w:ind w:firstLine="562" w:firstLineChars="200"/>
        <w:jc w:val="both"/>
        <w:rPr>
          <w:b/>
          <w:bCs/>
          <w:sz w:val="28"/>
          <w:szCs w:val="28"/>
        </w:rPr>
      </w:pPr>
      <w:bookmarkStart w:id="155" w:name="bookmark176"/>
      <w:bookmarkStart w:id="156" w:name="bookmark177"/>
      <w:bookmarkStart w:id="157" w:name="bookmark175"/>
      <w:bookmarkStart w:id="158" w:name="bookmark174"/>
      <w:r>
        <w:rPr>
          <w:b/>
          <w:bCs/>
          <w:sz w:val="28"/>
          <w:szCs w:val="28"/>
        </w:rPr>
        <w:t>五</w:t>
      </w:r>
      <w:bookmarkEnd w:id="155"/>
      <w:r>
        <w:rPr>
          <w:b/>
          <w:bCs/>
          <w:sz w:val="28"/>
          <w:szCs w:val="28"/>
        </w:rPr>
        <w:t>、成交及合同</w:t>
      </w:r>
      <w:bookmarkEnd w:id="156"/>
    </w:p>
    <w:p w14:paraId="654725A1">
      <w:pPr>
        <w:pStyle w:val="41"/>
        <w:keepNext/>
        <w:keepLines/>
        <w:tabs>
          <w:tab w:val="left" w:pos="950"/>
        </w:tabs>
        <w:spacing w:after="220"/>
        <w:ind w:left="480" w:firstLine="482" w:firstLineChars="200"/>
        <w:jc w:val="both"/>
        <w:rPr>
          <w:b/>
          <w:bCs/>
          <w:sz w:val="28"/>
          <w:szCs w:val="28"/>
        </w:rPr>
      </w:pPr>
      <w:bookmarkStart w:id="159" w:name="bookmark178"/>
      <w:bookmarkEnd w:id="159"/>
      <w:bookmarkStart w:id="160" w:name="bookmark179"/>
      <w:r>
        <w:rPr>
          <w:rFonts w:hint="eastAsia"/>
          <w:b/>
          <w:bCs/>
          <w:sz w:val="24"/>
          <w:szCs w:val="24"/>
          <w:lang w:val="en-US" w:eastAsia="zh-CN"/>
        </w:rPr>
        <w:t>27</w:t>
      </w:r>
      <w:r>
        <w:rPr>
          <w:rFonts w:hint="eastAsia"/>
          <w:b/>
          <w:bCs/>
          <w:sz w:val="28"/>
          <w:szCs w:val="28"/>
          <w:lang w:val="en-US" w:eastAsia="zh-CN"/>
        </w:rPr>
        <w:t>.</w:t>
      </w:r>
      <w:r>
        <w:rPr>
          <w:b/>
          <w:bCs/>
          <w:sz w:val="28"/>
          <w:szCs w:val="28"/>
        </w:rPr>
        <w:t>确定成交供应商及结果公告</w:t>
      </w:r>
      <w:bookmarkEnd w:id="157"/>
      <w:bookmarkEnd w:id="158"/>
      <w:bookmarkEnd w:id="160"/>
    </w:p>
    <w:p w14:paraId="2C88BC83">
      <w:pPr>
        <w:pStyle w:val="37"/>
        <w:spacing w:line="240" w:lineRule="auto"/>
        <w:ind w:firstLine="420" w:firstLineChars="200"/>
        <w:jc w:val="both"/>
        <w:rPr>
          <w:sz w:val="21"/>
          <w:szCs w:val="21"/>
        </w:rPr>
      </w:pPr>
      <w:r>
        <w:rPr>
          <w:sz w:val="21"/>
          <w:szCs w:val="21"/>
          <w:lang w:val="en-US" w:eastAsia="zh-CN" w:bidi="en-US"/>
        </w:rPr>
        <w:t>27.1</w:t>
      </w:r>
      <w:r>
        <w:rPr>
          <w:sz w:val="21"/>
          <w:szCs w:val="21"/>
        </w:rPr>
        <w:t>确定成交供应商。</w:t>
      </w:r>
    </w:p>
    <w:p w14:paraId="19E7EDFA">
      <w:pPr>
        <w:pStyle w:val="37"/>
        <w:tabs>
          <w:tab w:val="left" w:pos="860"/>
        </w:tabs>
        <w:spacing w:line="411" w:lineRule="exact"/>
        <w:ind w:left="480" w:firstLine="420" w:firstLineChars="200"/>
        <w:jc w:val="both"/>
        <w:rPr>
          <w:sz w:val="21"/>
          <w:szCs w:val="21"/>
        </w:rPr>
      </w:pPr>
      <w:bookmarkStart w:id="161" w:name="bookmark180"/>
      <w:bookmarkEnd w:id="161"/>
      <w:r>
        <w:rPr>
          <w:rFonts w:hint="eastAsia"/>
          <w:sz w:val="21"/>
          <w:szCs w:val="21"/>
          <w:lang w:val="en-US" w:eastAsia="zh-CN"/>
        </w:rPr>
        <w:t>27.</w:t>
      </w:r>
      <w:r>
        <w:rPr>
          <w:sz w:val="21"/>
          <w:szCs w:val="21"/>
        </w:rPr>
        <w:t>2成交通知及成交结果公告。成交供应商确定后2个工作日内，在省级以上财政部门指定的媒体上公告成交结果（成交通知及成交结果公告应使用</w:t>
      </w:r>
      <w:r>
        <w:rPr>
          <w:rFonts w:hint="eastAsia"/>
          <w:sz w:val="21"/>
          <w:szCs w:val="21"/>
          <w:lang w:eastAsia="zh-CN"/>
        </w:rPr>
        <w:t>规定</w:t>
      </w:r>
      <w:r>
        <w:rPr>
          <w:sz w:val="21"/>
          <w:szCs w:val="21"/>
        </w:rPr>
        <w:t>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413A7E57">
      <w:pPr>
        <w:pStyle w:val="37"/>
        <w:tabs>
          <w:tab w:val="left" w:pos="860"/>
        </w:tabs>
        <w:spacing w:line="411" w:lineRule="exact"/>
        <w:ind w:left="420" w:firstLine="420" w:firstLineChars="200"/>
        <w:jc w:val="both"/>
        <w:rPr>
          <w:sz w:val="21"/>
          <w:szCs w:val="21"/>
        </w:rPr>
      </w:pPr>
      <w:bookmarkStart w:id="162" w:name="bookmark181"/>
      <w:bookmarkEnd w:id="162"/>
      <w:r>
        <w:rPr>
          <w:rFonts w:hint="eastAsia"/>
          <w:sz w:val="21"/>
          <w:szCs w:val="21"/>
          <w:lang w:val="en-US" w:eastAsia="zh-CN"/>
        </w:rPr>
        <w:t>27.</w:t>
      </w:r>
      <w:r>
        <w:rPr>
          <w:sz w:val="21"/>
          <w:szCs w:val="21"/>
        </w:rPr>
        <w:t>3采购人或者采购代理机构发出成交通知书前，应当对成交供应商信用进行查询核实，对列入失信 被执行人、重大税收违法案件当事人名单、政府采购严重违法失信行为记录名单及其他不符合《中华人民 共和国政府采购法》第二十二条规定条件的供应商，取消其成交资格，并确定排名第二的成交候选人为成 交供应商。排名第二的成交候选人因上述规定的同样原因被取消成交资格的，采购人可以确定排名第三的 成交候选人为成交供应商，以此类推。以上信息查询记录及相关证据与竟磋文件一并保存。成交供应商享受《政府采购促进中小企业发展管理办法》（财库（2020）46号）规定的中小企业扶持政策的，采购人、采购代理机构应当随成交结果公开成交供应商的《中小企业声明函》。</w:t>
      </w:r>
    </w:p>
    <w:p w14:paraId="748A6A16">
      <w:pPr>
        <w:pStyle w:val="37"/>
        <w:tabs>
          <w:tab w:val="left" w:pos="860"/>
        </w:tabs>
        <w:spacing w:line="420" w:lineRule="exact"/>
        <w:ind w:left="420" w:firstLine="420" w:firstLineChars="200"/>
        <w:jc w:val="both"/>
        <w:rPr>
          <w:sz w:val="21"/>
          <w:szCs w:val="21"/>
        </w:rPr>
      </w:pPr>
      <w:bookmarkStart w:id="163" w:name="bookmark182"/>
      <w:bookmarkEnd w:id="163"/>
      <w:r>
        <w:rPr>
          <w:rFonts w:hint="eastAsia"/>
          <w:sz w:val="21"/>
          <w:szCs w:val="21"/>
          <w:lang w:val="en-US" w:eastAsia="zh-CN"/>
        </w:rPr>
        <w:t>27.</w:t>
      </w:r>
      <w:r>
        <w:rPr>
          <w:sz w:val="21"/>
          <w:szCs w:val="21"/>
        </w:rPr>
        <w:t>4采购人、采购代理机构认为供应商对采购过程、成交结果提出的质疑成立且影响或者可能影响成 交结果的，合格供应商符合法定数量时，可以从合格的成交候选人中另行确定成交供应商的，应当依法另行确定成交供应商；否则应当重新开展采购活动。</w:t>
      </w:r>
    </w:p>
    <w:p w14:paraId="63A6F129">
      <w:pPr>
        <w:pStyle w:val="37"/>
        <w:tabs>
          <w:tab w:val="left" w:pos="860"/>
        </w:tabs>
        <w:spacing w:after="160" w:line="427" w:lineRule="exact"/>
        <w:ind w:left="420" w:firstLine="420" w:firstLineChars="200"/>
        <w:jc w:val="both"/>
        <w:rPr>
          <w:sz w:val="21"/>
          <w:szCs w:val="21"/>
        </w:rPr>
      </w:pPr>
      <w:bookmarkStart w:id="164" w:name="bookmark183"/>
      <w:bookmarkEnd w:id="164"/>
      <w:r>
        <w:rPr>
          <w:rFonts w:hint="eastAsia"/>
          <w:sz w:val="21"/>
          <w:szCs w:val="21"/>
          <w:lang w:val="en-US" w:eastAsia="zh-CN"/>
        </w:rPr>
        <w:t>27.</w:t>
      </w:r>
      <w:r>
        <w:rPr>
          <w:sz w:val="21"/>
          <w:szCs w:val="21"/>
        </w:rPr>
        <w:t>5排名第一的成交候选人放弃成交、因不可抗力提出不能履行合同，采购人可以确定排名第二的成 交候选人为成交供应商。排名第二的成交候选人因前款规定的同样原因不能签订合同的，采购人可以确定排名第三的成交候选人为成交供应商。</w:t>
      </w:r>
    </w:p>
    <w:p w14:paraId="440578FB">
      <w:pPr>
        <w:pStyle w:val="37"/>
        <w:tabs>
          <w:tab w:val="left" w:pos="950"/>
        </w:tabs>
        <w:spacing w:line="240" w:lineRule="auto"/>
        <w:ind w:left="480" w:firstLine="562" w:firstLineChars="200"/>
        <w:jc w:val="both"/>
        <w:rPr>
          <w:b/>
          <w:bCs/>
          <w:sz w:val="28"/>
          <w:szCs w:val="28"/>
          <w:lang w:val="en-US" w:eastAsia="zh-CN"/>
        </w:rPr>
      </w:pPr>
      <w:bookmarkStart w:id="165" w:name="bookmark184"/>
      <w:bookmarkEnd w:id="165"/>
      <w:r>
        <w:rPr>
          <w:rFonts w:hint="eastAsia"/>
          <w:b/>
          <w:bCs/>
          <w:sz w:val="28"/>
          <w:szCs w:val="28"/>
          <w:lang w:val="en-US" w:eastAsia="zh-CN"/>
        </w:rPr>
        <w:t>28.履约保证金</w:t>
      </w:r>
    </w:p>
    <w:p w14:paraId="32F85E08">
      <w:pPr>
        <w:pStyle w:val="37"/>
        <w:spacing w:after="160" w:line="415" w:lineRule="exact"/>
        <w:ind w:firstLine="420" w:firstLineChars="200"/>
        <w:jc w:val="both"/>
        <w:rPr>
          <w:sz w:val="21"/>
          <w:szCs w:val="21"/>
        </w:rPr>
      </w:pPr>
      <w:r>
        <w:rPr>
          <w:sz w:val="21"/>
          <w:szCs w:val="21"/>
        </w:rPr>
        <w:t>详见</w:t>
      </w:r>
      <w:r>
        <w:rPr>
          <w:sz w:val="21"/>
          <w:szCs w:val="21"/>
          <w:lang w:val="zh-CN" w:eastAsia="zh-CN" w:bidi="zh-CN"/>
        </w:rPr>
        <w:t>“供</w:t>
      </w:r>
      <w:r>
        <w:rPr>
          <w:sz w:val="21"/>
          <w:szCs w:val="21"/>
        </w:rPr>
        <w:t>应商须知前附表”</w:t>
      </w:r>
    </w:p>
    <w:p w14:paraId="475F9C81">
      <w:pPr>
        <w:pStyle w:val="41"/>
        <w:keepNext/>
        <w:keepLines/>
        <w:tabs>
          <w:tab w:val="left" w:pos="950"/>
        </w:tabs>
        <w:spacing w:after="0"/>
        <w:ind w:left="480" w:firstLine="562" w:firstLineChars="200"/>
        <w:jc w:val="both"/>
        <w:rPr>
          <w:b/>
          <w:bCs/>
          <w:sz w:val="28"/>
          <w:szCs w:val="28"/>
        </w:rPr>
      </w:pPr>
      <w:bookmarkStart w:id="166" w:name="bookmark187"/>
      <w:bookmarkEnd w:id="166"/>
      <w:bookmarkStart w:id="167" w:name="bookmark188"/>
      <w:bookmarkStart w:id="168" w:name="bookmark185"/>
      <w:bookmarkStart w:id="169" w:name="bookmark186"/>
      <w:r>
        <w:rPr>
          <w:rFonts w:hint="eastAsia"/>
          <w:b/>
          <w:bCs/>
          <w:sz w:val="28"/>
          <w:szCs w:val="28"/>
          <w:lang w:val="en-US" w:eastAsia="zh-CN"/>
        </w:rPr>
        <w:t>29.</w:t>
      </w:r>
      <w:r>
        <w:rPr>
          <w:b/>
          <w:bCs/>
          <w:sz w:val="28"/>
          <w:szCs w:val="28"/>
        </w:rPr>
        <w:t>签订合同</w:t>
      </w:r>
      <w:bookmarkEnd w:id="167"/>
      <w:bookmarkEnd w:id="168"/>
      <w:bookmarkEnd w:id="169"/>
    </w:p>
    <w:p w14:paraId="0E3719E9">
      <w:pPr>
        <w:pStyle w:val="37"/>
        <w:spacing w:line="427" w:lineRule="exact"/>
        <w:ind w:firstLine="420" w:firstLineChars="200"/>
        <w:jc w:val="both"/>
        <w:rPr>
          <w:sz w:val="21"/>
          <w:szCs w:val="21"/>
          <w:lang w:val="en-US" w:eastAsia="zh-CN" w:bidi="en-US"/>
        </w:rPr>
      </w:pPr>
      <w:r>
        <w:rPr>
          <w:sz w:val="21"/>
          <w:szCs w:val="21"/>
          <w:lang w:val="en-US" w:eastAsia="zh-CN" w:bidi="en-US"/>
        </w:rPr>
        <w:t>29.1采购人与成交供应商应当在成交通知书规定的时间内，按照磋商文件确定的合同文本以及采购标 的、服务技术、采购金额、采购数量、技术和服务要求等事项签订政府采购合同。如成交供应商为联合体</w:t>
      </w:r>
    </w:p>
    <w:p w14:paraId="737918EC">
      <w:pPr>
        <w:pStyle w:val="37"/>
        <w:spacing w:line="427" w:lineRule="exact"/>
        <w:ind w:firstLine="420" w:firstLineChars="200"/>
        <w:jc w:val="both"/>
        <w:rPr>
          <w:sz w:val="21"/>
          <w:szCs w:val="21"/>
          <w:lang w:val="en-US" w:eastAsia="zh-CN" w:bidi="en-US"/>
        </w:rPr>
      </w:pPr>
      <w:r>
        <w:rPr>
          <w:sz w:val="21"/>
          <w:szCs w:val="21"/>
          <w:lang w:val="en-US" w:eastAsia="zh-CN" w:bidi="en-US"/>
        </w:rPr>
        <w:t>的，由联合体成员各方法定代表人或其授权代表与采购人代表签订合同。</w:t>
      </w:r>
    </w:p>
    <w:p w14:paraId="0FFB11ED">
      <w:pPr>
        <w:pStyle w:val="37"/>
        <w:spacing w:line="427" w:lineRule="exact"/>
        <w:ind w:firstLine="420" w:firstLineChars="200"/>
        <w:jc w:val="both"/>
        <w:rPr>
          <w:sz w:val="21"/>
          <w:szCs w:val="21"/>
        </w:rPr>
      </w:pPr>
      <w:r>
        <w:rPr>
          <w:sz w:val="21"/>
          <w:szCs w:val="21"/>
          <w:lang w:val="en-US" w:eastAsia="zh-CN" w:bidi="en-US"/>
        </w:rPr>
        <w:t xml:space="preserve">29. </w:t>
      </w:r>
      <w:r>
        <w:rPr>
          <w:sz w:val="21"/>
          <w:szCs w:val="21"/>
        </w:rPr>
        <w:t>2采购人不得向成交供应商提出超出磋商文件以外的任何要求作为签订合同的条件,不得与成交供 应商订立背离磋商文件确定的合同文本以及采购标的、服务技术、采购金额、采购数量、技术和服务要求 等实质性内容的协议。</w:t>
      </w:r>
    </w:p>
    <w:p w14:paraId="3C327199">
      <w:pPr>
        <w:pStyle w:val="37"/>
        <w:spacing w:line="420" w:lineRule="exact"/>
        <w:ind w:firstLine="420" w:firstLineChars="200"/>
        <w:jc w:val="both"/>
        <w:rPr>
          <w:sz w:val="21"/>
          <w:szCs w:val="21"/>
        </w:rPr>
      </w:pPr>
      <w:r>
        <w:rPr>
          <w:sz w:val="21"/>
          <w:szCs w:val="21"/>
          <w:lang w:val="en-US" w:eastAsia="zh-CN" w:bidi="en-US"/>
        </w:rPr>
        <w:t xml:space="preserve">29. </w:t>
      </w:r>
      <w:r>
        <w:rPr>
          <w:sz w:val="21"/>
          <w:szCs w:val="21"/>
        </w:rPr>
        <w:t>3成交供应商拒绝签订政府采购合同的，采购人可以按照评审报告推荐的成交候选人名单排序，确 定下一候选人为成交供应商，也可以重新幵展采购活动。拒绝签订政府采购合同的成交供应商不得参加对</w:t>
      </w:r>
      <w:r>
        <w:rPr>
          <w:sz w:val="21"/>
          <w:szCs w:val="21"/>
          <w:lang w:val="zh-CN" w:eastAsia="zh-CN" w:bidi="zh-CN"/>
        </w:rPr>
        <w:t>该项目</w:t>
      </w:r>
      <w:r>
        <w:rPr>
          <w:sz w:val="21"/>
          <w:szCs w:val="21"/>
        </w:rPr>
        <w:t>重新开展的采购活动。</w:t>
      </w:r>
    </w:p>
    <w:p w14:paraId="27641508">
      <w:pPr>
        <w:pStyle w:val="37"/>
        <w:numPr>
          <w:ilvl w:val="0"/>
          <w:numId w:val="18"/>
        </w:numPr>
        <w:tabs>
          <w:tab w:val="left" w:pos="853"/>
        </w:tabs>
        <w:spacing w:line="420" w:lineRule="exact"/>
        <w:ind w:firstLine="420" w:firstLineChars="200"/>
        <w:jc w:val="both"/>
        <w:rPr>
          <w:sz w:val="21"/>
          <w:szCs w:val="21"/>
        </w:rPr>
      </w:pPr>
      <w:bookmarkStart w:id="170" w:name="bookmark189"/>
      <w:bookmarkEnd w:id="170"/>
      <w:r>
        <w:rPr>
          <w:sz w:val="21"/>
          <w:szCs w:val="21"/>
        </w:rPr>
        <w:t>4如签订合同并生效后，供应商无故拒绝或延期，除按照合同条款处理外，列入不良行为记录，并给予通报。</w:t>
      </w:r>
    </w:p>
    <w:p w14:paraId="3EC66C0D">
      <w:pPr>
        <w:pStyle w:val="37"/>
        <w:spacing w:after="160" w:line="435" w:lineRule="exact"/>
        <w:ind w:firstLine="420" w:firstLineChars="200"/>
        <w:jc w:val="both"/>
        <w:rPr>
          <w:sz w:val="21"/>
          <w:szCs w:val="21"/>
        </w:rPr>
      </w:pPr>
      <w:r>
        <w:rPr>
          <w:sz w:val="21"/>
          <w:szCs w:val="21"/>
          <w:lang w:val="en-US" w:eastAsia="zh-CN" w:bidi="en-US"/>
        </w:rPr>
        <w:t>29.5</w:t>
      </w:r>
      <w:r>
        <w:rPr>
          <w:sz w:val="21"/>
          <w:szCs w:val="21"/>
        </w:rPr>
        <w:t>采购合同由采购人与成交供应商根据磋商文件、响应文件等内容通过政府采购电子交易平台在线 签订，自动备案，在线签订须携带的材料见</w:t>
      </w:r>
      <w:r>
        <w:rPr>
          <w:sz w:val="21"/>
          <w:szCs w:val="21"/>
          <w:lang w:val="zh-CN" w:eastAsia="zh-CN" w:bidi="zh-CN"/>
        </w:rPr>
        <w:t>“供应</w:t>
      </w:r>
      <w:r>
        <w:rPr>
          <w:sz w:val="21"/>
          <w:szCs w:val="21"/>
        </w:rPr>
        <w:t>商须知前附表〃。</w:t>
      </w:r>
    </w:p>
    <w:p w14:paraId="55DD2109">
      <w:pPr>
        <w:pStyle w:val="49"/>
        <w:keepNext/>
        <w:keepLines/>
        <w:numPr>
          <w:ilvl w:val="0"/>
          <w:numId w:val="18"/>
        </w:numPr>
        <w:tabs>
          <w:tab w:val="left" w:pos="948"/>
        </w:tabs>
        <w:spacing w:after="0"/>
        <w:ind w:firstLine="562" w:firstLineChars="200"/>
        <w:jc w:val="both"/>
        <w:rPr>
          <w:b/>
          <w:bCs/>
          <w:sz w:val="28"/>
          <w:szCs w:val="28"/>
        </w:rPr>
      </w:pPr>
      <w:bookmarkStart w:id="171" w:name="bookmark192"/>
      <w:bookmarkEnd w:id="171"/>
      <w:bookmarkStart w:id="172" w:name="bookmark191"/>
      <w:bookmarkStart w:id="173" w:name="bookmark190"/>
      <w:bookmarkStart w:id="174" w:name="bookmark193"/>
      <w:r>
        <w:rPr>
          <w:b/>
          <w:bCs/>
          <w:sz w:val="28"/>
          <w:szCs w:val="28"/>
        </w:rPr>
        <w:t>政府采购合同公告</w:t>
      </w:r>
      <w:bookmarkEnd w:id="172"/>
      <w:bookmarkEnd w:id="173"/>
      <w:bookmarkEnd w:id="174"/>
    </w:p>
    <w:p w14:paraId="064EEE25">
      <w:pPr>
        <w:pStyle w:val="37"/>
        <w:spacing w:after="160" w:line="412" w:lineRule="exact"/>
        <w:ind w:firstLine="420" w:firstLineChars="200"/>
        <w:jc w:val="both"/>
        <w:rPr>
          <w:sz w:val="21"/>
          <w:szCs w:val="21"/>
        </w:rPr>
      </w:pPr>
      <w:r>
        <w:rPr>
          <w:sz w:val="21"/>
          <w:szCs w:val="21"/>
        </w:rPr>
        <w:t>采购人或者受托采购代理机构应当自政府采购合同签订之日起2个工作日内，将政府采购合同在以下 媒体上发布</w:t>
      </w:r>
      <w:r>
        <w:rPr>
          <w:sz w:val="21"/>
          <w:szCs w:val="21"/>
          <w:lang w:val="zh-CN" w:eastAsia="zh-CN" w:bidi="zh-CN"/>
        </w:rPr>
        <w:t>“广</w:t>
      </w:r>
      <w:r>
        <w:rPr>
          <w:sz w:val="21"/>
          <w:szCs w:val="21"/>
        </w:rPr>
        <w:t>西政府采购网”</w:t>
      </w:r>
      <w:r>
        <w:rPr>
          <w:sz w:val="21"/>
          <w:szCs w:val="21"/>
          <w:lang w:val="en-US" w:eastAsia="zh-CN" w:bidi="en-US"/>
        </w:rPr>
        <w:t>（http：//zfeg. gxzf.gov.cn）</w:t>
      </w:r>
      <w:r>
        <w:rPr>
          <w:sz w:val="21"/>
          <w:szCs w:val="21"/>
        </w:rPr>
        <w:t>上公告，但政府采购合同中涉及国家秘密、 商业秘密的内容除外。</w:t>
      </w:r>
    </w:p>
    <w:p w14:paraId="4897816B">
      <w:pPr>
        <w:pStyle w:val="49"/>
        <w:keepNext/>
        <w:keepLines/>
        <w:numPr>
          <w:ilvl w:val="0"/>
          <w:numId w:val="18"/>
        </w:numPr>
        <w:tabs>
          <w:tab w:val="left" w:pos="948"/>
        </w:tabs>
        <w:spacing w:after="0"/>
        <w:ind w:firstLine="562" w:firstLineChars="200"/>
        <w:jc w:val="both"/>
        <w:rPr>
          <w:b/>
          <w:bCs/>
          <w:sz w:val="28"/>
          <w:szCs w:val="28"/>
        </w:rPr>
      </w:pPr>
      <w:bookmarkStart w:id="175" w:name="bookmark196"/>
      <w:bookmarkEnd w:id="175"/>
      <w:bookmarkStart w:id="176" w:name="bookmark197"/>
      <w:bookmarkStart w:id="177" w:name="bookmark195"/>
      <w:bookmarkStart w:id="178" w:name="bookmark194"/>
      <w:r>
        <w:rPr>
          <w:b/>
          <w:bCs/>
          <w:sz w:val="28"/>
          <w:szCs w:val="28"/>
        </w:rPr>
        <w:t>询问、质疑和投诉</w:t>
      </w:r>
      <w:bookmarkEnd w:id="176"/>
      <w:bookmarkEnd w:id="177"/>
      <w:bookmarkEnd w:id="178"/>
    </w:p>
    <w:p w14:paraId="16228AE9">
      <w:pPr>
        <w:pStyle w:val="37"/>
        <w:spacing w:line="405" w:lineRule="exact"/>
        <w:ind w:firstLine="420" w:firstLineChars="200"/>
        <w:jc w:val="both"/>
        <w:rPr>
          <w:sz w:val="21"/>
          <w:szCs w:val="21"/>
        </w:rPr>
      </w:pPr>
      <w:r>
        <w:rPr>
          <w:sz w:val="21"/>
          <w:szCs w:val="21"/>
          <w:lang w:val="en-US" w:eastAsia="zh-CN" w:bidi="en-US"/>
        </w:rPr>
        <w:t>31.1</w:t>
      </w:r>
      <w:r>
        <w:rPr>
          <w:sz w:val="21"/>
          <w:szCs w:val="21"/>
        </w:rPr>
        <w:t>供应商对政府采购活动事项有疑问的，可以向采购人、采购代理机构提出询问，采购人或者采购 代理机构应当在3个工作日内对供应商依法提出的询问作出答复。</w:t>
      </w:r>
    </w:p>
    <w:p w14:paraId="17F073AF">
      <w:pPr>
        <w:pStyle w:val="37"/>
        <w:numPr>
          <w:ilvl w:val="0"/>
          <w:numId w:val="19"/>
        </w:numPr>
        <w:tabs>
          <w:tab w:val="left" w:pos="847"/>
        </w:tabs>
        <w:spacing w:line="425" w:lineRule="exact"/>
        <w:ind w:firstLine="420" w:firstLineChars="200"/>
        <w:jc w:val="both"/>
        <w:rPr>
          <w:sz w:val="24"/>
          <w:szCs w:val="24"/>
        </w:rPr>
      </w:pPr>
      <w:bookmarkStart w:id="179" w:name="bookmark198"/>
      <w:bookmarkEnd w:id="179"/>
      <w:r>
        <w:rPr>
          <w:sz w:val="21"/>
          <w:szCs w:val="21"/>
        </w:rPr>
        <w:t>2供应商认为磋商文件、采购过程或者成交结果使自己的合法权益受到损害的，应当在知道或者应 知其权益受到损害之日起7个工作日内，以书面形式向采购人、采购代理机构提出质疑，接收质疑函的方 式、联系部门、联系电话和通讯地址等信息详见“供应商须知前附表”。</w:t>
      </w:r>
      <w:r>
        <w:rPr>
          <w:rFonts w:hint="eastAsia"/>
          <w:sz w:val="21"/>
          <w:szCs w:val="21"/>
          <w:lang w:eastAsia="zh-CN"/>
        </w:rPr>
        <w:t>具体质疑</w:t>
      </w:r>
      <w:r>
        <w:rPr>
          <w:sz w:val="21"/>
          <w:szCs w:val="21"/>
        </w:rPr>
        <w:t>起算时间及处理方式如</w:t>
      </w:r>
      <w:r>
        <w:rPr>
          <w:rFonts w:hint="eastAsia"/>
          <w:sz w:val="21"/>
          <w:szCs w:val="21"/>
          <w:lang w:eastAsia="zh-CN"/>
        </w:rPr>
        <w:t>下</w:t>
      </w:r>
      <w:r>
        <w:rPr>
          <w:sz w:val="24"/>
          <w:szCs w:val="24"/>
          <w:lang w:val="en-US" w:eastAsia="en-US" w:bidi="en-US"/>
        </w:rPr>
        <w:t>：</w:t>
      </w:r>
    </w:p>
    <w:p w14:paraId="1C1D02BC">
      <w:pPr>
        <w:pStyle w:val="37"/>
        <w:tabs>
          <w:tab w:val="left" w:pos="1003"/>
        </w:tabs>
        <w:spacing w:line="410" w:lineRule="exact"/>
        <w:ind w:firstLine="420" w:firstLineChars="200"/>
        <w:jc w:val="both"/>
        <w:rPr>
          <w:sz w:val="21"/>
          <w:szCs w:val="21"/>
        </w:rPr>
      </w:pPr>
      <w:bookmarkStart w:id="180" w:name="bookmark199"/>
      <w:r>
        <w:rPr>
          <w:sz w:val="21"/>
          <w:szCs w:val="21"/>
        </w:rPr>
        <w:t>（</w:t>
      </w:r>
      <w:bookmarkEnd w:id="180"/>
      <w:r>
        <w:rPr>
          <w:sz w:val="21"/>
          <w:szCs w:val="21"/>
        </w:rPr>
        <w:t>1）潜在供应商依法获取采购文件后，认为采购文件使自己的权益受到损害的，应当在竞争性磋商 采购文件公告期限届满之日起7个工作日内提出质疑。委托代理协议无特殊约定的，对竞争性磋商文件中 采购需求（含资格要求、采购预算和评分办法）的质疑由采购人受理并负责答复；对竞争性磋商文件中的 采购执行程序的质疑由采购代理机构受理并负责答复。</w:t>
      </w:r>
    </w:p>
    <w:p w14:paraId="01920484">
      <w:pPr>
        <w:pStyle w:val="37"/>
        <w:tabs>
          <w:tab w:val="left" w:pos="1003"/>
        </w:tabs>
        <w:spacing w:line="420" w:lineRule="exact"/>
        <w:ind w:firstLine="420" w:firstLineChars="200"/>
        <w:jc w:val="both"/>
        <w:rPr>
          <w:sz w:val="21"/>
          <w:szCs w:val="21"/>
        </w:rPr>
      </w:pPr>
      <w:bookmarkStart w:id="181" w:name="bookmark200"/>
      <w:r>
        <w:rPr>
          <w:sz w:val="21"/>
          <w:szCs w:val="21"/>
        </w:rPr>
        <w:t>（</w:t>
      </w:r>
      <w:bookmarkEnd w:id="181"/>
      <w:r>
        <w:rPr>
          <w:sz w:val="21"/>
          <w:szCs w:val="21"/>
        </w:rPr>
        <w:t>2）供应商认为采购过程使自己的权益受到损害的，应当在各采购程序环节结束之日起7个工作日 内提出质疑。对采购过程中资格审查、符合性审查等具体评审情况的质疑应向采购人或代理机构提出，由 采购人或代理机构受理并负责答复；对采购过程中采购执行程序的质疑由采购代理机构受理并负责答复。</w:t>
      </w:r>
    </w:p>
    <w:p w14:paraId="753B4F2D">
      <w:pPr>
        <w:pStyle w:val="37"/>
        <w:tabs>
          <w:tab w:val="left" w:pos="988"/>
        </w:tabs>
        <w:spacing w:line="435" w:lineRule="exact"/>
        <w:ind w:firstLine="420" w:firstLineChars="200"/>
        <w:jc w:val="both"/>
        <w:rPr>
          <w:sz w:val="21"/>
          <w:szCs w:val="21"/>
        </w:rPr>
      </w:pPr>
      <w:bookmarkStart w:id="182" w:name="bookmark201"/>
      <w:r>
        <w:rPr>
          <w:sz w:val="21"/>
          <w:szCs w:val="21"/>
        </w:rPr>
        <w:t>（</w:t>
      </w:r>
      <w:bookmarkEnd w:id="182"/>
      <w:r>
        <w:rPr>
          <w:sz w:val="21"/>
          <w:szCs w:val="21"/>
        </w:rPr>
        <w:t>3）供应商认为成交结果使自己的权益受到损害的，应当在成交结果公告期限届满之日起7个工作 日内提出质疑，由采购人受理并负责答复。</w:t>
      </w:r>
    </w:p>
    <w:p w14:paraId="04657F33">
      <w:pPr>
        <w:pStyle w:val="37"/>
        <w:numPr>
          <w:ilvl w:val="0"/>
          <w:numId w:val="20"/>
        </w:numPr>
        <w:tabs>
          <w:tab w:val="left" w:pos="847"/>
        </w:tabs>
        <w:spacing w:line="420" w:lineRule="exact"/>
        <w:ind w:firstLine="420" w:firstLineChars="200"/>
        <w:jc w:val="both"/>
        <w:rPr>
          <w:sz w:val="21"/>
          <w:szCs w:val="21"/>
        </w:rPr>
      </w:pPr>
      <w:bookmarkStart w:id="183" w:name="bookmark202"/>
      <w:bookmarkEnd w:id="183"/>
      <w:r>
        <w:rPr>
          <w:sz w:val="21"/>
          <w:szCs w:val="21"/>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5A7F2D5C">
      <w:pPr>
        <w:pStyle w:val="37"/>
        <w:spacing w:after="160" w:line="450" w:lineRule="exact"/>
        <w:ind w:firstLine="420" w:firstLineChars="200"/>
        <w:jc w:val="both"/>
        <w:rPr>
          <w:sz w:val="21"/>
          <w:szCs w:val="21"/>
        </w:rPr>
      </w:pPr>
      <w:r>
        <w:rPr>
          <w:sz w:val="21"/>
          <w:szCs w:val="21"/>
          <w:lang w:val="en-US" w:eastAsia="zh-CN" w:bidi="en-US"/>
        </w:rPr>
        <w:t>31.4</w:t>
      </w:r>
      <w:r>
        <w:rPr>
          <w:sz w:val="21"/>
          <w:szCs w:val="21"/>
        </w:rPr>
        <w:t>供应商提出质疑应当提交质疑函和必要的证明材料，针对同一采购程序环节的质疑必须在法定质疑期内一次性提出。质疑函应当包括下列内容（质疑函格式后附）：</w:t>
      </w:r>
    </w:p>
    <w:p w14:paraId="7A20429B">
      <w:pPr>
        <w:pStyle w:val="37"/>
        <w:tabs>
          <w:tab w:val="left" w:pos="1015"/>
        </w:tabs>
        <w:spacing w:line="420" w:lineRule="exact"/>
        <w:ind w:firstLine="420" w:firstLineChars="200"/>
        <w:jc w:val="both"/>
        <w:rPr>
          <w:sz w:val="21"/>
          <w:szCs w:val="21"/>
        </w:rPr>
      </w:pPr>
      <w:bookmarkStart w:id="184" w:name="bookmark203"/>
      <w:r>
        <w:rPr>
          <w:sz w:val="21"/>
          <w:szCs w:val="21"/>
          <w:lang w:val="zh-CN" w:eastAsia="zh-CN" w:bidi="zh-CN"/>
        </w:rPr>
        <w:t>（</w:t>
      </w:r>
      <w:bookmarkEnd w:id="184"/>
      <w:r>
        <w:rPr>
          <w:sz w:val="21"/>
          <w:szCs w:val="21"/>
          <w:lang w:val="zh-CN" w:eastAsia="zh-CN" w:bidi="zh-CN"/>
        </w:rPr>
        <w:t>1）</w:t>
      </w:r>
      <w:r>
        <w:rPr>
          <w:sz w:val="21"/>
          <w:szCs w:val="21"/>
        </w:rPr>
        <w:t>供应商的姓名或者名称、地址、邮编、联系人及联系电话；</w:t>
      </w:r>
    </w:p>
    <w:p w14:paraId="2406F914">
      <w:pPr>
        <w:pStyle w:val="37"/>
        <w:tabs>
          <w:tab w:val="left" w:pos="1015"/>
        </w:tabs>
        <w:spacing w:line="420" w:lineRule="exact"/>
        <w:ind w:firstLine="420" w:firstLineChars="200"/>
        <w:jc w:val="both"/>
        <w:rPr>
          <w:sz w:val="21"/>
          <w:szCs w:val="21"/>
        </w:rPr>
      </w:pPr>
      <w:bookmarkStart w:id="185" w:name="bookmark204"/>
      <w:r>
        <w:rPr>
          <w:sz w:val="21"/>
          <w:szCs w:val="21"/>
        </w:rPr>
        <w:t>（</w:t>
      </w:r>
      <w:bookmarkEnd w:id="185"/>
      <w:r>
        <w:rPr>
          <w:sz w:val="21"/>
          <w:szCs w:val="21"/>
        </w:rPr>
        <w:t>2）质疑项目的名称、编号；</w:t>
      </w:r>
    </w:p>
    <w:p w14:paraId="7DB950C6">
      <w:pPr>
        <w:pStyle w:val="37"/>
        <w:tabs>
          <w:tab w:val="left" w:pos="1015"/>
        </w:tabs>
        <w:spacing w:line="420" w:lineRule="exact"/>
        <w:ind w:firstLine="420" w:firstLineChars="200"/>
        <w:jc w:val="both"/>
        <w:rPr>
          <w:sz w:val="21"/>
          <w:szCs w:val="21"/>
        </w:rPr>
      </w:pPr>
      <w:bookmarkStart w:id="186" w:name="bookmark205"/>
      <w:r>
        <w:rPr>
          <w:sz w:val="21"/>
          <w:szCs w:val="21"/>
        </w:rPr>
        <w:t>（</w:t>
      </w:r>
      <w:bookmarkEnd w:id="186"/>
      <w:r>
        <w:rPr>
          <w:sz w:val="21"/>
          <w:szCs w:val="21"/>
        </w:rPr>
        <w:t>3）具体、明确的质疑事项和与质疑事项相关的请求；</w:t>
      </w:r>
    </w:p>
    <w:p w14:paraId="401DC335">
      <w:pPr>
        <w:pStyle w:val="37"/>
        <w:tabs>
          <w:tab w:val="left" w:pos="1015"/>
        </w:tabs>
        <w:spacing w:line="420" w:lineRule="exact"/>
        <w:ind w:firstLine="420" w:firstLineChars="200"/>
        <w:jc w:val="both"/>
        <w:rPr>
          <w:sz w:val="21"/>
          <w:szCs w:val="21"/>
        </w:rPr>
      </w:pPr>
      <w:bookmarkStart w:id="187" w:name="bookmark206"/>
      <w:r>
        <w:rPr>
          <w:sz w:val="21"/>
          <w:szCs w:val="21"/>
        </w:rPr>
        <w:t>（</w:t>
      </w:r>
      <w:bookmarkEnd w:id="187"/>
      <w:r>
        <w:rPr>
          <w:sz w:val="21"/>
          <w:szCs w:val="21"/>
        </w:rPr>
        <w:t>4）事实依据；</w:t>
      </w:r>
    </w:p>
    <w:p w14:paraId="2DC2FE64">
      <w:pPr>
        <w:pStyle w:val="37"/>
        <w:tabs>
          <w:tab w:val="left" w:pos="1015"/>
        </w:tabs>
        <w:spacing w:line="420" w:lineRule="exact"/>
        <w:ind w:firstLine="480" w:firstLineChars="200"/>
        <w:jc w:val="both"/>
        <w:rPr>
          <w:sz w:val="21"/>
          <w:szCs w:val="21"/>
        </w:rPr>
      </w:pPr>
      <w:bookmarkStart w:id="188" w:name="bookmark207"/>
      <w:r>
        <w:rPr>
          <w:sz w:val="24"/>
          <w:szCs w:val="24"/>
        </w:rPr>
        <w:t>（</w:t>
      </w:r>
      <w:bookmarkEnd w:id="188"/>
      <w:r>
        <w:rPr>
          <w:rFonts w:ascii="Times New Roman" w:hAnsi="Times New Roman" w:eastAsia="Times New Roman" w:cs="Times New Roman"/>
          <w:sz w:val="24"/>
          <w:szCs w:val="24"/>
        </w:rPr>
        <w:t>5）</w:t>
      </w:r>
      <w:r>
        <w:rPr>
          <w:sz w:val="21"/>
          <w:szCs w:val="21"/>
        </w:rPr>
        <w:t>必要的法律依据；</w:t>
      </w:r>
    </w:p>
    <w:p w14:paraId="6A8015E9">
      <w:pPr>
        <w:pStyle w:val="37"/>
        <w:tabs>
          <w:tab w:val="left" w:pos="1015"/>
        </w:tabs>
        <w:spacing w:line="420" w:lineRule="exact"/>
        <w:ind w:firstLine="420" w:firstLineChars="200"/>
        <w:jc w:val="both"/>
        <w:rPr>
          <w:sz w:val="21"/>
          <w:szCs w:val="21"/>
        </w:rPr>
      </w:pPr>
      <w:bookmarkStart w:id="189" w:name="bookmark208"/>
      <w:r>
        <w:rPr>
          <w:sz w:val="21"/>
          <w:szCs w:val="21"/>
        </w:rPr>
        <w:t>（</w:t>
      </w:r>
      <w:bookmarkEnd w:id="189"/>
      <w:r>
        <w:rPr>
          <w:sz w:val="21"/>
          <w:szCs w:val="21"/>
        </w:rPr>
        <w:t>6）提出质疑的日期。</w:t>
      </w:r>
    </w:p>
    <w:p w14:paraId="042E68BF">
      <w:pPr>
        <w:pStyle w:val="37"/>
        <w:spacing w:line="420" w:lineRule="exact"/>
        <w:ind w:firstLine="420" w:firstLineChars="200"/>
        <w:jc w:val="both"/>
        <w:rPr>
          <w:sz w:val="21"/>
          <w:szCs w:val="21"/>
        </w:rPr>
      </w:pPr>
      <w:r>
        <w:rPr>
          <w:sz w:val="21"/>
          <w:szCs w:val="21"/>
        </w:rPr>
        <w:t>供应商为自然人的，应当由本人签字；供应商为法人或者其他组织的，应当由法定代表人、主要负责人，或者其委托代理人签字或者盖章，并加盖公章。</w:t>
      </w:r>
    </w:p>
    <w:p w14:paraId="28936386">
      <w:pPr>
        <w:pStyle w:val="37"/>
        <w:numPr>
          <w:ilvl w:val="0"/>
          <w:numId w:val="21"/>
        </w:numPr>
        <w:tabs>
          <w:tab w:val="left" w:pos="860"/>
        </w:tabs>
        <w:spacing w:line="435" w:lineRule="exact"/>
        <w:ind w:firstLine="420" w:firstLineChars="200"/>
        <w:jc w:val="both"/>
        <w:rPr>
          <w:sz w:val="21"/>
          <w:szCs w:val="21"/>
        </w:rPr>
      </w:pPr>
      <w:bookmarkStart w:id="190" w:name="bookmark209"/>
      <w:bookmarkEnd w:id="190"/>
      <w:r>
        <w:rPr>
          <w:sz w:val="21"/>
          <w:szCs w:val="21"/>
        </w:rPr>
        <w:t>5采购人、采购代理机构认为供应商质疑不成立，或者成立但未对成交结果构成影响的，继续开展采购活动；认为供应商质疑成立且影响或者可能影响成交结果的，按照下列情况处理：</w:t>
      </w:r>
    </w:p>
    <w:p w14:paraId="325E3EE6">
      <w:pPr>
        <w:pStyle w:val="37"/>
        <w:spacing w:line="405" w:lineRule="exact"/>
        <w:ind w:firstLine="420" w:firstLineChars="200"/>
        <w:jc w:val="both"/>
        <w:rPr>
          <w:sz w:val="21"/>
          <w:szCs w:val="21"/>
        </w:rPr>
      </w:pPr>
      <w:r>
        <w:rPr>
          <w:sz w:val="21"/>
          <w:szCs w:val="21"/>
          <w:lang w:val="en-US" w:eastAsia="zh-CN" w:bidi="en-US"/>
        </w:rPr>
        <w:t>（</w:t>
      </w:r>
      <w:r>
        <w:rPr>
          <w:rFonts w:hint="eastAsia"/>
          <w:sz w:val="21"/>
          <w:szCs w:val="21"/>
          <w:lang w:val="en-US" w:eastAsia="zh-CN" w:bidi="en-US"/>
        </w:rPr>
        <w:t>一</w:t>
      </w:r>
      <w:r>
        <w:rPr>
          <w:sz w:val="21"/>
          <w:szCs w:val="21"/>
          <w:lang w:val="en-US" w:eastAsia="zh-CN" w:bidi="en-US"/>
        </w:rPr>
        <w:t>）</w:t>
      </w:r>
      <w:r>
        <w:rPr>
          <w:sz w:val="21"/>
          <w:szCs w:val="21"/>
        </w:rPr>
        <w:t>对采购文件提出的质疑，依法通过澄清或者修改可以继续幵展采购活动的，澄清或者修改采购 文件后继续开展采购活动：否则应当修改采购文件后重新开展采购活动。</w:t>
      </w:r>
    </w:p>
    <w:p w14:paraId="33B60DDB">
      <w:pPr>
        <w:pStyle w:val="37"/>
        <w:spacing w:line="405" w:lineRule="exact"/>
        <w:ind w:firstLine="420" w:firstLineChars="200"/>
        <w:jc w:val="both"/>
        <w:rPr>
          <w:sz w:val="21"/>
          <w:szCs w:val="21"/>
        </w:rPr>
      </w:pPr>
      <w:r>
        <w:rPr>
          <w:sz w:val="21"/>
          <w:szCs w:val="21"/>
        </w:rPr>
        <w:t>（二）对采购过程或者成交结果提出的质疑，合格供应商符合法定数量时，可以从合格的成交候选人中另行确定成交供应商的，应当依法另行确定成交供应商；否则应当重新开展采购活动。</w:t>
      </w:r>
    </w:p>
    <w:p w14:paraId="192BE6FE">
      <w:pPr>
        <w:pStyle w:val="37"/>
        <w:spacing w:line="405" w:lineRule="exact"/>
        <w:ind w:firstLine="420" w:firstLineChars="200"/>
        <w:jc w:val="both"/>
        <w:rPr>
          <w:sz w:val="21"/>
          <w:szCs w:val="21"/>
        </w:rPr>
      </w:pPr>
      <w:r>
        <w:rPr>
          <w:sz w:val="21"/>
          <w:szCs w:val="21"/>
        </w:rPr>
        <w:t>质疑答复导致成交结果改变的，采购人或者采购代理机构应当将有关情况书面报告本级财政部门。</w:t>
      </w:r>
    </w:p>
    <w:p w14:paraId="68F9BDF1">
      <w:pPr>
        <w:pStyle w:val="37"/>
        <w:spacing w:after="200" w:line="405" w:lineRule="exact"/>
        <w:ind w:firstLine="420" w:firstLineChars="200"/>
        <w:jc w:val="both"/>
        <w:rPr>
          <w:sz w:val="21"/>
          <w:szCs w:val="21"/>
        </w:rPr>
      </w:pPr>
      <w:r>
        <w:rPr>
          <w:sz w:val="21"/>
          <w:szCs w:val="21"/>
          <w:lang w:val="en-US" w:eastAsia="zh-CN" w:bidi="en-US"/>
        </w:rPr>
        <w:t>31.</w:t>
      </w:r>
      <w:r>
        <w:rPr>
          <w:sz w:val="21"/>
          <w:szCs w:val="21"/>
        </w:rPr>
        <w:t>6投诉的权利。质疑供应商对采购人、采购代理机构的答复不满意，或者采购人、采购代理机构未 在规定时间内作出答复的</w:t>
      </w:r>
      <w:r>
        <w:rPr>
          <w:i/>
          <w:iCs/>
          <w:sz w:val="21"/>
          <w:szCs w:val="21"/>
        </w:rPr>
        <w:t>，</w:t>
      </w:r>
      <w:r>
        <w:rPr>
          <w:sz w:val="21"/>
          <w:szCs w:val="21"/>
        </w:rPr>
        <w:t>可以在答复期满后15个工作日内向《政府采购质疑和投诉办法》（财政部令 第94号）第六条规定的财政部门提起投诉（投诉书格式后附），受理投诉方式见“供应商须知前附表”。</w:t>
      </w:r>
    </w:p>
    <w:p w14:paraId="317D4586">
      <w:pPr>
        <w:pStyle w:val="49"/>
        <w:keepNext/>
        <w:keepLines/>
        <w:spacing w:after="160"/>
        <w:ind w:firstLine="562" w:firstLineChars="200"/>
        <w:rPr>
          <w:b/>
          <w:bCs/>
          <w:sz w:val="28"/>
          <w:szCs w:val="28"/>
        </w:rPr>
      </w:pPr>
      <w:bookmarkStart w:id="191" w:name="bookmark210"/>
      <w:bookmarkStart w:id="192" w:name="bookmark211"/>
      <w:bookmarkStart w:id="193" w:name="bookmark212"/>
      <w:r>
        <w:rPr>
          <w:b/>
          <w:bCs/>
          <w:sz w:val="28"/>
          <w:szCs w:val="28"/>
        </w:rPr>
        <w:t>六、</w:t>
      </w:r>
      <w:r>
        <w:rPr>
          <w:b/>
          <w:bCs/>
          <w:color w:val="031A42"/>
          <w:sz w:val="28"/>
          <w:szCs w:val="28"/>
        </w:rPr>
        <w:t>验收</w:t>
      </w:r>
      <w:bookmarkEnd w:id="191"/>
      <w:bookmarkEnd w:id="192"/>
      <w:bookmarkEnd w:id="193"/>
    </w:p>
    <w:p w14:paraId="25A15530">
      <w:pPr>
        <w:pStyle w:val="43"/>
        <w:numPr>
          <w:ilvl w:val="0"/>
          <w:numId w:val="21"/>
        </w:numPr>
        <w:tabs>
          <w:tab w:val="left" w:pos="970"/>
        </w:tabs>
        <w:spacing w:line="240" w:lineRule="auto"/>
        <w:ind w:firstLine="482" w:firstLineChars="200"/>
        <w:jc w:val="both"/>
        <w:rPr>
          <w:b/>
          <w:bCs/>
          <w:sz w:val="24"/>
          <w:szCs w:val="24"/>
        </w:rPr>
      </w:pPr>
      <w:bookmarkStart w:id="194" w:name="bookmark213"/>
      <w:bookmarkEnd w:id="194"/>
      <w:r>
        <w:rPr>
          <w:b/>
          <w:bCs/>
          <w:sz w:val="24"/>
          <w:szCs w:val="24"/>
        </w:rPr>
        <w:t>验收</w:t>
      </w:r>
    </w:p>
    <w:p w14:paraId="23DE5CED">
      <w:pPr>
        <w:pStyle w:val="37"/>
        <w:spacing w:line="420" w:lineRule="exact"/>
        <w:ind w:firstLine="420" w:firstLineChars="200"/>
        <w:jc w:val="both"/>
        <w:rPr>
          <w:sz w:val="21"/>
          <w:szCs w:val="21"/>
        </w:rPr>
      </w:pPr>
      <w:r>
        <w:rPr>
          <w:sz w:val="21"/>
          <w:szCs w:val="21"/>
          <w:lang w:val="en-US" w:eastAsia="zh-CN" w:bidi="en-US"/>
        </w:rPr>
        <w:t>32.</w:t>
      </w:r>
      <w:r>
        <w:rPr>
          <w:sz w:val="21"/>
          <w:szCs w:val="21"/>
        </w:rPr>
        <w:t>1采购人会同实际使用人组织对供应商履约的验收。大型或者复杂的政府采购项目，应当</w:t>
      </w:r>
      <w:r>
        <w:rPr>
          <w:rFonts w:hint="eastAsia"/>
          <w:sz w:val="21"/>
          <w:szCs w:val="21"/>
          <w:lang w:eastAsia="zh-CN"/>
        </w:rPr>
        <w:t>邀</w:t>
      </w:r>
      <w:r>
        <w:rPr>
          <w:sz w:val="21"/>
          <w:szCs w:val="21"/>
        </w:rPr>
        <w:t>请国家 认可的质量检测机构参加验收工作。</w:t>
      </w:r>
      <w:r>
        <w:rPr>
          <w:rFonts w:hint="eastAsia"/>
          <w:sz w:val="21"/>
          <w:szCs w:val="21"/>
          <w:lang w:eastAsia="zh-CN"/>
        </w:rPr>
        <w:t>验</w:t>
      </w:r>
      <w:r>
        <w:rPr>
          <w:sz w:val="21"/>
          <w:szCs w:val="21"/>
        </w:rPr>
        <w:t>收方成员应当在验收书上签字，并承担相应的法律责任。如果发现 与合同中要求不符，供应商须承担由此发生的一切损失和费用，并接受相应的处理。</w:t>
      </w:r>
    </w:p>
    <w:p w14:paraId="28190497">
      <w:pPr>
        <w:pStyle w:val="37"/>
        <w:numPr>
          <w:ilvl w:val="0"/>
          <w:numId w:val="20"/>
        </w:numPr>
        <w:tabs>
          <w:tab w:val="left" w:pos="860"/>
        </w:tabs>
        <w:spacing w:line="450" w:lineRule="exact"/>
        <w:ind w:firstLine="420" w:firstLineChars="200"/>
        <w:jc w:val="both"/>
        <w:rPr>
          <w:sz w:val="21"/>
          <w:szCs w:val="21"/>
        </w:rPr>
      </w:pPr>
      <w:bookmarkStart w:id="195" w:name="bookmark214"/>
      <w:bookmarkEnd w:id="195"/>
      <w:r>
        <w:rPr>
          <w:sz w:val="21"/>
          <w:szCs w:val="21"/>
        </w:rPr>
        <w:t>2采购人可以</w:t>
      </w:r>
      <w:r>
        <w:rPr>
          <w:rFonts w:hint="eastAsia"/>
          <w:sz w:val="21"/>
          <w:szCs w:val="21"/>
          <w:lang w:eastAsia="zh-CN"/>
        </w:rPr>
        <w:t>邀</w:t>
      </w:r>
      <w:r>
        <w:rPr>
          <w:sz w:val="21"/>
          <w:szCs w:val="21"/>
        </w:rPr>
        <w:t>请参加本项目的其他供应商或者第三方机构参与验收。参与验收的供应商或者第三方机构的意见作为</w:t>
      </w:r>
      <w:r>
        <w:rPr>
          <w:rFonts w:hint="eastAsia"/>
          <w:sz w:val="21"/>
          <w:szCs w:val="21"/>
          <w:lang w:eastAsia="zh-CN"/>
        </w:rPr>
        <w:t>验</w:t>
      </w:r>
      <w:r>
        <w:rPr>
          <w:sz w:val="21"/>
          <w:szCs w:val="21"/>
        </w:rPr>
        <w:t>收书的参考资料一并存档。</w:t>
      </w:r>
    </w:p>
    <w:p w14:paraId="3901ABE5">
      <w:pPr>
        <w:pStyle w:val="37"/>
        <w:numPr>
          <w:ilvl w:val="0"/>
          <w:numId w:val="19"/>
        </w:numPr>
        <w:tabs>
          <w:tab w:val="left" w:pos="860"/>
        </w:tabs>
        <w:spacing w:line="420" w:lineRule="exact"/>
        <w:ind w:firstLine="420" w:firstLineChars="200"/>
        <w:jc w:val="both"/>
        <w:rPr>
          <w:sz w:val="21"/>
          <w:szCs w:val="21"/>
        </w:rPr>
      </w:pPr>
      <w:bookmarkStart w:id="196" w:name="bookmark215"/>
      <w:bookmarkEnd w:id="196"/>
      <w:r>
        <w:rPr>
          <w:sz w:val="21"/>
          <w:szCs w:val="21"/>
        </w:rPr>
        <w:t>3严格按照采购合同开展履约验收。采购人成立</w:t>
      </w:r>
      <w:r>
        <w:rPr>
          <w:rFonts w:hint="eastAsia"/>
          <w:sz w:val="21"/>
          <w:szCs w:val="21"/>
          <w:lang w:eastAsia="zh-CN"/>
        </w:rPr>
        <w:t>验</w:t>
      </w:r>
      <w:r>
        <w:rPr>
          <w:sz w:val="21"/>
          <w:szCs w:val="21"/>
        </w:rPr>
        <w:t>收小组，按照采购合同的约定对供应商履约情况 进行</w:t>
      </w:r>
      <w:r>
        <w:rPr>
          <w:rFonts w:hint="eastAsia"/>
          <w:sz w:val="21"/>
          <w:szCs w:val="21"/>
          <w:lang w:eastAsia="zh-CN"/>
        </w:rPr>
        <w:t>验</w:t>
      </w:r>
      <w:r>
        <w:rPr>
          <w:sz w:val="21"/>
          <w:szCs w:val="21"/>
        </w:rPr>
        <w:t>收。</w:t>
      </w:r>
      <w:r>
        <w:rPr>
          <w:rFonts w:hint="eastAsia"/>
          <w:sz w:val="21"/>
          <w:szCs w:val="21"/>
          <w:lang w:eastAsia="zh-CN"/>
        </w:rPr>
        <w:t>验</w:t>
      </w:r>
      <w:r>
        <w:rPr>
          <w:sz w:val="21"/>
          <w:szCs w:val="21"/>
        </w:rPr>
        <w:t>收时，按照采购合同的约定对每一项技术、服务、安全标准的履约情况进行确认。</w:t>
      </w:r>
      <w:r>
        <w:rPr>
          <w:rFonts w:hint="eastAsia"/>
          <w:sz w:val="21"/>
          <w:szCs w:val="21"/>
          <w:lang w:eastAsia="zh-CN"/>
        </w:rPr>
        <w:t>验</w:t>
      </w:r>
      <w:r>
        <w:rPr>
          <w:sz w:val="21"/>
          <w:szCs w:val="21"/>
        </w:rPr>
        <w:t>收结束 后，应当出具</w:t>
      </w:r>
      <w:r>
        <w:rPr>
          <w:rFonts w:hint="eastAsia"/>
          <w:sz w:val="21"/>
          <w:szCs w:val="21"/>
          <w:lang w:eastAsia="zh-CN"/>
        </w:rPr>
        <w:t>验</w:t>
      </w:r>
      <w:r>
        <w:rPr>
          <w:sz w:val="21"/>
          <w:szCs w:val="21"/>
        </w:rPr>
        <w:t>收书，列明各项标准的验收情况及项目总体评价，由</w:t>
      </w:r>
      <w:r>
        <w:rPr>
          <w:rFonts w:hint="eastAsia"/>
          <w:sz w:val="21"/>
          <w:szCs w:val="21"/>
          <w:lang w:eastAsia="zh-CN"/>
        </w:rPr>
        <w:t>验</w:t>
      </w:r>
      <w:r>
        <w:rPr>
          <w:sz w:val="21"/>
          <w:szCs w:val="21"/>
        </w:rPr>
        <w:t>收双方共同签署。</w:t>
      </w:r>
      <w:r>
        <w:rPr>
          <w:rFonts w:hint="eastAsia"/>
          <w:sz w:val="21"/>
          <w:szCs w:val="21"/>
          <w:lang w:eastAsia="zh-CN"/>
        </w:rPr>
        <w:t>验</w:t>
      </w:r>
      <w:r>
        <w:rPr>
          <w:sz w:val="21"/>
          <w:szCs w:val="21"/>
        </w:rPr>
        <w:t>收结果与采购合同约定的资金支付及履约保证金返还条件挂钩。履约验收的各项资料应当存档备查。</w:t>
      </w:r>
    </w:p>
    <w:p w14:paraId="24DDA958">
      <w:pPr>
        <w:pStyle w:val="37"/>
        <w:numPr>
          <w:ilvl w:val="0"/>
          <w:numId w:val="18"/>
        </w:numPr>
        <w:tabs>
          <w:tab w:val="left" w:pos="875"/>
        </w:tabs>
        <w:spacing w:after="160" w:line="420" w:lineRule="exact"/>
        <w:ind w:firstLine="420" w:firstLineChars="200"/>
        <w:jc w:val="both"/>
        <w:rPr>
          <w:sz w:val="21"/>
          <w:szCs w:val="21"/>
        </w:rPr>
      </w:pPr>
      <w:bookmarkStart w:id="197" w:name="bookmark216"/>
      <w:bookmarkEnd w:id="197"/>
      <w:r>
        <w:rPr>
          <w:sz w:val="21"/>
          <w:szCs w:val="21"/>
        </w:rPr>
        <w:t>4</w:t>
      </w:r>
      <w:r>
        <w:rPr>
          <w:rFonts w:hint="eastAsia"/>
          <w:sz w:val="21"/>
          <w:szCs w:val="21"/>
          <w:lang w:eastAsia="zh-CN"/>
        </w:rPr>
        <w:t>验</w:t>
      </w:r>
      <w:r>
        <w:rPr>
          <w:sz w:val="21"/>
          <w:szCs w:val="21"/>
        </w:rPr>
        <w:t>收合格的项目，实际使用人将根据采购合同的约定及时向供应商支付采购资金。</w:t>
      </w:r>
      <w:r>
        <w:rPr>
          <w:rFonts w:hint="eastAsia"/>
          <w:sz w:val="21"/>
          <w:szCs w:val="21"/>
          <w:lang w:eastAsia="zh-CN"/>
        </w:rPr>
        <w:t>验</w:t>
      </w:r>
      <w:r>
        <w:rPr>
          <w:sz w:val="21"/>
          <w:szCs w:val="21"/>
        </w:rPr>
        <w:t>收不合格的 项目，采购人将依法及时处理。采购合同的履行、违约责任和解决争议的方式等适用《中华人民共和国民 法典》。供应商在履约过程中有政府采购法律法规规定的违法违规情形的，采购人应当及时报告本级财政部门。</w:t>
      </w:r>
    </w:p>
    <w:p w14:paraId="22937A64">
      <w:pPr>
        <w:pStyle w:val="49"/>
        <w:keepNext/>
        <w:keepLines/>
        <w:spacing w:after="160"/>
        <w:ind w:firstLine="562" w:firstLineChars="200"/>
        <w:rPr>
          <w:b/>
          <w:bCs/>
          <w:sz w:val="28"/>
          <w:szCs w:val="28"/>
        </w:rPr>
      </w:pPr>
      <w:bookmarkStart w:id="198" w:name="bookmark219"/>
      <w:bookmarkStart w:id="199" w:name="bookmark217"/>
      <w:bookmarkStart w:id="200" w:name="bookmark218"/>
      <w:r>
        <w:rPr>
          <w:b/>
          <w:bCs/>
          <w:sz w:val="28"/>
          <w:szCs w:val="28"/>
        </w:rPr>
        <w:t>七、其他事项</w:t>
      </w:r>
      <w:bookmarkEnd w:id="198"/>
    </w:p>
    <w:p w14:paraId="5452EED8">
      <w:pPr>
        <w:pStyle w:val="49"/>
        <w:keepNext/>
        <w:keepLines/>
        <w:numPr>
          <w:ilvl w:val="0"/>
          <w:numId w:val="18"/>
        </w:numPr>
        <w:tabs>
          <w:tab w:val="left" w:pos="970"/>
        </w:tabs>
        <w:spacing w:after="60"/>
        <w:ind w:firstLine="562" w:firstLineChars="200"/>
        <w:jc w:val="both"/>
        <w:rPr>
          <w:b/>
          <w:bCs/>
          <w:sz w:val="28"/>
          <w:szCs w:val="28"/>
        </w:rPr>
      </w:pPr>
      <w:bookmarkStart w:id="201" w:name="bookmark220"/>
      <w:bookmarkEnd w:id="201"/>
      <w:bookmarkStart w:id="202" w:name="bookmark221"/>
      <w:r>
        <w:rPr>
          <w:b/>
          <w:bCs/>
          <w:sz w:val="28"/>
          <w:szCs w:val="28"/>
        </w:rPr>
        <w:t>代理</w:t>
      </w:r>
      <w:r>
        <w:rPr>
          <w:rFonts w:hint="eastAsia"/>
          <w:b/>
          <w:bCs/>
          <w:sz w:val="28"/>
          <w:szCs w:val="28"/>
          <w:lang w:eastAsia="zh-CN"/>
        </w:rPr>
        <w:t>服务</w:t>
      </w:r>
      <w:r>
        <w:rPr>
          <w:b/>
          <w:bCs/>
          <w:sz w:val="28"/>
          <w:szCs w:val="28"/>
        </w:rPr>
        <w:t>费</w:t>
      </w:r>
      <w:bookmarkEnd w:id="199"/>
      <w:bookmarkEnd w:id="200"/>
      <w:bookmarkEnd w:id="202"/>
    </w:p>
    <w:p w14:paraId="4BB6D79D">
      <w:pPr>
        <w:pStyle w:val="37"/>
        <w:spacing w:after="60" w:line="405" w:lineRule="exact"/>
        <w:ind w:firstLine="420" w:firstLineChars="200"/>
        <w:jc w:val="both"/>
        <w:rPr>
          <w:sz w:val="21"/>
          <w:szCs w:val="21"/>
        </w:rPr>
      </w:pPr>
      <w:r>
        <w:rPr>
          <w:sz w:val="21"/>
          <w:szCs w:val="21"/>
        </w:rPr>
        <w:t>代理服务收费标准及缴费账户详见</w:t>
      </w:r>
      <w:r>
        <w:rPr>
          <w:sz w:val="21"/>
          <w:szCs w:val="21"/>
          <w:lang w:val="zh-CN" w:eastAsia="zh-CN" w:bidi="zh-CN"/>
        </w:rPr>
        <w:t>“供</w:t>
      </w:r>
      <w:r>
        <w:rPr>
          <w:sz w:val="21"/>
          <w:szCs w:val="21"/>
        </w:rPr>
        <w:t>应商须知前附表”，供应商为联合体的，可以由联合体中的一 方或者多方共同交纳代理服务费。</w:t>
      </w:r>
    </w:p>
    <w:p w14:paraId="662AB60F">
      <w:pPr>
        <w:pStyle w:val="49"/>
        <w:keepNext/>
        <w:keepLines/>
        <w:numPr>
          <w:ilvl w:val="0"/>
          <w:numId w:val="18"/>
        </w:numPr>
        <w:tabs>
          <w:tab w:val="left" w:pos="970"/>
        </w:tabs>
        <w:spacing w:after="0"/>
        <w:ind w:firstLine="562" w:firstLineChars="200"/>
        <w:jc w:val="both"/>
        <w:rPr>
          <w:b/>
          <w:bCs/>
          <w:sz w:val="28"/>
          <w:szCs w:val="28"/>
        </w:rPr>
      </w:pPr>
      <w:bookmarkStart w:id="203" w:name="bookmark224"/>
      <w:bookmarkEnd w:id="203"/>
      <w:bookmarkStart w:id="204" w:name="bookmark223"/>
      <w:bookmarkStart w:id="205" w:name="bookmark225"/>
      <w:bookmarkStart w:id="206" w:name="bookmark222"/>
      <w:r>
        <w:rPr>
          <w:b/>
          <w:bCs/>
          <w:sz w:val="28"/>
          <w:szCs w:val="28"/>
        </w:rPr>
        <w:t>需要补充的其他内容</w:t>
      </w:r>
      <w:bookmarkEnd w:id="204"/>
      <w:bookmarkEnd w:id="205"/>
      <w:bookmarkEnd w:id="206"/>
    </w:p>
    <w:p w14:paraId="785D5173">
      <w:pPr>
        <w:pStyle w:val="37"/>
        <w:spacing w:line="413" w:lineRule="exact"/>
        <w:ind w:firstLine="420" w:firstLineChars="200"/>
        <w:jc w:val="both"/>
        <w:rPr>
          <w:sz w:val="21"/>
          <w:szCs w:val="21"/>
        </w:rPr>
      </w:pPr>
      <w:r>
        <w:rPr>
          <w:sz w:val="21"/>
          <w:szCs w:val="21"/>
          <w:lang w:val="en-US" w:eastAsia="zh-CN" w:bidi="en-US"/>
        </w:rPr>
        <w:t>34.1</w:t>
      </w:r>
      <w:r>
        <w:rPr>
          <w:sz w:val="21"/>
          <w:szCs w:val="21"/>
        </w:rPr>
        <w:t>本磋商文件解释规则详见“供应商须知前附表”。</w:t>
      </w:r>
    </w:p>
    <w:p w14:paraId="5B8D2DFC">
      <w:pPr>
        <w:pStyle w:val="37"/>
        <w:spacing w:line="413" w:lineRule="exact"/>
        <w:ind w:firstLine="420" w:firstLineChars="200"/>
        <w:jc w:val="both"/>
        <w:rPr>
          <w:sz w:val="21"/>
          <w:szCs w:val="21"/>
        </w:rPr>
      </w:pPr>
      <w:r>
        <w:rPr>
          <w:sz w:val="21"/>
          <w:szCs w:val="21"/>
          <w:lang w:val="en-US" w:eastAsia="zh-CN" w:bidi="en-US"/>
        </w:rPr>
        <w:t>34.2</w:t>
      </w:r>
      <w:r>
        <w:rPr>
          <w:sz w:val="21"/>
          <w:szCs w:val="21"/>
        </w:rPr>
        <w:t>其他事项详见</w:t>
      </w:r>
      <w:r>
        <w:rPr>
          <w:sz w:val="21"/>
          <w:szCs w:val="21"/>
          <w:lang w:val="zh-CN" w:eastAsia="zh-CN" w:bidi="zh-CN"/>
        </w:rPr>
        <w:t>“供</w:t>
      </w:r>
      <w:r>
        <w:rPr>
          <w:sz w:val="21"/>
          <w:szCs w:val="21"/>
        </w:rPr>
        <w:t>应商须知前附表”</w:t>
      </w:r>
      <w:r>
        <w:rPr>
          <w:i/>
          <w:iCs/>
          <w:sz w:val="21"/>
          <w:szCs w:val="21"/>
        </w:rPr>
        <w:t>。</w:t>
      </w:r>
    </w:p>
    <w:p w14:paraId="458B9496">
      <w:pPr>
        <w:pStyle w:val="37"/>
        <w:spacing w:line="413" w:lineRule="exact"/>
        <w:ind w:firstLine="420" w:firstLineChars="200"/>
        <w:jc w:val="both"/>
        <w:rPr>
          <w:sz w:val="21"/>
          <w:szCs w:val="21"/>
        </w:rPr>
      </w:pPr>
      <w:r>
        <w:rPr>
          <w:sz w:val="21"/>
          <w:szCs w:val="21"/>
          <w:lang w:val="en-US" w:eastAsia="zh-CN" w:bidi="en-US"/>
        </w:rPr>
        <w:t>34.</w:t>
      </w:r>
      <w:r>
        <w:rPr>
          <w:sz w:val="21"/>
          <w:szCs w:val="21"/>
        </w:rPr>
        <w:t>3本文件所称中小企业，是指在中华人民共和国境内依法设立，依据国务院批准的中小企业划分标 准确定的中型企业、小型企业和微型企业，但与大企业的负责人为同一人，或者与大企业存在直接控股、 管理关系的除外。符合中小企业划分标准的个体工商户，在政府采购活动中视同中小企业。在政府采购活 动中，供应商提供的服务由中小企业承接，即提供服务的人员为中小企业依照《中华人民共和国民法典》 订立劳动合同的从业人员，不对其中涉及的货物的制造商和工程承建商作出要求的，享受本文件规定的中 小企业扶持政策。</w:t>
      </w:r>
    </w:p>
    <w:p w14:paraId="6D698D4B">
      <w:pPr>
        <w:pStyle w:val="37"/>
        <w:spacing w:line="413" w:lineRule="exact"/>
        <w:ind w:firstLine="420" w:firstLineChars="200"/>
        <w:jc w:val="both"/>
        <w:rPr>
          <w:sz w:val="21"/>
          <w:szCs w:val="21"/>
        </w:rPr>
      </w:pPr>
      <w:r>
        <w:rPr>
          <w:sz w:val="21"/>
          <w:szCs w:val="21"/>
        </w:rPr>
        <w:t>以联合体形式参加政府采购活动，联合体各方均为中小企业的，联合体视同中小企业。其中，联合体 各方均为小微企业的，联合体视同小微企业。</w:t>
      </w:r>
    </w:p>
    <w:p w14:paraId="495E1BD1">
      <w:pPr>
        <w:pStyle w:val="37"/>
        <w:spacing w:after="60" w:line="413" w:lineRule="exact"/>
        <w:ind w:firstLine="420" w:firstLineChars="200"/>
        <w:jc w:val="both"/>
        <w:rPr>
          <w:sz w:val="21"/>
          <w:szCs w:val="21"/>
        </w:rPr>
      </w:pPr>
      <w:r>
        <w:rPr>
          <w:sz w:val="21"/>
          <w:szCs w:val="21"/>
        </w:rPr>
        <w:t>依据本文件规定享受扶持政策获得政府采购合同的，小微企业不得将合同分包给大中型企业，中型企 业不得将合同分包给大型企业。</w:t>
      </w:r>
    </w:p>
    <w:p w14:paraId="44B86300">
      <w:pPr>
        <w:pStyle w:val="37"/>
        <w:spacing w:after="60" w:line="413" w:lineRule="exact"/>
        <w:ind w:firstLine="420" w:firstLineChars="200"/>
        <w:jc w:val="both"/>
        <w:rPr>
          <w:sz w:val="21"/>
          <w:szCs w:val="21"/>
        </w:rPr>
      </w:pPr>
    </w:p>
    <w:p w14:paraId="650EDD31">
      <w:pPr>
        <w:pStyle w:val="50"/>
        <w:rPr>
          <w:rFonts w:ascii="宋体" w:hAnsi="宋体" w:eastAsia="宋体" w:cs="宋体"/>
          <w:b/>
          <w:bCs/>
          <w:sz w:val="28"/>
          <w:szCs w:val="28"/>
          <w:lang w:bidi="zh-TW"/>
        </w:rPr>
      </w:pPr>
    </w:p>
    <w:p w14:paraId="394917F1">
      <w:pPr>
        <w:pStyle w:val="50"/>
        <w:rPr>
          <w:rFonts w:ascii="宋体" w:hAnsi="宋体" w:eastAsia="宋体" w:cs="宋体"/>
          <w:b/>
          <w:bCs/>
          <w:sz w:val="28"/>
          <w:szCs w:val="28"/>
          <w:lang w:bidi="zh-TW"/>
        </w:rPr>
      </w:pPr>
    </w:p>
    <w:p w14:paraId="36BFC86B">
      <w:pPr>
        <w:pStyle w:val="50"/>
        <w:rPr>
          <w:rFonts w:ascii="宋体" w:hAnsi="宋体" w:eastAsia="宋体" w:cs="宋体"/>
          <w:b/>
          <w:bCs/>
          <w:sz w:val="28"/>
          <w:szCs w:val="28"/>
          <w:lang w:bidi="zh-TW"/>
        </w:rPr>
      </w:pPr>
    </w:p>
    <w:p w14:paraId="3A60B832">
      <w:pPr>
        <w:pStyle w:val="50"/>
        <w:rPr>
          <w:rFonts w:ascii="宋体" w:hAnsi="宋体" w:eastAsia="宋体" w:cs="宋体"/>
          <w:b/>
          <w:bCs/>
          <w:sz w:val="28"/>
          <w:szCs w:val="28"/>
          <w:lang w:bidi="zh-TW"/>
        </w:rPr>
      </w:pPr>
    </w:p>
    <w:p w14:paraId="3707BD1B">
      <w:pPr>
        <w:pStyle w:val="50"/>
        <w:rPr>
          <w:rFonts w:ascii="宋体" w:hAnsi="宋体" w:eastAsia="宋体" w:cs="宋体"/>
          <w:b/>
          <w:bCs/>
          <w:sz w:val="28"/>
          <w:szCs w:val="28"/>
          <w:lang w:bidi="zh-TW"/>
        </w:rPr>
      </w:pPr>
    </w:p>
    <w:p w14:paraId="24E67D03">
      <w:pPr>
        <w:pStyle w:val="50"/>
        <w:rPr>
          <w:rFonts w:ascii="宋体" w:hAnsi="宋体" w:eastAsia="宋体" w:cs="宋体"/>
          <w:b/>
          <w:bCs/>
          <w:sz w:val="28"/>
          <w:szCs w:val="28"/>
          <w:lang w:bidi="zh-TW"/>
        </w:rPr>
      </w:pPr>
    </w:p>
    <w:p w14:paraId="56E06CE8">
      <w:pPr>
        <w:pStyle w:val="50"/>
        <w:rPr>
          <w:b/>
          <w:bCs/>
          <w:color w:val="auto"/>
          <w:sz w:val="40"/>
          <w:szCs w:val="40"/>
        </w:rPr>
      </w:pPr>
      <w:r>
        <w:rPr>
          <w:rFonts w:hint="eastAsia" w:ascii="宋体" w:hAnsi="宋体" w:eastAsia="宋体" w:cs="宋体"/>
          <w:b/>
          <w:bCs/>
          <w:sz w:val="28"/>
          <w:szCs w:val="28"/>
          <w:lang w:bidi="zh-TW"/>
        </w:rPr>
        <w:t>35.</w:t>
      </w:r>
      <w:r>
        <w:rPr>
          <w:rFonts w:hint="eastAsia" w:ascii="宋体" w:hAnsi="宋体" w:eastAsia="宋体" w:cs="宋体"/>
          <w:b/>
          <w:bCs/>
          <w:sz w:val="28"/>
          <w:szCs w:val="28"/>
          <w:lang w:val="zh-TW" w:eastAsia="zh-TW" w:bidi="zh-TW"/>
        </w:rPr>
        <w:t>线</w:t>
      </w:r>
      <w:r>
        <w:rPr>
          <w:rFonts w:hint="eastAsia" w:ascii="黑体" w:hAnsi="黑体" w:eastAsia="黑体" w:cs="黑体"/>
          <w:b/>
          <w:bCs/>
          <w:color w:val="auto"/>
          <w:sz w:val="32"/>
          <w:szCs w:val="32"/>
        </w:rPr>
        <w:t>上“政采贷”相关说明</w:t>
      </w:r>
    </w:p>
    <w:p w14:paraId="7330F202">
      <w:pPr>
        <w:pStyle w:val="50"/>
        <w:rPr>
          <w:rFonts w:ascii="黑体" w:hAnsi="黑体" w:eastAsia="黑体" w:cs="黑体"/>
          <w:color w:val="auto"/>
          <w:sz w:val="21"/>
          <w:szCs w:val="21"/>
        </w:rPr>
      </w:pPr>
    </w:p>
    <w:p w14:paraId="2620B6E8">
      <w:pPr>
        <w:spacing w:line="360" w:lineRule="auto"/>
        <w:jc w:val="center"/>
        <w:rPr>
          <w:color w:val="auto"/>
          <w:sz w:val="32"/>
          <w:szCs w:val="32"/>
          <w:lang w:eastAsia="zh-CN"/>
        </w:rPr>
      </w:pPr>
      <w:r>
        <w:rPr>
          <w:rFonts w:hint="eastAsia" w:ascii="宋体" w:hAnsi="宋体" w:eastAsia="宋体" w:cs="宋体"/>
          <w:b/>
          <w:bCs/>
          <w:color w:val="auto"/>
          <w:sz w:val="32"/>
          <w:szCs w:val="32"/>
          <w:lang w:eastAsia="zh-CN"/>
        </w:rPr>
        <w:t>崇左市线上“政采贷”政策告知函</w:t>
      </w:r>
    </w:p>
    <w:p w14:paraId="0EDAB985">
      <w:pPr>
        <w:spacing w:line="360" w:lineRule="auto"/>
        <w:rPr>
          <w:rFonts w:ascii="宋体" w:hAnsi="宋体" w:eastAsia="宋体" w:cs="宋体"/>
          <w:color w:val="auto"/>
          <w:szCs w:val="32"/>
          <w:lang w:eastAsia="zh-CN"/>
        </w:rPr>
      </w:pPr>
      <w:r>
        <w:rPr>
          <w:rFonts w:hint="eastAsia" w:ascii="宋体" w:hAnsi="宋体" w:eastAsia="宋体" w:cs="宋体"/>
          <w:color w:val="auto"/>
          <w:szCs w:val="32"/>
          <w:lang w:eastAsia="zh-CN"/>
        </w:rPr>
        <w:t>各供应商：</w:t>
      </w:r>
    </w:p>
    <w:p w14:paraId="1F8A1002">
      <w:pPr>
        <w:spacing w:line="580" w:lineRule="exact"/>
        <w:ind w:firstLine="480" w:firstLineChars="200"/>
        <w:rPr>
          <w:rFonts w:ascii="宋体" w:hAnsi="宋体" w:eastAsia="宋体" w:cs="宋体"/>
          <w:color w:val="auto"/>
          <w:szCs w:val="32"/>
          <w:lang w:eastAsia="zh-CN"/>
        </w:rPr>
      </w:pPr>
      <w:r>
        <w:rPr>
          <w:rFonts w:hint="eastAsia" w:ascii="宋体" w:hAnsi="宋体" w:eastAsia="宋体" w:cs="宋体"/>
          <w:color w:val="auto"/>
          <w:szCs w:val="32"/>
          <w:lang w:eastAsia="zh-CN"/>
        </w:rPr>
        <w:t>欢迎贵公司参与崇左市政府采购活动！</w:t>
      </w:r>
    </w:p>
    <w:p w14:paraId="4C7B4373">
      <w:pPr>
        <w:spacing w:line="580" w:lineRule="exact"/>
        <w:ind w:firstLine="480" w:firstLineChars="200"/>
        <w:rPr>
          <w:rFonts w:ascii="宋体" w:hAnsi="宋体" w:eastAsia="宋体" w:cs="宋体"/>
          <w:color w:val="auto"/>
          <w:szCs w:val="32"/>
          <w:lang w:eastAsia="zh-CN"/>
        </w:rPr>
      </w:pPr>
      <w:r>
        <w:rPr>
          <w:rFonts w:hint="eastAsia" w:ascii="宋体" w:hAnsi="宋体" w:eastAsia="宋体" w:cs="宋体"/>
          <w:color w:val="auto"/>
          <w:szCs w:val="32"/>
          <w:lang w:eastAsia="zh-CN"/>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lang w:eastAsia="zh-CN" w:bidi="ar-SA"/>
        </w:rPr>
        <w:t>银行业金融机构</w:t>
      </w:r>
      <w:r>
        <w:rPr>
          <w:rFonts w:hint="eastAsia" w:ascii="宋体" w:hAnsi="宋体" w:eastAsia="宋体" w:cs="宋体"/>
          <w:color w:val="auto"/>
          <w:szCs w:val="32"/>
          <w:lang w:eastAsia="zh-CN"/>
        </w:rPr>
        <w:t>申请贷款，融资机构将根据《中国人民银行南宁中心支行 广西壮族自治区财政厅关于推广线上“政采贷”融资模式的通知》（南宁银发〔2021〕258号），按照双方自愿的原则提供便捷、优惠的贷款服务。</w:t>
      </w:r>
    </w:p>
    <w:p w14:paraId="2837BDC8">
      <w:pPr>
        <w:spacing w:line="580" w:lineRule="exact"/>
        <w:ind w:firstLine="480" w:firstLineChars="200"/>
        <w:rPr>
          <w:rFonts w:ascii="宋体" w:hAnsi="宋体" w:eastAsia="宋体" w:cs="宋体"/>
          <w:color w:val="auto"/>
          <w:szCs w:val="32"/>
          <w:lang w:eastAsia="zh-CN"/>
        </w:rPr>
      </w:pPr>
      <w:r>
        <w:rPr>
          <w:rFonts w:hint="eastAsia" w:ascii="宋体" w:hAnsi="宋体" w:eastAsia="宋体" w:cs="宋体"/>
          <w:color w:val="auto"/>
          <w:szCs w:val="32"/>
        </w:rPr>
        <w:t>相关金融产品和</w:t>
      </w:r>
      <w:r>
        <w:rPr>
          <w:rFonts w:hint="eastAsia" w:ascii="宋体" w:hAnsi="宋体" w:eastAsia="宋体" w:cs="宋体"/>
          <w:color w:val="auto"/>
          <w:kern w:val="2"/>
          <w:sz w:val="21"/>
          <w:szCs w:val="21"/>
          <w:lang w:eastAsia="zh-CN" w:bidi="ar-SA"/>
        </w:rPr>
        <w:t>银行业金融机构</w:t>
      </w:r>
      <w:r>
        <w:rPr>
          <w:rFonts w:hint="eastAsia" w:ascii="宋体" w:hAnsi="宋体" w:eastAsia="宋体" w:cs="宋体"/>
          <w:color w:val="auto"/>
          <w:szCs w:val="32"/>
        </w:rPr>
        <w:t>联系方式，可在中征应收账款融资服务平台查询</w:t>
      </w:r>
      <w:r>
        <w:rPr>
          <w:rFonts w:hint="eastAsia" w:ascii="宋体" w:hAnsi="宋体" w:eastAsia="宋体" w:cs="宋体"/>
          <w:color w:val="auto"/>
          <w:szCs w:val="32"/>
          <w:lang w:eastAsia="zh-CN"/>
        </w:rPr>
        <w:t>（网址：</w:t>
      </w:r>
      <w:r>
        <w:fldChar w:fldCharType="begin"/>
      </w:r>
      <w:r>
        <w:instrText xml:space="preserve"> HYPERLINK "https://www.crcrfsp.com/" </w:instrText>
      </w:r>
      <w:r>
        <w:fldChar w:fldCharType="separate"/>
      </w:r>
      <w:r>
        <w:rPr>
          <w:rStyle w:val="16"/>
          <w:rFonts w:hint="eastAsia" w:ascii="宋体" w:hAnsi="宋体" w:eastAsia="宋体" w:cs="宋体"/>
          <w:color w:val="auto"/>
          <w:szCs w:val="32"/>
          <w:lang w:eastAsia="zh-CN"/>
        </w:rPr>
        <w:t>https://www.crcrfsp.com/</w:t>
      </w:r>
      <w:r>
        <w:rPr>
          <w:rStyle w:val="16"/>
          <w:rFonts w:hint="eastAsia" w:ascii="宋体" w:hAnsi="宋体" w:eastAsia="宋体" w:cs="宋体"/>
          <w:color w:val="auto"/>
          <w:szCs w:val="32"/>
          <w:lang w:eastAsia="zh-CN"/>
        </w:rPr>
        <w:fldChar w:fldCharType="end"/>
      </w:r>
      <w:r>
        <w:rPr>
          <w:rFonts w:hint="eastAsia" w:ascii="宋体" w:hAnsi="宋体" w:eastAsia="宋体" w:cs="宋体"/>
          <w:color w:val="auto"/>
          <w:szCs w:val="32"/>
          <w:lang w:eastAsia="zh-CN"/>
        </w:rPr>
        <w:t>，客服电话：400-009-0001）。</w:t>
      </w:r>
    </w:p>
    <w:p w14:paraId="252F431C">
      <w:pPr>
        <w:spacing w:line="600" w:lineRule="exact"/>
        <w:ind w:firstLine="420" w:firstLineChars="200"/>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br w:type="page"/>
      </w:r>
    </w:p>
    <w:p w14:paraId="6174C477">
      <w:pPr>
        <w:pStyle w:val="18"/>
        <w:ind w:firstLine="420"/>
        <w:rPr>
          <w:color w:val="auto"/>
          <w:lang w:eastAsia="zh-CN"/>
        </w:rPr>
      </w:pPr>
      <w:r>
        <w:rPr>
          <w:rFonts w:hint="eastAsia" w:ascii="宋体" w:hAnsi="宋体" w:eastAsia="宋体" w:cs="宋体"/>
          <w:color w:val="auto"/>
          <w:sz w:val="21"/>
          <w:szCs w:val="21"/>
          <w:lang w:eastAsia="zh-CN"/>
        </w:rPr>
        <w:t>附件1：</w:t>
      </w:r>
    </w:p>
    <w:p w14:paraId="37E8989B">
      <w:pPr>
        <w:spacing w:line="600" w:lineRule="exact"/>
        <w:jc w:val="center"/>
        <w:rPr>
          <w:color w:val="auto"/>
          <w:sz w:val="32"/>
          <w:szCs w:val="32"/>
          <w:lang w:eastAsia="zh-CN"/>
        </w:rPr>
      </w:pPr>
      <w:r>
        <w:rPr>
          <w:rFonts w:hint="eastAsia" w:ascii="宋体" w:hAnsi="宋体" w:eastAsia="宋体" w:cs="宋体"/>
          <w:b/>
          <w:bCs/>
          <w:color w:val="auto"/>
          <w:sz w:val="32"/>
          <w:szCs w:val="32"/>
          <w:lang w:eastAsia="zh-CN"/>
        </w:rPr>
        <w:t>崇左市线上“政采贷”业务流程图</w:t>
      </w:r>
    </w:p>
    <w:p w14:paraId="7014D458">
      <w:pPr>
        <w:pStyle w:val="18"/>
        <w:ind w:firstLine="0" w:firstLineChars="0"/>
        <w:rPr>
          <w:rFonts w:ascii="宋体" w:hAnsi="宋体" w:eastAsia="宋体" w:cs="宋体"/>
          <w:color w:val="auto"/>
          <w:szCs w:val="32"/>
          <w:lang w:eastAsia="zh-CN"/>
        </w:rPr>
      </w:pPr>
      <w:r>
        <w:rPr>
          <w:rFonts w:hint="eastAsia" w:eastAsia="仿宋_GB2312"/>
          <w:color w:val="auto"/>
          <w:lang w:eastAsia="zh-CN" w:bidi="ar-SA"/>
        </w:rPr>
        <w:drawing>
          <wp:inline distT="0" distB="0" distL="114300" distR="114300">
            <wp:extent cx="4926965" cy="7002780"/>
            <wp:effectExtent l="0" t="0" r="10795" b="7620"/>
            <wp:docPr id="1"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011"/>
                    <pic:cNvPicPr>
                      <a:picLocks noChangeAspect="1"/>
                    </pic:cNvPicPr>
                  </pic:nvPicPr>
                  <pic:blipFill>
                    <a:blip r:embed="rId44"/>
                    <a:stretch>
                      <a:fillRect/>
                    </a:stretch>
                  </pic:blipFill>
                  <pic:spPr>
                    <a:xfrm>
                      <a:off x="0" y="0"/>
                      <a:ext cx="4926965" cy="7002780"/>
                    </a:xfrm>
                    <a:prstGeom prst="rect">
                      <a:avLst/>
                    </a:prstGeom>
                    <a:noFill/>
                    <a:ln>
                      <a:noFill/>
                    </a:ln>
                  </pic:spPr>
                </pic:pic>
              </a:graphicData>
            </a:graphic>
          </wp:inline>
        </w:drawing>
      </w:r>
    </w:p>
    <w:p w14:paraId="6027256C">
      <w:pPr>
        <w:pStyle w:val="18"/>
        <w:ind w:firstLine="420"/>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br w:type="page"/>
      </w:r>
      <w:r>
        <w:rPr>
          <w:rFonts w:hint="eastAsia" w:ascii="宋体" w:hAnsi="宋体" w:eastAsia="宋体" w:cs="宋体"/>
          <w:color w:val="auto"/>
          <w:sz w:val="21"/>
          <w:szCs w:val="21"/>
          <w:lang w:eastAsia="zh-CN"/>
        </w:rPr>
        <w:t>附件2：</w:t>
      </w:r>
    </w:p>
    <w:p w14:paraId="30376627">
      <w:pPr>
        <w:pStyle w:val="18"/>
        <w:ind w:firstLine="643"/>
        <w:jc w:val="center"/>
        <w:rPr>
          <w:rFonts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崇左市金融机构线上“政采贷”业务办理联络表</w:t>
      </w:r>
    </w:p>
    <w:tbl>
      <w:tblPr>
        <w:tblStyle w:val="14"/>
        <w:tblW w:w="9798" w:type="dxa"/>
        <w:tblInd w:w="96" w:type="dxa"/>
        <w:tblLayout w:type="fixed"/>
        <w:tblCellMar>
          <w:top w:w="0" w:type="dxa"/>
          <w:left w:w="108" w:type="dxa"/>
          <w:bottom w:w="0" w:type="dxa"/>
          <w:right w:w="108" w:type="dxa"/>
        </w:tblCellMar>
      </w:tblPr>
      <w:tblGrid>
        <w:gridCol w:w="3151"/>
        <w:gridCol w:w="4143"/>
        <w:gridCol w:w="2504"/>
      </w:tblGrid>
      <w:tr w14:paraId="3282CE1E">
        <w:tblPrEx>
          <w:tblCellMar>
            <w:top w:w="0" w:type="dxa"/>
            <w:left w:w="108" w:type="dxa"/>
            <w:bottom w:w="0" w:type="dxa"/>
            <w:right w:w="108" w:type="dxa"/>
          </w:tblCellMar>
        </w:tblPrEx>
        <w:trPr>
          <w:trHeight w:val="645" w:hRule="atLeast"/>
        </w:trPr>
        <w:tc>
          <w:tcPr>
            <w:tcW w:w="3151" w:type="dxa"/>
            <w:tcBorders>
              <w:top w:val="single" w:color="000000" w:sz="4" w:space="0"/>
              <w:left w:val="single" w:color="000000" w:sz="4" w:space="0"/>
              <w:bottom w:val="single" w:color="000000" w:sz="4" w:space="0"/>
              <w:right w:val="single" w:color="000000" w:sz="4" w:space="0"/>
            </w:tcBorders>
            <w:vAlign w:val="center"/>
          </w:tcPr>
          <w:p w14:paraId="1F4F7B5C">
            <w:pPr>
              <w:widowControl/>
              <w:spacing w:line="360" w:lineRule="auto"/>
              <w:jc w:val="center"/>
              <w:textAlignment w:val="center"/>
              <w:rPr>
                <w:rFonts w:ascii="宋体" w:hAnsi="宋体" w:eastAsia="宋体" w:cs="宋体"/>
                <w:b/>
                <w:bCs/>
                <w:color w:val="auto"/>
                <w:sz w:val="28"/>
                <w:szCs w:val="28"/>
              </w:rPr>
            </w:pPr>
            <w:r>
              <w:rPr>
                <w:rFonts w:hint="eastAsia" w:ascii="宋体" w:hAnsi="宋体" w:eastAsia="宋体" w:cs="宋体"/>
                <w:b/>
                <w:bCs/>
                <w:color w:val="auto"/>
                <w:sz w:val="28"/>
                <w:szCs w:val="28"/>
                <w:lang w:bidi="ar"/>
              </w:rPr>
              <w:t>金融机构名称</w:t>
            </w:r>
          </w:p>
        </w:tc>
        <w:tc>
          <w:tcPr>
            <w:tcW w:w="4143" w:type="dxa"/>
            <w:tcBorders>
              <w:top w:val="single" w:color="000000" w:sz="4" w:space="0"/>
              <w:left w:val="single" w:color="000000" w:sz="4" w:space="0"/>
              <w:bottom w:val="single" w:color="000000" w:sz="4" w:space="0"/>
              <w:right w:val="single" w:color="000000" w:sz="4" w:space="0"/>
            </w:tcBorders>
            <w:vAlign w:val="center"/>
          </w:tcPr>
          <w:p w14:paraId="6192C023">
            <w:pPr>
              <w:widowControl/>
              <w:spacing w:line="360" w:lineRule="auto"/>
              <w:jc w:val="center"/>
              <w:textAlignment w:val="center"/>
              <w:rPr>
                <w:rFonts w:ascii="宋体" w:hAnsi="宋体" w:eastAsia="宋体" w:cs="宋体"/>
                <w:b/>
                <w:bCs/>
                <w:color w:val="auto"/>
                <w:sz w:val="28"/>
                <w:szCs w:val="28"/>
              </w:rPr>
            </w:pPr>
            <w:r>
              <w:rPr>
                <w:rFonts w:hint="eastAsia" w:ascii="宋体" w:hAnsi="宋体" w:eastAsia="宋体" w:cs="宋体"/>
                <w:b/>
                <w:bCs/>
                <w:color w:val="auto"/>
                <w:sz w:val="28"/>
                <w:szCs w:val="28"/>
                <w:lang w:bidi="ar"/>
              </w:rPr>
              <w:t>地址</w:t>
            </w:r>
          </w:p>
        </w:tc>
        <w:tc>
          <w:tcPr>
            <w:tcW w:w="2504" w:type="dxa"/>
            <w:tcBorders>
              <w:top w:val="single" w:color="000000" w:sz="4" w:space="0"/>
              <w:left w:val="single" w:color="000000" w:sz="4" w:space="0"/>
              <w:bottom w:val="single" w:color="000000" w:sz="4" w:space="0"/>
              <w:right w:val="single" w:color="000000" w:sz="4" w:space="0"/>
            </w:tcBorders>
            <w:vAlign w:val="center"/>
          </w:tcPr>
          <w:p w14:paraId="5A31267B">
            <w:pPr>
              <w:widowControl/>
              <w:spacing w:line="360" w:lineRule="auto"/>
              <w:jc w:val="center"/>
              <w:textAlignment w:val="center"/>
              <w:rPr>
                <w:rFonts w:ascii="宋体" w:hAnsi="宋体" w:eastAsia="宋体" w:cs="宋体"/>
                <w:b/>
                <w:bCs/>
                <w:color w:val="auto"/>
                <w:sz w:val="28"/>
                <w:szCs w:val="28"/>
              </w:rPr>
            </w:pPr>
            <w:r>
              <w:rPr>
                <w:rFonts w:hint="eastAsia" w:eastAsia="宋体" w:cs="宋体"/>
                <w:b/>
                <w:bCs/>
                <w:color w:val="auto"/>
                <w:sz w:val="28"/>
                <w:szCs w:val="28"/>
                <w:lang w:eastAsia="zh-CN" w:bidi="ar"/>
              </w:rPr>
              <w:t>业务</w:t>
            </w:r>
            <w:r>
              <w:rPr>
                <w:rFonts w:hint="eastAsia" w:ascii="宋体" w:hAnsi="宋体" w:eastAsia="宋体" w:cs="宋体"/>
                <w:b/>
                <w:bCs/>
                <w:color w:val="auto"/>
                <w:sz w:val="28"/>
                <w:szCs w:val="28"/>
                <w:lang w:bidi="ar"/>
              </w:rPr>
              <w:t>咨询电话</w:t>
            </w:r>
          </w:p>
        </w:tc>
      </w:tr>
      <w:tr w14:paraId="503B20D8">
        <w:tblPrEx>
          <w:tblCellMar>
            <w:top w:w="0" w:type="dxa"/>
            <w:left w:w="108" w:type="dxa"/>
            <w:bottom w:w="0" w:type="dxa"/>
            <w:right w:w="108" w:type="dxa"/>
          </w:tblCellMar>
        </w:tblPrEx>
        <w:trPr>
          <w:trHeight w:val="486" w:hRule="atLeast"/>
        </w:trPr>
        <w:tc>
          <w:tcPr>
            <w:tcW w:w="9798" w:type="dxa"/>
            <w:gridSpan w:val="3"/>
            <w:tcBorders>
              <w:top w:val="single" w:color="000000" w:sz="4" w:space="0"/>
              <w:left w:val="single" w:color="000000" w:sz="4" w:space="0"/>
              <w:bottom w:val="single" w:color="000000" w:sz="4" w:space="0"/>
              <w:right w:val="single" w:color="000000" w:sz="4" w:space="0"/>
            </w:tcBorders>
            <w:noWrap/>
            <w:vAlign w:val="center"/>
          </w:tcPr>
          <w:p w14:paraId="249410D0">
            <w:pPr>
              <w:widowControl/>
              <w:spacing w:line="360" w:lineRule="auto"/>
              <w:jc w:val="center"/>
              <w:textAlignment w:val="center"/>
              <w:rPr>
                <w:rFonts w:eastAsia="宋体" w:cs="宋体"/>
                <w:color w:val="auto"/>
                <w:sz w:val="21"/>
                <w:szCs w:val="21"/>
                <w:lang w:eastAsia="zh-CN"/>
              </w:rPr>
            </w:pPr>
            <w:r>
              <w:rPr>
                <w:rFonts w:hint="eastAsia" w:eastAsia="宋体" w:cs="宋体"/>
                <w:b/>
                <w:bCs/>
                <w:color w:val="auto"/>
                <w:sz w:val="21"/>
                <w:szCs w:val="21"/>
                <w:lang w:eastAsia="zh-CN"/>
              </w:rPr>
              <w:t>崇左市本级及江州区</w:t>
            </w:r>
          </w:p>
        </w:tc>
      </w:tr>
      <w:tr w14:paraId="5FAB1971">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4234C162">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工商银行崇左分行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2BDCA033">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崇左市骆越大道6号（东盟国际城）裙楼2号楼</w:t>
            </w:r>
          </w:p>
        </w:tc>
        <w:tc>
          <w:tcPr>
            <w:tcW w:w="2504" w:type="dxa"/>
            <w:tcBorders>
              <w:top w:val="single" w:color="000000" w:sz="4" w:space="0"/>
              <w:left w:val="single" w:color="000000" w:sz="4" w:space="0"/>
              <w:bottom w:val="single" w:color="000000" w:sz="4" w:space="0"/>
              <w:right w:val="single" w:color="000000" w:sz="4" w:space="0"/>
            </w:tcBorders>
            <w:vAlign w:val="center"/>
          </w:tcPr>
          <w:p w14:paraId="12674E92">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0771-7820436 0771-7820439</w:t>
            </w:r>
          </w:p>
        </w:tc>
      </w:tr>
      <w:tr w14:paraId="2C7B3B88">
        <w:tblPrEx>
          <w:tblCellMar>
            <w:top w:w="0" w:type="dxa"/>
            <w:left w:w="108" w:type="dxa"/>
            <w:bottom w:w="0" w:type="dxa"/>
            <w:right w:w="108" w:type="dxa"/>
          </w:tblCellMar>
        </w:tblPrEx>
        <w:trPr>
          <w:trHeight w:val="486"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7A03A82B">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农业银行崇左分行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2ACD9FA4">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江州区友谊大道26号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4E1203FF">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0771-7917212</w:t>
            </w:r>
          </w:p>
        </w:tc>
      </w:tr>
      <w:tr w14:paraId="65C6841C">
        <w:tblPrEx>
          <w:tblCellMar>
            <w:top w:w="0" w:type="dxa"/>
            <w:left w:w="108" w:type="dxa"/>
            <w:bottom w:w="0" w:type="dxa"/>
            <w:right w:w="108" w:type="dxa"/>
          </w:tblCellMar>
        </w:tblPrEx>
        <w:trPr>
          <w:trHeight w:val="486"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2B636916">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农业银行江州支行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07FA47EA">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rPr>
              <w:t>江州区江南路48号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60F3484F">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w:t>
            </w:r>
            <w:r>
              <w:rPr>
                <w:rFonts w:hint="eastAsia" w:ascii="宋体" w:hAnsi="宋体" w:eastAsia="宋体" w:cs="宋体"/>
                <w:color w:val="auto"/>
                <w:sz w:val="21"/>
                <w:szCs w:val="21"/>
              </w:rPr>
              <w:t>7917054</w:t>
            </w:r>
          </w:p>
        </w:tc>
      </w:tr>
      <w:tr w14:paraId="018D1308">
        <w:tblPrEx>
          <w:tblCellMar>
            <w:top w:w="0" w:type="dxa"/>
            <w:left w:w="108" w:type="dxa"/>
            <w:bottom w:w="0" w:type="dxa"/>
            <w:right w:w="108" w:type="dxa"/>
          </w:tblCellMar>
        </w:tblPrEx>
        <w:trPr>
          <w:trHeight w:val="486"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60D839D8">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建行崇左分行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7894BF40">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崇左市江州区江南路73号建行大厦</w:t>
            </w:r>
          </w:p>
        </w:tc>
        <w:tc>
          <w:tcPr>
            <w:tcW w:w="2504" w:type="dxa"/>
            <w:tcBorders>
              <w:top w:val="single" w:color="000000" w:sz="4" w:space="0"/>
              <w:left w:val="single" w:color="000000" w:sz="4" w:space="0"/>
              <w:bottom w:val="single" w:color="000000" w:sz="4" w:space="0"/>
              <w:right w:val="single" w:color="000000" w:sz="4" w:space="0"/>
            </w:tcBorders>
            <w:vAlign w:val="center"/>
          </w:tcPr>
          <w:p w14:paraId="72CCF7BD">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0771-7831103</w:t>
            </w:r>
          </w:p>
        </w:tc>
      </w:tr>
      <w:tr w14:paraId="0C53EDE3">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143FE2FE">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中国银行崇左分行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1EDA86EC">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崇左市江州区龙胤大厦五楼</w:t>
            </w:r>
          </w:p>
        </w:tc>
        <w:tc>
          <w:tcPr>
            <w:tcW w:w="2504" w:type="dxa"/>
            <w:tcBorders>
              <w:top w:val="single" w:color="000000" w:sz="4" w:space="0"/>
              <w:left w:val="single" w:color="000000" w:sz="4" w:space="0"/>
              <w:bottom w:val="single" w:color="000000" w:sz="4" w:space="0"/>
              <w:right w:val="single" w:color="000000" w:sz="4" w:space="0"/>
            </w:tcBorders>
            <w:vAlign w:val="center"/>
          </w:tcPr>
          <w:p w14:paraId="71DE6351">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0771-7928650 0771-7920613</w:t>
            </w:r>
          </w:p>
        </w:tc>
      </w:tr>
      <w:tr w14:paraId="75AAC589">
        <w:tblPrEx>
          <w:tblCellMar>
            <w:top w:w="0" w:type="dxa"/>
            <w:left w:w="108" w:type="dxa"/>
            <w:bottom w:w="0" w:type="dxa"/>
            <w:right w:w="108" w:type="dxa"/>
          </w:tblCellMar>
        </w:tblPrEx>
        <w:trPr>
          <w:trHeight w:val="486"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184AFFA9">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崇左农商行授信审批部</w:t>
            </w:r>
          </w:p>
        </w:tc>
        <w:tc>
          <w:tcPr>
            <w:tcW w:w="4143" w:type="dxa"/>
            <w:tcBorders>
              <w:top w:val="single" w:color="000000" w:sz="4" w:space="0"/>
              <w:left w:val="single" w:color="000000" w:sz="4" w:space="0"/>
              <w:bottom w:val="single" w:color="000000" w:sz="4" w:space="0"/>
              <w:right w:val="single" w:color="000000" w:sz="4" w:space="0"/>
            </w:tcBorders>
            <w:vAlign w:val="center"/>
          </w:tcPr>
          <w:p w14:paraId="49324A2A">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rPr>
              <w:t>崇左市</w:t>
            </w:r>
            <w:r>
              <w:rPr>
                <w:rFonts w:hint="eastAsia" w:ascii="宋体" w:hAnsi="宋体" w:eastAsia="宋体" w:cs="宋体"/>
                <w:color w:val="auto"/>
                <w:sz w:val="21"/>
                <w:szCs w:val="21"/>
                <w:lang w:eastAsia="zh-CN"/>
              </w:rPr>
              <w:t>城西路109号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6E443F2E">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rPr>
              <w:t>0771-</w:t>
            </w:r>
            <w:r>
              <w:rPr>
                <w:rFonts w:hint="eastAsia" w:ascii="宋体" w:hAnsi="宋体" w:eastAsia="宋体" w:cs="宋体"/>
                <w:color w:val="auto"/>
                <w:sz w:val="21"/>
                <w:szCs w:val="21"/>
                <w:lang w:eastAsia="zh-CN"/>
              </w:rPr>
              <w:t>7925660</w:t>
            </w:r>
          </w:p>
        </w:tc>
      </w:tr>
      <w:tr w14:paraId="007F851B">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426B2CF9">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中国邮政储蓄银行崇左市分行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768446C1">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崇左市江州区骆越大道2号中国邮政储蓄银行崇左市分行</w:t>
            </w:r>
          </w:p>
        </w:tc>
        <w:tc>
          <w:tcPr>
            <w:tcW w:w="2504" w:type="dxa"/>
            <w:tcBorders>
              <w:top w:val="single" w:color="000000" w:sz="4" w:space="0"/>
              <w:left w:val="single" w:color="000000" w:sz="4" w:space="0"/>
              <w:bottom w:val="single" w:color="000000" w:sz="4" w:space="0"/>
              <w:right w:val="single" w:color="000000" w:sz="4" w:space="0"/>
            </w:tcBorders>
            <w:vAlign w:val="center"/>
          </w:tcPr>
          <w:p w14:paraId="717BA25D">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0771-7968699</w:t>
            </w:r>
          </w:p>
        </w:tc>
      </w:tr>
      <w:tr w14:paraId="6418EDA5">
        <w:tblPrEx>
          <w:tblCellMar>
            <w:top w:w="0" w:type="dxa"/>
            <w:left w:w="108" w:type="dxa"/>
            <w:bottom w:w="0" w:type="dxa"/>
            <w:right w:w="108" w:type="dxa"/>
          </w:tblCellMar>
        </w:tblPrEx>
        <w:trPr>
          <w:trHeight w:val="1439"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5ACA6710">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桂林银行崇左分行营业部</w:t>
            </w:r>
          </w:p>
        </w:tc>
        <w:tc>
          <w:tcPr>
            <w:tcW w:w="4143" w:type="dxa"/>
            <w:tcBorders>
              <w:top w:val="single" w:color="000000" w:sz="4" w:space="0"/>
              <w:left w:val="single" w:color="000000" w:sz="4" w:space="0"/>
              <w:bottom w:val="single" w:color="000000" w:sz="4" w:space="0"/>
              <w:right w:val="single" w:color="000000" w:sz="4" w:space="0"/>
            </w:tcBorders>
            <w:vAlign w:val="center"/>
          </w:tcPr>
          <w:p w14:paraId="7E720EC7">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广西壮族自治区崇左市江州区友谊大道中段龙胤·财富广场101商铺（龙胤大厦六楼营业部）</w:t>
            </w:r>
          </w:p>
        </w:tc>
        <w:tc>
          <w:tcPr>
            <w:tcW w:w="2504" w:type="dxa"/>
            <w:tcBorders>
              <w:top w:val="single" w:color="000000" w:sz="4" w:space="0"/>
              <w:left w:val="single" w:color="000000" w:sz="4" w:space="0"/>
              <w:bottom w:val="single" w:color="000000" w:sz="4" w:space="0"/>
              <w:right w:val="single" w:color="000000" w:sz="4" w:space="0"/>
            </w:tcBorders>
            <w:vAlign w:val="center"/>
          </w:tcPr>
          <w:p w14:paraId="7ABA6EDD">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0771-7916636</w:t>
            </w:r>
          </w:p>
        </w:tc>
      </w:tr>
      <w:tr w14:paraId="05648116">
        <w:tblPrEx>
          <w:tblCellMar>
            <w:top w:w="0" w:type="dxa"/>
            <w:left w:w="108" w:type="dxa"/>
            <w:bottom w:w="0" w:type="dxa"/>
            <w:right w:w="108" w:type="dxa"/>
          </w:tblCellMar>
        </w:tblPrEx>
        <w:trPr>
          <w:trHeight w:val="486"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222DCB6A">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rPr>
              <w:t>桂林银行江州支行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414B78F8">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崇左市江州区建设路41号桂林银行</w:t>
            </w:r>
          </w:p>
        </w:tc>
        <w:tc>
          <w:tcPr>
            <w:tcW w:w="2504" w:type="dxa"/>
            <w:tcBorders>
              <w:top w:val="single" w:color="000000" w:sz="4" w:space="0"/>
              <w:left w:val="single" w:color="000000" w:sz="4" w:space="0"/>
              <w:bottom w:val="single" w:color="000000" w:sz="4" w:space="0"/>
              <w:right w:val="single" w:color="000000" w:sz="4" w:space="0"/>
            </w:tcBorders>
            <w:vAlign w:val="center"/>
          </w:tcPr>
          <w:p w14:paraId="78700250">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rPr>
              <w:t>0771-7988895</w:t>
            </w:r>
          </w:p>
        </w:tc>
      </w:tr>
      <w:tr w14:paraId="2EA327BB">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3C39352F">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广西北部湾银行崇左分行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5D12BB1E">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崇左市友谊大道中段西侧龙胤财富广场三期财富中心122号商铺</w:t>
            </w:r>
          </w:p>
        </w:tc>
        <w:tc>
          <w:tcPr>
            <w:tcW w:w="2504" w:type="dxa"/>
            <w:tcBorders>
              <w:top w:val="single" w:color="000000" w:sz="4" w:space="0"/>
              <w:left w:val="single" w:color="000000" w:sz="4" w:space="0"/>
              <w:bottom w:val="single" w:color="000000" w:sz="4" w:space="0"/>
              <w:right w:val="single" w:color="000000" w:sz="4" w:space="0"/>
            </w:tcBorders>
            <w:vAlign w:val="center"/>
          </w:tcPr>
          <w:p w14:paraId="78498C7E">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0771-7960855</w:t>
            </w:r>
          </w:p>
        </w:tc>
      </w:tr>
      <w:tr w14:paraId="7931BAB3">
        <w:tblPrEx>
          <w:tblCellMar>
            <w:top w:w="0" w:type="dxa"/>
            <w:left w:w="108" w:type="dxa"/>
            <w:bottom w:w="0" w:type="dxa"/>
            <w:right w:w="108" w:type="dxa"/>
          </w:tblCellMar>
        </w:tblPrEx>
        <w:trPr>
          <w:trHeight w:val="1439"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2B93024C">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广西北部湾银行崇左市中泰产业园支行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779D4F1E">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广西壮族自治区崇左市江州区中泰产业园企业总部基地企业服务中心一楼</w:t>
            </w:r>
          </w:p>
        </w:tc>
        <w:tc>
          <w:tcPr>
            <w:tcW w:w="2504" w:type="dxa"/>
            <w:tcBorders>
              <w:top w:val="single" w:color="000000" w:sz="4" w:space="0"/>
              <w:left w:val="single" w:color="000000" w:sz="4" w:space="0"/>
              <w:bottom w:val="single" w:color="000000" w:sz="4" w:space="0"/>
              <w:right w:val="single" w:color="000000" w:sz="4" w:space="0"/>
            </w:tcBorders>
            <w:vAlign w:val="center"/>
          </w:tcPr>
          <w:p w14:paraId="6E66F8E3">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0771-7821126</w:t>
            </w:r>
          </w:p>
        </w:tc>
      </w:tr>
      <w:tr w14:paraId="67F81200">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5DA64FD6">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广西北部湾银行崇左市丽江支行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29E70E37">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崇左市江州区丽江路丽江明珠滨江花苑三期106-109号商铺</w:t>
            </w:r>
          </w:p>
        </w:tc>
        <w:tc>
          <w:tcPr>
            <w:tcW w:w="2504" w:type="dxa"/>
            <w:tcBorders>
              <w:top w:val="single" w:color="000000" w:sz="4" w:space="0"/>
              <w:left w:val="single" w:color="000000" w:sz="4" w:space="0"/>
              <w:bottom w:val="single" w:color="000000" w:sz="4" w:space="0"/>
              <w:right w:val="single" w:color="000000" w:sz="4" w:space="0"/>
            </w:tcBorders>
            <w:vAlign w:val="center"/>
          </w:tcPr>
          <w:p w14:paraId="150BFA4E">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0771-7831866</w:t>
            </w:r>
          </w:p>
        </w:tc>
      </w:tr>
      <w:tr w14:paraId="370511A9">
        <w:tblPrEx>
          <w:tblCellMar>
            <w:top w:w="0" w:type="dxa"/>
            <w:left w:w="108" w:type="dxa"/>
            <w:bottom w:w="0" w:type="dxa"/>
            <w:right w:w="108" w:type="dxa"/>
          </w:tblCellMar>
        </w:tblPrEx>
        <w:trPr>
          <w:trHeight w:val="486" w:hRule="atLeast"/>
        </w:trPr>
        <w:tc>
          <w:tcPr>
            <w:tcW w:w="9798" w:type="dxa"/>
            <w:gridSpan w:val="3"/>
            <w:tcBorders>
              <w:top w:val="single" w:color="000000" w:sz="4" w:space="0"/>
              <w:left w:val="single" w:color="000000" w:sz="4" w:space="0"/>
              <w:bottom w:val="single" w:color="000000" w:sz="4" w:space="0"/>
              <w:right w:val="single" w:color="000000" w:sz="4" w:space="0"/>
            </w:tcBorders>
            <w:noWrap/>
            <w:vAlign w:val="center"/>
          </w:tcPr>
          <w:p w14:paraId="06847153">
            <w:pPr>
              <w:widowControl/>
              <w:spacing w:line="360" w:lineRule="auto"/>
              <w:jc w:val="center"/>
              <w:textAlignment w:val="center"/>
              <w:rPr>
                <w:rFonts w:ascii="宋体" w:hAnsi="宋体" w:eastAsia="宋体" w:cs="宋体"/>
                <w:color w:val="auto"/>
                <w:sz w:val="21"/>
                <w:szCs w:val="21"/>
              </w:rPr>
            </w:pPr>
            <w:r>
              <w:rPr>
                <w:rFonts w:hint="eastAsia" w:ascii="宋体" w:hAnsi="宋体" w:eastAsia="宋体" w:cs="宋体"/>
                <w:b/>
                <w:bCs/>
                <w:color w:val="auto"/>
                <w:sz w:val="21"/>
                <w:szCs w:val="21"/>
                <w:lang w:eastAsia="zh-CN"/>
              </w:rPr>
              <w:t>扶绥县</w:t>
            </w:r>
          </w:p>
        </w:tc>
      </w:tr>
      <w:tr w14:paraId="647AB806">
        <w:tblPrEx>
          <w:tblCellMar>
            <w:top w:w="0" w:type="dxa"/>
            <w:left w:w="108" w:type="dxa"/>
            <w:bottom w:w="0" w:type="dxa"/>
            <w:right w:w="108" w:type="dxa"/>
          </w:tblCellMar>
        </w:tblPrEx>
        <w:trPr>
          <w:trHeight w:val="486"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3C328153">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工商银行扶绥县支行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75A096A9">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扶绥县新宁镇同正大道94号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68C1D358">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0771-7535612</w:t>
            </w:r>
          </w:p>
        </w:tc>
      </w:tr>
      <w:tr w14:paraId="6E2ACF69">
        <w:tblPrEx>
          <w:tblCellMar>
            <w:top w:w="0" w:type="dxa"/>
            <w:left w:w="108" w:type="dxa"/>
            <w:bottom w:w="0" w:type="dxa"/>
            <w:right w:w="108" w:type="dxa"/>
          </w:tblCellMar>
        </w:tblPrEx>
        <w:trPr>
          <w:trHeight w:val="486"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0213E8BD">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农业银行扶绥县支行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6C074C72">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扶绥县新宁镇新华路126号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570FFDEC">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0771-</w:t>
            </w:r>
            <w:r>
              <w:rPr>
                <w:rFonts w:hint="eastAsia" w:ascii="宋体" w:hAnsi="宋体" w:eastAsia="宋体" w:cs="宋体"/>
                <w:color w:val="auto"/>
                <w:sz w:val="21"/>
                <w:szCs w:val="21"/>
              </w:rPr>
              <w:t>7917330</w:t>
            </w:r>
          </w:p>
        </w:tc>
      </w:tr>
      <w:tr w14:paraId="2CDEC097">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31E96353">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建行扶绥支行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7F4FE973">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扶绥县南密路6号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7DE5AD26">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0771-7516511 0771-7531157</w:t>
            </w:r>
          </w:p>
        </w:tc>
      </w:tr>
      <w:tr w14:paraId="57BEF211">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07C74101">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建行扶绥空港支行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2CB72F27">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扶绥县双拥路3号东信华府18号楼一层</w:t>
            </w:r>
          </w:p>
        </w:tc>
        <w:tc>
          <w:tcPr>
            <w:tcW w:w="2504" w:type="dxa"/>
            <w:tcBorders>
              <w:top w:val="single" w:color="000000" w:sz="4" w:space="0"/>
              <w:left w:val="single" w:color="000000" w:sz="4" w:space="0"/>
              <w:bottom w:val="single" w:color="000000" w:sz="4" w:space="0"/>
              <w:right w:val="single" w:color="000000" w:sz="4" w:space="0"/>
            </w:tcBorders>
            <w:vAlign w:val="center"/>
          </w:tcPr>
          <w:p w14:paraId="53FA8CF0">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0771-7525822</w:t>
            </w:r>
          </w:p>
        </w:tc>
      </w:tr>
      <w:tr w14:paraId="089992CD">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01C69092">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中国银行扶绥支行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513625E9">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扶绥县-扶绥大道16号山水城市广场一层商铺</w:t>
            </w:r>
          </w:p>
        </w:tc>
        <w:tc>
          <w:tcPr>
            <w:tcW w:w="2504" w:type="dxa"/>
            <w:tcBorders>
              <w:top w:val="single" w:color="000000" w:sz="4" w:space="0"/>
              <w:left w:val="single" w:color="000000" w:sz="4" w:space="0"/>
              <w:bottom w:val="single" w:color="000000" w:sz="4" w:space="0"/>
              <w:right w:val="single" w:color="000000" w:sz="4" w:space="0"/>
            </w:tcBorders>
            <w:vAlign w:val="center"/>
          </w:tcPr>
          <w:p w14:paraId="4BDEA4F9">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0771-5025887</w:t>
            </w:r>
          </w:p>
        </w:tc>
      </w:tr>
      <w:tr w14:paraId="46A4BB95">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4E1026AF">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扶绥农商行三农零售与乡村振兴金融部</w:t>
            </w:r>
          </w:p>
        </w:tc>
        <w:tc>
          <w:tcPr>
            <w:tcW w:w="4143" w:type="dxa"/>
            <w:tcBorders>
              <w:top w:val="single" w:color="000000" w:sz="4" w:space="0"/>
              <w:left w:val="single" w:color="000000" w:sz="4" w:space="0"/>
              <w:bottom w:val="single" w:color="000000" w:sz="4" w:space="0"/>
              <w:right w:val="single" w:color="000000" w:sz="4" w:space="0"/>
            </w:tcBorders>
            <w:vAlign w:val="center"/>
          </w:tcPr>
          <w:p w14:paraId="664B6139">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扶绥县新宁镇永宁路2-1号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404F2047">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0771-7533041</w:t>
            </w:r>
          </w:p>
        </w:tc>
      </w:tr>
      <w:tr w14:paraId="4F2E1490">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19077239">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中国邮政储蓄银行扶绥县支行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074BB55D">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扶绥县松江路138号中国邮政储蓄银行扶绥县支行</w:t>
            </w:r>
          </w:p>
        </w:tc>
        <w:tc>
          <w:tcPr>
            <w:tcW w:w="2504" w:type="dxa"/>
            <w:tcBorders>
              <w:top w:val="single" w:color="000000" w:sz="4" w:space="0"/>
              <w:left w:val="single" w:color="000000" w:sz="4" w:space="0"/>
              <w:bottom w:val="single" w:color="000000" w:sz="4" w:space="0"/>
              <w:right w:val="single" w:color="000000" w:sz="4" w:space="0"/>
            </w:tcBorders>
            <w:vAlign w:val="center"/>
          </w:tcPr>
          <w:p w14:paraId="6838B077">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0771-7536178 0771-7536177</w:t>
            </w:r>
          </w:p>
        </w:tc>
      </w:tr>
      <w:tr w14:paraId="5A845B55">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079E8602">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桂林银行崇左扶绥支行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1B381D16">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广西崇左市扶绥县新宁镇松江路20号（桂林银行崇左扶绥支行）</w:t>
            </w:r>
          </w:p>
        </w:tc>
        <w:tc>
          <w:tcPr>
            <w:tcW w:w="2504" w:type="dxa"/>
            <w:tcBorders>
              <w:top w:val="single" w:color="000000" w:sz="4" w:space="0"/>
              <w:left w:val="single" w:color="000000" w:sz="4" w:space="0"/>
              <w:bottom w:val="single" w:color="000000" w:sz="4" w:space="0"/>
              <w:right w:val="single" w:color="000000" w:sz="4" w:space="0"/>
            </w:tcBorders>
            <w:vAlign w:val="center"/>
          </w:tcPr>
          <w:p w14:paraId="14959686">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0771-7661101</w:t>
            </w:r>
          </w:p>
        </w:tc>
      </w:tr>
      <w:tr w14:paraId="3BC4B44B">
        <w:tblPrEx>
          <w:tblCellMar>
            <w:top w:w="0" w:type="dxa"/>
            <w:left w:w="108" w:type="dxa"/>
            <w:bottom w:w="0" w:type="dxa"/>
            <w:right w:w="108" w:type="dxa"/>
          </w:tblCellMar>
        </w:tblPrEx>
        <w:trPr>
          <w:trHeight w:val="1439"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6C967ED7">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广西北部湾银行扶绥县支行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495BD9C4">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崇左市扶绥县新宁镇同正大道333号碧园·未来城商业综合体13号楼一楼1050、1051号商铺</w:t>
            </w:r>
          </w:p>
        </w:tc>
        <w:tc>
          <w:tcPr>
            <w:tcW w:w="2504" w:type="dxa"/>
            <w:tcBorders>
              <w:top w:val="single" w:color="000000" w:sz="4" w:space="0"/>
              <w:left w:val="single" w:color="000000" w:sz="4" w:space="0"/>
              <w:bottom w:val="single" w:color="000000" w:sz="4" w:space="0"/>
              <w:right w:val="single" w:color="000000" w:sz="4" w:space="0"/>
            </w:tcBorders>
            <w:vAlign w:val="center"/>
          </w:tcPr>
          <w:p w14:paraId="48421D23">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0771-7500768</w:t>
            </w:r>
          </w:p>
        </w:tc>
      </w:tr>
      <w:tr w14:paraId="4BA457BF">
        <w:tblPrEx>
          <w:tblCellMar>
            <w:top w:w="0" w:type="dxa"/>
            <w:left w:w="108" w:type="dxa"/>
            <w:bottom w:w="0" w:type="dxa"/>
            <w:right w:w="108" w:type="dxa"/>
          </w:tblCellMar>
        </w:tblPrEx>
        <w:trPr>
          <w:trHeight w:val="486"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48A64D91">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扶绥深通村镇银行业发部</w:t>
            </w:r>
          </w:p>
        </w:tc>
        <w:tc>
          <w:tcPr>
            <w:tcW w:w="4143" w:type="dxa"/>
            <w:tcBorders>
              <w:top w:val="single" w:color="000000" w:sz="4" w:space="0"/>
              <w:left w:val="single" w:color="000000" w:sz="4" w:space="0"/>
              <w:bottom w:val="single" w:color="000000" w:sz="4" w:space="0"/>
              <w:right w:val="single" w:color="000000" w:sz="4" w:space="0"/>
            </w:tcBorders>
            <w:vAlign w:val="center"/>
          </w:tcPr>
          <w:p w14:paraId="4367E191">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扶绥县大景城1号楼正门旁</w:t>
            </w:r>
          </w:p>
        </w:tc>
        <w:tc>
          <w:tcPr>
            <w:tcW w:w="2504" w:type="dxa"/>
            <w:tcBorders>
              <w:top w:val="single" w:color="000000" w:sz="4" w:space="0"/>
              <w:left w:val="single" w:color="000000" w:sz="4" w:space="0"/>
              <w:bottom w:val="single" w:color="000000" w:sz="4" w:space="0"/>
              <w:right w:val="single" w:color="000000" w:sz="4" w:space="0"/>
            </w:tcBorders>
            <w:vAlign w:val="center"/>
          </w:tcPr>
          <w:p w14:paraId="7F715F81">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0771-7525678</w:t>
            </w:r>
          </w:p>
        </w:tc>
      </w:tr>
      <w:tr w14:paraId="06CE93B6">
        <w:tblPrEx>
          <w:tblCellMar>
            <w:top w:w="0" w:type="dxa"/>
            <w:left w:w="108" w:type="dxa"/>
            <w:bottom w:w="0" w:type="dxa"/>
            <w:right w:w="108" w:type="dxa"/>
          </w:tblCellMar>
        </w:tblPrEx>
        <w:trPr>
          <w:trHeight w:val="488"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0E6A9D10">
            <w:pPr>
              <w:widowControl/>
              <w:spacing w:line="360" w:lineRule="auto"/>
              <w:jc w:val="center"/>
              <w:textAlignment w:val="center"/>
              <w:rPr>
                <w:rFonts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宁明县</w:t>
            </w:r>
          </w:p>
        </w:tc>
        <w:tc>
          <w:tcPr>
            <w:tcW w:w="4143" w:type="dxa"/>
            <w:tcBorders>
              <w:top w:val="single" w:color="000000" w:sz="4" w:space="0"/>
              <w:left w:val="single" w:color="000000" w:sz="4" w:space="0"/>
              <w:bottom w:val="single" w:color="000000" w:sz="4" w:space="0"/>
              <w:right w:val="single" w:color="000000" w:sz="4" w:space="0"/>
            </w:tcBorders>
            <w:vAlign w:val="center"/>
          </w:tcPr>
          <w:p w14:paraId="1BE3BCD2">
            <w:pPr>
              <w:widowControl/>
              <w:spacing w:line="360" w:lineRule="auto"/>
              <w:jc w:val="center"/>
              <w:textAlignment w:val="center"/>
              <w:rPr>
                <w:rFonts w:ascii="宋体" w:hAnsi="宋体" w:eastAsia="宋体" w:cs="宋体"/>
                <w:color w:val="auto"/>
                <w:sz w:val="21"/>
                <w:szCs w:val="21"/>
              </w:rPr>
            </w:pPr>
          </w:p>
        </w:tc>
        <w:tc>
          <w:tcPr>
            <w:tcW w:w="2504" w:type="dxa"/>
            <w:tcBorders>
              <w:top w:val="single" w:color="000000" w:sz="4" w:space="0"/>
              <w:left w:val="single" w:color="000000" w:sz="4" w:space="0"/>
              <w:bottom w:val="single" w:color="000000" w:sz="4" w:space="0"/>
              <w:right w:val="single" w:color="000000" w:sz="4" w:space="0"/>
            </w:tcBorders>
            <w:vAlign w:val="center"/>
          </w:tcPr>
          <w:p w14:paraId="59B117E3">
            <w:pPr>
              <w:widowControl/>
              <w:spacing w:line="360" w:lineRule="auto"/>
              <w:jc w:val="center"/>
              <w:textAlignment w:val="center"/>
              <w:rPr>
                <w:rFonts w:ascii="宋体" w:hAnsi="宋体" w:eastAsia="宋体" w:cs="宋体"/>
                <w:color w:val="auto"/>
                <w:sz w:val="21"/>
                <w:szCs w:val="21"/>
              </w:rPr>
            </w:pPr>
          </w:p>
        </w:tc>
      </w:tr>
      <w:tr w14:paraId="2EFFDB5C">
        <w:tblPrEx>
          <w:tblCellMar>
            <w:top w:w="0" w:type="dxa"/>
            <w:left w:w="108" w:type="dxa"/>
            <w:bottom w:w="0" w:type="dxa"/>
            <w:right w:w="108" w:type="dxa"/>
          </w:tblCellMar>
        </w:tblPrEx>
        <w:trPr>
          <w:trHeight w:val="486"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386C6966">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工商银行宁明县支行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25059600">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宁明县城中镇兴远街70号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1C3CB383">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0771-8620729</w:t>
            </w:r>
          </w:p>
        </w:tc>
      </w:tr>
      <w:tr w14:paraId="212EA46D">
        <w:tblPrEx>
          <w:tblCellMar>
            <w:top w:w="0" w:type="dxa"/>
            <w:left w:w="108" w:type="dxa"/>
            <w:bottom w:w="0" w:type="dxa"/>
            <w:right w:w="108" w:type="dxa"/>
          </w:tblCellMar>
        </w:tblPrEx>
        <w:trPr>
          <w:trHeight w:val="486"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3628EF8E">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农业银行宁明县支行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0109073D">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宁明县城中镇明阳街11号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6CCE4045">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0771-7917093</w:t>
            </w:r>
          </w:p>
        </w:tc>
      </w:tr>
      <w:tr w14:paraId="06F21422">
        <w:tblPrEx>
          <w:tblCellMar>
            <w:top w:w="0" w:type="dxa"/>
            <w:left w:w="108" w:type="dxa"/>
            <w:bottom w:w="0" w:type="dxa"/>
            <w:right w:w="108" w:type="dxa"/>
          </w:tblCellMar>
        </w:tblPrEx>
        <w:trPr>
          <w:trHeight w:val="1055"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2B07073D">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建行宁明支行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0195A3E5">
            <w:pPr>
              <w:widowControl/>
              <w:spacing w:after="90" w:line="360" w:lineRule="auto"/>
              <w:jc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bidi="ar"/>
              </w:rPr>
              <w:t>宁明县城中镇兴宁大道77号明江财富广场一层1-13号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28F12D01">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0771-8629006</w:t>
            </w:r>
          </w:p>
        </w:tc>
      </w:tr>
      <w:tr w14:paraId="7534927F">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22BDEA0C">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宁明农商行三农零售与乡村振兴金融部</w:t>
            </w:r>
          </w:p>
        </w:tc>
        <w:tc>
          <w:tcPr>
            <w:tcW w:w="4143" w:type="dxa"/>
            <w:tcBorders>
              <w:top w:val="single" w:color="000000" w:sz="4" w:space="0"/>
              <w:left w:val="single" w:color="000000" w:sz="4" w:space="0"/>
              <w:bottom w:val="single" w:color="000000" w:sz="4" w:space="0"/>
              <w:right w:val="single" w:color="000000" w:sz="4" w:space="0"/>
            </w:tcBorders>
            <w:vAlign w:val="center"/>
          </w:tcPr>
          <w:p w14:paraId="76F6A2C8">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宁明县城中镇明阳街3号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1C37429E">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rPr>
              <w:t>0771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8628166</w:t>
            </w:r>
          </w:p>
        </w:tc>
      </w:tr>
      <w:tr w14:paraId="43A6DB14">
        <w:tblPrEx>
          <w:tblCellMar>
            <w:top w:w="0" w:type="dxa"/>
            <w:left w:w="108" w:type="dxa"/>
            <w:bottom w:w="0" w:type="dxa"/>
            <w:right w:w="108" w:type="dxa"/>
          </w:tblCellMar>
        </w:tblPrEx>
        <w:trPr>
          <w:trHeight w:val="486"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555A1845">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桂林银行崇左宁明支行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3449FDA0">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宁明县城中镇兴宁大道中70号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1AF23B7B">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rPr>
              <w:t>0771-8630787</w:t>
            </w:r>
          </w:p>
        </w:tc>
      </w:tr>
      <w:tr w14:paraId="29B7A0DE">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6CBC83F7">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广西北部湾银行宁明支行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4740AE96">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崇左市宁明县城中镇兴宁大道中79号（明都大酒店）A幢楼1楼铺面</w:t>
            </w:r>
          </w:p>
        </w:tc>
        <w:tc>
          <w:tcPr>
            <w:tcW w:w="2504" w:type="dxa"/>
            <w:tcBorders>
              <w:top w:val="single" w:color="000000" w:sz="4" w:space="0"/>
              <w:left w:val="single" w:color="000000" w:sz="4" w:space="0"/>
              <w:bottom w:val="single" w:color="000000" w:sz="4" w:space="0"/>
              <w:right w:val="single" w:color="000000" w:sz="4" w:space="0"/>
            </w:tcBorders>
            <w:vAlign w:val="center"/>
          </w:tcPr>
          <w:p w14:paraId="373DA49A">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0771-8622237</w:t>
            </w:r>
          </w:p>
        </w:tc>
      </w:tr>
      <w:tr w14:paraId="638E1A9A">
        <w:tblPrEx>
          <w:tblCellMar>
            <w:top w:w="0" w:type="dxa"/>
            <w:left w:w="108" w:type="dxa"/>
            <w:bottom w:w="0" w:type="dxa"/>
            <w:right w:w="108" w:type="dxa"/>
          </w:tblCellMar>
        </w:tblPrEx>
        <w:trPr>
          <w:trHeight w:val="486" w:hRule="atLeast"/>
        </w:trPr>
        <w:tc>
          <w:tcPr>
            <w:tcW w:w="9798" w:type="dxa"/>
            <w:gridSpan w:val="3"/>
            <w:tcBorders>
              <w:top w:val="single" w:color="000000" w:sz="4" w:space="0"/>
              <w:left w:val="single" w:color="000000" w:sz="4" w:space="0"/>
              <w:bottom w:val="single" w:color="000000" w:sz="4" w:space="0"/>
              <w:right w:val="single" w:color="000000" w:sz="4" w:space="0"/>
            </w:tcBorders>
            <w:noWrap/>
            <w:vAlign w:val="center"/>
          </w:tcPr>
          <w:p w14:paraId="19DE2D52">
            <w:pPr>
              <w:widowControl/>
              <w:spacing w:line="360" w:lineRule="auto"/>
              <w:jc w:val="center"/>
              <w:textAlignment w:val="center"/>
              <w:rPr>
                <w:rFonts w:ascii="宋体" w:hAnsi="宋体" w:eastAsia="宋体" w:cs="宋体"/>
                <w:color w:val="auto"/>
                <w:sz w:val="21"/>
                <w:szCs w:val="21"/>
              </w:rPr>
            </w:pPr>
            <w:r>
              <w:rPr>
                <w:rFonts w:hint="eastAsia" w:ascii="宋体" w:hAnsi="宋体" w:eastAsia="宋体" w:cs="宋体"/>
                <w:b/>
                <w:bCs/>
                <w:color w:val="auto"/>
                <w:sz w:val="21"/>
                <w:szCs w:val="21"/>
                <w:lang w:eastAsia="zh-CN"/>
              </w:rPr>
              <w:t>大新县</w:t>
            </w:r>
          </w:p>
        </w:tc>
      </w:tr>
      <w:tr w14:paraId="5EF9FA61">
        <w:tblPrEx>
          <w:tblCellMar>
            <w:top w:w="0" w:type="dxa"/>
            <w:left w:w="108" w:type="dxa"/>
            <w:bottom w:w="0" w:type="dxa"/>
            <w:right w:w="108" w:type="dxa"/>
          </w:tblCellMar>
        </w:tblPrEx>
        <w:trPr>
          <w:trHeight w:val="486"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7DA88F60">
            <w:pPr>
              <w:widowControl/>
              <w:spacing w:line="360" w:lineRule="auto"/>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rPr>
              <w:t>工商银行大新县支行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21CA11D0">
            <w:pPr>
              <w:widowControl/>
              <w:spacing w:line="360" w:lineRule="auto"/>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大新县桃城镇民生街98号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35AE6567">
            <w:pPr>
              <w:widowControl/>
              <w:spacing w:line="360" w:lineRule="auto"/>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0771-3628078</w:t>
            </w:r>
          </w:p>
        </w:tc>
      </w:tr>
      <w:tr w14:paraId="26F0357B">
        <w:tblPrEx>
          <w:tblCellMar>
            <w:top w:w="0" w:type="dxa"/>
            <w:left w:w="108" w:type="dxa"/>
            <w:bottom w:w="0" w:type="dxa"/>
            <w:right w:w="108" w:type="dxa"/>
          </w:tblCellMar>
        </w:tblPrEx>
        <w:trPr>
          <w:trHeight w:val="486"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075C76F6">
            <w:pPr>
              <w:widowControl/>
              <w:spacing w:line="360" w:lineRule="auto"/>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rPr>
              <w:t>农业银行大新县支行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289268B3">
            <w:pPr>
              <w:widowControl/>
              <w:spacing w:line="360" w:lineRule="auto"/>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rPr>
              <w:t>大新县桃城镇伦理路223号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2E02B466">
            <w:pPr>
              <w:widowControl/>
              <w:spacing w:line="360" w:lineRule="auto"/>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0771-</w:t>
            </w:r>
            <w:r>
              <w:rPr>
                <w:rFonts w:hint="eastAsia" w:ascii="宋体" w:hAnsi="宋体" w:eastAsia="宋体" w:cs="宋体"/>
                <w:color w:val="auto"/>
                <w:sz w:val="21"/>
                <w:szCs w:val="21"/>
              </w:rPr>
              <w:t>7917015</w:t>
            </w:r>
          </w:p>
        </w:tc>
      </w:tr>
      <w:tr w14:paraId="305AB193">
        <w:tblPrEx>
          <w:tblCellMar>
            <w:top w:w="0" w:type="dxa"/>
            <w:left w:w="108" w:type="dxa"/>
            <w:bottom w:w="0" w:type="dxa"/>
            <w:right w:w="108" w:type="dxa"/>
          </w:tblCellMar>
        </w:tblPrEx>
        <w:trPr>
          <w:trHeight w:val="486"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4A57ACE4">
            <w:pPr>
              <w:widowControl/>
              <w:spacing w:line="360" w:lineRule="auto"/>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bidi="ar"/>
              </w:rPr>
              <w:t>建行大新支行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692C1EF4">
            <w:pPr>
              <w:widowControl/>
              <w:spacing w:line="360" w:lineRule="auto"/>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bidi="ar"/>
              </w:rPr>
              <w:t>大新县民生街7号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14A3E276">
            <w:pPr>
              <w:widowControl/>
              <w:spacing w:line="360" w:lineRule="auto"/>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bidi="ar"/>
              </w:rPr>
              <w:t>0771-</w:t>
            </w:r>
            <w:r>
              <w:rPr>
                <w:rFonts w:hint="eastAsia" w:ascii="宋体" w:hAnsi="宋体" w:eastAsia="宋体" w:cs="宋体"/>
                <w:color w:val="auto"/>
                <w:sz w:val="21"/>
                <w:szCs w:val="21"/>
                <w:lang w:eastAsia="zh-CN" w:bidi="ar"/>
              </w:rPr>
              <w:t>3689766</w:t>
            </w:r>
          </w:p>
        </w:tc>
      </w:tr>
      <w:tr w14:paraId="1EB99653">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21F53364">
            <w:pPr>
              <w:widowControl/>
              <w:spacing w:line="360" w:lineRule="auto"/>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大新农商行三农零售与乡村振兴金融部</w:t>
            </w:r>
          </w:p>
        </w:tc>
        <w:tc>
          <w:tcPr>
            <w:tcW w:w="4143" w:type="dxa"/>
            <w:tcBorders>
              <w:top w:val="single" w:color="000000" w:sz="4" w:space="0"/>
              <w:left w:val="single" w:color="000000" w:sz="4" w:space="0"/>
              <w:bottom w:val="single" w:color="000000" w:sz="4" w:space="0"/>
              <w:right w:val="single" w:color="000000" w:sz="4" w:space="0"/>
            </w:tcBorders>
            <w:vAlign w:val="center"/>
          </w:tcPr>
          <w:p w14:paraId="0F29AC6B">
            <w:pPr>
              <w:widowControl/>
              <w:spacing w:line="360" w:lineRule="auto"/>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bidi="ar"/>
              </w:rPr>
              <w:t>大新县城养利路131号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6F3C5A01">
            <w:pPr>
              <w:widowControl/>
              <w:spacing w:line="360" w:lineRule="auto"/>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bidi="ar"/>
              </w:rPr>
              <w:t>0771</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3623887</w:t>
            </w:r>
          </w:p>
        </w:tc>
      </w:tr>
      <w:tr w14:paraId="7D9B5CF6">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1C8D25D7">
            <w:pPr>
              <w:widowControl/>
              <w:spacing w:line="360" w:lineRule="auto"/>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rPr>
              <w:t>桂林银行崇左大新支行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365DE18B">
            <w:pPr>
              <w:widowControl/>
              <w:spacing w:line="360" w:lineRule="auto"/>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崇左市大新县桃城镇民生街7号东盟商业广场1楼桂林银行</w:t>
            </w:r>
          </w:p>
        </w:tc>
        <w:tc>
          <w:tcPr>
            <w:tcW w:w="2504" w:type="dxa"/>
            <w:tcBorders>
              <w:top w:val="single" w:color="000000" w:sz="4" w:space="0"/>
              <w:left w:val="single" w:color="000000" w:sz="4" w:space="0"/>
              <w:bottom w:val="single" w:color="000000" w:sz="4" w:space="0"/>
              <w:right w:val="single" w:color="000000" w:sz="4" w:space="0"/>
            </w:tcBorders>
            <w:vAlign w:val="center"/>
          </w:tcPr>
          <w:p w14:paraId="5F9CF5B3">
            <w:pPr>
              <w:widowControl/>
              <w:spacing w:line="360" w:lineRule="auto"/>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bidi="ar"/>
              </w:rPr>
              <w:t>0771</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3621996</w:t>
            </w:r>
          </w:p>
        </w:tc>
      </w:tr>
      <w:tr w14:paraId="5C00C00C">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7A45140A">
            <w:pPr>
              <w:widowControl/>
              <w:spacing w:line="360" w:lineRule="auto"/>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rPr>
              <w:t>广西北部湾银行大新支行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3A76866F">
            <w:pPr>
              <w:widowControl/>
              <w:spacing w:line="360" w:lineRule="auto"/>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崇左市大新县桃城镇伦理路230号1楼铺面</w:t>
            </w:r>
          </w:p>
        </w:tc>
        <w:tc>
          <w:tcPr>
            <w:tcW w:w="2504" w:type="dxa"/>
            <w:tcBorders>
              <w:top w:val="single" w:color="000000" w:sz="4" w:space="0"/>
              <w:left w:val="single" w:color="000000" w:sz="4" w:space="0"/>
              <w:bottom w:val="single" w:color="000000" w:sz="4" w:space="0"/>
              <w:right w:val="single" w:color="000000" w:sz="4" w:space="0"/>
            </w:tcBorders>
            <w:vAlign w:val="center"/>
          </w:tcPr>
          <w:p w14:paraId="49D3DADA">
            <w:pPr>
              <w:widowControl/>
              <w:spacing w:line="360" w:lineRule="auto"/>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rPr>
              <w:t>0771-</w:t>
            </w:r>
            <w:r>
              <w:rPr>
                <w:rFonts w:hint="eastAsia" w:ascii="宋体" w:hAnsi="宋体" w:eastAsia="宋体" w:cs="宋体"/>
                <w:color w:val="auto"/>
                <w:sz w:val="21"/>
                <w:szCs w:val="21"/>
              </w:rPr>
              <w:t>3628366</w:t>
            </w:r>
          </w:p>
        </w:tc>
      </w:tr>
      <w:tr w14:paraId="30C345D8">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4E718293">
            <w:pPr>
              <w:widowControl/>
              <w:spacing w:line="360" w:lineRule="auto"/>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崇左大新长江村镇银行营业部</w:t>
            </w:r>
          </w:p>
        </w:tc>
        <w:tc>
          <w:tcPr>
            <w:tcW w:w="4143" w:type="dxa"/>
            <w:tcBorders>
              <w:top w:val="single" w:color="000000" w:sz="4" w:space="0"/>
              <w:left w:val="single" w:color="000000" w:sz="4" w:space="0"/>
              <w:bottom w:val="single" w:color="000000" w:sz="4" w:space="0"/>
              <w:right w:val="single" w:color="000000" w:sz="4" w:space="0"/>
            </w:tcBorders>
            <w:vAlign w:val="center"/>
          </w:tcPr>
          <w:p w14:paraId="5802D8F3">
            <w:pPr>
              <w:widowControl/>
              <w:spacing w:line="360" w:lineRule="auto"/>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大新县桃城镇德天大道74-1号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49D16ADF">
            <w:pPr>
              <w:widowControl/>
              <w:spacing w:line="360" w:lineRule="auto"/>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0771-3698002</w:t>
            </w:r>
          </w:p>
        </w:tc>
      </w:tr>
      <w:tr w14:paraId="0CD17B00">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6EECAC8A">
            <w:pPr>
              <w:widowControl/>
              <w:spacing w:line="360" w:lineRule="auto"/>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崇左大新长江村镇银行百汇支行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491E3A9A">
            <w:pPr>
              <w:widowControl/>
              <w:spacing w:line="360" w:lineRule="auto"/>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大新县桃城镇伦那路8号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3363E232">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bidi="ar"/>
              </w:rPr>
              <w:t>0771-3626199</w:t>
            </w:r>
          </w:p>
        </w:tc>
      </w:tr>
      <w:tr w14:paraId="06920F1C">
        <w:tblPrEx>
          <w:tblCellMar>
            <w:top w:w="0" w:type="dxa"/>
            <w:left w:w="108" w:type="dxa"/>
            <w:bottom w:w="0" w:type="dxa"/>
            <w:right w:w="108" w:type="dxa"/>
          </w:tblCellMar>
        </w:tblPrEx>
        <w:trPr>
          <w:trHeight w:val="486"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57DF25F4">
            <w:pPr>
              <w:widowControl/>
              <w:spacing w:line="360" w:lineRule="auto"/>
              <w:textAlignment w:val="center"/>
              <w:rPr>
                <w:rFonts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龙州县</w:t>
            </w:r>
          </w:p>
        </w:tc>
        <w:tc>
          <w:tcPr>
            <w:tcW w:w="4143" w:type="dxa"/>
            <w:tcBorders>
              <w:top w:val="single" w:color="000000" w:sz="4" w:space="0"/>
              <w:left w:val="single" w:color="000000" w:sz="4" w:space="0"/>
              <w:bottom w:val="single" w:color="000000" w:sz="4" w:space="0"/>
              <w:right w:val="single" w:color="000000" w:sz="4" w:space="0"/>
            </w:tcBorders>
            <w:vAlign w:val="center"/>
          </w:tcPr>
          <w:p w14:paraId="4BE1D109">
            <w:pPr>
              <w:widowControl/>
              <w:spacing w:line="360" w:lineRule="auto"/>
              <w:textAlignment w:val="center"/>
              <w:rPr>
                <w:rFonts w:ascii="宋体" w:hAnsi="宋体" w:eastAsia="宋体" w:cs="宋体"/>
                <w:color w:val="auto"/>
                <w:sz w:val="21"/>
                <w:szCs w:val="21"/>
              </w:rPr>
            </w:pPr>
          </w:p>
        </w:tc>
        <w:tc>
          <w:tcPr>
            <w:tcW w:w="2504" w:type="dxa"/>
            <w:tcBorders>
              <w:top w:val="single" w:color="000000" w:sz="4" w:space="0"/>
              <w:left w:val="single" w:color="000000" w:sz="4" w:space="0"/>
              <w:bottom w:val="single" w:color="000000" w:sz="4" w:space="0"/>
              <w:right w:val="single" w:color="000000" w:sz="4" w:space="0"/>
            </w:tcBorders>
            <w:vAlign w:val="center"/>
          </w:tcPr>
          <w:p w14:paraId="75AC241E">
            <w:pPr>
              <w:widowControl/>
              <w:spacing w:line="360" w:lineRule="auto"/>
              <w:jc w:val="center"/>
              <w:textAlignment w:val="center"/>
              <w:rPr>
                <w:rFonts w:ascii="宋体" w:hAnsi="宋体" w:eastAsia="宋体" w:cs="宋体"/>
                <w:color w:val="auto"/>
                <w:sz w:val="21"/>
                <w:szCs w:val="21"/>
              </w:rPr>
            </w:pPr>
          </w:p>
        </w:tc>
      </w:tr>
      <w:tr w14:paraId="471AB303">
        <w:tblPrEx>
          <w:tblCellMar>
            <w:top w:w="0" w:type="dxa"/>
            <w:left w:w="108" w:type="dxa"/>
            <w:bottom w:w="0" w:type="dxa"/>
            <w:right w:w="108" w:type="dxa"/>
          </w:tblCellMar>
        </w:tblPrEx>
        <w:trPr>
          <w:trHeight w:val="486"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77F909A1">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工商银行龙州县支行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6FDD6742">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龙州县龙江街60号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5E9AF611">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0771-8868619</w:t>
            </w:r>
          </w:p>
        </w:tc>
      </w:tr>
      <w:tr w14:paraId="7AAF4EEF">
        <w:tblPrEx>
          <w:tblCellMar>
            <w:top w:w="0" w:type="dxa"/>
            <w:left w:w="108" w:type="dxa"/>
            <w:bottom w:w="0" w:type="dxa"/>
            <w:right w:w="108" w:type="dxa"/>
          </w:tblCellMar>
        </w:tblPrEx>
        <w:trPr>
          <w:trHeight w:val="564"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1A0CEF8E">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农业银行龙州县支行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6F9657BE">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龙州县龙州镇康平街26号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043B96AB">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0771-8812504</w:t>
            </w:r>
          </w:p>
        </w:tc>
      </w:tr>
      <w:tr w14:paraId="66B96E6E">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225AF7D8">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建行龙州支行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170D3258">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龙州县龙夏路2号龙州商业广场D栋1号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40CDBA64">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rPr>
              <w:t>0771-8820525</w:t>
            </w:r>
          </w:p>
        </w:tc>
      </w:tr>
      <w:tr w14:paraId="638BBC0A">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0F758109">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龙州农商行公司机构金融</w:t>
            </w:r>
            <w:r>
              <w:rPr>
                <w:rFonts w:hint="eastAsia" w:eastAsia="宋体" w:cs="宋体"/>
                <w:color w:val="auto"/>
                <w:sz w:val="21"/>
                <w:szCs w:val="21"/>
                <w:lang w:eastAsia="zh-CN"/>
              </w:rPr>
              <w:t>部</w:t>
            </w:r>
          </w:p>
        </w:tc>
        <w:tc>
          <w:tcPr>
            <w:tcW w:w="4143" w:type="dxa"/>
            <w:tcBorders>
              <w:top w:val="single" w:color="000000" w:sz="4" w:space="0"/>
              <w:left w:val="single" w:color="000000" w:sz="4" w:space="0"/>
              <w:bottom w:val="single" w:color="000000" w:sz="4" w:space="0"/>
              <w:right w:val="single" w:color="000000" w:sz="4" w:space="0"/>
            </w:tcBorders>
            <w:vAlign w:val="center"/>
          </w:tcPr>
          <w:p w14:paraId="028EC713">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龙州县龙州镇独山路172号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3F8217D9">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rPr>
              <w:t>0771-8813013</w:t>
            </w:r>
          </w:p>
        </w:tc>
      </w:tr>
      <w:tr w14:paraId="159239D2">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4249BD69">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桂林银行崇左龙州支行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152D87D9">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龙州县龙州镇同顾大道1号同顾·中央公园20栋10号—13号房</w:t>
            </w:r>
          </w:p>
        </w:tc>
        <w:tc>
          <w:tcPr>
            <w:tcW w:w="2504" w:type="dxa"/>
            <w:tcBorders>
              <w:top w:val="single" w:color="000000" w:sz="4" w:space="0"/>
              <w:left w:val="single" w:color="000000" w:sz="4" w:space="0"/>
              <w:bottom w:val="single" w:color="000000" w:sz="4" w:space="0"/>
              <w:right w:val="single" w:color="000000" w:sz="4" w:space="0"/>
            </w:tcBorders>
            <w:vAlign w:val="center"/>
          </w:tcPr>
          <w:p w14:paraId="66F48AA6">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rPr>
              <w:t>0771-8871021</w:t>
            </w:r>
          </w:p>
        </w:tc>
      </w:tr>
      <w:tr w14:paraId="7D9D55E6">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14A010AA">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广西北部湾银行龙州支行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24DD3E89">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崇左市龙州县龙州镇龙夏路1号、3号、5号（南湖商务酒店）一楼铺面</w:t>
            </w:r>
          </w:p>
        </w:tc>
        <w:tc>
          <w:tcPr>
            <w:tcW w:w="2504" w:type="dxa"/>
            <w:tcBorders>
              <w:top w:val="single" w:color="000000" w:sz="4" w:space="0"/>
              <w:left w:val="single" w:color="000000" w:sz="4" w:space="0"/>
              <w:bottom w:val="single" w:color="000000" w:sz="4" w:space="0"/>
              <w:right w:val="single" w:color="000000" w:sz="4" w:space="0"/>
            </w:tcBorders>
            <w:vAlign w:val="center"/>
          </w:tcPr>
          <w:p w14:paraId="2CBB8CE8">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w:t>
            </w:r>
            <w:r>
              <w:rPr>
                <w:rFonts w:hint="eastAsia" w:ascii="宋体" w:hAnsi="宋体" w:eastAsia="宋体" w:cs="宋体"/>
                <w:color w:val="auto"/>
                <w:sz w:val="21"/>
                <w:szCs w:val="21"/>
              </w:rPr>
              <w:t>8811533</w:t>
            </w:r>
          </w:p>
        </w:tc>
      </w:tr>
      <w:tr w14:paraId="650379F1">
        <w:tblPrEx>
          <w:tblCellMar>
            <w:top w:w="0" w:type="dxa"/>
            <w:left w:w="108" w:type="dxa"/>
            <w:bottom w:w="0" w:type="dxa"/>
            <w:right w:w="108" w:type="dxa"/>
          </w:tblCellMar>
        </w:tblPrEx>
        <w:trPr>
          <w:trHeight w:val="504"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573D7265">
            <w:pPr>
              <w:widowControl/>
              <w:spacing w:line="360" w:lineRule="auto"/>
              <w:jc w:val="both"/>
              <w:textAlignment w:val="center"/>
              <w:rPr>
                <w:rFonts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天等县</w:t>
            </w:r>
          </w:p>
        </w:tc>
        <w:tc>
          <w:tcPr>
            <w:tcW w:w="4143" w:type="dxa"/>
            <w:tcBorders>
              <w:top w:val="single" w:color="000000" w:sz="4" w:space="0"/>
              <w:left w:val="single" w:color="000000" w:sz="4" w:space="0"/>
              <w:bottom w:val="single" w:color="000000" w:sz="4" w:space="0"/>
              <w:right w:val="single" w:color="000000" w:sz="4" w:space="0"/>
            </w:tcBorders>
            <w:vAlign w:val="center"/>
          </w:tcPr>
          <w:p w14:paraId="30FB7A27">
            <w:pPr>
              <w:widowControl/>
              <w:spacing w:line="360" w:lineRule="auto"/>
              <w:textAlignment w:val="center"/>
              <w:rPr>
                <w:rFonts w:ascii="宋体" w:hAnsi="宋体" w:eastAsia="宋体" w:cs="宋体"/>
                <w:color w:val="auto"/>
                <w:sz w:val="21"/>
                <w:szCs w:val="21"/>
              </w:rPr>
            </w:pPr>
          </w:p>
        </w:tc>
        <w:tc>
          <w:tcPr>
            <w:tcW w:w="2504" w:type="dxa"/>
            <w:tcBorders>
              <w:top w:val="single" w:color="000000" w:sz="4" w:space="0"/>
              <w:left w:val="single" w:color="000000" w:sz="4" w:space="0"/>
              <w:bottom w:val="single" w:color="000000" w:sz="4" w:space="0"/>
              <w:right w:val="single" w:color="000000" w:sz="4" w:space="0"/>
            </w:tcBorders>
            <w:vAlign w:val="center"/>
          </w:tcPr>
          <w:p w14:paraId="4B525311">
            <w:pPr>
              <w:widowControl/>
              <w:spacing w:line="360" w:lineRule="auto"/>
              <w:jc w:val="center"/>
              <w:textAlignment w:val="center"/>
              <w:rPr>
                <w:rFonts w:ascii="宋体" w:hAnsi="宋体" w:eastAsia="宋体" w:cs="宋体"/>
                <w:color w:val="auto"/>
                <w:sz w:val="21"/>
                <w:szCs w:val="21"/>
              </w:rPr>
            </w:pPr>
          </w:p>
        </w:tc>
      </w:tr>
      <w:tr w14:paraId="34E748D7">
        <w:tblPrEx>
          <w:tblCellMar>
            <w:top w:w="0" w:type="dxa"/>
            <w:left w:w="108" w:type="dxa"/>
            <w:bottom w:w="0" w:type="dxa"/>
            <w:right w:w="108" w:type="dxa"/>
          </w:tblCellMar>
        </w:tblPrEx>
        <w:trPr>
          <w:trHeight w:val="486"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0D23A678">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工商银行天等县支行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49FDDB54">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天等县天等镇朝阳东路054号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29FC1C42">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0771-3532211</w:t>
            </w:r>
          </w:p>
        </w:tc>
      </w:tr>
      <w:tr w14:paraId="7E248B62">
        <w:tblPrEx>
          <w:tblCellMar>
            <w:top w:w="0" w:type="dxa"/>
            <w:left w:w="108" w:type="dxa"/>
            <w:bottom w:w="0" w:type="dxa"/>
            <w:right w:w="108" w:type="dxa"/>
          </w:tblCellMar>
        </w:tblPrEx>
        <w:trPr>
          <w:trHeight w:val="486"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4EDEB8D7">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农业银行天等县支行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3A635A96">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 xml:space="preserve"> 天等县天等镇天宝北路007号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05461392">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0771-7917046</w:t>
            </w:r>
          </w:p>
        </w:tc>
      </w:tr>
      <w:tr w14:paraId="3694B302">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6F9A4DB1">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天等农商行公司机构金融部</w:t>
            </w:r>
          </w:p>
        </w:tc>
        <w:tc>
          <w:tcPr>
            <w:tcW w:w="4143" w:type="dxa"/>
            <w:tcBorders>
              <w:top w:val="single" w:color="000000" w:sz="4" w:space="0"/>
              <w:left w:val="single" w:color="000000" w:sz="4" w:space="0"/>
              <w:bottom w:val="single" w:color="000000" w:sz="4" w:space="0"/>
              <w:right w:val="single" w:color="000000" w:sz="4" w:space="0"/>
            </w:tcBorders>
            <w:vAlign w:val="center"/>
          </w:tcPr>
          <w:p w14:paraId="41AC156B">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天等县天等镇仕民路48号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4CC23E70">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rPr>
              <w:t>0771-3521361</w:t>
            </w:r>
          </w:p>
        </w:tc>
      </w:tr>
      <w:tr w14:paraId="48B8FB2D">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0D0BB1D3">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桂林银行崇左天等支行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35A7E45D">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广西崇左市天等县天等镇天宝北路天府中央城5号楼115号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69C3C01B">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rPr>
              <w:t>0771-3522157</w:t>
            </w:r>
          </w:p>
        </w:tc>
      </w:tr>
      <w:tr w14:paraId="6B0D8B1E">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43AD5114">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广西北部湾银行天等支行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0B5EE95D">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崇左市天等县天宝南路002号天富商业广场28栋一层商铺6-17号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209E6AB8">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0771-3528688</w:t>
            </w:r>
          </w:p>
        </w:tc>
      </w:tr>
      <w:tr w14:paraId="575F1781">
        <w:tblPrEx>
          <w:tblCellMar>
            <w:top w:w="0" w:type="dxa"/>
            <w:left w:w="108" w:type="dxa"/>
            <w:bottom w:w="0" w:type="dxa"/>
            <w:right w:w="108" w:type="dxa"/>
          </w:tblCellMar>
        </w:tblPrEx>
        <w:trPr>
          <w:trHeight w:val="486" w:hRule="atLeast"/>
        </w:trPr>
        <w:tc>
          <w:tcPr>
            <w:tcW w:w="9798" w:type="dxa"/>
            <w:gridSpan w:val="3"/>
            <w:tcBorders>
              <w:top w:val="single" w:color="000000" w:sz="4" w:space="0"/>
              <w:left w:val="single" w:color="000000" w:sz="4" w:space="0"/>
              <w:bottom w:val="single" w:color="000000" w:sz="4" w:space="0"/>
              <w:right w:val="single" w:color="000000" w:sz="4" w:space="0"/>
            </w:tcBorders>
            <w:noWrap/>
            <w:vAlign w:val="center"/>
          </w:tcPr>
          <w:p w14:paraId="6C0764E4">
            <w:pPr>
              <w:widowControl/>
              <w:spacing w:line="360" w:lineRule="auto"/>
              <w:textAlignment w:val="center"/>
              <w:rPr>
                <w:rFonts w:ascii="宋体" w:hAnsi="宋体" w:eastAsia="宋体" w:cs="宋体"/>
                <w:color w:val="auto"/>
                <w:sz w:val="21"/>
                <w:szCs w:val="21"/>
              </w:rPr>
            </w:pPr>
            <w:r>
              <w:rPr>
                <w:rFonts w:hint="eastAsia" w:ascii="宋体" w:hAnsi="宋体" w:eastAsia="宋体" w:cs="宋体"/>
                <w:b/>
                <w:bCs/>
                <w:color w:val="auto"/>
                <w:sz w:val="21"/>
                <w:szCs w:val="21"/>
                <w:lang w:eastAsia="zh-CN"/>
              </w:rPr>
              <w:t>凭祥市</w:t>
            </w:r>
          </w:p>
        </w:tc>
      </w:tr>
      <w:tr w14:paraId="055B1836">
        <w:tblPrEx>
          <w:tblCellMar>
            <w:top w:w="0" w:type="dxa"/>
            <w:left w:w="108" w:type="dxa"/>
            <w:bottom w:w="0" w:type="dxa"/>
            <w:right w:w="108" w:type="dxa"/>
          </w:tblCellMar>
        </w:tblPrEx>
        <w:trPr>
          <w:trHeight w:val="486"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03EE660F">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工商银行凭祥分行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0731034C">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凭祥市新华路5号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361356CB">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0771-8529259</w:t>
            </w:r>
          </w:p>
        </w:tc>
      </w:tr>
      <w:tr w14:paraId="324DA79E">
        <w:tblPrEx>
          <w:tblCellMar>
            <w:top w:w="0" w:type="dxa"/>
            <w:left w:w="108" w:type="dxa"/>
            <w:bottom w:w="0" w:type="dxa"/>
            <w:right w:w="108" w:type="dxa"/>
          </w:tblCellMar>
        </w:tblPrEx>
        <w:trPr>
          <w:trHeight w:val="486"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30B31A88">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农业银行凭祥支行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31762345">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rPr>
              <w:t>凭祥市北大路216号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41D5A5BA">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0771-7917258</w:t>
            </w:r>
          </w:p>
        </w:tc>
      </w:tr>
      <w:tr w14:paraId="4E90EBB0">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2082DB94">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建行凭祥支行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6511FBCF">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凭祥市屏山路138号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1700C273">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w:t>
            </w:r>
            <w:r>
              <w:rPr>
                <w:rFonts w:hint="eastAsia" w:ascii="宋体" w:hAnsi="宋体" w:eastAsia="宋体" w:cs="宋体"/>
                <w:color w:val="auto"/>
                <w:sz w:val="21"/>
                <w:szCs w:val="21"/>
              </w:rPr>
              <w:t>8525068</w:t>
            </w:r>
            <w:r>
              <w:rPr>
                <w:rFonts w:hint="eastAsia" w:eastAsia="宋体" w:cs="宋体"/>
                <w:color w:val="auto"/>
                <w:sz w:val="21"/>
                <w:szCs w:val="21"/>
                <w:lang w:eastAsia="zh-CN"/>
              </w:rPr>
              <w:t xml:space="preserve"> </w:t>
            </w:r>
            <w:r>
              <w:rPr>
                <w:rFonts w:hint="eastAsia" w:ascii="宋体" w:hAnsi="宋体" w:eastAsia="宋体" w:cs="宋体"/>
                <w:color w:val="auto"/>
                <w:sz w:val="21"/>
                <w:szCs w:val="21"/>
                <w:lang w:eastAsia="zh-CN"/>
              </w:rPr>
              <w:t>0771-</w:t>
            </w:r>
            <w:r>
              <w:rPr>
                <w:rFonts w:hint="eastAsia" w:ascii="宋体" w:hAnsi="宋体" w:eastAsia="宋体" w:cs="宋体"/>
                <w:color w:val="auto"/>
                <w:sz w:val="21"/>
                <w:szCs w:val="21"/>
              </w:rPr>
              <w:t>8536852</w:t>
            </w:r>
          </w:p>
        </w:tc>
      </w:tr>
      <w:tr w14:paraId="62120C78">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07CB7E7C">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建行凭祥中区支行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2CBA0482">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凭祥市金象大道香格里拉3幢3-01至3-03号商铺</w:t>
            </w:r>
          </w:p>
        </w:tc>
        <w:tc>
          <w:tcPr>
            <w:tcW w:w="2504" w:type="dxa"/>
            <w:tcBorders>
              <w:top w:val="single" w:color="000000" w:sz="4" w:space="0"/>
              <w:left w:val="single" w:color="000000" w:sz="4" w:space="0"/>
              <w:bottom w:val="single" w:color="000000" w:sz="4" w:space="0"/>
              <w:right w:val="single" w:color="000000" w:sz="4" w:space="0"/>
            </w:tcBorders>
            <w:vAlign w:val="center"/>
          </w:tcPr>
          <w:p w14:paraId="3B16D226">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0771-8551161</w:t>
            </w:r>
          </w:p>
        </w:tc>
      </w:tr>
      <w:tr w14:paraId="68285BC8">
        <w:tblPrEx>
          <w:tblCellMar>
            <w:top w:w="0" w:type="dxa"/>
            <w:left w:w="108" w:type="dxa"/>
            <w:bottom w:w="0" w:type="dxa"/>
            <w:right w:w="108" w:type="dxa"/>
          </w:tblCellMar>
        </w:tblPrEx>
        <w:trPr>
          <w:trHeight w:val="486"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12F09082">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建行凭祥浦寨支行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2D152C78">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凭祥市浦寨商业城万泰一楼8-9号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25F90960">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0771-8561665</w:t>
            </w:r>
          </w:p>
        </w:tc>
      </w:tr>
      <w:tr w14:paraId="67EB65DD">
        <w:tblPrEx>
          <w:tblCellMar>
            <w:top w:w="0" w:type="dxa"/>
            <w:left w:w="108" w:type="dxa"/>
            <w:bottom w:w="0" w:type="dxa"/>
            <w:right w:w="108" w:type="dxa"/>
          </w:tblCellMar>
        </w:tblPrEx>
        <w:trPr>
          <w:trHeight w:val="486"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0707C2CE">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中国银行凭祥支行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7EE92486">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rPr>
              <w:t>凭祥市-北环路112号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4FF2A0FF">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0771-8520356</w:t>
            </w:r>
          </w:p>
        </w:tc>
      </w:tr>
      <w:tr w14:paraId="776F3686">
        <w:tblPrEx>
          <w:tblCellMar>
            <w:top w:w="0" w:type="dxa"/>
            <w:left w:w="108" w:type="dxa"/>
            <w:bottom w:w="0" w:type="dxa"/>
            <w:right w:w="108" w:type="dxa"/>
          </w:tblCellMar>
        </w:tblPrEx>
        <w:trPr>
          <w:trHeight w:val="486"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2FC4B4B7">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凭祥农商行业务拓展部</w:t>
            </w:r>
          </w:p>
        </w:tc>
        <w:tc>
          <w:tcPr>
            <w:tcW w:w="4143" w:type="dxa"/>
            <w:tcBorders>
              <w:top w:val="single" w:color="000000" w:sz="4" w:space="0"/>
              <w:left w:val="single" w:color="000000" w:sz="4" w:space="0"/>
              <w:bottom w:val="single" w:color="000000" w:sz="4" w:space="0"/>
              <w:right w:val="single" w:color="000000" w:sz="4" w:space="0"/>
            </w:tcBorders>
            <w:vAlign w:val="center"/>
          </w:tcPr>
          <w:p w14:paraId="457EE67E">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rPr>
              <w:t>凭祥市友谊关大道13号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561948DF">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rPr>
              <w:t>0771-8535667</w:t>
            </w:r>
          </w:p>
        </w:tc>
      </w:tr>
      <w:tr w14:paraId="3F8B947A">
        <w:tblPrEx>
          <w:tblCellMar>
            <w:top w:w="0" w:type="dxa"/>
            <w:left w:w="108" w:type="dxa"/>
            <w:bottom w:w="0" w:type="dxa"/>
            <w:right w:w="108" w:type="dxa"/>
          </w:tblCellMar>
        </w:tblPrEx>
        <w:trPr>
          <w:trHeight w:val="96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0EEB03C5">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桂林银行广西自贸试验区崇左片区凭祥支行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4FA1FF76">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rPr>
              <w:t>凭祥市北大路一支40号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5888AD44">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0771-8520550</w:t>
            </w:r>
          </w:p>
        </w:tc>
      </w:tr>
      <w:tr w14:paraId="22CFA485">
        <w:tblPrEx>
          <w:tblCellMar>
            <w:top w:w="0" w:type="dxa"/>
            <w:left w:w="108" w:type="dxa"/>
            <w:bottom w:w="0" w:type="dxa"/>
            <w:right w:w="108" w:type="dxa"/>
          </w:tblCellMar>
        </w:tblPrEx>
        <w:trPr>
          <w:trHeight w:val="973" w:hRule="atLeast"/>
        </w:trPr>
        <w:tc>
          <w:tcPr>
            <w:tcW w:w="3151" w:type="dxa"/>
            <w:tcBorders>
              <w:top w:val="single" w:color="000000" w:sz="4" w:space="0"/>
              <w:left w:val="single" w:color="000000" w:sz="4" w:space="0"/>
              <w:bottom w:val="single" w:color="000000" w:sz="4" w:space="0"/>
              <w:right w:val="single" w:color="000000" w:sz="4" w:space="0"/>
            </w:tcBorders>
            <w:noWrap/>
            <w:vAlign w:val="center"/>
          </w:tcPr>
          <w:p w14:paraId="14E911D3">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广西北部湾银行广西自贸试验区崇左片区凭祥支行</w:t>
            </w:r>
          </w:p>
        </w:tc>
        <w:tc>
          <w:tcPr>
            <w:tcW w:w="4143" w:type="dxa"/>
            <w:tcBorders>
              <w:top w:val="single" w:color="000000" w:sz="4" w:space="0"/>
              <w:left w:val="single" w:color="000000" w:sz="4" w:space="0"/>
              <w:bottom w:val="single" w:color="000000" w:sz="4" w:space="0"/>
              <w:right w:val="single" w:color="000000" w:sz="4" w:space="0"/>
            </w:tcBorders>
            <w:vAlign w:val="center"/>
          </w:tcPr>
          <w:p w14:paraId="2ABF7A21">
            <w:pPr>
              <w:widowControl/>
              <w:spacing w:line="360" w:lineRule="auto"/>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rPr>
              <w:t>凭祥市北大路一支60-1号</w:t>
            </w:r>
          </w:p>
        </w:tc>
        <w:tc>
          <w:tcPr>
            <w:tcW w:w="2504" w:type="dxa"/>
            <w:tcBorders>
              <w:top w:val="single" w:color="000000" w:sz="4" w:space="0"/>
              <w:left w:val="single" w:color="000000" w:sz="4" w:space="0"/>
              <w:bottom w:val="single" w:color="000000" w:sz="4" w:space="0"/>
              <w:right w:val="single" w:color="000000" w:sz="4" w:space="0"/>
            </w:tcBorders>
            <w:vAlign w:val="center"/>
          </w:tcPr>
          <w:p w14:paraId="3283711F">
            <w:pPr>
              <w:widowControl/>
              <w:spacing w:line="360" w:lineRule="auto"/>
              <w:jc w:val="center"/>
              <w:textAlignment w:val="center"/>
              <w:rPr>
                <w:rFonts w:ascii="宋体" w:hAnsi="宋体" w:eastAsia="宋体" w:cs="宋体"/>
                <w:color w:val="auto"/>
                <w:kern w:val="2"/>
                <w:sz w:val="21"/>
                <w:szCs w:val="21"/>
                <w:lang w:eastAsia="zh-CN" w:bidi="ar-SA"/>
              </w:rPr>
            </w:pPr>
            <w:r>
              <w:rPr>
                <w:rFonts w:hint="eastAsia" w:ascii="宋体" w:hAnsi="宋体" w:eastAsia="宋体" w:cs="宋体"/>
                <w:color w:val="auto"/>
                <w:sz w:val="21"/>
                <w:szCs w:val="21"/>
                <w:lang w:eastAsia="zh-CN"/>
              </w:rPr>
              <w:t>0771-8556667</w:t>
            </w:r>
          </w:p>
        </w:tc>
      </w:tr>
    </w:tbl>
    <w:p w14:paraId="16D08281">
      <w:pPr>
        <w:pStyle w:val="37"/>
        <w:spacing w:after="60" w:line="413" w:lineRule="exact"/>
        <w:ind w:firstLine="420" w:firstLineChars="200"/>
        <w:jc w:val="both"/>
        <w:rPr>
          <w:sz w:val="21"/>
          <w:szCs w:val="21"/>
          <w:lang w:val="en-US" w:eastAsia="zh-CN"/>
        </w:rPr>
        <w:sectPr>
          <w:footerReference r:id="rId16" w:type="default"/>
          <w:footerReference r:id="rId17" w:type="even"/>
          <w:pgSz w:w="11900" w:h="16840"/>
          <w:pgMar w:top="1100" w:right="1100" w:bottom="1260" w:left="1095" w:header="672" w:footer="1247" w:gutter="0"/>
          <w:cols w:space="720" w:num="1"/>
          <w:docGrid w:linePitch="360" w:charSpace="0"/>
        </w:sectPr>
      </w:pPr>
    </w:p>
    <w:p w14:paraId="213ECA09">
      <w:pPr>
        <w:keepNext w:val="0"/>
        <w:keepLines w:val="0"/>
        <w:pageBreakBefore w:val="0"/>
        <w:widowControl w:val="0"/>
        <w:numPr>
          <w:ilvl w:val="0"/>
          <w:numId w:val="22"/>
        </w:numPr>
        <w:kinsoku/>
        <w:wordWrap/>
        <w:overflowPunct/>
        <w:topLinePunct w:val="0"/>
        <w:autoSpaceDE/>
        <w:autoSpaceDN/>
        <w:bidi w:val="0"/>
        <w:adjustRightInd/>
        <w:snapToGrid/>
        <w:spacing w:before="313" w:beforeLines="100" w:line="360" w:lineRule="auto"/>
        <w:jc w:val="center"/>
        <w:textAlignment w:val="auto"/>
        <w:outlineLvl w:val="1"/>
        <w:rPr>
          <w:b/>
          <w:bCs/>
          <w:sz w:val="32"/>
          <w:szCs w:val="32"/>
        </w:rPr>
      </w:pPr>
      <w:bookmarkStart w:id="207" w:name="bookmark228"/>
      <w:bookmarkStart w:id="208" w:name="bookmark226"/>
      <w:bookmarkStart w:id="209" w:name="bookmark227"/>
      <w:r>
        <w:rPr>
          <w:b/>
          <w:bCs/>
          <w:sz w:val="44"/>
          <w:szCs w:val="44"/>
        </w:rPr>
        <w:t>评审程序、评审方法和评审标准</w:t>
      </w:r>
      <w:bookmarkEnd w:id="207"/>
      <w:bookmarkEnd w:id="208"/>
      <w:bookmarkEnd w:id="209"/>
    </w:p>
    <w:p w14:paraId="38D0FD36">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2101" w:firstLineChars="1000"/>
        <w:jc w:val="both"/>
        <w:textAlignment w:val="auto"/>
        <w:outlineLvl w:val="1"/>
        <w:rPr>
          <w:b/>
          <w:bCs/>
          <w:sz w:val="21"/>
          <w:szCs w:val="21"/>
        </w:rPr>
      </w:pPr>
      <w:r>
        <w:rPr>
          <w:rFonts w:hint="eastAsia"/>
          <w:b/>
          <w:bCs/>
          <w:sz w:val="21"/>
          <w:szCs w:val="21"/>
        </w:rPr>
        <w:t>第一节</w:t>
      </w:r>
      <w:r>
        <w:rPr>
          <w:rFonts w:hint="eastAsia"/>
          <w:b/>
          <w:bCs/>
          <w:sz w:val="21"/>
          <w:szCs w:val="21"/>
          <w:lang w:val="en-US" w:eastAsia="zh-CN"/>
        </w:rPr>
        <w:t xml:space="preserve"> </w:t>
      </w:r>
      <w:r>
        <w:rPr>
          <w:rFonts w:hint="eastAsia"/>
          <w:b/>
          <w:bCs/>
          <w:sz w:val="21"/>
          <w:szCs w:val="21"/>
        </w:rPr>
        <w:t>评标方法</w:t>
      </w:r>
    </w:p>
    <w:p w14:paraId="55AAF0B4">
      <w:pPr>
        <w:tabs>
          <w:tab w:val="left" w:pos="2472"/>
        </w:tabs>
        <w:spacing w:line="360" w:lineRule="auto"/>
        <w:ind w:firstLine="420" w:firstLineChars="200"/>
        <w:rPr>
          <w:rFonts w:ascii="宋体" w:hAnsi="Courier New"/>
          <w:sz w:val="21"/>
          <w:szCs w:val="21"/>
        </w:rPr>
      </w:pPr>
      <w:r>
        <w:rPr>
          <w:rFonts w:hint="eastAsia" w:ascii="宋体" w:hAnsi="宋体" w:cs="宋体"/>
          <w:sz w:val="21"/>
          <w:szCs w:val="21"/>
        </w:rPr>
        <w:t>本项目采用</w:t>
      </w:r>
      <w:r>
        <w:rPr>
          <w:rFonts w:hint="eastAsia" w:ascii="宋体" w:hAnsi="宋体" w:cs="宋体"/>
          <w:sz w:val="21"/>
          <w:szCs w:val="21"/>
          <w:u w:val="single"/>
        </w:rPr>
        <w:t>以下勾选的方式</w:t>
      </w:r>
      <w:r>
        <w:rPr>
          <w:rFonts w:hint="eastAsia" w:ascii="宋体" w:hAnsi="宋体" w:cs="宋体"/>
          <w:sz w:val="21"/>
          <w:szCs w:val="21"/>
        </w:rPr>
        <w:t>进行评审。</w:t>
      </w:r>
    </w:p>
    <w:p w14:paraId="4FBEC0E8">
      <w:pPr>
        <w:spacing w:line="360" w:lineRule="auto"/>
        <w:ind w:firstLine="420"/>
        <w:rPr>
          <w:rFonts w:ascii="宋体" w:hAnsi="宋体"/>
          <w:sz w:val="21"/>
          <w:szCs w:val="21"/>
        </w:rPr>
      </w:pPr>
      <w:r>
        <w:rPr>
          <w:rFonts w:hint="eastAsia" w:ascii="宋体" w:hAnsi="宋体"/>
          <w:sz w:val="21"/>
          <w:szCs w:val="21"/>
        </w:rPr>
        <w:t>□最低评标价法，是指投标文件满足招标文件全部实质性要求，且投标报价最低的投标人为中标候选人的评标方法。</w:t>
      </w:r>
    </w:p>
    <w:p w14:paraId="39D7DF75">
      <w:pPr>
        <w:autoSpaceDE w:val="0"/>
        <w:autoSpaceDN w:val="0"/>
        <w:adjustRightInd w:val="0"/>
        <w:spacing w:line="360" w:lineRule="auto"/>
        <w:ind w:firstLine="420" w:firstLineChars="200"/>
        <w:rPr>
          <w:rFonts w:ascii="宋体" w:hAnsi="宋体"/>
          <w:sz w:val="21"/>
          <w:szCs w:val="21"/>
        </w:rPr>
      </w:pPr>
      <w:r>
        <w:rPr>
          <w:rFonts w:ascii="MS Mincho" w:hAnsi="MS Mincho" w:eastAsia="MS Mincho" w:cs="MS Mincho"/>
          <w:sz w:val="21"/>
          <w:szCs w:val="21"/>
        </w:rPr>
        <w:t>☑</w:t>
      </w:r>
      <w:r>
        <w:rPr>
          <w:rFonts w:hint="eastAsia" w:hAnsi="宋体"/>
          <w:sz w:val="21"/>
          <w:szCs w:val="21"/>
        </w:rPr>
        <w:t>综合评分法，</w:t>
      </w:r>
      <w:r>
        <w:rPr>
          <w:rFonts w:hint="eastAsia" w:ascii="宋体" w:hAnsi="宋体"/>
          <w:sz w:val="21"/>
          <w:szCs w:val="21"/>
        </w:rPr>
        <w:t>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w:t>
      </w:r>
      <w:r>
        <w:rPr>
          <w:rFonts w:ascii="宋体" w:hAnsi="宋体"/>
          <w:sz w:val="21"/>
          <w:szCs w:val="21"/>
        </w:rPr>
        <w:t xml:space="preserve">,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1A5D6A1D">
      <w:pPr>
        <w:spacing w:line="360" w:lineRule="auto"/>
        <w:ind w:firstLine="420"/>
        <w:rPr>
          <w:rFonts w:ascii="宋体" w:hAnsi="宋体"/>
          <w:sz w:val="21"/>
          <w:szCs w:val="21"/>
        </w:rPr>
      </w:pPr>
    </w:p>
    <w:p w14:paraId="4B201F60">
      <w:pPr>
        <w:tabs>
          <w:tab w:val="left" w:pos="2472"/>
        </w:tabs>
        <w:spacing w:line="460" w:lineRule="exact"/>
        <w:jc w:val="center"/>
        <w:outlineLvl w:val="1"/>
        <w:rPr>
          <w:b/>
          <w:bCs/>
          <w:sz w:val="21"/>
          <w:szCs w:val="21"/>
        </w:rPr>
      </w:pPr>
      <w:r>
        <w:rPr>
          <w:rFonts w:hint="eastAsia"/>
          <w:b/>
          <w:bCs/>
          <w:sz w:val="21"/>
          <w:szCs w:val="21"/>
        </w:rPr>
        <w:t>第二节</w:t>
      </w:r>
      <w:r>
        <w:rPr>
          <w:rFonts w:hint="eastAsia"/>
          <w:b/>
          <w:bCs/>
          <w:sz w:val="21"/>
          <w:szCs w:val="21"/>
          <w:lang w:val="en-US" w:eastAsia="zh-CN"/>
        </w:rPr>
        <w:t xml:space="preserve"> </w:t>
      </w:r>
      <w:r>
        <w:rPr>
          <w:rFonts w:hint="eastAsia"/>
          <w:b/>
          <w:bCs/>
          <w:sz w:val="21"/>
          <w:szCs w:val="21"/>
        </w:rPr>
        <w:t>评标程序</w:t>
      </w:r>
    </w:p>
    <w:p w14:paraId="30DF3814">
      <w:pPr>
        <w:spacing w:line="360" w:lineRule="auto"/>
        <w:ind w:firstLine="420" w:firstLineChars="200"/>
        <w:rPr>
          <w:rFonts w:ascii="宋体" w:hAnsi="宋体"/>
          <w:b/>
          <w:sz w:val="21"/>
          <w:szCs w:val="21"/>
        </w:rPr>
      </w:pPr>
      <w:r>
        <w:rPr>
          <w:rFonts w:ascii="宋体" w:hAnsi="宋体"/>
          <w:b/>
          <w:sz w:val="21"/>
          <w:szCs w:val="21"/>
        </w:rPr>
        <w:t>1.符合性审查</w:t>
      </w:r>
    </w:p>
    <w:p w14:paraId="39C3802D">
      <w:pPr>
        <w:spacing w:line="360" w:lineRule="auto"/>
        <w:ind w:firstLine="420" w:firstLineChars="200"/>
        <w:rPr>
          <w:rFonts w:hAnsi="宋体"/>
          <w:sz w:val="21"/>
          <w:szCs w:val="21"/>
        </w:rPr>
      </w:pPr>
      <w:r>
        <w:rPr>
          <w:rFonts w:hint="eastAsia" w:hAnsi="宋体"/>
          <w:sz w:val="21"/>
          <w:szCs w:val="21"/>
        </w:rPr>
        <w:t>评标委员会应当对符合资格的投标人的投标文件进行投标报价、商务、技术等实质性内容符合性审查，以确定其是否满足招标文件的实质性要求。</w:t>
      </w:r>
    </w:p>
    <w:p w14:paraId="61657EB2">
      <w:pPr>
        <w:spacing w:line="360" w:lineRule="auto"/>
        <w:ind w:firstLine="420" w:firstLineChars="200"/>
        <w:rPr>
          <w:rFonts w:ascii="宋体" w:hAnsi="宋体"/>
          <w:b/>
          <w:sz w:val="21"/>
          <w:szCs w:val="21"/>
        </w:rPr>
      </w:pPr>
      <w:r>
        <w:rPr>
          <w:rFonts w:ascii="宋体" w:hAnsi="宋体"/>
          <w:b/>
          <w:sz w:val="21"/>
          <w:szCs w:val="21"/>
        </w:rPr>
        <w:t>2.符合性审查不通过而导致投标无效的情形</w:t>
      </w:r>
    </w:p>
    <w:p w14:paraId="1F26787F">
      <w:pPr>
        <w:spacing w:line="360" w:lineRule="auto"/>
        <w:ind w:firstLine="420" w:firstLineChars="200"/>
        <w:rPr>
          <w:rFonts w:ascii="宋体" w:hAnsi="宋体"/>
          <w:sz w:val="21"/>
          <w:szCs w:val="21"/>
        </w:rPr>
      </w:pPr>
      <w:r>
        <w:rPr>
          <w:rFonts w:hint="eastAsia" w:ascii="宋体" w:hAnsi="宋体"/>
          <w:sz w:val="21"/>
          <w:szCs w:val="21"/>
        </w:rPr>
        <w:t>投标人的投标文件中存在对招标文件的任何实质性要求和条件的负偏离，将被视为投标无效。</w:t>
      </w:r>
    </w:p>
    <w:p w14:paraId="04B466C3">
      <w:pPr>
        <w:spacing w:line="360" w:lineRule="auto"/>
        <w:ind w:firstLine="420" w:firstLineChars="200"/>
        <w:rPr>
          <w:rFonts w:ascii="宋体" w:hAnsi="宋体"/>
          <w:sz w:val="21"/>
          <w:szCs w:val="21"/>
        </w:rPr>
      </w:pPr>
      <w:r>
        <w:rPr>
          <w:rFonts w:ascii="宋体" w:hAnsi="宋体"/>
          <w:sz w:val="21"/>
          <w:szCs w:val="21"/>
        </w:rPr>
        <w:t>2.1在报价评审时，如发现下列情形之一的，将被视为投标无效：</w:t>
      </w:r>
    </w:p>
    <w:p w14:paraId="3792BAC8">
      <w:pPr>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1）投标文件未提供“投标人须知前附表”第13.1条规定中“必须提供”的文件资料的;</w:t>
      </w:r>
    </w:p>
    <w:p w14:paraId="4EA61AF3">
      <w:pPr>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2）未采用人民币报价或者未按照招标文件标明的币种报价的；</w:t>
      </w:r>
    </w:p>
    <w:p w14:paraId="6321BD61">
      <w:pPr>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3）报价超出招标文件规定最高限价，或者超出采购预算金额（包括分项预算）的；</w:t>
      </w:r>
    </w:p>
    <w:p w14:paraId="2016D4A3">
      <w:pPr>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4）投标人未就所投分标进行报价或者存在漏项报价；投标人未就所投分标的单项内容</w:t>
      </w:r>
      <w:r>
        <w:rPr>
          <w:rFonts w:hint="eastAsia" w:ascii="宋体" w:hAnsi="宋体"/>
          <w:sz w:val="21"/>
          <w:szCs w:val="21"/>
        </w:rPr>
        <w:t>作唯一报价；投标人未就所投分标的全部内容作唯一总价报价；存在有选择、有条件报价的（招标文件允许有备选方案或者其他约定的除外）；</w:t>
      </w:r>
    </w:p>
    <w:p w14:paraId="3949849D">
      <w:pPr>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5）修正后的报价，投标人不确认的；</w:t>
      </w:r>
    </w:p>
    <w:p w14:paraId="4F8E9719">
      <w:pPr>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6）投标人属于本章第5条第（2）项情形的。</w:t>
      </w:r>
    </w:p>
    <w:p w14:paraId="0A02220C">
      <w:pPr>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7）投标文件中的文件资料因填写不齐全或者内容虚假或者出现其他情形而导致被评标委员会认定无效的。</w:t>
      </w:r>
    </w:p>
    <w:p w14:paraId="323CD917">
      <w:pPr>
        <w:spacing w:line="360" w:lineRule="auto"/>
        <w:ind w:firstLine="420" w:firstLineChars="200"/>
        <w:rPr>
          <w:rFonts w:ascii="宋体" w:hAnsi="宋体"/>
          <w:sz w:val="21"/>
          <w:szCs w:val="21"/>
        </w:rPr>
      </w:pPr>
      <w:r>
        <w:rPr>
          <w:rFonts w:ascii="宋体" w:hAnsi="宋体"/>
          <w:sz w:val="21"/>
          <w:szCs w:val="21"/>
        </w:rPr>
        <w:t>2.2在商务评审时，如发现下列情形之一的，将被视为投标无效：</w:t>
      </w:r>
    </w:p>
    <w:p w14:paraId="4C9CD644">
      <w:pPr>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1）投标文件未按招标文件要求签署、盖章的；</w:t>
      </w:r>
    </w:p>
    <w:p w14:paraId="55F3F967">
      <w:pPr>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 xml:space="preserve">2）委托代理人未能出具有效身份证明或者出具的身份证明与授权委托书中的信息不符的； </w:t>
      </w:r>
    </w:p>
    <w:p w14:paraId="1DF02BE4">
      <w:pPr>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3）投标文件未提供“投标人须知前附表”第13.1条规定中“必须提供”或者“委托时必须提供”的文件资料的;</w:t>
      </w:r>
    </w:p>
    <w:p w14:paraId="3B5A0885">
      <w:pPr>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4）投标有效期、项目完成时间（交货时间、服务完成时间或者服务期等）、质保期、售后服务等招标文件中标“▲”的商务条款发生负偏离的；</w:t>
      </w:r>
    </w:p>
    <w:p w14:paraId="0825A033">
      <w:pPr>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5）商务条款评审允许负偏离的条款数超过“投标人须知前附表”规定项数的。</w:t>
      </w:r>
    </w:p>
    <w:p w14:paraId="0E320FD0">
      <w:pPr>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6）投标文件的实质性内容未使用中文表述、使用计量单位不符合招标文件要求的；</w:t>
      </w:r>
    </w:p>
    <w:p w14:paraId="54255197">
      <w:pPr>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7）投标文件中的文件资料因填写不齐全或者内容虚假或者出现其他情形而导致被评标委员会认定无效的；</w:t>
      </w:r>
    </w:p>
    <w:p w14:paraId="7050490B">
      <w:pPr>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8）投标文件含有采购人不能接受的附加条件的；</w:t>
      </w:r>
    </w:p>
    <w:p w14:paraId="047DBE5B">
      <w:pPr>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9）未响应招标文件实质性要求的；</w:t>
      </w:r>
    </w:p>
    <w:p w14:paraId="3AAF28D4">
      <w:pPr>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10）属于投标人须知正文第9.2条情形的；</w:t>
      </w:r>
    </w:p>
    <w:p w14:paraId="19168372">
      <w:pPr>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11）法律、法规和招标文件规定的其他无效情形。</w:t>
      </w:r>
    </w:p>
    <w:p w14:paraId="3965A18D">
      <w:pPr>
        <w:spacing w:line="360" w:lineRule="auto"/>
        <w:ind w:firstLine="420" w:firstLineChars="200"/>
        <w:rPr>
          <w:rFonts w:ascii="宋体" w:hAnsi="宋体"/>
          <w:sz w:val="21"/>
          <w:szCs w:val="21"/>
        </w:rPr>
      </w:pPr>
      <w:r>
        <w:rPr>
          <w:rFonts w:ascii="宋体" w:hAnsi="宋体"/>
          <w:sz w:val="21"/>
          <w:szCs w:val="21"/>
        </w:rPr>
        <w:t>2.3在技术评审时，如发现下列情形之一的，将被视为投标无效：</w:t>
      </w:r>
    </w:p>
    <w:p w14:paraId="2825F965">
      <w:pPr>
        <w:spacing w:line="360" w:lineRule="auto"/>
        <w:ind w:firstLine="420" w:firstLineChars="200"/>
        <w:rPr>
          <w:rFonts w:hAnsi="宋体"/>
          <w:sz w:val="21"/>
          <w:szCs w:val="21"/>
        </w:rPr>
      </w:pPr>
      <w:r>
        <w:rPr>
          <w:rFonts w:hint="eastAsia" w:hAnsi="宋体"/>
          <w:sz w:val="21"/>
          <w:szCs w:val="21"/>
        </w:rPr>
        <w:t>（</w:t>
      </w:r>
      <w:r>
        <w:rPr>
          <w:rFonts w:hAnsi="宋体"/>
          <w:sz w:val="21"/>
          <w:szCs w:val="21"/>
        </w:rPr>
        <w:t>1</w:t>
      </w:r>
      <w:r>
        <w:rPr>
          <w:rFonts w:hint="eastAsia" w:hAnsi="宋体"/>
          <w:sz w:val="21"/>
          <w:szCs w:val="21"/>
        </w:rPr>
        <w:t>）不满足招标文件要求的服务内容、技术要求、安全、质量标准，或者与招标文件中标“▲”的技术需求发生负偏离的；</w:t>
      </w:r>
    </w:p>
    <w:p w14:paraId="2CE48B4E">
      <w:pPr>
        <w:spacing w:line="360" w:lineRule="auto"/>
        <w:ind w:firstLine="420" w:firstLineChars="200"/>
        <w:rPr>
          <w:rFonts w:hAnsi="宋体"/>
          <w:sz w:val="21"/>
          <w:szCs w:val="21"/>
        </w:rPr>
      </w:pPr>
      <w:r>
        <w:rPr>
          <w:rFonts w:hint="eastAsia" w:hAnsi="宋体"/>
          <w:sz w:val="21"/>
          <w:szCs w:val="21"/>
        </w:rPr>
        <w:t>（</w:t>
      </w:r>
      <w:r>
        <w:rPr>
          <w:rFonts w:hAnsi="宋体"/>
          <w:sz w:val="21"/>
          <w:szCs w:val="21"/>
        </w:rPr>
        <w:t>2</w:t>
      </w:r>
      <w:r>
        <w:rPr>
          <w:rFonts w:hint="eastAsia" w:hAnsi="宋体"/>
          <w:sz w:val="21"/>
          <w:szCs w:val="21"/>
        </w:rPr>
        <w:t>）技术需求评审允许负偏离的条款数超过“投标人须知前附表”规定项数的；</w:t>
      </w:r>
    </w:p>
    <w:p w14:paraId="265AAAF8">
      <w:pPr>
        <w:spacing w:line="360" w:lineRule="auto"/>
        <w:ind w:firstLine="420" w:firstLineChars="200"/>
        <w:rPr>
          <w:rFonts w:hAnsi="宋体"/>
          <w:sz w:val="21"/>
          <w:szCs w:val="21"/>
        </w:rPr>
      </w:pPr>
      <w:r>
        <w:rPr>
          <w:rFonts w:hint="eastAsia" w:hAnsi="宋体"/>
          <w:sz w:val="21"/>
          <w:szCs w:val="21"/>
        </w:rPr>
        <w:t>（</w:t>
      </w:r>
      <w:r>
        <w:rPr>
          <w:rFonts w:hAnsi="宋体"/>
          <w:sz w:val="21"/>
          <w:szCs w:val="21"/>
        </w:rPr>
        <w:t>3</w:t>
      </w:r>
      <w:r>
        <w:rPr>
          <w:rFonts w:hint="eastAsia" w:hAnsi="宋体"/>
          <w:sz w:val="21"/>
          <w:szCs w:val="21"/>
        </w:rPr>
        <w:t>）投标文件未提供“投标人须知前附表”第</w:t>
      </w:r>
      <w:r>
        <w:rPr>
          <w:rFonts w:hAnsi="宋体"/>
          <w:sz w:val="21"/>
          <w:szCs w:val="21"/>
        </w:rPr>
        <w:t>13.1</w:t>
      </w:r>
      <w:r>
        <w:rPr>
          <w:rFonts w:hint="eastAsia" w:hAnsi="宋体"/>
          <w:sz w:val="21"/>
          <w:szCs w:val="21"/>
        </w:rPr>
        <w:t>条规定中“必须提供”的文件资料的</w:t>
      </w:r>
      <w:r>
        <w:rPr>
          <w:rFonts w:hAnsi="宋体"/>
          <w:sz w:val="21"/>
          <w:szCs w:val="21"/>
        </w:rPr>
        <w:t>;</w:t>
      </w:r>
    </w:p>
    <w:p w14:paraId="731116FD">
      <w:pPr>
        <w:spacing w:line="360" w:lineRule="auto"/>
        <w:ind w:firstLine="420" w:firstLineChars="200"/>
        <w:rPr>
          <w:rFonts w:ascii="宋体" w:hAnsi="宋体" w:cs="宋体"/>
          <w:sz w:val="21"/>
          <w:szCs w:val="21"/>
        </w:rPr>
      </w:pPr>
      <w:r>
        <w:rPr>
          <w:rFonts w:hint="eastAsia" w:hAnsi="宋体"/>
          <w:sz w:val="21"/>
          <w:szCs w:val="21"/>
        </w:rPr>
        <w:t>（</w:t>
      </w:r>
      <w:r>
        <w:rPr>
          <w:rFonts w:hAnsi="宋体"/>
          <w:sz w:val="21"/>
          <w:szCs w:val="21"/>
        </w:rPr>
        <w:t>4</w:t>
      </w:r>
      <w:r>
        <w:rPr>
          <w:rFonts w:hint="eastAsia" w:hAnsi="宋体"/>
          <w:sz w:val="21"/>
          <w:szCs w:val="21"/>
        </w:rPr>
        <w:t>）虚假</w:t>
      </w:r>
      <w:r>
        <w:rPr>
          <w:rFonts w:hint="eastAsia" w:ascii="宋体" w:hAnsi="宋体" w:cs="宋体"/>
          <w:sz w:val="21"/>
          <w:szCs w:val="21"/>
        </w:rPr>
        <w:t>投标，或者出现其他情形而导致被评标委员会认定无效的；</w:t>
      </w:r>
    </w:p>
    <w:p w14:paraId="0EC663CB">
      <w:pPr>
        <w:spacing w:line="360" w:lineRule="auto"/>
        <w:ind w:firstLine="420" w:firstLineChars="200"/>
        <w:rPr>
          <w:rFonts w:hAnsi="宋体"/>
          <w:sz w:val="21"/>
          <w:szCs w:val="21"/>
        </w:rPr>
      </w:pPr>
      <w:r>
        <w:rPr>
          <w:rFonts w:hint="eastAsia" w:ascii="宋体" w:hAnsi="宋体" w:cs="宋体"/>
          <w:sz w:val="21"/>
          <w:szCs w:val="21"/>
        </w:rPr>
        <w:t>（5）如招标文件需要提供技术</w:t>
      </w:r>
      <w:r>
        <w:rPr>
          <w:rFonts w:hint="eastAsia" w:hAnsi="宋体"/>
          <w:sz w:val="21"/>
          <w:szCs w:val="21"/>
        </w:rPr>
        <w:t>方案的，投标技术方案不明确，招标文件未允许但存在一个或者一个以上备选（替代）投标方案的。</w:t>
      </w:r>
    </w:p>
    <w:p w14:paraId="434660D5">
      <w:pPr>
        <w:spacing w:line="360" w:lineRule="auto"/>
        <w:ind w:firstLine="420" w:firstLineChars="200"/>
        <w:rPr>
          <w:rFonts w:ascii="宋体" w:hAnsi="宋体"/>
          <w:b/>
          <w:sz w:val="21"/>
          <w:szCs w:val="21"/>
        </w:rPr>
      </w:pPr>
      <w:r>
        <w:rPr>
          <w:rFonts w:ascii="宋体" w:hAnsi="宋体"/>
          <w:b/>
          <w:sz w:val="21"/>
          <w:szCs w:val="21"/>
        </w:rPr>
        <w:t>3.澄清补正、说明或者补正</w:t>
      </w:r>
    </w:p>
    <w:p w14:paraId="06573470">
      <w:pPr>
        <w:spacing w:line="360" w:lineRule="auto"/>
        <w:ind w:firstLine="420" w:firstLineChars="200"/>
        <w:rPr>
          <w:rFonts w:ascii="宋体" w:hAnsi="宋体" w:cs="Courier New"/>
          <w:sz w:val="21"/>
          <w:szCs w:val="21"/>
        </w:rPr>
      </w:pPr>
      <w:r>
        <w:rPr>
          <w:rFonts w:hint="eastAsia" w:ascii="宋体" w:hAnsi="宋体" w:cs="Courier New"/>
          <w:sz w:val="21"/>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w:t>
      </w:r>
      <w:r>
        <w:rPr>
          <w:rFonts w:ascii="宋体" w:hAnsi="宋体" w:cs="Courier New"/>
          <w:sz w:val="21"/>
          <w:szCs w:val="21"/>
        </w:rPr>
        <w:t>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71380E2C">
      <w:pPr>
        <w:spacing w:line="360" w:lineRule="auto"/>
        <w:ind w:firstLine="420" w:firstLineChars="200"/>
        <w:rPr>
          <w:rFonts w:ascii="宋体" w:hAnsi="宋体" w:cs="Courier New"/>
          <w:sz w:val="21"/>
          <w:szCs w:val="21"/>
        </w:rPr>
      </w:pPr>
      <w:r>
        <w:rPr>
          <w:rFonts w:hint="eastAsia" w:ascii="宋体" w:hAnsi="宋体" w:cs="Courier New"/>
          <w:sz w:val="21"/>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6480430E">
      <w:pPr>
        <w:spacing w:line="360" w:lineRule="auto"/>
        <w:ind w:firstLine="420" w:firstLineChars="200"/>
        <w:rPr>
          <w:rFonts w:ascii="宋体" w:hAnsi="宋体"/>
          <w:b/>
          <w:sz w:val="21"/>
          <w:szCs w:val="21"/>
        </w:rPr>
      </w:pPr>
      <w:r>
        <w:rPr>
          <w:rFonts w:ascii="宋体" w:hAnsi="宋体"/>
          <w:b/>
          <w:sz w:val="21"/>
          <w:szCs w:val="21"/>
        </w:rPr>
        <w:t>4.投标文件修正</w:t>
      </w:r>
    </w:p>
    <w:p w14:paraId="34034D5F">
      <w:pPr>
        <w:spacing w:line="360" w:lineRule="auto"/>
        <w:ind w:firstLine="420" w:firstLineChars="200"/>
        <w:rPr>
          <w:rFonts w:ascii="宋体" w:hAnsi="宋体"/>
          <w:sz w:val="21"/>
          <w:szCs w:val="21"/>
        </w:rPr>
      </w:pPr>
      <w:r>
        <w:rPr>
          <w:rFonts w:ascii="宋体" w:hAnsi="宋体"/>
          <w:sz w:val="21"/>
          <w:szCs w:val="21"/>
        </w:rPr>
        <w:t xml:space="preserve">4.1投标文件报价出现前后不一致的，按照下列规定修正： </w:t>
      </w:r>
    </w:p>
    <w:p w14:paraId="0BF6D5C8">
      <w:pPr>
        <w:spacing w:line="360" w:lineRule="auto"/>
        <w:ind w:firstLine="420" w:firstLineChars="200"/>
        <w:rPr>
          <w:rFonts w:hAnsi="宋体"/>
          <w:sz w:val="21"/>
          <w:szCs w:val="21"/>
        </w:rPr>
      </w:pPr>
      <w:r>
        <w:rPr>
          <w:rFonts w:hint="eastAsia" w:hAnsi="宋体"/>
          <w:sz w:val="21"/>
          <w:szCs w:val="21"/>
        </w:rPr>
        <w:t>（</w:t>
      </w:r>
      <w:r>
        <w:rPr>
          <w:rFonts w:hAnsi="宋体"/>
          <w:sz w:val="21"/>
          <w:szCs w:val="21"/>
        </w:rPr>
        <w:t>1</w:t>
      </w:r>
      <w:r>
        <w:rPr>
          <w:rFonts w:hint="eastAsia" w:hAnsi="宋体"/>
          <w:sz w:val="21"/>
          <w:szCs w:val="21"/>
        </w:rPr>
        <w:t>）报价文件中“开标一览表”内容与投标文件中相应内容不一致的，以“开标一览表”为准；</w:t>
      </w:r>
    </w:p>
    <w:p w14:paraId="3454EAE7">
      <w:pPr>
        <w:spacing w:line="360" w:lineRule="auto"/>
        <w:ind w:firstLine="420" w:firstLineChars="200"/>
        <w:rPr>
          <w:rFonts w:hAnsi="宋体"/>
          <w:sz w:val="21"/>
          <w:szCs w:val="21"/>
        </w:rPr>
      </w:pPr>
      <w:r>
        <w:rPr>
          <w:rFonts w:hint="eastAsia" w:hAnsi="宋体"/>
          <w:sz w:val="21"/>
          <w:szCs w:val="21"/>
        </w:rPr>
        <w:t>（</w:t>
      </w:r>
      <w:r>
        <w:rPr>
          <w:rFonts w:hAnsi="宋体"/>
          <w:sz w:val="21"/>
          <w:szCs w:val="21"/>
        </w:rPr>
        <w:t>2</w:t>
      </w:r>
      <w:r>
        <w:rPr>
          <w:rFonts w:hint="eastAsia" w:hAnsi="宋体"/>
          <w:sz w:val="21"/>
          <w:szCs w:val="21"/>
        </w:rPr>
        <w:t>）大写金额和小写金额不一致的，以大写金额为准；</w:t>
      </w:r>
    </w:p>
    <w:p w14:paraId="57B7CC06">
      <w:pPr>
        <w:spacing w:line="360" w:lineRule="auto"/>
        <w:ind w:firstLine="420" w:firstLineChars="200"/>
        <w:rPr>
          <w:rFonts w:hAnsi="宋体"/>
          <w:sz w:val="21"/>
          <w:szCs w:val="21"/>
        </w:rPr>
      </w:pPr>
      <w:r>
        <w:rPr>
          <w:rFonts w:hint="eastAsia" w:hAnsi="宋体"/>
          <w:sz w:val="21"/>
          <w:szCs w:val="21"/>
        </w:rPr>
        <w:t>（</w:t>
      </w:r>
      <w:r>
        <w:rPr>
          <w:rFonts w:hAnsi="宋体"/>
          <w:sz w:val="21"/>
          <w:szCs w:val="21"/>
        </w:rPr>
        <w:t>3</w:t>
      </w:r>
      <w:r>
        <w:rPr>
          <w:rFonts w:hint="eastAsia" w:hAnsi="宋体"/>
          <w:sz w:val="21"/>
          <w:szCs w:val="21"/>
        </w:rPr>
        <w:t>）单价金额小数点或者百分比有明显错位的，以开标一览表的总价为准，并修改单价；</w:t>
      </w:r>
    </w:p>
    <w:p w14:paraId="0C11E233">
      <w:pPr>
        <w:spacing w:line="360" w:lineRule="auto"/>
        <w:ind w:firstLine="420" w:firstLineChars="200"/>
        <w:rPr>
          <w:rFonts w:hAnsi="宋体"/>
          <w:sz w:val="21"/>
          <w:szCs w:val="21"/>
        </w:rPr>
      </w:pPr>
      <w:r>
        <w:rPr>
          <w:rFonts w:hint="eastAsia" w:hAnsi="宋体"/>
          <w:sz w:val="21"/>
          <w:szCs w:val="21"/>
        </w:rPr>
        <w:t>（</w:t>
      </w:r>
      <w:r>
        <w:rPr>
          <w:rFonts w:hAnsi="宋体"/>
          <w:sz w:val="21"/>
          <w:szCs w:val="21"/>
        </w:rPr>
        <w:t>4</w:t>
      </w:r>
      <w:r>
        <w:rPr>
          <w:rFonts w:hint="eastAsia" w:hAnsi="宋体"/>
          <w:sz w:val="21"/>
          <w:szCs w:val="21"/>
        </w:rPr>
        <w:t>）总价金额与按单价汇总金额不一致的，以单价金额计算结果为准。</w:t>
      </w:r>
    </w:p>
    <w:p w14:paraId="30265013">
      <w:pPr>
        <w:spacing w:line="360" w:lineRule="auto"/>
        <w:ind w:firstLine="420" w:firstLineChars="200"/>
        <w:rPr>
          <w:rFonts w:hAnsi="宋体"/>
          <w:sz w:val="21"/>
          <w:szCs w:val="21"/>
        </w:rPr>
      </w:pPr>
      <w:r>
        <w:rPr>
          <w:rFonts w:hint="eastAsia" w:hAnsi="宋体"/>
          <w:sz w:val="21"/>
          <w:szCs w:val="21"/>
        </w:rPr>
        <w:t>同时出现两种以上不一致的，按照以上（</w:t>
      </w:r>
      <w:r>
        <w:rPr>
          <w:rFonts w:hAnsi="宋体"/>
          <w:sz w:val="21"/>
          <w:szCs w:val="21"/>
        </w:rPr>
        <w:t>1</w:t>
      </w:r>
      <w:r>
        <w:rPr>
          <w:rFonts w:hint="eastAsia" w:hAnsi="宋体"/>
          <w:sz w:val="21"/>
          <w:szCs w:val="21"/>
        </w:rPr>
        <w:t>）</w:t>
      </w:r>
      <w:r>
        <w:rPr>
          <w:rFonts w:hAnsi="宋体"/>
          <w:sz w:val="21"/>
          <w:szCs w:val="21"/>
        </w:rPr>
        <w:t>-</w:t>
      </w:r>
      <w:r>
        <w:rPr>
          <w:rFonts w:hint="eastAsia" w:hAnsi="宋体"/>
          <w:sz w:val="21"/>
          <w:szCs w:val="21"/>
        </w:rPr>
        <w:t>（</w:t>
      </w:r>
      <w:r>
        <w:rPr>
          <w:rFonts w:hAnsi="宋体"/>
          <w:sz w:val="21"/>
          <w:szCs w:val="21"/>
        </w:rPr>
        <w:t>4</w:t>
      </w:r>
      <w:r>
        <w:rPr>
          <w:rFonts w:hint="eastAsia" w:hAnsi="宋体"/>
          <w:sz w:val="21"/>
          <w:szCs w:val="21"/>
        </w:rPr>
        <w:t>）规定的顺序修正。修正后的报价经投标人确认后产生约束力，投标人不确认的，其投标无效。</w:t>
      </w:r>
    </w:p>
    <w:p w14:paraId="2FAEC17F">
      <w:pPr>
        <w:spacing w:line="360" w:lineRule="auto"/>
        <w:ind w:firstLine="420" w:firstLineChars="200"/>
        <w:rPr>
          <w:rFonts w:ascii="宋体" w:hAnsi="宋体"/>
          <w:sz w:val="21"/>
          <w:szCs w:val="21"/>
        </w:rPr>
      </w:pPr>
      <w:r>
        <w:rPr>
          <w:rFonts w:ascii="宋体" w:hAnsi="宋体"/>
          <w:sz w:val="21"/>
          <w:szCs w:val="21"/>
        </w:rPr>
        <w:t>4.2经投标人确认修正后的报价若超过采购预算金额或者最高限价，投标人的投标文件作无效投标处理。</w:t>
      </w:r>
    </w:p>
    <w:p w14:paraId="7FBFC8F4">
      <w:pPr>
        <w:spacing w:line="360" w:lineRule="auto"/>
        <w:ind w:firstLine="420" w:firstLineChars="200"/>
        <w:rPr>
          <w:rFonts w:ascii="宋体" w:hAnsi="宋体"/>
          <w:sz w:val="21"/>
          <w:szCs w:val="21"/>
        </w:rPr>
      </w:pPr>
      <w:r>
        <w:rPr>
          <w:rFonts w:ascii="宋体" w:hAnsi="宋体"/>
          <w:sz w:val="21"/>
          <w:szCs w:val="21"/>
        </w:rPr>
        <w:t>4.3经投标人确认修正后的报价作为签订合同的依据，并以此报价计算价格分。</w:t>
      </w:r>
    </w:p>
    <w:p w14:paraId="45BBAFAA">
      <w:pPr>
        <w:spacing w:line="360" w:lineRule="auto"/>
        <w:ind w:firstLine="420" w:firstLineChars="200"/>
        <w:rPr>
          <w:rFonts w:ascii="宋体" w:hAnsi="宋体"/>
          <w:b/>
          <w:bCs/>
          <w:sz w:val="21"/>
          <w:szCs w:val="21"/>
        </w:rPr>
      </w:pPr>
      <w:r>
        <w:rPr>
          <w:rFonts w:ascii="宋体" w:hAnsi="宋体"/>
          <w:b/>
          <w:bCs/>
          <w:sz w:val="21"/>
          <w:szCs w:val="21"/>
        </w:rPr>
        <w:t>5.比较与评价</w:t>
      </w:r>
    </w:p>
    <w:p w14:paraId="6A713123">
      <w:pPr>
        <w:spacing w:line="360" w:lineRule="auto"/>
        <w:ind w:firstLine="420" w:firstLineChars="200"/>
        <w:rPr>
          <w:rFonts w:hAnsi="宋体"/>
          <w:sz w:val="21"/>
          <w:szCs w:val="21"/>
        </w:rPr>
      </w:pPr>
      <w:r>
        <w:rPr>
          <w:rFonts w:hAnsi="宋体"/>
          <w:sz w:val="21"/>
          <w:szCs w:val="21"/>
        </w:rPr>
        <w:t>5.1</w:t>
      </w:r>
      <w:r>
        <w:rPr>
          <w:rFonts w:hint="eastAsia" w:hAnsi="宋体"/>
          <w:sz w:val="21"/>
          <w:szCs w:val="21"/>
        </w:rPr>
        <w:t>评标委员会按照招标文件中规定的评标方法和评标标准，对符合性审查合格的投标文件进行商务和技术评估，综合比较与评价。</w:t>
      </w:r>
    </w:p>
    <w:p w14:paraId="56AEDB47">
      <w:pPr>
        <w:spacing w:line="360" w:lineRule="auto"/>
        <w:ind w:firstLine="420" w:firstLineChars="200"/>
        <w:rPr>
          <w:rFonts w:hAnsi="宋体"/>
          <w:sz w:val="21"/>
          <w:szCs w:val="21"/>
        </w:rPr>
      </w:pPr>
      <w:r>
        <w:rPr>
          <w:rFonts w:hAnsi="宋体"/>
          <w:sz w:val="21"/>
          <w:szCs w:val="21"/>
        </w:rPr>
        <w:t>5.2</w:t>
      </w:r>
      <w:r>
        <w:rPr>
          <w:rFonts w:hint="eastAsia" w:hAnsi="宋体"/>
          <w:sz w:val="21"/>
          <w:szCs w:val="21"/>
        </w:rPr>
        <w:t>评标委员会独立对每个投标人的投标文件进行评价，并汇总每个投标人的得分。</w:t>
      </w:r>
    </w:p>
    <w:p w14:paraId="3A395B7F">
      <w:pPr>
        <w:spacing w:line="360" w:lineRule="auto"/>
        <w:ind w:firstLine="420" w:firstLineChars="200"/>
        <w:rPr>
          <w:rFonts w:hAnsi="宋体"/>
          <w:sz w:val="21"/>
          <w:szCs w:val="21"/>
        </w:rPr>
      </w:pPr>
      <w:r>
        <w:rPr>
          <w:rFonts w:hint="eastAsia" w:hAnsi="宋体"/>
          <w:sz w:val="21"/>
          <w:szCs w:val="21"/>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10F2441">
      <w:pPr>
        <w:spacing w:line="360" w:lineRule="auto"/>
        <w:ind w:firstLine="420" w:firstLineChars="200"/>
        <w:rPr>
          <w:rFonts w:ascii="宋体" w:hAnsi="宋体"/>
          <w:sz w:val="21"/>
          <w:szCs w:val="21"/>
        </w:rPr>
      </w:pPr>
      <w:r>
        <w:rPr>
          <w:rFonts w:hint="eastAsia" w:ascii="宋体" w:hAnsi="宋体"/>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53850B6B">
      <w:pPr>
        <w:spacing w:line="360" w:lineRule="auto"/>
        <w:ind w:firstLine="420" w:firstLineChars="200"/>
        <w:rPr>
          <w:rFonts w:ascii="宋体" w:hAnsi="宋体"/>
          <w:sz w:val="21"/>
          <w:szCs w:val="21"/>
        </w:rPr>
      </w:pPr>
      <w:r>
        <w:rPr>
          <w:rFonts w:ascii="宋体" w:hAnsi="宋体"/>
          <w:sz w:val="21"/>
          <w:szCs w:val="21"/>
        </w:rPr>
        <w:t>5.3</w:t>
      </w:r>
      <w:r>
        <w:rPr>
          <w:rFonts w:hint="eastAsia" w:ascii="宋体" w:hAnsi="宋体"/>
          <w:sz w:val="21"/>
          <w:szCs w:val="21"/>
        </w:rPr>
        <w:t>评标委员会按照招标文件中规定的评标方法和标准计算各投标人的报价得分。在计算过程中，不得去掉最高报价或者最低报价。</w:t>
      </w:r>
    </w:p>
    <w:p w14:paraId="56E55CE3">
      <w:pPr>
        <w:spacing w:line="360" w:lineRule="auto"/>
        <w:ind w:firstLine="420" w:firstLineChars="200"/>
        <w:rPr>
          <w:rFonts w:ascii="宋体" w:hAnsi="宋体"/>
          <w:sz w:val="21"/>
          <w:szCs w:val="21"/>
        </w:rPr>
      </w:pPr>
      <w:r>
        <w:rPr>
          <w:rFonts w:ascii="宋体" w:hAnsi="宋体"/>
          <w:sz w:val="21"/>
          <w:szCs w:val="21"/>
        </w:rPr>
        <w:t>5.4</w:t>
      </w:r>
      <w:r>
        <w:rPr>
          <w:rFonts w:hint="eastAsia" w:ascii="宋体" w:hAnsi="宋体"/>
          <w:sz w:val="21"/>
          <w:szCs w:val="21"/>
        </w:rPr>
        <w:t>各投标人的得分为所有评委的有效评分的算术平均数。</w:t>
      </w:r>
    </w:p>
    <w:p w14:paraId="423AEAE3">
      <w:pPr>
        <w:spacing w:line="360" w:lineRule="auto"/>
        <w:ind w:firstLine="420" w:firstLineChars="200"/>
        <w:rPr>
          <w:rFonts w:ascii="宋体" w:hAnsi="宋体"/>
          <w:sz w:val="21"/>
          <w:szCs w:val="21"/>
        </w:rPr>
      </w:pPr>
      <w:r>
        <w:rPr>
          <w:rFonts w:ascii="宋体" w:hAnsi="宋体"/>
          <w:sz w:val="21"/>
          <w:szCs w:val="21"/>
        </w:rPr>
        <w:t>5.5</w:t>
      </w:r>
      <w:r>
        <w:rPr>
          <w:rFonts w:hint="eastAsia" w:ascii="宋体" w:hAnsi="宋体"/>
          <w:sz w:val="21"/>
          <w:szCs w:val="21"/>
        </w:rPr>
        <w:t>评标委员会按照招标文件中的规定推荐中标候选人。</w:t>
      </w:r>
    </w:p>
    <w:p w14:paraId="2F738D2F">
      <w:pPr>
        <w:spacing w:line="360" w:lineRule="auto"/>
        <w:ind w:firstLine="420" w:firstLineChars="200"/>
        <w:rPr>
          <w:rFonts w:ascii="宋体" w:hAnsi="宋体"/>
          <w:sz w:val="21"/>
          <w:szCs w:val="21"/>
        </w:rPr>
      </w:pPr>
      <w:r>
        <w:rPr>
          <w:rFonts w:ascii="宋体" w:hAnsi="宋体"/>
          <w:sz w:val="21"/>
          <w:szCs w:val="21"/>
        </w:rPr>
        <w:t>5.6</w:t>
      </w:r>
      <w:r>
        <w:rPr>
          <w:rFonts w:hint="eastAsia" w:ascii="宋体" w:hAnsi="宋体"/>
          <w:sz w:val="21"/>
          <w:szCs w:val="21"/>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0C8983E2">
      <w:pPr>
        <w:spacing w:line="360" w:lineRule="auto"/>
        <w:ind w:firstLine="420" w:firstLineChars="200"/>
        <w:rPr>
          <w:rFonts w:ascii="宋体" w:hAnsi="宋体"/>
          <w:b/>
          <w:bCs/>
          <w:sz w:val="21"/>
          <w:szCs w:val="21"/>
        </w:rPr>
      </w:pPr>
      <w:r>
        <w:rPr>
          <w:rFonts w:ascii="宋体" w:hAnsi="宋体"/>
          <w:b/>
          <w:bCs/>
          <w:sz w:val="21"/>
          <w:szCs w:val="21"/>
        </w:rPr>
        <w:t>6.评审复核</w:t>
      </w:r>
    </w:p>
    <w:p w14:paraId="110178B0">
      <w:pPr>
        <w:spacing w:line="360" w:lineRule="auto"/>
        <w:ind w:firstLine="420" w:firstLineChars="200"/>
        <w:rPr>
          <w:rFonts w:ascii="宋体" w:hAnsi="宋体"/>
          <w:sz w:val="21"/>
          <w:szCs w:val="21"/>
        </w:rPr>
      </w:pPr>
      <w:r>
        <w:rPr>
          <w:rFonts w:ascii="宋体" w:hAnsi="宋体"/>
          <w:sz w:val="21"/>
          <w:szCs w:val="21"/>
        </w:rPr>
        <w:t>6.1评标报告签署前，评标委员会要对评审结果进行复核，复核意见要体现在评标报告中。</w:t>
      </w:r>
    </w:p>
    <w:p w14:paraId="7ADE441A">
      <w:pPr>
        <w:spacing w:line="360" w:lineRule="auto"/>
        <w:ind w:firstLine="420" w:firstLineChars="200"/>
        <w:rPr>
          <w:rFonts w:ascii="宋体" w:hAnsi="宋体"/>
          <w:sz w:val="21"/>
          <w:szCs w:val="21"/>
        </w:rPr>
      </w:pPr>
      <w:r>
        <w:rPr>
          <w:rFonts w:ascii="宋体" w:hAnsi="宋体"/>
          <w:sz w:val="21"/>
          <w:szCs w:val="21"/>
        </w:rPr>
        <w:t>6.2</w:t>
      </w:r>
      <w:r>
        <w:rPr>
          <w:rFonts w:hint="eastAsia" w:ascii="宋体" w:hAnsi="宋体"/>
          <w:sz w:val="21"/>
          <w:szCs w:val="21"/>
        </w:rPr>
        <w:t>评标结果汇总完成后，除下列情形外，任何人不得修改评标结果：</w:t>
      </w:r>
    </w:p>
    <w:p w14:paraId="5F6E1097">
      <w:pPr>
        <w:spacing w:line="360" w:lineRule="auto"/>
        <w:ind w:firstLine="420" w:firstLineChars="200"/>
        <w:rPr>
          <w:rFonts w:ascii="宋体" w:hAnsi="宋体"/>
          <w:sz w:val="21"/>
          <w:szCs w:val="21"/>
        </w:rPr>
      </w:pPr>
      <w:r>
        <w:rPr>
          <w:rFonts w:hint="eastAsia" w:ascii="宋体" w:hAnsi="宋体"/>
          <w:sz w:val="21"/>
          <w:szCs w:val="21"/>
        </w:rPr>
        <w:t>　　（一）分值汇总计算错误的；</w:t>
      </w:r>
    </w:p>
    <w:p w14:paraId="4E655D3B">
      <w:pPr>
        <w:spacing w:line="360" w:lineRule="auto"/>
        <w:ind w:firstLine="420" w:firstLineChars="200"/>
        <w:rPr>
          <w:rFonts w:ascii="宋体" w:hAnsi="宋体"/>
          <w:sz w:val="21"/>
          <w:szCs w:val="21"/>
        </w:rPr>
      </w:pPr>
      <w:r>
        <w:rPr>
          <w:rFonts w:hint="eastAsia" w:ascii="宋体" w:hAnsi="宋体"/>
          <w:sz w:val="21"/>
          <w:szCs w:val="21"/>
        </w:rPr>
        <w:t>　　（二）分项评分超出评分标准范围的；</w:t>
      </w:r>
    </w:p>
    <w:p w14:paraId="56A42345">
      <w:pPr>
        <w:spacing w:line="360" w:lineRule="auto"/>
        <w:ind w:firstLine="420" w:firstLineChars="200"/>
        <w:rPr>
          <w:rFonts w:ascii="宋体" w:hAnsi="宋体"/>
          <w:sz w:val="21"/>
          <w:szCs w:val="21"/>
        </w:rPr>
      </w:pPr>
      <w:r>
        <w:rPr>
          <w:rFonts w:hint="eastAsia" w:ascii="宋体" w:hAnsi="宋体"/>
          <w:sz w:val="21"/>
          <w:szCs w:val="21"/>
        </w:rPr>
        <w:t>　　（三）评标委员会成员对客观评审因素评分不一致的；</w:t>
      </w:r>
    </w:p>
    <w:p w14:paraId="1C537389">
      <w:pPr>
        <w:spacing w:line="360" w:lineRule="auto"/>
        <w:ind w:firstLine="420" w:firstLineChars="200"/>
        <w:rPr>
          <w:rFonts w:ascii="宋体" w:hAnsi="宋体"/>
          <w:sz w:val="21"/>
          <w:szCs w:val="21"/>
        </w:rPr>
      </w:pPr>
      <w:r>
        <w:rPr>
          <w:rFonts w:hint="eastAsia" w:ascii="宋体" w:hAnsi="宋体"/>
          <w:sz w:val="21"/>
          <w:szCs w:val="21"/>
        </w:rPr>
        <w:t>　　（四）经评标委员会认定评分畸高、畸低的。</w:t>
      </w:r>
    </w:p>
    <w:p w14:paraId="4B296AD0">
      <w:pPr>
        <w:spacing w:line="360" w:lineRule="auto"/>
        <w:ind w:firstLine="420" w:firstLineChars="200"/>
        <w:rPr>
          <w:rFonts w:ascii="宋体" w:hAnsi="宋体"/>
          <w:sz w:val="21"/>
          <w:szCs w:val="21"/>
        </w:rPr>
      </w:pPr>
      <w:r>
        <w:rPr>
          <w:rFonts w:hint="eastAsia" w:ascii="宋体" w:hAnsi="宋体"/>
          <w:sz w:val="21"/>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4D878A1">
      <w:pPr>
        <w:keepNext/>
        <w:keepLines/>
        <w:spacing w:before="260" w:after="260" w:line="413" w:lineRule="auto"/>
        <w:jc w:val="center"/>
        <w:outlineLvl w:val="1"/>
        <w:rPr>
          <w:rFonts w:hint="eastAsia" w:ascii="宋体" w:hAnsi="宋体" w:eastAsia="宋体" w:cs="宋体"/>
          <w:b/>
          <w:bCs w:val="0"/>
          <w:sz w:val="21"/>
          <w:szCs w:val="21"/>
        </w:rPr>
      </w:pPr>
      <w:r>
        <w:rPr>
          <w:rFonts w:hint="eastAsia" w:ascii="宋体" w:hAnsi="宋体" w:eastAsia="宋体" w:cs="宋体"/>
          <w:b/>
          <w:bCs w:val="0"/>
          <w:sz w:val="21"/>
          <w:szCs w:val="21"/>
        </w:rPr>
        <w:t>第三节</w:t>
      </w:r>
      <w:r>
        <w:rPr>
          <w:rFonts w:hint="eastAsia" w:ascii="宋体" w:hAnsi="宋体" w:eastAsia="宋体" w:cs="宋体"/>
          <w:b/>
          <w:bCs w:val="0"/>
          <w:sz w:val="21"/>
          <w:szCs w:val="21"/>
          <w:lang w:val="en-US" w:eastAsia="zh-CN"/>
        </w:rPr>
        <w:t xml:space="preserve"> </w:t>
      </w:r>
      <w:r>
        <w:rPr>
          <w:rFonts w:hint="eastAsia" w:ascii="宋体" w:hAnsi="宋体" w:eastAsia="宋体" w:cs="宋体"/>
          <w:b/>
          <w:bCs w:val="0"/>
          <w:sz w:val="21"/>
          <w:szCs w:val="21"/>
        </w:rPr>
        <w:t>评分标准</w:t>
      </w:r>
    </w:p>
    <w:p w14:paraId="3AEA6571">
      <w:pPr>
        <w:spacing w:line="360" w:lineRule="auto"/>
        <w:ind w:firstLine="420" w:firstLineChars="200"/>
        <w:rPr>
          <w:rFonts w:ascii="宋体" w:hAnsi="宋体" w:cs="宋体"/>
          <w:sz w:val="21"/>
          <w:szCs w:val="21"/>
        </w:rPr>
      </w:pPr>
      <w:r>
        <w:rPr>
          <w:rFonts w:hint="eastAsia" w:ascii="宋体" w:hAnsi="宋体" w:cs="宋体"/>
          <w:sz w:val="21"/>
          <w:szCs w:val="21"/>
        </w:rPr>
        <w:t>(一）评标委员会以招标文件为依据，对投标文件进行评审，对投标人的投标报价、技术文件及商务文件等三部分内容按百分制打分（评标委员会成员应当按照客观、公正、审慎的原则，根据采购文件规定的评审程序、评审方法和评审标准进行独立评审”的规定，评委应当独立评审，不应讨论）</w:t>
      </w:r>
    </w:p>
    <w:p w14:paraId="31139A23">
      <w:pPr>
        <w:spacing w:line="360" w:lineRule="auto"/>
        <w:ind w:firstLine="420" w:firstLineChars="200"/>
        <w:rPr>
          <w:sz w:val="21"/>
          <w:szCs w:val="21"/>
        </w:rPr>
      </w:pPr>
      <w:r>
        <w:rPr>
          <w:rFonts w:hint="eastAsia" w:ascii="宋体" w:hAnsi="宋体" w:cs="宋体"/>
          <w:sz w:val="21"/>
          <w:szCs w:val="21"/>
        </w:rPr>
        <w:t>（二）评分细则：（按四舍五入取至小数点后四位）</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03"/>
        <w:gridCol w:w="6288"/>
        <w:gridCol w:w="851"/>
      </w:tblGrid>
      <w:tr w14:paraId="1785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0"/>
            <w:vAlign w:val="center"/>
          </w:tcPr>
          <w:p w14:paraId="606CE184">
            <w:pPr>
              <w:widowControl/>
              <w:spacing w:line="360" w:lineRule="auto"/>
              <w:jc w:val="center"/>
              <w:rPr>
                <w:rFonts w:ascii="宋体" w:hAnsi="宋体" w:cs="Tahoma"/>
                <w:b/>
                <w:bCs/>
                <w:color w:val="auto"/>
                <w:kern w:val="0"/>
                <w:sz w:val="21"/>
                <w:szCs w:val="21"/>
              </w:rPr>
            </w:pPr>
            <w:r>
              <w:rPr>
                <w:rFonts w:hint="eastAsia" w:ascii="宋体" w:hAnsi="宋体" w:cs="Tahoma"/>
                <w:b/>
                <w:bCs/>
                <w:color w:val="auto"/>
                <w:kern w:val="0"/>
                <w:sz w:val="21"/>
                <w:szCs w:val="21"/>
              </w:rPr>
              <w:t>序号</w:t>
            </w:r>
          </w:p>
        </w:tc>
        <w:tc>
          <w:tcPr>
            <w:tcW w:w="1303" w:type="dxa"/>
            <w:noWrap w:val="0"/>
            <w:vAlign w:val="center"/>
          </w:tcPr>
          <w:p w14:paraId="2A9B4C00">
            <w:pPr>
              <w:widowControl/>
              <w:spacing w:line="360" w:lineRule="auto"/>
              <w:jc w:val="center"/>
              <w:rPr>
                <w:rFonts w:ascii="宋体" w:hAnsi="宋体" w:cs="Tahoma"/>
                <w:b/>
                <w:bCs/>
                <w:color w:val="auto"/>
                <w:kern w:val="0"/>
                <w:sz w:val="21"/>
                <w:szCs w:val="21"/>
              </w:rPr>
            </w:pPr>
            <w:r>
              <w:rPr>
                <w:rFonts w:hint="eastAsia" w:ascii="宋体" w:hAnsi="宋体" w:cs="Tahoma"/>
                <w:b/>
                <w:bCs/>
                <w:color w:val="auto"/>
                <w:kern w:val="0"/>
                <w:sz w:val="21"/>
                <w:szCs w:val="21"/>
              </w:rPr>
              <w:t>评审因素</w:t>
            </w:r>
          </w:p>
        </w:tc>
        <w:tc>
          <w:tcPr>
            <w:tcW w:w="6288" w:type="dxa"/>
            <w:noWrap w:val="0"/>
            <w:vAlign w:val="center"/>
          </w:tcPr>
          <w:p w14:paraId="44329E16">
            <w:pPr>
              <w:widowControl/>
              <w:spacing w:line="360" w:lineRule="auto"/>
              <w:jc w:val="center"/>
              <w:rPr>
                <w:rFonts w:ascii="宋体" w:hAnsi="宋体" w:cs="Tahoma"/>
                <w:b/>
                <w:bCs/>
                <w:color w:val="auto"/>
                <w:kern w:val="0"/>
                <w:sz w:val="21"/>
                <w:szCs w:val="21"/>
              </w:rPr>
            </w:pPr>
            <w:r>
              <w:rPr>
                <w:rFonts w:hint="eastAsia" w:ascii="宋体" w:hAnsi="宋体" w:cs="Tahoma"/>
                <w:b/>
                <w:bCs/>
                <w:color w:val="auto"/>
                <w:kern w:val="0"/>
                <w:sz w:val="21"/>
                <w:szCs w:val="21"/>
              </w:rPr>
              <w:t>评审因素具体内容</w:t>
            </w:r>
          </w:p>
        </w:tc>
        <w:tc>
          <w:tcPr>
            <w:tcW w:w="851" w:type="dxa"/>
            <w:noWrap w:val="0"/>
            <w:vAlign w:val="center"/>
          </w:tcPr>
          <w:p w14:paraId="25000B0F">
            <w:pPr>
              <w:widowControl/>
              <w:spacing w:line="360" w:lineRule="auto"/>
              <w:jc w:val="center"/>
              <w:rPr>
                <w:rFonts w:ascii="宋体" w:hAnsi="宋体" w:cs="Tahoma"/>
                <w:b/>
                <w:bCs/>
                <w:color w:val="auto"/>
                <w:kern w:val="0"/>
                <w:sz w:val="21"/>
                <w:szCs w:val="21"/>
              </w:rPr>
            </w:pPr>
            <w:r>
              <w:rPr>
                <w:rFonts w:hint="eastAsia" w:ascii="宋体" w:hAnsi="宋体" w:cs="Tahoma"/>
                <w:b/>
                <w:bCs/>
                <w:color w:val="auto"/>
                <w:kern w:val="0"/>
                <w:sz w:val="21"/>
                <w:szCs w:val="21"/>
              </w:rPr>
              <w:t>分值</w:t>
            </w:r>
          </w:p>
        </w:tc>
      </w:tr>
      <w:tr w14:paraId="10A6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noWrap w:val="0"/>
            <w:vAlign w:val="center"/>
          </w:tcPr>
          <w:p w14:paraId="4B5DB1DC">
            <w:pPr>
              <w:widowControl/>
              <w:spacing w:line="360" w:lineRule="auto"/>
              <w:jc w:val="center"/>
              <w:rPr>
                <w:rFonts w:ascii="宋体" w:hAnsi="宋体" w:cs="Tahoma"/>
                <w:color w:val="auto"/>
                <w:kern w:val="0"/>
                <w:sz w:val="21"/>
                <w:szCs w:val="21"/>
              </w:rPr>
            </w:pPr>
            <w:r>
              <w:rPr>
                <w:rFonts w:hint="eastAsia" w:ascii="宋体" w:hAnsi="宋体" w:cs="Tahoma"/>
                <w:color w:val="auto"/>
                <w:kern w:val="0"/>
                <w:sz w:val="21"/>
                <w:szCs w:val="21"/>
              </w:rPr>
              <w:t>1</w:t>
            </w:r>
          </w:p>
        </w:tc>
        <w:tc>
          <w:tcPr>
            <w:tcW w:w="1303" w:type="dxa"/>
            <w:noWrap w:val="0"/>
            <w:vAlign w:val="center"/>
          </w:tcPr>
          <w:p w14:paraId="238BEBD9">
            <w:pPr>
              <w:widowControl/>
              <w:spacing w:line="360" w:lineRule="auto"/>
              <w:jc w:val="center"/>
              <w:rPr>
                <w:rFonts w:ascii="宋体" w:hAnsi="宋体" w:cs="Tahoma"/>
                <w:color w:val="auto"/>
                <w:kern w:val="0"/>
                <w:sz w:val="21"/>
                <w:szCs w:val="21"/>
              </w:rPr>
            </w:pPr>
            <w:r>
              <w:rPr>
                <w:rFonts w:hint="eastAsia" w:ascii="宋体" w:hAnsi="宋体" w:cs="Tahoma"/>
                <w:b/>
                <w:bCs/>
                <w:color w:val="auto"/>
                <w:kern w:val="0"/>
                <w:sz w:val="21"/>
                <w:szCs w:val="21"/>
              </w:rPr>
              <w:t>价格分</w:t>
            </w:r>
          </w:p>
        </w:tc>
        <w:tc>
          <w:tcPr>
            <w:tcW w:w="6288" w:type="dxa"/>
            <w:noWrap w:val="0"/>
            <w:vAlign w:val="center"/>
          </w:tcPr>
          <w:p w14:paraId="20DD0124">
            <w:pPr>
              <w:pStyle w:val="7"/>
              <w:spacing w:line="360" w:lineRule="auto"/>
              <w:ind w:firstLine="420" w:firstLineChars="200"/>
              <w:rPr>
                <w:rFonts w:hint="eastAsia"/>
                <w:color w:val="auto"/>
                <w:sz w:val="21"/>
                <w:szCs w:val="21"/>
              </w:rPr>
            </w:pPr>
            <w:r>
              <w:rPr>
                <w:rFonts w:hint="eastAsia"/>
                <w:color w:val="auto"/>
                <w:sz w:val="21"/>
                <w:szCs w:val="21"/>
              </w:rPr>
              <w:t>按照《政府采购促进中小企业发展暂行办法》（财库[2020]46号），磋商供应商认定为小型和微型企业的（以投标文件提供的符合规定的有关证明材料为准），对磋商报价给予10%的扣除，扣除后的价格为评标报价，即评标报价=磋商报价×（1-10%）；除上述情况外，评标报价=磋商报价。</w:t>
            </w:r>
          </w:p>
          <w:p w14:paraId="52EDA76F">
            <w:pPr>
              <w:pStyle w:val="7"/>
              <w:spacing w:line="360" w:lineRule="auto"/>
              <w:ind w:firstLine="420"/>
              <w:rPr>
                <w:rFonts w:hint="eastAsia"/>
                <w:color w:val="auto"/>
                <w:sz w:val="21"/>
                <w:szCs w:val="21"/>
              </w:rPr>
            </w:pPr>
            <w:r>
              <w:rPr>
                <w:rFonts w:hint="eastAsia"/>
                <w:color w:val="auto"/>
                <w:sz w:val="21"/>
                <w:szCs w:val="21"/>
              </w:rPr>
              <w:t>监狱企业视同小型、微型企业。监狱企业参加政府采购活动时，应当提供由省级以上监狱管理局、戒毒管理局（含新疆生产建设兵团）出具的属于监狱企业的证明文件。</w:t>
            </w:r>
          </w:p>
          <w:p w14:paraId="3DA58F6F">
            <w:pPr>
              <w:pStyle w:val="7"/>
              <w:spacing w:line="360" w:lineRule="auto"/>
              <w:ind w:firstLine="420"/>
              <w:rPr>
                <w:rFonts w:hint="eastAsia"/>
                <w:color w:val="auto"/>
                <w:sz w:val="21"/>
                <w:szCs w:val="21"/>
              </w:rPr>
            </w:pPr>
            <w:r>
              <w:rPr>
                <w:rFonts w:hint="eastAsia"/>
                <w:color w:val="auto"/>
                <w:sz w:val="21"/>
                <w:szCs w:val="21"/>
              </w:rPr>
              <w:t>残疾人福利性单位视同小型、微型企业。符合条件的残疾人福利性单位在参加政府采购活动时，应当提供规定的《残疾人福利性单位声明函》，并对声明的真实性负责。</w:t>
            </w:r>
          </w:p>
          <w:p w14:paraId="0F102C95">
            <w:pPr>
              <w:spacing w:line="360" w:lineRule="auto"/>
              <w:ind w:firstLine="420" w:firstLineChars="200"/>
              <w:rPr>
                <w:rFonts w:hint="eastAsia"/>
                <w:color w:val="auto"/>
                <w:sz w:val="21"/>
                <w:szCs w:val="21"/>
              </w:rPr>
            </w:pPr>
            <w:r>
              <w:rPr>
                <w:rFonts w:hint="eastAsia"/>
                <w:color w:val="auto"/>
                <w:sz w:val="21"/>
                <w:szCs w:val="21"/>
              </w:rPr>
              <w:t>1.以满足磋商文件要求且最后报价最低的供应商的价格为磋商基准价，其供应商的报价分为最高分10分；</w:t>
            </w:r>
          </w:p>
          <w:p w14:paraId="1DD9C1AA">
            <w:pPr>
              <w:spacing w:line="360" w:lineRule="auto"/>
              <w:ind w:firstLine="420" w:firstLineChars="200"/>
              <w:rPr>
                <w:rFonts w:hint="eastAsia"/>
                <w:color w:val="auto"/>
                <w:sz w:val="21"/>
                <w:szCs w:val="21"/>
              </w:rPr>
            </w:pPr>
            <w:r>
              <w:rPr>
                <w:rFonts w:hint="eastAsia"/>
                <w:color w:val="auto"/>
                <w:sz w:val="21"/>
                <w:szCs w:val="21"/>
              </w:rPr>
              <w:t>2.其他供应商的报价得分按以下公式计算：</w:t>
            </w:r>
          </w:p>
          <w:p w14:paraId="0E9FF047">
            <w:pPr>
              <w:pStyle w:val="7"/>
              <w:spacing w:line="360" w:lineRule="auto"/>
              <w:ind w:firstLine="420" w:firstLineChars="200"/>
              <w:rPr>
                <w:color w:val="auto"/>
                <w:sz w:val="21"/>
                <w:szCs w:val="21"/>
              </w:rPr>
            </w:pPr>
            <w:r>
              <w:rPr>
                <w:rFonts w:hint="eastAsia"/>
                <w:color w:val="auto"/>
                <w:sz w:val="21"/>
                <w:szCs w:val="21"/>
              </w:rPr>
              <w:t>某供应商磋商报价得分=（磋商基准价／某供应商最后磋商报价）×10分。</w:t>
            </w:r>
          </w:p>
        </w:tc>
        <w:tc>
          <w:tcPr>
            <w:tcW w:w="851" w:type="dxa"/>
            <w:noWrap w:val="0"/>
            <w:vAlign w:val="center"/>
          </w:tcPr>
          <w:p w14:paraId="449CA629">
            <w:pPr>
              <w:widowControl/>
              <w:spacing w:line="360" w:lineRule="auto"/>
              <w:jc w:val="center"/>
              <w:rPr>
                <w:rFonts w:ascii="宋体" w:hAnsi="宋体" w:cs="Tahoma"/>
                <w:color w:val="auto"/>
                <w:kern w:val="0"/>
                <w:sz w:val="21"/>
                <w:szCs w:val="21"/>
              </w:rPr>
            </w:pPr>
            <w:r>
              <w:rPr>
                <w:rFonts w:hint="eastAsia" w:ascii="宋体" w:hAnsi="宋体" w:cs="Tahoma"/>
                <w:color w:val="auto"/>
                <w:kern w:val="0"/>
                <w:sz w:val="21"/>
                <w:szCs w:val="21"/>
              </w:rPr>
              <w:t xml:space="preserve"> 1</w:t>
            </w:r>
            <w:r>
              <w:rPr>
                <w:rFonts w:ascii="宋体" w:hAnsi="宋体" w:cs="Tahoma"/>
                <w:color w:val="auto"/>
                <w:kern w:val="0"/>
                <w:sz w:val="21"/>
                <w:szCs w:val="21"/>
              </w:rPr>
              <w:t>0</w:t>
            </w:r>
            <w:r>
              <w:rPr>
                <w:rFonts w:hint="eastAsia" w:ascii="宋体" w:hAnsi="宋体" w:cs="Tahoma"/>
                <w:color w:val="auto"/>
                <w:kern w:val="0"/>
                <w:sz w:val="21"/>
                <w:szCs w:val="21"/>
              </w:rPr>
              <w:t>分</w:t>
            </w:r>
          </w:p>
        </w:tc>
      </w:tr>
      <w:tr w14:paraId="5285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8" w:type="dxa"/>
            <w:noWrap w:val="0"/>
            <w:vAlign w:val="center"/>
          </w:tcPr>
          <w:p w14:paraId="54E73258">
            <w:pPr>
              <w:widowControl/>
              <w:spacing w:line="360" w:lineRule="auto"/>
              <w:jc w:val="center"/>
              <w:rPr>
                <w:rFonts w:hint="eastAsia" w:ascii="宋体" w:hAnsi="宋体" w:cs="Tahoma"/>
                <w:color w:val="auto"/>
                <w:kern w:val="0"/>
                <w:sz w:val="21"/>
                <w:szCs w:val="21"/>
              </w:rPr>
            </w:pPr>
            <w:r>
              <w:rPr>
                <w:rFonts w:hint="eastAsia" w:ascii="宋体" w:hAnsi="宋体"/>
                <w:bCs/>
                <w:color w:val="auto"/>
                <w:kern w:val="0"/>
                <w:sz w:val="21"/>
                <w:szCs w:val="21"/>
              </w:rPr>
              <w:t>2</w:t>
            </w:r>
          </w:p>
        </w:tc>
        <w:tc>
          <w:tcPr>
            <w:tcW w:w="1303" w:type="dxa"/>
            <w:noWrap w:val="0"/>
            <w:vAlign w:val="center"/>
          </w:tcPr>
          <w:p w14:paraId="7F1289D2">
            <w:pPr>
              <w:widowControl/>
              <w:spacing w:line="240" w:lineRule="auto"/>
              <w:jc w:val="center"/>
              <w:rPr>
                <w:rFonts w:hint="default" w:ascii="宋体" w:hAnsi="宋体" w:eastAsia="宋体" w:cs="Tahoma"/>
                <w:color w:val="auto"/>
                <w:kern w:val="0"/>
                <w:sz w:val="21"/>
                <w:szCs w:val="21"/>
                <w:lang w:val="en-US" w:eastAsia="zh-CN"/>
              </w:rPr>
            </w:pPr>
            <w:r>
              <w:rPr>
                <w:rFonts w:hint="eastAsia" w:ascii="宋体" w:hAnsi="宋体"/>
                <w:b/>
                <w:bCs w:val="0"/>
                <w:color w:val="auto"/>
                <w:kern w:val="0"/>
                <w:sz w:val="21"/>
                <w:szCs w:val="21"/>
                <w:lang w:val="en-US" w:eastAsia="zh-CN"/>
              </w:rPr>
              <w:t>项目实施方案分</w:t>
            </w:r>
          </w:p>
        </w:tc>
        <w:tc>
          <w:tcPr>
            <w:tcW w:w="6288" w:type="dxa"/>
            <w:noWrap w:val="0"/>
            <w:vAlign w:val="center"/>
          </w:tcPr>
          <w:p w14:paraId="7BA75C04">
            <w:pPr>
              <w:widowControl/>
              <w:spacing w:line="360" w:lineRule="auto"/>
              <w:jc w:val="center"/>
              <w:rPr>
                <w:rFonts w:hint="eastAsia" w:ascii="宋体" w:hAnsi="宋体" w:cs="Tahoma"/>
                <w:b/>
                <w:bCs/>
                <w:color w:val="auto"/>
                <w:kern w:val="0"/>
                <w:sz w:val="21"/>
                <w:szCs w:val="21"/>
              </w:rPr>
            </w:pPr>
            <w:r>
              <w:rPr>
                <w:rFonts w:hint="eastAsia" w:ascii="宋体" w:hAnsi="宋体" w:cs="Tahoma"/>
                <w:b/>
                <w:bCs/>
                <w:color w:val="auto"/>
                <w:kern w:val="0"/>
                <w:sz w:val="21"/>
                <w:szCs w:val="21"/>
              </w:rPr>
              <w:t>评审因素具体内容</w:t>
            </w:r>
          </w:p>
        </w:tc>
        <w:tc>
          <w:tcPr>
            <w:tcW w:w="851" w:type="dxa"/>
            <w:noWrap w:val="0"/>
            <w:vAlign w:val="center"/>
          </w:tcPr>
          <w:p w14:paraId="372F66C8">
            <w:pPr>
              <w:widowControl/>
              <w:spacing w:line="360" w:lineRule="auto"/>
              <w:jc w:val="center"/>
              <w:rPr>
                <w:rFonts w:hint="eastAsia" w:ascii="宋体" w:hAnsi="宋体" w:cs="Tahoma"/>
                <w:b/>
                <w:bCs/>
                <w:color w:val="auto"/>
                <w:kern w:val="0"/>
                <w:sz w:val="21"/>
                <w:szCs w:val="21"/>
              </w:rPr>
            </w:pPr>
            <w:r>
              <w:rPr>
                <w:rFonts w:hint="eastAsia" w:ascii="宋体" w:hAnsi="宋体" w:cs="Tahoma"/>
                <w:b/>
                <w:bCs/>
                <w:color w:val="auto"/>
                <w:kern w:val="0"/>
                <w:sz w:val="21"/>
                <w:szCs w:val="21"/>
              </w:rPr>
              <w:t>分值</w:t>
            </w:r>
          </w:p>
        </w:tc>
      </w:tr>
      <w:tr w14:paraId="6DF0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7" w:hRule="atLeast"/>
          <w:jc w:val="center"/>
        </w:trPr>
        <w:tc>
          <w:tcPr>
            <w:tcW w:w="648" w:type="dxa"/>
            <w:noWrap w:val="0"/>
            <w:vAlign w:val="center"/>
          </w:tcPr>
          <w:p w14:paraId="570F7448">
            <w:pPr>
              <w:spacing w:before="181" w:line="192" w:lineRule="auto"/>
              <w:rPr>
                <w:rFonts w:ascii="宋体" w:hAnsi="宋体"/>
                <w:bCs/>
                <w:color w:val="auto"/>
                <w:kern w:val="0"/>
                <w:sz w:val="21"/>
                <w:szCs w:val="21"/>
              </w:rPr>
            </w:pPr>
            <w:r>
              <w:rPr>
                <w:rFonts w:hint="eastAsia" w:ascii="宋体" w:hAnsi="宋体" w:cs="宋体"/>
                <w:color w:val="auto"/>
                <w:sz w:val="21"/>
                <w:szCs w:val="21"/>
              </w:rPr>
              <w:t>2.1</w:t>
            </w:r>
          </w:p>
        </w:tc>
        <w:tc>
          <w:tcPr>
            <w:tcW w:w="1303" w:type="dxa"/>
            <w:noWrap w:val="0"/>
            <w:vAlign w:val="center"/>
          </w:tcPr>
          <w:p w14:paraId="382BBF67">
            <w:pPr>
              <w:spacing w:before="149" w:line="228" w:lineRule="auto"/>
              <w:jc w:val="center"/>
              <w:rPr>
                <w:rFonts w:hint="eastAsia" w:ascii="宋体" w:hAnsi="宋体" w:eastAsia="宋体"/>
                <w:bCs/>
                <w:color w:val="auto"/>
                <w:kern w:val="0"/>
                <w:sz w:val="21"/>
                <w:szCs w:val="21"/>
                <w:lang w:val="en-US" w:eastAsia="zh-CN"/>
              </w:rPr>
            </w:pPr>
            <w:r>
              <w:rPr>
                <w:rFonts w:hint="eastAsia" w:ascii="宋体" w:hAnsi="宋体"/>
                <w:b/>
                <w:bCs/>
                <w:color w:val="auto"/>
                <w:sz w:val="21"/>
                <w:szCs w:val="21"/>
              </w:rPr>
              <w:t>项目总体实施方案</w:t>
            </w:r>
            <w:r>
              <w:rPr>
                <w:rFonts w:hint="eastAsia" w:ascii="宋体" w:hAnsi="宋体" w:eastAsia="宋体" w:cs="宋体"/>
                <w:b/>
                <w:bCs/>
                <w:color w:val="auto"/>
                <w:sz w:val="21"/>
                <w:szCs w:val="21"/>
              </w:rPr>
              <w:t>（满分</w:t>
            </w:r>
            <w:r>
              <w:rPr>
                <w:rFonts w:hint="eastAsia" w:ascii="宋体" w:hAnsi="宋体" w:eastAsia="宋体" w:cs="宋体"/>
                <w:b/>
                <w:bCs/>
                <w:color w:val="auto"/>
                <w:sz w:val="21"/>
                <w:szCs w:val="21"/>
                <w:lang w:val="en-US" w:eastAsia="zh-CN"/>
              </w:rPr>
              <w:t>16</w:t>
            </w:r>
            <w:r>
              <w:rPr>
                <w:rFonts w:hint="eastAsia" w:ascii="宋体" w:hAnsi="宋体" w:eastAsia="宋体" w:cs="宋体"/>
                <w:b/>
                <w:bCs/>
                <w:color w:val="auto"/>
                <w:sz w:val="21"/>
                <w:szCs w:val="21"/>
              </w:rPr>
              <w:t>分）</w:t>
            </w:r>
          </w:p>
        </w:tc>
        <w:tc>
          <w:tcPr>
            <w:tcW w:w="6288" w:type="dxa"/>
            <w:noWrap w:val="0"/>
            <w:vAlign w:val="center"/>
          </w:tcPr>
          <w:p w14:paraId="0DE6A59C">
            <w:pPr>
              <w:spacing w:line="380" w:lineRule="exact"/>
              <w:ind w:firstLine="420" w:firstLineChars="200"/>
              <w:jc w:val="left"/>
              <w:rPr>
                <w:rFonts w:ascii="宋体" w:hAnsi="宋体"/>
                <w:color w:val="auto"/>
                <w:sz w:val="21"/>
                <w:szCs w:val="21"/>
              </w:rPr>
            </w:pPr>
            <w:r>
              <w:rPr>
                <w:rFonts w:hint="eastAsia" w:ascii="宋体" w:hAnsi="宋体"/>
                <w:color w:val="auto"/>
                <w:sz w:val="21"/>
                <w:szCs w:val="21"/>
              </w:rPr>
              <w:t>评委根据投标人提供的项目实施方案中“项目总体实施方案”内容的合理性、可行性、针对性三个方面进行独立评审并按以下规则独立打分：</w:t>
            </w:r>
          </w:p>
          <w:p w14:paraId="1F951CEC">
            <w:pPr>
              <w:spacing w:line="380" w:lineRule="exact"/>
              <w:ind w:firstLine="420" w:firstLineChars="200"/>
              <w:jc w:val="left"/>
              <w:rPr>
                <w:rFonts w:ascii="宋体" w:hAnsi="宋体"/>
                <w:color w:val="auto"/>
                <w:sz w:val="21"/>
                <w:szCs w:val="21"/>
              </w:rPr>
            </w:pPr>
            <w:r>
              <w:rPr>
                <w:rFonts w:hint="eastAsia" w:ascii="宋体" w:hAnsi="宋体"/>
                <w:color w:val="auto"/>
                <w:sz w:val="21"/>
                <w:szCs w:val="21"/>
              </w:rPr>
              <w:t>一档（4分）：项目总体实施方案的合理性、可行性、针对性均被评定为一般的；</w:t>
            </w:r>
          </w:p>
          <w:p w14:paraId="66B1F13F">
            <w:pPr>
              <w:spacing w:line="380" w:lineRule="exact"/>
              <w:ind w:firstLine="420" w:firstLineChars="200"/>
              <w:jc w:val="left"/>
              <w:rPr>
                <w:rFonts w:ascii="宋体" w:hAnsi="宋体"/>
                <w:color w:val="auto"/>
                <w:sz w:val="21"/>
                <w:szCs w:val="21"/>
              </w:rPr>
            </w:pPr>
            <w:r>
              <w:rPr>
                <w:rFonts w:hint="eastAsia" w:ascii="宋体" w:hAnsi="宋体"/>
                <w:color w:val="auto"/>
                <w:sz w:val="21"/>
                <w:szCs w:val="21"/>
              </w:rPr>
              <w:t>二档（8分）：项目总体实施方案的合理性、可行性、针对性有1项被评定为良好或优秀的；</w:t>
            </w:r>
          </w:p>
          <w:p w14:paraId="4708A7BD">
            <w:pPr>
              <w:spacing w:line="380" w:lineRule="exact"/>
              <w:ind w:firstLine="420" w:firstLineChars="200"/>
              <w:jc w:val="left"/>
              <w:rPr>
                <w:rFonts w:ascii="宋体" w:hAnsi="宋体"/>
                <w:color w:val="auto"/>
                <w:sz w:val="21"/>
                <w:szCs w:val="21"/>
              </w:rPr>
            </w:pPr>
            <w:r>
              <w:rPr>
                <w:rFonts w:hint="eastAsia" w:ascii="宋体" w:hAnsi="宋体"/>
                <w:color w:val="auto"/>
                <w:sz w:val="21"/>
                <w:szCs w:val="21"/>
              </w:rPr>
              <w:t>三档（12分）：项目总体实施方案的合理性、可行性、针对性有2项被评定为优秀的；</w:t>
            </w:r>
          </w:p>
          <w:p w14:paraId="2867FB36">
            <w:pPr>
              <w:spacing w:line="380" w:lineRule="exact"/>
              <w:ind w:firstLine="420" w:firstLineChars="200"/>
              <w:jc w:val="left"/>
              <w:rPr>
                <w:rFonts w:hint="eastAsia" w:hAnsi="宋体" w:cs="Courier New"/>
                <w:bCs/>
                <w:color w:val="auto"/>
                <w:sz w:val="21"/>
                <w:szCs w:val="21"/>
              </w:rPr>
            </w:pPr>
            <w:r>
              <w:rPr>
                <w:rFonts w:hint="eastAsia" w:ascii="宋体" w:hAnsi="宋体"/>
                <w:color w:val="auto"/>
                <w:sz w:val="21"/>
                <w:szCs w:val="21"/>
              </w:rPr>
              <w:t>四档（16分）：项目总体实施方案的合理性、可行性、针对性均被评定为优秀的。</w:t>
            </w:r>
          </w:p>
        </w:tc>
        <w:tc>
          <w:tcPr>
            <w:tcW w:w="851" w:type="dxa"/>
            <w:noWrap w:val="0"/>
            <w:vAlign w:val="center"/>
          </w:tcPr>
          <w:p w14:paraId="653373EC">
            <w:pPr>
              <w:spacing w:before="149" w:line="229" w:lineRule="auto"/>
              <w:jc w:val="center"/>
              <w:rPr>
                <w:rFonts w:hint="eastAsia" w:ascii="宋体" w:hAnsi="宋体" w:cs="Tahoma"/>
                <w:color w:val="auto"/>
                <w:kern w:val="0"/>
                <w:sz w:val="21"/>
                <w:szCs w:val="21"/>
              </w:rPr>
            </w:pPr>
            <w:r>
              <w:rPr>
                <w:rFonts w:hint="eastAsia" w:ascii="宋体" w:hAnsi="宋体" w:cs="宋体"/>
                <w:color w:val="auto"/>
                <w:spacing w:val="-11"/>
                <w:sz w:val="21"/>
                <w:szCs w:val="21"/>
                <w:lang w:val="en-US" w:eastAsia="zh-CN"/>
              </w:rPr>
              <w:t>16</w:t>
            </w:r>
            <w:r>
              <w:rPr>
                <w:rFonts w:hint="eastAsia" w:ascii="宋体" w:hAnsi="宋体" w:cs="宋体"/>
                <w:color w:val="auto"/>
                <w:spacing w:val="-11"/>
                <w:sz w:val="21"/>
                <w:szCs w:val="21"/>
              </w:rPr>
              <w:t>分</w:t>
            </w:r>
          </w:p>
        </w:tc>
      </w:tr>
      <w:tr w14:paraId="5890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648" w:type="dxa"/>
            <w:noWrap w:val="0"/>
            <w:vAlign w:val="center"/>
          </w:tcPr>
          <w:p w14:paraId="5BD77D5E">
            <w:pPr>
              <w:spacing w:before="65" w:line="193" w:lineRule="auto"/>
              <w:rPr>
                <w:rFonts w:hint="eastAsia" w:ascii="宋体" w:hAnsi="宋体"/>
                <w:bCs/>
                <w:color w:val="auto"/>
                <w:kern w:val="0"/>
                <w:sz w:val="21"/>
                <w:szCs w:val="21"/>
              </w:rPr>
            </w:pPr>
            <w:r>
              <w:rPr>
                <w:rFonts w:ascii="宋体" w:hAnsi="宋体" w:cs="宋体"/>
                <w:color w:val="auto"/>
                <w:spacing w:val="8"/>
                <w:sz w:val="21"/>
                <w:szCs w:val="21"/>
              </w:rPr>
              <w:t>2.</w:t>
            </w:r>
            <w:r>
              <w:rPr>
                <w:rFonts w:hint="eastAsia" w:ascii="宋体" w:hAnsi="宋体" w:cs="宋体"/>
                <w:color w:val="auto"/>
                <w:spacing w:val="8"/>
                <w:sz w:val="21"/>
                <w:szCs w:val="21"/>
              </w:rPr>
              <w:t>2</w:t>
            </w:r>
          </w:p>
        </w:tc>
        <w:tc>
          <w:tcPr>
            <w:tcW w:w="1303" w:type="dxa"/>
            <w:noWrap w:val="0"/>
            <w:vAlign w:val="center"/>
          </w:tcPr>
          <w:p w14:paraId="13A0FAD9">
            <w:pPr>
              <w:snapToGrid w:val="0"/>
              <w:spacing w:line="360" w:lineRule="exact"/>
              <w:rPr>
                <w:rFonts w:hint="eastAsia" w:ascii="宋体" w:hAnsi="宋体"/>
                <w:bCs/>
                <w:color w:val="auto"/>
                <w:kern w:val="0"/>
                <w:sz w:val="21"/>
                <w:szCs w:val="21"/>
              </w:rPr>
            </w:pPr>
            <w:r>
              <w:rPr>
                <w:rFonts w:hint="eastAsia" w:ascii="宋体" w:hAnsi="宋体"/>
                <w:b/>
                <w:bCs/>
                <w:color w:val="auto"/>
                <w:sz w:val="21"/>
                <w:szCs w:val="21"/>
              </w:rPr>
              <w:t>管理规章制度、考勤制度和档案管理制度分</w:t>
            </w:r>
            <w:r>
              <w:rPr>
                <w:rFonts w:hint="eastAsia" w:ascii="宋体" w:hAnsi="宋体" w:eastAsia="宋体" w:cs="宋体"/>
                <w:b/>
                <w:bCs/>
                <w:color w:val="auto"/>
                <w:sz w:val="21"/>
                <w:szCs w:val="21"/>
              </w:rPr>
              <w:t>（满分</w:t>
            </w:r>
            <w:r>
              <w:rPr>
                <w:rFonts w:hint="eastAsia" w:ascii="宋体" w:hAnsi="宋体" w:eastAsia="宋体" w:cs="宋体"/>
                <w:b/>
                <w:bCs/>
                <w:color w:val="auto"/>
                <w:sz w:val="21"/>
                <w:szCs w:val="21"/>
                <w:lang w:val="en-US" w:eastAsia="zh-CN"/>
              </w:rPr>
              <w:t>16</w:t>
            </w:r>
            <w:r>
              <w:rPr>
                <w:rFonts w:hint="eastAsia" w:ascii="宋体" w:hAnsi="宋体" w:eastAsia="宋体" w:cs="宋体"/>
                <w:b/>
                <w:bCs/>
                <w:color w:val="auto"/>
                <w:sz w:val="21"/>
                <w:szCs w:val="21"/>
              </w:rPr>
              <w:t>分）</w:t>
            </w:r>
          </w:p>
        </w:tc>
        <w:tc>
          <w:tcPr>
            <w:tcW w:w="6288" w:type="dxa"/>
            <w:noWrap w:val="0"/>
            <w:vAlign w:val="center"/>
          </w:tcPr>
          <w:p w14:paraId="255C153C">
            <w:pPr>
              <w:spacing w:line="380" w:lineRule="exact"/>
              <w:ind w:firstLine="420" w:firstLineChars="200"/>
              <w:jc w:val="left"/>
              <w:rPr>
                <w:rFonts w:ascii="宋体" w:hAnsi="宋体"/>
                <w:color w:val="auto"/>
                <w:sz w:val="21"/>
                <w:szCs w:val="21"/>
              </w:rPr>
            </w:pPr>
            <w:r>
              <w:rPr>
                <w:rFonts w:hint="eastAsia" w:ascii="宋体" w:hAnsi="宋体"/>
                <w:color w:val="auto"/>
                <w:sz w:val="21"/>
                <w:szCs w:val="21"/>
              </w:rPr>
              <w:t>评委根据投标人提供的项目实施方案中“管理规章制度、考勤制度和档案管理制度”内容的合理性、可行性、针对性三个方面进行独立评审并按以下规则独立打分：</w:t>
            </w:r>
          </w:p>
          <w:p w14:paraId="2EFA646F">
            <w:pPr>
              <w:spacing w:line="380" w:lineRule="exact"/>
              <w:ind w:firstLine="420" w:firstLineChars="200"/>
              <w:jc w:val="left"/>
              <w:rPr>
                <w:rFonts w:ascii="宋体" w:hAnsi="宋体"/>
                <w:color w:val="auto"/>
                <w:sz w:val="21"/>
                <w:szCs w:val="21"/>
              </w:rPr>
            </w:pPr>
            <w:r>
              <w:rPr>
                <w:rFonts w:hint="eastAsia" w:ascii="宋体" w:hAnsi="宋体"/>
                <w:color w:val="auto"/>
                <w:sz w:val="21"/>
                <w:szCs w:val="21"/>
              </w:rPr>
              <w:t>一档（4分）：管理规章制度、考勤制度和档案管理制度的合理性、可行性、针对性均被评定为一般的；</w:t>
            </w:r>
          </w:p>
          <w:p w14:paraId="28E21F66">
            <w:pPr>
              <w:spacing w:line="380" w:lineRule="exact"/>
              <w:ind w:firstLine="420" w:firstLineChars="200"/>
              <w:jc w:val="left"/>
              <w:rPr>
                <w:rFonts w:ascii="宋体" w:hAnsi="宋体"/>
                <w:color w:val="auto"/>
                <w:sz w:val="21"/>
                <w:szCs w:val="21"/>
              </w:rPr>
            </w:pPr>
            <w:r>
              <w:rPr>
                <w:rFonts w:hint="eastAsia" w:ascii="宋体" w:hAnsi="宋体"/>
                <w:color w:val="auto"/>
                <w:sz w:val="21"/>
                <w:szCs w:val="21"/>
              </w:rPr>
              <w:t>二档（8分）：管理规章制度、考勤制度和档案管理制度的合理性、可行性、针对性有1项被评定为良好或优秀的；</w:t>
            </w:r>
          </w:p>
          <w:p w14:paraId="66BB1DCA">
            <w:pPr>
              <w:spacing w:line="380" w:lineRule="exact"/>
              <w:ind w:firstLine="420" w:firstLineChars="200"/>
              <w:jc w:val="left"/>
              <w:rPr>
                <w:rFonts w:ascii="宋体" w:hAnsi="宋体"/>
                <w:color w:val="auto"/>
                <w:sz w:val="21"/>
                <w:szCs w:val="21"/>
              </w:rPr>
            </w:pPr>
            <w:r>
              <w:rPr>
                <w:rFonts w:hint="eastAsia" w:ascii="宋体" w:hAnsi="宋体"/>
                <w:color w:val="auto"/>
                <w:sz w:val="21"/>
                <w:szCs w:val="21"/>
              </w:rPr>
              <w:t>三档（12分）：管理规章制度、考勤制度和档案管理制度的合理性、可行性、针对性有2项被评定为优秀的；</w:t>
            </w:r>
          </w:p>
          <w:p w14:paraId="54321FE2">
            <w:pPr>
              <w:spacing w:line="380" w:lineRule="exact"/>
              <w:ind w:firstLine="420" w:firstLineChars="200"/>
              <w:jc w:val="left"/>
              <w:rPr>
                <w:rFonts w:hint="eastAsia" w:hAnsi="宋体"/>
                <w:bCs/>
                <w:color w:val="auto"/>
                <w:sz w:val="21"/>
                <w:szCs w:val="21"/>
              </w:rPr>
            </w:pPr>
            <w:r>
              <w:rPr>
                <w:rFonts w:hint="eastAsia" w:ascii="宋体" w:hAnsi="宋体"/>
                <w:color w:val="auto"/>
                <w:sz w:val="21"/>
                <w:szCs w:val="21"/>
              </w:rPr>
              <w:t>四档（16分）：管理规章制度、考勤制度和档案管理制度的合理性、可行性、针对性均被评定为优秀的。</w:t>
            </w:r>
          </w:p>
        </w:tc>
        <w:tc>
          <w:tcPr>
            <w:tcW w:w="851" w:type="dxa"/>
            <w:noWrap w:val="0"/>
            <w:vAlign w:val="center"/>
          </w:tcPr>
          <w:p w14:paraId="7F54A310">
            <w:pPr>
              <w:spacing w:before="65" w:line="229" w:lineRule="auto"/>
              <w:jc w:val="center"/>
              <w:rPr>
                <w:rFonts w:hint="eastAsia" w:ascii="宋体" w:hAnsi="宋体" w:cs="Tahoma"/>
                <w:color w:val="auto"/>
                <w:kern w:val="0"/>
                <w:sz w:val="21"/>
                <w:szCs w:val="21"/>
              </w:rPr>
            </w:pPr>
            <w:r>
              <w:rPr>
                <w:rFonts w:hint="eastAsia" w:ascii="宋体" w:hAnsi="宋体" w:cs="宋体"/>
                <w:color w:val="auto"/>
                <w:spacing w:val="-12"/>
                <w:sz w:val="21"/>
                <w:szCs w:val="21"/>
                <w:lang w:val="en-US" w:eastAsia="zh-CN"/>
              </w:rPr>
              <w:t>16</w:t>
            </w:r>
            <w:r>
              <w:rPr>
                <w:rFonts w:ascii="宋体" w:hAnsi="宋体" w:cs="宋体"/>
                <w:color w:val="auto"/>
                <w:spacing w:val="-9"/>
                <w:sz w:val="21"/>
                <w:szCs w:val="21"/>
              </w:rPr>
              <w:t>分</w:t>
            </w:r>
          </w:p>
        </w:tc>
      </w:tr>
      <w:tr w14:paraId="0AB0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648" w:type="dxa"/>
            <w:noWrap w:val="0"/>
            <w:vAlign w:val="center"/>
          </w:tcPr>
          <w:p w14:paraId="4F921007">
            <w:pPr>
              <w:spacing w:before="1" w:line="430" w:lineRule="auto"/>
              <w:ind w:right="81"/>
              <w:rPr>
                <w:rFonts w:hint="eastAsia" w:ascii="宋体" w:hAnsi="宋体"/>
                <w:bCs/>
                <w:color w:val="auto"/>
                <w:kern w:val="0"/>
                <w:sz w:val="21"/>
                <w:szCs w:val="21"/>
              </w:rPr>
            </w:pPr>
            <w:r>
              <w:rPr>
                <w:rFonts w:hint="eastAsia" w:ascii="宋体" w:hAnsi="宋体" w:eastAsia="宋体" w:cs="宋体"/>
                <w:color w:val="auto"/>
                <w:sz w:val="21"/>
                <w:szCs w:val="21"/>
              </w:rPr>
              <w:t>2.3</w:t>
            </w:r>
          </w:p>
        </w:tc>
        <w:tc>
          <w:tcPr>
            <w:tcW w:w="1303" w:type="dxa"/>
            <w:noWrap w:val="0"/>
            <w:vAlign w:val="center"/>
          </w:tcPr>
          <w:p w14:paraId="108D8762">
            <w:pPr>
              <w:spacing w:before="1" w:line="360" w:lineRule="auto"/>
              <w:ind w:right="81"/>
              <w:jc w:val="both"/>
              <w:rPr>
                <w:rFonts w:hint="eastAsia" w:ascii="宋体" w:hAnsi="宋体"/>
                <w:bCs/>
                <w:color w:val="auto"/>
                <w:kern w:val="0"/>
                <w:sz w:val="21"/>
                <w:szCs w:val="21"/>
              </w:rPr>
            </w:pPr>
            <w:r>
              <w:rPr>
                <w:rFonts w:hint="eastAsia"/>
                <w:b/>
                <w:bCs/>
                <w:color w:val="auto"/>
                <w:sz w:val="21"/>
                <w:szCs w:val="21"/>
              </w:rPr>
              <w:t>服务保障及应急方案分</w:t>
            </w:r>
            <w:r>
              <w:rPr>
                <w:rFonts w:hint="eastAsia" w:ascii="宋体" w:hAnsi="宋体" w:eastAsia="宋体" w:cs="宋体"/>
                <w:b/>
                <w:bCs/>
                <w:color w:val="auto"/>
                <w:sz w:val="21"/>
                <w:szCs w:val="21"/>
              </w:rPr>
              <w:t>（满分</w:t>
            </w:r>
            <w:r>
              <w:rPr>
                <w:rFonts w:hint="eastAsia" w:ascii="宋体" w:hAnsi="宋体" w:eastAsia="宋体" w:cs="宋体"/>
                <w:b/>
                <w:bCs/>
                <w:color w:val="auto"/>
                <w:sz w:val="21"/>
                <w:szCs w:val="21"/>
                <w:lang w:val="en-US" w:eastAsia="zh-CN"/>
              </w:rPr>
              <w:t>16</w:t>
            </w:r>
            <w:r>
              <w:rPr>
                <w:rFonts w:hint="eastAsia" w:ascii="宋体" w:hAnsi="宋体" w:eastAsia="宋体" w:cs="宋体"/>
                <w:b/>
                <w:bCs/>
                <w:color w:val="auto"/>
                <w:sz w:val="21"/>
                <w:szCs w:val="21"/>
              </w:rPr>
              <w:t>分）</w:t>
            </w:r>
          </w:p>
        </w:tc>
        <w:tc>
          <w:tcPr>
            <w:tcW w:w="6288" w:type="dxa"/>
            <w:noWrap w:val="0"/>
            <w:vAlign w:val="center"/>
          </w:tcPr>
          <w:p w14:paraId="3B3F4396">
            <w:pPr>
              <w:snapToGrid w:val="0"/>
              <w:spacing w:line="360" w:lineRule="exact"/>
              <w:ind w:firstLine="443" w:firstLineChars="211"/>
              <w:rPr>
                <w:rFonts w:hint="eastAsia" w:hAnsi="宋体"/>
                <w:bCs/>
                <w:color w:val="auto"/>
                <w:sz w:val="21"/>
                <w:szCs w:val="21"/>
              </w:rPr>
            </w:pPr>
            <w:r>
              <w:rPr>
                <w:rFonts w:hint="eastAsia" w:hAnsi="宋体"/>
                <w:bCs/>
                <w:color w:val="auto"/>
                <w:sz w:val="21"/>
                <w:szCs w:val="21"/>
              </w:rPr>
              <w:t>不入档：未提供或服务保障及应急方案明显不符合本项目实际情况的，得 0 分。</w:t>
            </w:r>
          </w:p>
          <w:p w14:paraId="4DA113B5">
            <w:pPr>
              <w:snapToGrid w:val="0"/>
              <w:spacing w:line="360" w:lineRule="exact"/>
              <w:ind w:firstLine="443" w:firstLineChars="211"/>
              <w:rPr>
                <w:rFonts w:hint="eastAsia"/>
                <w:color w:val="auto"/>
                <w:sz w:val="21"/>
                <w:szCs w:val="21"/>
              </w:rPr>
            </w:pPr>
            <w:r>
              <w:rPr>
                <w:rFonts w:hint="eastAsia"/>
                <w:color w:val="auto"/>
                <w:sz w:val="21"/>
                <w:szCs w:val="21"/>
              </w:rPr>
              <w:t>一档（</w:t>
            </w:r>
            <w:r>
              <w:rPr>
                <w:rFonts w:hint="eastAsia"/>
                <w:color w:val="auto"/>
                <w:sz w:val="21"/>
                <w:szCs w:val="21"/>
                <w:lang w:val="en-US" w:eastAsia="zh-CN"/>
              </w:rPr>
              <w:t>4</w:t>
            </w:r>
            <w:r>
              <w:rPr>
                <w:rFonts w:hint="eastAsia"/>
                <w:color w:val="auto"/>
                <w:sz w:val="21"/>
                <w:szCs w:val="21"/>
              </w:rPr>
              <w:t>分）：具有项目执行组织措施和保障措施，能及时排除简易故障，基本能够确保服务工作的正常运转；</w:t>
            </w:r>
          </w:p>
          <w:p w14:paraId="15D4CE45">
            <w:pPr>
              <w:snapToGrid w:val="0"/>
              <w:spacing w:line="360" w:lineRule="exact"/>
              <w:ind w:firstLine="443" w:firstLineChars="211"/>
              <w:rPr>
                <w:rFonts w:hint="eastAsia"/>
                <w:color w:val="auto"/>
                <w:sz w:val="21"/>
                <w:szCs w:val="21"/>
              </w:rPr>
            </w:pPr>
            <w:r>
              <w:rPr>
                <w:rFonts w:hint="eastAsia"/>
                <w:color w:val="auto"/>
                <w:sz w:val="21"/>
                <w:szCs w:val="21"/>
              </w:rPr>
              <w:t>二档（</w:t>
            </w:r>
            <w:r>
              <w:rPr>
                <w:rFonts w:hint="eastAsia"/>
                <w:color w:val="auto"/>
                <w:sz w:val="21"/>
                <w:szCs w:val="21"/>
                <w:lang w:val="en-US" w:eastAsia="zh-CN"/>
              </w:rPr>
              <w:t>8</w:t>
            </w:r>
            <w:r>
              <w:rPr>
                <w:rFonts w:hint="eastAsia"/>
                <w:color w:val="auto"/>
                <w:sz w:val="21"/>
                <w:szCs w:val="21"/>
              </w:rPr>
              <w:t>分）：在一档基础上，提供了详细的项目执行组织措施和保障措施，有故障排除和应急方案；</w:t>
            </w:r>
          </w:p>
          <w:p w14:paraId="570FD9E2">
            <w:pPr>
              <w:snapToGrid w:val="0"/>
              <w:spacing w:line="360" w:lineRule="exact"/>
              <w:ind w:firstLine="443" w:firstLineChars="211"/>
              <w:rPr>
                <w:rFonts w:hint="eastAsia"/>
                <w:color w:val="auto"/>
                <w:sz w:val="21"/>
                <w:szCs w:val="21"/>
              </w:rPr>
            </w:pPr>
            <w:r>
              <w:rPr>
                <w:rFonts w:hint="eastAsia"/>
                <w:color w:val="auto"/>
                <w:sz w:val="21"/>
                <w:szCs w:val="21"/>
              </w:rPr>
              <w:t>三档（</w:t>
            </w:r>
            <w:r>
              <w:rPr>
                <w:rFonts w:hint="eastAsia"/>
                <w:color w:val="auto"/>
                <w:sz w:val="21"/>
                <w:szCs w:val="21"/>
                <w:lang w:val="en-US" w:eastAsia="zh-CN"/>
              </w:rPr>
              <w:t>12</w:t>
            </w:r>
            <w:r>
              <w:rPr>
                <w:rFonts w:hint="eastAsia"/>
                <w:color w:val="auto"/>
                <w:sz w:val="21"/>
                <w:szCs w:val="21"/>
              </w:rPr>
              <w:t>分）：在二档基础上，项目执行组织措施和保障措施内容较详细，有针对服务工作提出的故障排除和应急方案，实施安全保证体系、安全事故控制、应急预案等内容较健全、得力和科学合理；</w:t>
            </w:r>
          </w:p>
          <w:p w14:paraId="64DBC162">
            <w:pPr>
              <w:snapToGrid w:val="0"/>
              <w:spacing w:line="360" w:lineRule="exact"/>
              <w:ind w:firstLine="443" w:firstLineChars="211"/>
              <w:rPr>
                <w:rFonts w:hint="eastAsia" w:hAnsi="宋体"/>
                <w:bCs/>
                <w:color w:val="auto"/>
                <w:sz w:val="21"/>
                <w:szCs w:val="21"/>
              </w:rPr>
            </w:pPr>
            <w:r>
              <w:rPr>
                <w:rFonts w:hint="eastAsia"/>
                <w:color w:val="auto"/>
                <w:sz w:val="21"/>
                <w:szCs w:val="21"/>
              </w:rPr>
              <w:t>四档（</w:t>
            </w:r>
            <w:r>
              <w:rPr>
                <w:rFonts w:hint="eastAsia"/>
                <w:color w:val="auto"/>
                <w:sz w:val="21"/>
                <w:szCs w:val="21"/>
                <w:lang w:val="en-US" w:eastAsia="zh-CN"/>
              </w:rPr>
              <w:t>16</w:t>
            </w:r>
            <w:r>
              <w:rPr>
                <w:rFonts w:hint="eastAsia"/>
                <w:color w:val="auto"/>
                <w:sz w:val="21"/>
                <w:szCs w:val="21"/>
              </w:rPr>
              <w:t>分）：在三档基础上，项目执行组织措施和保障措施内容详细、切实可行，针对服务工作提出详细的故障排除和应急方案，实施安全保证体系健全、安全事故控制得力、应急预案科学合理。</w:t>
            </w:r>
          </w:p>
        </w:tc>
        <w:tc>
          <w:tcPr>
            <w:tcW w:w="851" w:type="dxa"/>
            <w:noWrap w:val="0"/>
            <w:vAlign w:val="center"/>
          </w:tcPr>
          <w:p w14:paraId="65578B7E">
            <w:pPr>
              <w:spacing w:before="65" w:line="229" w:lineRule="auto"/>
              <w:jc w:val="center"/>
              <w:rPr>
                <w:rFonts w:hint="eastAsia" w:ascii="宋体" w:hAnsi="宋体" w:cs="Tahoma"/>
                <w:color w:val="auto"/>
                <w:kern w:val="0"/>
                <w:sz w:val="21"/>
                <w:szCs w:val="21"/>
              </w:rPr>
            </w:pPr>
            <w:r>
              <w:rPr>
                <w:rFonts w:hint="eastAsia" w:ascii="宋体" w:hAnsi="宋体" w:cs="宋体"/>
                <w:color w:val="auto"/>
                <w:spacing w:val="-12"/>
                <w:sz w:val="21"/>
                <w:szCs w:val="21"/>
                <w:lang w:val="en-US" w:eastAsia="zh-CN"/>
              </w:rPr>
              <w:t>16</w:t>
            </w:r>
            <w:r>
              <w:rPr>
                <w:rFonts w:hint="eastAsia" w:ascii="宋体" w:hAnsi="宋体" w:cs="宋体"/>
                <w:color w:val="auto"/>
                <w:spacing w:val="-12"/>
                <w:sz w:val="21"/>
                <w:szCs w:val="21"/>
              </w:rPr>
              <w:t>分</w:t>
            </w:r>
          </w:p>
        </w:tc>
      </w:tr>
      <w:tr w14:paraId="1B66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48" w:type="dxa"/>
            <w:noWrap w:val="0"/>
            <w:vAlign w:val="center"/>
          </w:tcPr>
          <w:p w14:paraId="33EF3137">
            <w:pPr>
              <w:spacing w:before="65" w:line="192" w:lineRule="auto"/>
              <w:rPr>
                <w:rFonts w:hint="eastAsia" w:ascii="宋体" w:hAnsi="宋体"/>
                <w:bCs/>
                <w:color w:val="auto"/>
                <w:kern w:val="0"/>
                <w:sz w:val="21"/>
                <w:szCs w:val="21"/>
              </w:rPr>
            </w:pPr>
            <w:r>
              <w:rPr>
                <w:rFonts w:ascii="宋体" w:hAnsi="宋体" w:cs="宋体"/>
                <w:color w:val="auto"/>
                <w:spacing w:val="3"/>
                <w:sz w:val="21"/>
                <w:szCs w:val="21"/>
              </w:rPr>
              <w:t>2</w:t>
            </w:r>
            <w:r>
              <w:rPr>
                <w:rFonts w:ascii="宋体" w:hAnsi="宋体" w:cs="宋体"/>
                <w:color w:val="auto"/>
                <w:spacing w:val="2"/>
                <w:sz w:val="21"/>
                <w:szCs w:val="21"/>
              </w:rPr>
              <w:t>.4</w:t>
            </w:r>
          </w:p>
        </w:tc>
        <w:tc>
          <w:tcPr>
            <w:tcW w:w="1303" w:type="dxa"/>
            <w:noWrap w:val="0"/>
            <w:vAlign w:val="center"/>
          </w:tcPr>
          <w:p w14:paraId="436F1FB5">
            <w:pPr>
              <w:spacing w:before="1" w:line="360" w:lineRule="auto"/>
              <w:ind w:right="81"/>
              <w:rPr>
                <w:rFonts w:hint="eastAsia" w:ascii="宋体" w:hAnsi="宋体"/>
                <w:bCs/>
                <w:color w:val="auto"/>
                <w:kern w:val="0"/>
                <w:sz w:val="21"/>
                <w:szCs w:val="21"/>
              </w:rPr>
            </w:pPr>
            <w:r>
              <w:rPr>
                <w:rFonts w:hint="eastAsia" w:ascii="宋体" w:hAnsi="宋体" w:eastAsia="宋体" w:cs="宋体"/>
                <w:b/>
                <w:bCs/>
                <w:color w:val="auto"/>
                <w:sz w:val="21"/>
                <w:szCs w:val="21"/>
              </w:rPr>
              <w:t>专业人员配备分（满分</w:t>
            </w:r>
            <w:r>
              <w:rPr>
                <w:rFonts w:hint="eastAsia" w:ascii="宋体" w:hAnsi="宋体" w:eastAsia="宋体" w:cs="宋体"/>
                <w:b/>
                <w:bCs/>
                <w:color w:val="auto"/>
                <w:sz w:val="21"/>
                <w:szCs w:val="21"/>
                <w:lang w:val="en-US" w:eastAsia="zh-CN"/>
              </w:rPr>
              <w:t>15</w:t>
            </w:r>
            <w:r>
              <w:rPr>
                <w:rFonts w:hint="eastAsia" w:ascii="宋体" w:hAnsi="宋体" w:eastAsia="宋体" w:cs="宋体"/>
                <w:b/>
                <w:bCs/>
                <w:color w:val="auto"/>
                <w:sz w:val="21"/>
                <w:szCs w:val="21"/>
              </w:rPr>
              <w:t>分）</w:t>
            </w:r>
          </w:p>
        </w:tc>
        <w:tc>
          <w:tcPr>
            <w:tcW w:w="6288" w:type="dxa"/>
            <w:noWrap w:val="0"/>
            <w:vAlign w:val="center"/>
          </w:tcPr>
          <w:p w14:paraId="6A3FC76F">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评委根据投标人提供人员的配备，包括：拟投入本项目管理人员简历，各类人员详细数量，文化素质和专业素质、各岗人员的配置等</w:t>
            </w:r>
            <w:r>
              <w:rPr>
                <w:rFonts w:hint="eastAsia" w:ascii="宋体" w:hAnsi="宋体" w:eastAsia="宋体" w:cs="宋体"/>
                <w:color w:val="auto"/>
                <w:sz w:val="21"/>
                <w:szCs w:val="21"/>
                <w:lang w:val="en-US" w:eastAsia="zh-CN"/>
              </w:rPr>
              <w:t>打分</w:t>
            </w:r>
            <w:r>
              <w:rPr>
                <w:rFonts w:hint="eastAsia" w:ascii="宋体" w:hAnsi="宋体" w:eastAsia="宋体" w:cs="宋体"/>
                <w:color w:val="auto"/>
                <w:sz w:val="21"/>
                <w:szCs w:val="21"/>
              </w:rPr>
              <w:t>。</w:t>
            </w:r>
          </w:p>
          <w:p w14:paraId="2BA72E9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1）拟任项目经理具有（满分</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14:paraId="465B5C32">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具有</w:t>
            </w:r>
            <w:r>
              <w:rPr>
                <w:rFonts w:hint="eastAsia" w:ascii="宋体" w:hAnsi="宋体" w:eastAsia="宋体" w:cs="宋体"/>
                <w:color w:val="auto"/>
                <w:sz w:val="21"/>
                <w:szCs w:val="21"/>
              </w:rPr>
              <w:t>本科</w:t>
            </w:r>
            <w:r>
              <w:rPr>
                <w:rFonts w:hint="eastAsia" w:ascii="宋体" w:hAnsi="宋体" w:eastAsia="宋体" w:cs="宋体"/>
                <w:color w:val="auto"/>
                <w:sz w:val="21"/>
                <w:szCs w:val="21"/>
                <w:lang w:val="en-US" w:eastAsia="zh-CN"/>
              </w:rPr>
              <w:t>或以上学历证书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年或以上医院物业项目管理经验（提供服务单位开具的证明资料）；持有</w:t>
            </w:r>
            <w:r>
              <w:rPr>
                <w:rFonts w:hint="eastAsia" w:ascii="宋体" w:hAnsi="宋体" w:eastAsia="宋体" w:cs="宋体"/>
                <w:color w:val="auto"/>
                <w:sz w:val="21"/>
                <w:szCs w:val="21"/>
                <w:lang w:val="en-US" w:eastAsia="zh-CN"/>
              </w:rPr>
              <w:t>园林工程专业</w:t>
            </w:r>
            <w:r>
              <w:rPr>
                <w:rFonts w:hint="eastAsia" w:ascii="宋体" w:hAnsi="宋体"/>
                <w:color w:val="auto"/>
                <w:sz w:val="21"/>
                <w:szCs w:val="21"/>
                <w:lang w:eastAsia="zh-CN"/>
              </w:rPr>
              <w:t>（</w:t>
            </w:r>
            <w:r>
              <w:rPr>
                <w:rFonts w:hint="eastAsia" w:ascii="宋体" w:hAnsi="宋体"/>
                <w:color w:val="auto"/>
                <w:sz w:val="21"/>
                <w:szCs w:val="21"/>
                <w:lang w:val="en-US" w:eastAsia="zh-CN"/>
              </w:rPr>
              <w:t>中级</w:t>
            </w:r>
            <w:r>
              <w:rPr>
                <w:rFonts w:hint="eastAsia" w:ascii="宋体" w:hAnsi="宋体"/>
                <w:color w:val="auto"/>
                <w:sz w:val="21"/>
                <w:szCs w:val="21"/>
                <w:lang w:eastAsia="zh-CN"/>
              </w:rPr>
              <w:t>）</w:t>
            </w:r>
            <w:r>
              <w:rPr>
                <w:rFonts w:hint="eastAsia" w:ascii="宋体" w:hAnsi="宋体"/>
                <w:color w:val="auto"/>
                <w:sz w:val="21"/>
                <w:szCs w:val="21"/>
              </w:rPr>
              <w:t>或以上</w:t>
            </w:r>
            <w:r>
              <w:rPr>
                <w:rFonts w:hint="eastAsia" w:ascii="宋体" w:hAnsi="宋体"/>
                <w:color w:val="auto"/>
                <w:sz w:val="21"/>
                <w:szCs w:val="21"/>
                <w:lang w:val="en-US" w:eastAsia="zh-CN"/>
              </w:rPr>
              <w:t>专业技术人员职业资格</w:t>
            </w:r>
            <w:r>
              <w:rPr>
                <w:rFonts w:hint="eastAsia" w:ascii="宋体" w:hAnsi="宋体"/>
                <w:color w:val="auto"/>
                <w:sz w:val="21"/>
                <w:szCs w:val="21"/>
              </w:rPr>
              <w:t>证</w:t>
            </w:r>
            <w:r>
              <w:rPr>
                <w:rFonts w:hint="eastAsia" w:ascii="宋体" w:hAnsi="宋体"/>
                <w:color w:val="auto"/>
                <w:sz w:val="21"/>
                <w:szCs w:val="21"/>
                <w:lang w:val="en-US" w:eastAsia="zh-CN"/>
              </w:rPr>
              <w:t>书</w:t>
            </w:r>
            <w:r>
              <w:rPr>
                <w:rFonts w:hint="eastAsia" w:ascii="宋体" w:hAnsi="宋体" w:eastAsia="宋体" w:cs="宋体"/>
                <w:color w:val="auto"/>
                <w:sz w:val="21"/>
                <w:szCs w:val="21"/>
              </w:rPr>
              <w:t>；《企业人力资源管理师》资格证书二级以上（含二级）职称证书；</w:t>
            </w:r>
            <w:r>
              <w:rPr>
                <w:rFonts w:hint="eastAsia" w:ascii="宋体" w:hAnsi="宋体" w:eastAsia="宋体" w:cs="宋体"/>
                <w:b w:val="0"/>
                <w:bCs w:val="0"/>
                <w:color w:val="auto"/>
                <w:sz w:val="21"/>
                <w:szCs w:val="21"/>
                <w:lang w:val="en-US" w:eastAsia="zh-CN"/>
              </w:rPr>
              <w:t>《物业管理师》职业技能等级</w:t>
            </w:r>
            <w:r>
              <w:rPr>
                <w:rFonts w:hint="eastAsia" w:ascii="宋体" w:hAnsi="宋体" w:eastAsia="宋体" w:cs="宋体"/>
                <w:b w:val="0"/>
                <w:bCs w:val="0"/>
                <w:color w:val="auto"/>
                <w:kern w:val="0"/>
                <w:sz w:val="21"/>
                <w:szCs w:val="21"/>
                <w:lang w:val="en-US" w:eastAsia="zh-CN" w:bidi="ar"/>
              </w:rPr>
              <w:t>三级/高级工（含）以上</w:t>
            </w:r>
            <w:r>
              <w:rPr>
                <w:rFonts w:hint="eastAsia" w:ascii="宋体" w:hAnsi="宋体" w:eastAsia="宋体" w:cs="宋体"/>
                <w:b w:val="0"/>
                <w:bCs w:val="0"/>
                <w:color w:val="auto"/>
                <w:sz w:val="21"/>
                <w:szCs w:val="21"/>
                <w:lang w:val="en-US" w:eastAsia="zh-CN"/>
              </w:rPr>
              <w:t>证书；中级或以上消防设施操作员证书；</w:t>
            </w:r>
            <w:r>
              <w:rPr>
                <w:rFonts w:hint="eastAsia" w:ascii="宋体" w:hAnsi="宋体" w:eastAsia="宋体" w:cs="宋体"/>
                <w:color w:val="auto"/>
                <w:sz w:val="21"/>
                <w:szCs w:val="21"/>
              </w:rPr>
              <w:t>每有一项得1分，满分</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b w:val="0"/>
                <w:bCs w:val="0"/>
                <w:color w:val="auto"/>
                <w:sz w:val="21"/>
                <w:szCs w:val="21"/>
              </w:rPr>
              <w:t>。</w:t>
            </w:r>
          </w:p>
          <w:p w14:paraId="4211FE64">
            <w:pPr>
              <w:keepNext w:val="0"/>
              <w:keepLines w:val="0"/>
              <w:pageBreakBefore w:val="0"/>
              <w:numPr>
                <w:ilvl w:val="0"/>
                <w:numId w:val="23"/>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拟任项目</w:t>
            </w:r>
            <w:r>
              <w:rPr>
                <w:rFonts w:hint="eastAsia" w:ascii="宋体" w:hAnsi="宋体" w:eastAsia="宋体" w:cs="宋体"/>
                <w:color w:val="auto"/>
                <w:sz w:val="21"/>
                <w:szCs w:val="21"/>
                <w:lang w:val="en-US" w:eastAsia="zh-CN"/>
              </w:rPr>
              <w:t>主管人员</w:t>
            </w:r>
            <w:r>
              <w:rPr>
                <w:rFonts w:hint="eastAsia" w:ascii="宋体" w:hAnsi="宋体" w:eastAsia="宋体" w:cs="宋体"/>
                <w:color w:val="auto"/>
                <w:sz w:val="21"/>
                <w:szCs w:val="21"/>
              </w:rPr>
              <w:t>具有（满分</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14:paraId="3BA2BCD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具有大专或以上学历证书；3</w:t>
            </w:r>
            <w:r>
              <w:rPr>
                <w:rFonts w:hint="eastAsia" w:ascii="宋体" w:hAnsi="宋体" w:eastAsia="宋体" w:cs="宋体"/>
                <w:b w:val="0"/>
                <w:bCs w:val="0"/>
                <w:color w:val="auto"/>
                <w:sz w:val="21"/>
                <w:szCs w:val="21"/>
              </w:rPr>
              <w:t>年或以上医院物业项目管理经验（提供服务单位开具的证明资料）；</w:t>
            </w:r>
            <w:r>
              <w:rPr>
                <w:rFonts w:hint="eastAsia" w:ascii="宋体" w:hAnsi="宋体" w:eastAsia="宋体" w:cs="宋体"/>
                <w:b w:val="0"/>
                <w:bCs w:val="0"/>
                <w:color w:val="auto"/>
                <w:sz w:val="21"/>
                <w:szCs w:val="21"/>
                <w:lang w:val="en-US" w:eastAsia="zh-CN"/>
              </w:rPr>
              <w:t>《物业管理师》职业技能等级</w:t>
            </w:r>
            <w:r>
              <w:rPr>
                <w:rFonts w:hint="eastAsia" w:ascii="宋体" w:hAnsi="宋体" w:eastAsia="宋体" w:cs="宋体"/>
                <w:b w:val="0"/>
                <w:bCs w:val="0"/>
                <w:color w:val="auto"/>
                <w:kern w:val="0"/>
                <w:sz w:val="21"/>
                <w:szCs w:val="21"/>
                <w:lang w:val="en-US" w:eastAsia="zh-CN" w:bidi="ar"/>
              </w:rPr>
              <w:t>三级/高级工（含）以上</w:t>
            </w:r>
            <w:r>
              <w:rPr>
                <w:rFonts w:hint="eastAsia" w:ascii="宋体" w:hAnsi="宋体" w:eastAsia="宋体" w:cs="宋体"/>
                <w:b w:val="0"/>
                <w:bCs w:val="0"/>
                <w:color w:val="auto"/>
                <w:sz w:val="21"/>
                <w:szCs w:val="21"/>
                <w:lang w:val="en-US" w:eastAsia="zh-CN"/>
              </w:rPr>
              <w:t>证书</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中华人民共和国人力资源和社会保障部颁发的</w:t>
            </w:r>
            <w:r>
              <w:rPr>
                <w:rFonts w:hint="eastAsia" w:ascii="宋体" w:hAnsi="宋体" w:eastAsia="宋体" w:cs="宋体"/>
                <w:b w:val="0"/>
                <w:bCs w:val="0"/>
                <w:color w:val="auto"/>
                <w:sz w:val="21"/>
                <w:szCs w:val="21"/>
              </w:rPr>
              <w:t>《人力资源管理师》</w:t>
            </w:r>
            <w:r>
              <w:rPr>
                <w:rFonts w:hint="eastAsia" w:ascii="宋体" w:hAnsi="宋体" w:eastAsia="宋体" w:cs="宋体"/>
                <w:b w:val="0"/>
                <w:bCs w:val="0"/>
                <w:color w:val="auto"/>
                <w:sz w:val="21"/>
                <w:szCs w:val="21"/>
                <w:lang w:val="en-US" w:eastAsia="zh-CN"/>
              </w:rPr>
              <w:t>（含）以上专业技术人员职业资格证书</w:t>
            </w:r>
            <w:r>
              <w:rPr>
                <w:rFonts w:hint="eastAsia" w:ascii="宋体" w:hAnsi="宋体" w:eastAsia="宋体" w:cs="宋体"/>
                <w:b w:val="0"/>
                <w:bCs w:val="0"/>
                <w:color w:val="auto"/>
                <w:sz w:val="21"/>
                <w:szCs w:val="21"/>
              </w:rPr>
              <w:t>；每有一项得1分，满分</w:t>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分。</w:t>
            </w:r>
          </w:p>
          <w:p w14:paraId="1556CB22">
            <w:pPr>
              <w:keepNext w:val="0"/>
              <w:keepLines w:val="0"/>
              <w:pageBreakBefore w:val="0"/>
              <w:numPr>
                <w:ilvl w:val="0"/>
                <w:numId w:val="23"/>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拟任项目其他员工具有（满分</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711CBBA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w:t>
            </w:r>
            <w:r>
              <w:rPr>
                <w:rFonts w:hint="eastAsia" w:ascii="宋体" w:hAnsi="宋体" w:eastAsia="宋体" w:cs="宋体"/>
                <w:color w:val="auto"/>
                <w:sz w:val="21"/>
                <w:szCs w:val="21"/>
                <w:lang w:val="en-US" w:eastAsia="zh-CN"/>
              </w:rPr>
              <w:t>拟投入的保安人员均需具有保安员上岗证，</w:t>
            </w:r>
            <w:r>
              <w:rPr>
                <w:rFonts w:hint="eastAsia" w:ascii="宋体" w:hAnsi="宋体" w:eastAsia="宋体" w:cs="宋体"/>
                <w:color w:val="auto"/>
                <w:sz w:val="21"/>
                <w:szCs w:val="21"/>
              </w:rPr>
              <w:t>满分</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不提供或提供不全不得分</w:t>
            </w:r>
            <w:r>
              <w:rPr>
                <w:rFonts w:hint="eastAsia" w:ascii="宋体" w:hAnsi="宋体" w:eastAsia="宋体" w:cs="宋体"/>
                <w:color w:val="auto"/>
                <w:sz w:val="21"/>
                <w:szCs w:val="21"/>
              </w:rPr>
              <w:t>。</w:t>
            </w:r>
          </w:p>
          <w:p w14:paraId="306ED57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②拟投入的员工队伍中不少于3人持有</w:t>
            </w:r>
            <w:r>
              <w:rPr>
                <w:rFonts w:hint="eastAsia" w:ascii="宋体" w:hAnsi="宋体" w:eastAsia="宋体" w:cs="宋体"/>
                <w:color w:val="auto"/>
                <w:sz w:val="21"/>
                <w:szCs w:val="21"/>
                <w:lang w:val="en-US" w:eastAsia="zh-CN"/>
              </w:rPr>
              <w:t>中级（含）或以上消防设施操作员证，每有一个得1</w:t>
            </w:r>
            <w:r>
              <w:rPr>
                <w:rFonts w:hint="eastAsia" w:ascii="宋体" w:hAnsi="宋体" w:eastAsia="宋体" w:cs="宋体"/>
                <w:color w:val="auto"/>
                <w:sz w:val="21"/>
                <w:szCs w:val="21"/>
              </w:rPr>
              <w:t>分，本小项最高可得3分。</w:t>
            </w:r>
          </w:p>
          <w:p w14:paraId="69F249C0">
            <w:pPr>
              <w:spacing w:before="1" w:line="360" w:lineRule="auto"/>
              <w:ind w:left="112" w:right="81" w:firstLine="234" w:firstLineChars="111"/>
              <w:rPr>
                <w:rFonts w:hint="eastAsia" w:hAnsi="宋体"/>
                <w:bCs/>
                <w:color w:val="auto"/>
                <w:sz w:val="21"/>
                <w:szCs w:val="21"/>
              </w:rPr>
            </w:pPr>
            <w:r>
              <w:rPr>
                <w:rFonts w:hint="eastAsia" w:ascii="宋体" w:hAnsi="宋体" w:eastAsia="宋体" w:cs="宋体"/>
                <w:b/>
                <w:bCs/>
                <w:color w:val="auto"/>
                <w:sz w:val="21"/>
                <w:szCs w:val="21"/>
              </w:rPr>
              <w:t>注：投标人拟投入本项目的管理及相关专业技术人员，需提供人员身份证及</w:t>
            </w:r>
            <w:r>
              <w:rPr>
                <w:rFonts w:hint="eastAsia" w:ascii="宋体" w:hAnsi="宋体" w:cs="宋体"/>
                <w:b/>
                <w:bCs/>
                <w:color w:val="auto"/>
                <w:sz w:val="21"/>
                <w:szCs w:val="21"/>
                <w:lang w:val="en-US" w:eastAsia="zh-CN"/>
              </w:rPr>
              <w:t>相关证书得</w:t>
            </w:r>
            <w:r>
              <w:rPr>
                <w:rFonts w:hint="eastAsia" w:ascii="宋体" w:hAnsi="宋体" w:eastAsia="宋体" w:cs="宋体"/>
                <w:b/>
                <w:bCs/>
                <w:color w:val="auto"/>
                <w:sz w:val="21"/>
                <w:szCs w:val="21"/>
              </w:rPr>
              <w:t>复印件。</w:t>
            </w:r>
          </w:p>
        </w:tc>
        <w:tc>
          <w:tcPr>
            <w:tcW w:w="851" w:type="dxa"/>
            <w:noWrap w:val="0"/>
            <w:vAlign w:val="center"/>
          </w:tcPr>
          <w:p w14:paraId="468181C4">
            <w:pPr>
              <w:spacing w:before="65" w:line="229" w:lineRule="auto"/>
              <w:jc w:val="center"/>
              <w:rPr>
                <w:rFonts w:hint="eastAsia" w:ascii="宋体" w:hAnsi="宋体" w:cs="Tahoma"/>
                <w:color w:val="auto"/>
                <w:kern w:val="0"/>
                <w:sz w:val="21"/>
                <w:szCs w:val="21"/>
              </w:rPr>
            </w:pPr>
            <w:r>
              <w:rPr>
                <w:rFonts w:ascii="宋体" w:hAnsi="宋体" w:cs="宋体"/>
                <w:color w:val="auto"/>
                <w:spacing w:val="-13"/>
                <w:sz w:val="21"/>
                <w:szCs w:val="21"/>
              </w:rPr>
              <w:t>1</w:t>
            </w:r>
            <w:r>
              <w:rPr>
                <w:rFonts w:hint="eastAsia" w:ascii="宋体" w:hAnsi="宋体" w:cs="宋体"/>
                <w:color w:val="auto"/>
                <w:spacing w:val="-13"/>
                <w:sz w:val="21"/>
                <w:szCs w:val="21"/>
              </w:rPr>
              <w:t>5</w:t>
            </w:r>
            <w:r>
              <w:rPr>
                <w:rFonts w:ascii="宋体" w:hAnsi="宋体" w:cs="宋体"/>
                <w:color w:val="auto"/>
                <w:spacing w:val="-13"/>
                <w:sz w:val="21"/>
                <w:szCs w:val="21"/>
              </w:rPr>
              <w:t>分</w:t>
            </w:r>
          </w:p>
        </w:tc>
      </w:tr>
      <w:tr w14:paraId="7CF1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48" w:type="dxa"/>
            <w:noWrap w:val="0"/>
            <w:vAlign w:val="center"/>
          </w:tcPr>
          <w:p w14:paraId="31D0CD45">
            <w:pPr>
              <w:spacing w:before="1" w:line="430" w:lineRule="auto"/>
              <w:ind w:right="81"/>
              <w:rPr>
                <w:rFonts w:ascii="宋体" w:hAnsi="宋体"/>
                <w:b/>
                <w:bCs/>
                <w:color w:val="auto"/>
                <w:kern w:val="0"/>
                <w:sz w:val="21"/>
                <w:szCs w:val="21"/>
              </w:rPr>
            </w:pPr>
            <w:r>
              <w:rPr>
                <w:rFonts w:hint="eastAsia"/>
                <w:b w:val="0"/>
                <w:bCs w:val="0"/>
                <w:color w:val="auto"/>
                <w:sz w:val="21"/>
                <w:szCs w:val="21"/>
              </w:rPr>
              <w:t>2.5</w:t>
            </w:r>
          </w:p>
        </w:tc>
        <w:tc>
          <w:tcPr>
            <w:tcW w:w="1303" w:type="dxa"/>
            <w:noWrap w:val="0"/>
            <w:vAlign w:val="center"/>
          </w:tcPr>
          <w:p w14:paraId="6F619CE4">
            <w:pPr>
              <w:spacing w:before="1" w:line="430" w:lineRule="auto"/>
              <w:ind w:right="81"/>
              <w:rPr>
                <w:rFonts w:hint="eastAsia" w:ascii="宋体" w:hAnsi="宋体"/>
                <w:b/>
                <w:bCs/>
                <w:color w:val="auto"/>
                <w:sz w:val="21"/>
                <w:szCs w:val="21"/>
              </w:rPr>
            </w:pPr>
            <w:r>
              <w:rPr>
                <w:rFonts w:hint="eastAsia"/>
                <w:b/>
                <w:bCs/>
                <w:color w:val="auto"/>
                <w:sz w:val="21"/>
                <w:szCs w:val="21"/>
              </w:rPr>
              <w:t>拟投入本项目的设备情况分</w:t>
            </w:r>
            <w:r>
              <w:rPr>
                <w:rFonts w:hint="eastAsia" w:ascii="宋体" w:hAnsi="宋体" w:eastAsia="宋体" w:cs="宋体"/>
                <w:b/>
                <w:bCs/>
                <w:color w:val="auto"/>
                <w:sz w:val="21"/>
                <w:szCs w:val="21"/>
              </w:rPr>
              <w:t>（满分</w:t>
            </w:r>
            <w:r>
              <w:rPr>
                <w:rFonts w:hint="eastAsia" w:ascii="宋体" w:hAnsi="宋体" w:eastAsia="宋体" w:cs="宋体"/>
                <w:b/>
                <w:bCs/>
                <w:color w:val="auto"/>
                <w:sz w:val="21"/>
                <w:szCs w:val="21"/>
                <w:lang w:val="en-US" w:eastAsia="zh-CN"/>
              </w:rPr>
              <w:t>15</w:t>
            </w:r>
            <w:r>
              <w:rPr>
                <w:rFonts w:hint="eastAsia" w:ascii="宋体" w:hAnsi="宋体" w:eastAsia="宋体" w:cs="宋体"/>
                <w:b/>
                <w:bCs/>
                <w:color w:val="auto"/>
                <w:sz w:val="21"/>
                <w:szCs w:val="21"/>
              </w:rPr>
              <w:t>分）</w:t>
            </w:r>
            <w:bookmarkStart w:id="416" w:name="_GoBack"/>
            <w:bookmarkEnd w:id="416"/>
          </w:p>
        </w:tc>
        <w:tc>
          <w:tcPr>
            <w:tcW w:w="6288" w:type="dxa"/>
            <w:noWrap w:val="0"/>
            <w:vAlign w:val="center"/>
          </w:tcPr>
          <w:p w14:paraId="79D614E0">
            <w:pPr>
              <w:snapToGrid w:val="0"/>
              <w:spacing w:line="380" w:lineRule="atLeast"/>
              <w:ind w:firstLine="443" w:firstLineChars="211"/>
              <w:rPr>
                <w:rFonts w:hint="eastAsia" w:hAnsi="宋体"/>
                <w:bCs/>
                <w:color w:val="auto"/>
                <w:sz w:val="21"/>
                <w:szCs w:val="21"/>
              </w:rPr>
            </w:pPr>
            <w:r>
              <w:rPr>
                <w:rFonts w:hint="eastAsia" w:hAnsi="宋体"/>
                <w:bCs/>
                <w:color w:val="auto"/>
                <w:sz w:val="21"/>
                <w:szCs w:val="21"/>
              </w:rPr>
              <w:t xml:space="preserve">不入档：未提供或针对本项目情况投入设备情况不满足项目的基本要求，得 0 分。 </w:t>
            </w:r>
          </w:p>
          <w:p w14:paraId="288566B7">
            <w:pPr>
              <w:snapToGrid w:val="0"/>
              <w:spacing w:line="380" w:lineRule="atLeast"/>
              <w:ind w:firstLine="443" w:firstLineChars="211"/>
              <w:rPr>
                <w:rFonts w:hint="eastAsia" w:hAnsi="宋体"/>
                <w:bCs/>
                <w:color w:val="auto"/>
                <w:sz w:val="21"/>
                <w:szCs w:val="21"/>
              </w:rPr>
            </w:pPr>
            <w:r>
              <w:rPr>
                <w:rFonts w:hint="eastAsia" w:hAnsi="宋体"/>
                <w:bCs/>
                <w:color w:val="auto"/>
                <w:sz w:val="21"/>
                <w:szCs w:val="21"/>
              </w:rPr>
              <w:t>一档（3 分）：针对本项目情况投入设备情况满足招标文件服务要求，工作计划安排恰当，设备配置少，基本满足项目要求；</w:t>
            </w:r>
          </w:p>
          <w:p w14:paraId="3F68110D">
            <w:pPr>
              <w:snapToGrid w:val="0"/>
              <w:spacing w:line="380" w:lineRule="atLeast"/>
              <w:ind w:firstLine="443" w:firstLineChars="211"/>
              <w:rPr>
                <w:rFonts w:hint="eastAsia" w:hAnsi="宋体"/>
                <w:bCs/>
                <w:color w:val="auto"/>
                <w:sz w:val="21"/>
                <w:szCs w:val="21"/>
              </w:rPr>
            </w:pPr>
            <w:r>
              <w:rPr>
                <w:rFonts w:hint="eastAsia" w:hAnsi="宋体"/>
                <w:bCs/>
                <w:color w:val="auto"/>
                <w:sz w:val="21"/>
                <w:szCs w:val="21"/>
              </w:rPr>
              <w:t>二档（7分）：针对本项目情况投入设备情况满足招标文件服务要求，工作计划安排较恰当，设备配置较合理；</w:t>
            </w:r>
          </w:p>
          <w:p w14:paraId="58B1ACD5">
            <w:pPr>
              <w:snapToGrid w:val="0"/>
              <w:spacing w:line="380" w:lineRule="atLeast"/>
              <w:ind w:firstLine="443" w:firstLineChars="211"/>
              <w:rPr>
                <w:rFonts w:hint="eastAsia" w:hAnsi="宋体"/>
                <w:bCs/>
                <w:color w:val="auto"/>
                <w:sz w:val="21"/>
                <w:szCs w:val="21"/>
              </w:rPr>
            </w:pPr>
            <w:r>
              <w:rPr>
                <w:rFonts w:hint="eastAsia" w:hAnsi="宋体"/>
                <w:bCs/>
                <w:color w:val="auto"/>
                <w:sz w:val="21"/>
                <w:szCs w:val="21"/>
              </w:rPr>
              <w:t>三档（11分）：针对本项目情况投入设备情况满足招标文件服务要求，工作计划安排恰当，设备配置合理，内容较详细。</w:t>
            </w:r>
          </w:p>
          <w:p w14:paraId="57ACC3AD">
            <w:pPr>
              <w:snapToGrid w:val="0"/>
              <w:spacing w:line="380" w:lineRule="atLeast"/>
              <w:ind w:firstLine="443" w:firstLineChars="211"/>
              <w:rPr>
                <w:rFonts w:hint="eastAsia"/>
                <w:color w:val="auto"/>
                <w:sz w:val="21"/>
                <w:szCs w:val="21"/>
              </w:rPr>
            </w:pPr>
            <w:r>
              <w:rPr>
                <w:rFonts w:hint="eastAsia" w:hAnsi="宋体"/>
                <w:bCs/>
                <w:color w:val="auto"/>
                <w:sz w:val="21"/>
                <w:szCs w:val="21"/>
              </w:rPr>
              <w:t>四档（15分）：针对本项目情况投入设备情况满足招标文件服务要求，工作计划安排恰当，设备配置合理，内容较详细且完整透彻的。</w:t>
            </w:r>
          </w:p>
        </w:tc>
        <w:tc>
          <w:tcPr>
            <w:tcW w:w="851" w:type="dxa"/>
            <w:noWrap w:val="0"/>
            <w:vAlign w:val="center"/>
          </w:tcPr>
          <w:p w14:paraId="44BA0033">
            <w:pPr>
              <w:spacing w:before="65" w:line="229" w:lineRule="auto"/>
              <w:rPr>
                <w:rFonts w:hint="eastAsia" w:ascii="宋体" w:hAnsi="宋体" w:cs="宋体"/>
                <w:color w:val="auto"/>
                <w:spacing w:val="-12"/>
                <w:sz w:val="21"/>
                <w:szCs w:val="21"/>
              </w:rPr>
            </w:pPr>
          </w:p>
          <w:p w14:paraId="769F0051">
            <w:pPr>
              <w:spacing w:before="65" w:line="229" w:lineRule="auto"/>
              <w:ind w:left="154"/>
              <w:rPr>
                <w:rFonts w:ascii="宋体" w:hAnsi="宋体" w:cs="宋体"/>
                <w:color w:val="auto"/>
                <w:sz w:val="21"/>
                <w:szCs w:val="21"/>
              </w:rPr>
            </w:pPr>
            <w:r>
              <w:rPr>
                <w:rFonts w:hint="eastAsia" w:ascii="宋体" w:hAnsi="宋体" w:cs="宋体"/>
                <w:color w:val="auto"/>
                <w:spacing w:val="-12"/>
                <w:sz w:val="21"/>
                <w:szCs w:val="21"/>
              </w:rPr>
              <w:t>15分</w:t>
            </w:r>
          </w:p>
        </w:tc>
      </w:tr>
      <w:tr w14:paraId="4126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48" w:type="dxa"/>
            <w:noWrap w:val="0"/>
            <w:vAlign w:val="center"/>
          </w:tcPr>
          <w:p w14:paraId="0112B459">
            <w:pPr>
              <w:widowControl/>
              <w:spacing w:line="360" w:lineRule="auto"/>
              <w:jc w:val="center"/>
              <w:rPr>
                <w:rFonts w:ascii="宋体" w:hAnsi="宋体" w:cs="Tahoma"/>
                <w:color w:val="auto"/>
                <w:kern w:val="0"/>
                <w:sz w:val="21"/>
                <w:szCs w:val="21"/>
              </w:rPr>
            </w:pPr>
            <w:r>
              <w:rPr>
                <w:rFonts w:hint="eastAsia" w:ascii="宋体" w:hAnsi="宋体" w:cs="Tahoma"/>
                <w:color w:val="auto"/>
                <w:kern w:val="0"/>
                <w:sz w:val="21"/>
                <w:szCs w:val="21"/>
              </w:rPr>
              <w:t>3</w:t>
            </w:r>
          </w:p>
        </w:tc>
        <w:tc>
          <w:tcPr>
            <w:tcW w:w="1303" w:type="dxa"/>
            <w:noWrap w:val="0"/>
            <w:vAlign w:val="center"/>
          </w:tcPr>
          <w:p w14:paraId="52CA789F">
            <w:pPr>
              <w:widowControl/>
              <w:spacing w:line="360" w:lineRule="auto"/>
              <w:jc w:val="center"/>
              <w:rPr>
                <w:rFonts w:hint="eastAsia" w:ascii="宋体" w:hAnsi="宋体" w:cs="Courier New"/>
                <w:bCs/>
                <w:color w:val="auto"/>
                <w:sz w:val="21"/>
                <w:szCs w:val="21"/>
              </w:rPr>
            </w:pPr>
            <w:r>
              <w:rPr>
                <w:rFonts w:hint="eastAsia" w:hAnsi="宋体" w:cs="宋体"/>
                <w:b/>
                <w:bCs/>
                <w:color w:val="auto"/>
                <w:sz w:val="21"/>
                <w:szCs w:val="21"/>
              </w:rPr>
              <w:t>服务承诺分</w:t>
            </w:r>
          </w:p>
        </w:tc>
        <w:tc>
          <w:tcPr>
            <w:tcW w:w="6288" w:type="dxa"/>
            <w:noWrap w:val="0"/>
            <w:vAlign w:val="center"/>
          </w:tcPr>
          <w:p w14:paraId="6FA846A5">
            <w:pPr>
              <w:widowControl/>
              <w:spacing w:line="360" w:lineRule="auto"/>
              <w:jc w:val="center"/>
              <w:rPr>
                <w:rFonts w:hint="eastAsia" w:ascii="宋体" w:hAnsi="宋体" w:cs="Tahoma"/>
                <w:color w:val="auto"/>
                <w:kern w:val="0"/>
                <w:sz w:val="21"/>
                <w:szCs w:val="21"/>
              </w:rPr>
            </w:pPr>
            <w:r>
              <w:rPr>
                <w:rFonts w:hint="eastAsia" w:ascii="宋体" w:hAnsi="宋体" w:cs="Tahoma"/>
                <w:b/>
                <w:bCs/>
                <w:color w:val="auto"/>
                <w:kern w:val="0"/>
                <w:sz w:val="21"/>
                <w:szCs w:val="21"/>
              </w:rPr>
              <w:t>评审因素具体内容</w:t>
            </w:r>
          </w:p>
        </w:tc>
        <w:tc>
          <w:tcPr>
            <w:tcW w:w="851" w:type="dxa"/>
            <w:noWrap w:val="0"/>
            <w:vAlign w:val="center"/>
          </w:tcPr>
          <w:p w14:paraId="619E3C3D">
            <w:pPr>
              <w:widowControl/>
              <w:spacing w:line="360" w:lineRule="auto"/>
              <w:jc w:val="center"/>
              <w:rPr>
                <w:rFonts w:hint="eastAsia" w:ascii="宋体" w:hAnsi="宋体" w:cs="Tahoma"/>
                <w:b/>
                <w:bCs/>
                <w:color w:val="auto"/>
                <w:kern w:val="0"/>
                <w:sz w:val="21"/>
                <w:szCs w:val="21"/>
              </w:rPr>
            </w:pPr>
            <w:r>
              <w:rPr>
                <w:rFonts w:hint="eastAsia" w:ascii="宋体" w:hAnsi="宋体" w:cs="Tahoma"/>
                <w:b/>
                <w:bCs/>
                <w:color w:val="auto"/>
                <w:kern w:val="0"/>
                <w:sz w:val="21"/>
                <w:szCs w:val="21"/>
              </w:rPr>
              <w:t>分值</w:t>
            </w:r>
          </w:p>
        </w:tc>
      </w:tr>
      <w:tr w14:paraId="0A00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48" w:type="dxa"/>
            <w:noWrap w:val="0"/>
            <w:vAlign w:val="center"/>
          </w:tcPr>
          <w:p w14:paraId="32BEB470">
            <w:pPr>
              <w:widowControl/>
              <w:spacing w:line="360" w:lineRule="auto"/>
              <w:jc w:val="center"/>
              <w:rPr>
                <w:rFonts w:hint="default" w:ascii="宋体" w:hAnsi="宋体" w:eastAsia="宋体" w:cs="Tahoma"/>
                <w:color w:val="auto"/>
                <w:kern w:val="0"/>
                <w:sz w:val="21"/>
                <w:szCs w:val="21"/>
                <w:lang w:val="en-US" w:eastAsia="zh-CN"/>
              </w:rPr>
            </w:pPr>
            <w:r>
              <w:rPr>
                <w:rFonts w:hint="eastAsia" w:ascii="宋体" w:hAnsi="宋体" w:cs="Tahoma"/>
                <w:color w:val="auto"/>
                <w:kern w:val="0"/>
                <w:sz w:val="21"/>
                <w:szCs w:val="21"/>
              </w:rPr>
              <w:t>3</w:t>
            </w:r>
            <w:r>
              <w:rPr>
                <w:rFonts w:hint="eastAsia" w:ascii="宋体" w:hAnsi="宋体" w:cs="Tahoma"/>
                <w:color w:val="auto"/>
                <w:kern w:val="0"/>
                <w:sz w:val="21"/>
                <w:szCs w:val="21"/>
                <w:lang w:val="en-US" w:eastAsia="zh-CN"/>
              </w:rPr>
              <w:t>.1</w:t>
            </w:r>
          </w:p>
        </w:tc>
        <w:tc>
          <w:tcPr>
            <w:tcW w:w="1303" w:type="dxa"/>
            <w:noWrap w:val="0"/>
            <w:vAlign w:val="center"/>
          </w:tcPr>
          <w:p w14:paraId="41282787">
            <w:pPr>
              <w:widowControl/>
              <w:spacing w:line="360" w:lineRule="auto"/>
              <w:jc w:val="center"/>
              <w:rPr>
                <w:rFonts w:hint="eastAsia" w:ascii="宋体" w:hAnsi="宋体" w:cs="Courier New"/>
                <w:bCs/>
                <w:color w:val="auto"/>
                <w:sz w:val="21"/>
                <w:szCs w:val="21"/>
              </w:rPr>
            </w:pPr>
            <w:r>
              <w:rPr>
                <w:rFonts w:hint="eastAsia" w:hAnsi="宋体" w:cs="宋体"/>
                <w:b/>
                <w:bCs/>
                <w:color w:val="auto"/>
                <w:sz w:val="21"/>
                <w:szCs w:val="21"/>
              </w:rPr>
              <w:t>服务承诺分</w:t>
            </w:r>
            <w:r>
              <w:rPr>
                <w:rFonts w:hint="eastAsia" w:ascii="宋体" w:hAnsi="宋体" w:eastAsia="宋体" w:cs="宋体"/>
                <w:b/>
                <w:bCs/>
                <w:color w:val="auto"/>
                <w:sz w:val="21"/>
                <w:szCs w:val="21"/>
              </w:rPr>
              <w:t>（满分</w:t>
            </w:r>
            <w:r>
              <w:rPr>
                <w:rFonts w:hint="eastAsia" w:ascii="宋体" w:hAnsi="宋体" w:eastAsia="宋体" w:cs="宋体"/>
                <w:b/>
                <w:bCs/>
                <w:color w:val="auto"/>
                <w:sz w:val="21"/>
                <w:szCs w:val="21"/>
                <w:lang w:val="en-US" w:eastAsia="zh-CN"/>
              </w:rPr>
              <w:t>12</w:t>
            </w:r>
            <w:r>
              <w:rPr>
                <w:rFonts w:hint="eastAsia" w:ascii="宋体" w:hAnsi="宋体" w:eastAsia="宋体" w:cs="宋体"/>
                <w:b/>
                <w:bCs/>
                <w:color w:val="auto"/>
                <w:sz w:val="21"/>
                <w:szCs w:val="21"/>
              </w:rPr>
              <w:t>分）</w:t>
            </w:r>
          </w:p>
        </w:tc>
        <w:tc>
          <w:tcPr>
            <w:tcW w:w="6288" w:type="dxa"/>
            <w:noWrap w:val="0"/>
            <w:vAlign w:val="center"/>
          </w:tcPr>
          <w:p w14:paraId="5A6BFFB6">
            <w:pPr>
              <w:spacing w:line="380" w:lineRule="exact"/>
              <w:ind w:firstLine="420" w:firstLineChars="200"/>
              <w:jc w:val="left"/>
              <w:rPr>
                <w:rFonts w:ascii="宋体" w:hAnsi="宋体"/>
                <w:color w:val="auto"/>
                <w:sz w:val="21"/>
                <w:szCs w:val="21"/>
              </w:rPr>
            </w:pPr>
            <w:r>
              <w:rPr>
                <w:rFonts w:hint="eastAsia" w:ascii="宋体" w:hAnsi="宋体"/>
                <w:color w:val="auto"/>
                <w:sz w:val="21"/>
                <w:szCs w:val="21"/>
              </w:rPr>
              <w:t>评委根据投标人提供的项目实施方案中“</w:t>
            </w:r>
            <w:r>
              <w:rPr>
                <w:rFonts w:hint="eastAsia" w:ascii="宋体" w:hAnsi="宋体" w:cs="宋体"/>
                <w:color w:val="auto"/>
                <w:sz w:val="21"/>
                <w:szCs w:val="21"/>
              </w:rPr>
              <w:t>服务目标、服务方式及流程、服务响应承诺</w:t>
            </w:r>
            <w:r>
              <w:rPr>
                <w:rFonts w:hint="eastAsia" w:ascii="宋体" w:hAnsi="宋体"/>
                <w:color w:val="auto"/>
                <w:sz w:val="21"/>
                <w:szCs w:val="21"/>
              </w:rPr>
              <w:t>”内容的合理性、可行性、针对性三个方面进行独立评审并按以下规则独立打分：</w:t>
            </w:r>
          </w:p>
          <w:p w14:paraId="4D2EB6C5">
            <w:pPr>
              <w:spacing w:line="380" w:lineRule="exact"/>
              <w:ind w:firstLine="420" w:firstLineChars="200"/>
              <w:jc w:val="left"/>
              <w:rPr>
                <w:rFonts w:ascii="宋体" w:hAnsi="宋体"/>
                <w:color w:val="auto"/>
                <w:sz w:val="21"/>
                <w:szCs w:val="21"/>
              </w:rPr>
            </w:pPr>
            <w:r>
              <w:rPr>
                <w:rFonts w:hint="eastAsia" w:ascii="宋体" w:hAnsi="宋体"/>
                <w:color w:val="auto"/>
                <w:sz w:val="21"/>
                <w:szCs w:val="21"/>
              </w:rPr>
              <w:t>一档（4分）：</w:t>
            </w:r>
            <w:r>
              <w:rPr>
                <w:rFonts w:hint="eastAsia" w:ascii="宋体" w:hAnsi="宋体" w:cs="宋体"/>
                <w:color w:val="auto"/>
                <w:sz w:val="21"/>
                <w:szCs w:val="21"/>
              </w:rPr>
              <w:t>服务目标、服务方式及流程、服务响应承诺</w:t>
            </w:r>
            <w:r>
              <w:rPr>
                <w:rFonts w:hint="eastAsia" w:ascii="宋体" w:hAnsi="宋体"/>
                <w:color w:val="auto"/>
                <w:sz w:val="21"/>
                <w:szCs w:val="21"/>
              </w:rPr>
              <w:t>的合理性、可行性、针对性均被评定为一般的；</w:t>
            </w:r>
          </w:p>
          <w:p w14:paraId="5808E6DF">
            <w:pPr>
              <w:spacing w:line="380" w:lineRule="exact"/>
              <w:ind w:firstLine="420" w:firstLineChars="200"/>
              <w:jc w:val="left"/>
              <w:rPr>
                <w:rFonts w:ascii="宋体" w:hAnsi="宋体"/>
                <w:color w:val="auto"/>
                <w:sz w:val="21"/>
                <w:szCs w:val="21"/>
              </w:rPr>
            </w:pPr>
            <w:r>
              <w:rPr>
                <w:rFonts w:hint="eastAsia" w:ascii="宋体" w:hAnsi="宋体"/>
                <w:color w:val="auto"/>
                <w:sz w:val="21"/>
                <w:szCs w:val="21"/>
              </w:rPr>
              <w:t>二档（8分）：</w:t>
            </w:r>
            <w:r>
              <w:rPr>
                <w:rFonts w:hint="eastAsia" w:ascii="宋体" w:hAnsi="宋体" w:cs="宋体"/>
                <w:color w:val="auto"/>
                <w:sz w:val="21"/>
                <w:szCs w:val="21"/>
              </w:rPr>
              <w:t>服务目标、服务方式及流程、服务响应承诺</w:t>
            </w:r>
            <w:r>
              <w:rPr>
                <w:rFonts w:hint="eastAsia" w:ascii="宋体" w:hAnsi="宋体"/>
                <w:color w:val="auto"/>
                <w:sz w:val="21"/>
                <w:szCs w:val="21"/>
              </w:rPr>
              <w:t>的合理性、可行性、针对性有2项被评定为优秀的；</w:t>
            </w:r>
          </w:p>
          <w:p w14:paraId="2AC612F8">
            <w:pPr>
              <w:spacing w:line="380" w:lineRule="exact"/>
              <w:ind w:firstLine="420" w:firstLineChars="200"/>
              <w:jc w:val="left"/>
              <w:rPr>
                <w:rFonts w:hint="eastAsia" w:hAnsi="宋体"/>
                <w:bCs/>
                <w:color w:val="auto"/>
                <w:sz w:val="21"/>
                <w:szCs w:val="21"/>
              </w:rPr>
            </w:pPr>
            <w:r>
              <w:rPr>
                <w:rFonts w:hint="eastAsia" w:ascii="宋体" w:hAnsi="宋体"/>
                <w:color w:val="auto"/>
                <w:sz w:val="21"/>
                <w:szCs w:val="21"/>
              </w:rPr>
              <w:t>三档（12分）：</w:t>
            </w:r>
            <w:r>
              <w:rPr>
                <w:rFonts w:hint="eastAsia" w:ascii="宋体" w:hAnsi="宋体" w:cs="宋体"/>
                <w:color w:val="auto"/>
                <w:sz w:val="21"/>
                <w:szCs w:val="21"/>
              </w:rPr>
              <w:t>服务目标、服务方式及流程、服务响应承诺</w:t>
            </w:r>
            <w:r>
              <w:rPr>
                <w:rFonts w:hint="eastAsia" w:ascii="宋体" w:hAnsi="宋体"/>
                <w:color w:val="auto"/>
                <w:sz w:val="21"/>
                <w:szCs w:val="21"/>
              </w:rPr>
              <w:t>的合理性、可行性、针对性均被评定为优秀的。</w:t>
            </w:r>
          </w:p>
        </w:tc>
        <w:tc>
          <w:tcPr>
            <w:tcW w:w="851" w:type="dxa"/>
            <w:noWrap w:val="0"/>
            <w:vAlign w:val="center"/>
          </w:tcPr>
          <w:p w14:paraId="1B9BE422">
            <w:pPr>
              <w:pStyle w:val="50"/>
              <w:jc w:val="center"/>
              <w:rPr>
                <w:rFonts w:hint="default" w:hAnsi="宋体" w:eastAsia="宋体" w:cs="Tahoma"/>
                <w:color w:val="auto"/>
                <w:sz w:val="21"/>
                <w:szCs w:val="21"/>
                <w:lang w:val="en-US" w:eastAsia="zh-CN"/>
              </w:rPr>
            </w:pPr>
            <w:r>
              <w:rPr>
                <w:rFonts w:hint="eastAsia" w:hAnsi="宋体"/>
                <w:color w:val="auto"/>
                <w:spacing w:val="-13"/>
                <w:sz w:val="21"/>
                <w:szCs w:val="21"/>
                <w:lang w:val="en-US" w:eastAsia="zh-CN"/>
              </w:rPr>
              <w:t>12分</w:t>
            </w:r>
          </w:p>
        </w:tc>
      </w:tr>
      <w:tr w14:paraId="695E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9" w:type="dxa"/>
            <w:gridSpan w:val="3"/>
            <w:noWrap w:val="0"/>
            <w:vAlign w:val="center"/>
          </w:tcPr>
          <w:p w14:paraId="281DB2EA">
            <w:pPr>
              <w:pStyle w:val="7"/>
              <w:spacing w:line="360" w:lineRule="auto"/>
              <w:ind w:firstLine="420" w:firstLineChars="200"/>
              <w:rPr>
                <w:rFonts w:hAnsi="宋体" w:cs="Courier New"/>
                <w:bCs/>
                <w:color w:val="auto"/>
                <w:kern w:val="2"/>
                <w:sz w:val="21"/>
                <w:szCs w:val="21"/>
              </w:rPr>
            </w:pPr>
            <w:r>
              <w:rPr>
                <w:rFonts w:hint="eastAsia" w:hAnsi="宋体" w:cs="Courier New"/>
                <w:bCs/>
                <w:color w:val="auto"/>
                <w:kern w:val="2"/>
                <w:sz w:val="21"/>
                <w:szCs w:val="21"/>
              </w:rPr>
              <w:t>总得分＝1＋2＋3</w:t>
            </w:r>
          </w:p>
        </w:tc>
        <w:tc>
          <w:tcPr>
            <w:tcW w:w="851" w:type="dxa"/>
            <w:noWrap w:val="0"/>
            <w:vAlign w:val="center"/>
          </w:tcPr>
          <w:p w14:paraId="2D88C26D">
            <w:pPr>
              <w:widowControl/>
              <w:spacing w:line="360" w:lineRule="auto"/>
              <w:jc w:val="center"/>
              <w:rPr>
                <w:rFonts w:ascii="宋体" w:hAnsi="宋体" w:cs="Tahoma"/>
                <w:color w:val="auto"/>
                <w:kern w:val="0"/>
                <w:sz w:val="21"/>
                <w:szCs w:val="21"/>
              </w:rPr>
            </w:pPr>
          </w:p>
        </w:tc>
      </w:tr>
    </w:tbl>
    <w:p w14:paraId="595E4CDB">
      <w:pPr>
        <w:spacing w:line="360" w:lineRule="auto"/>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7.中标候选人推荐原则</w:t>
      </w:r>
    </w:p>
    <w:p w14:paraId="734192D9">
      <w:pPr>
        <w:spacing w:line="360" w:lineRule="auto"/>
        <w:ind w:firstLine="420" w:firstLineChars="200"/>
        <w:rPr>
          <w:rFonts w:hint="default" w:eastAsia="宋体"/>
          <w:sz w:val="21"/>
          <w:szCs w:val="21"/>
          <w:lang w:val="en-US" w:eastAsia="zh-CN"/>
        </w:rPr>
      </w:pPr>
      <w:r>
        <w:rPr>
          <w:rFonts w:hint="eastAsia" w:ascii="宋体" w:hAnsi="宋体"/>
          <w:bCs/>
          <w:color w:val="000000"/>
          <w:sz w:val="21"/>
          <w:szCs w:val="21"/>
        </w:rPr>
        <w:t>由磋商小组根据综合评分情况，按照评审得分由高到低顺序推荐3名以上成交候选供应商，并编写评审报告，</w:t>
      </w:r>
      <w:r>
        <w:rPr>
          <w:rFonts w:hint="eastAsia" w:ascii="宋体" w:hAnsi="宋体" w:cs="宋体"/>
          <w:color w:val="000000"/>
          <w:sz w:val="21"/>
          <w:szCs w:val="21"/>
        </w:rPr>
        <w:t>评审报告</w:t>
      </w:r>
      <w:r>
        <w:rPr>
          <w:rFonts w:hint="eastAsia" w:hAnsi="宋体"/>
          <w:color w:val="000000"/>
          <w:sz w:val="21"/>
          <w:szCs w:val="21"/>
        </w:rPr>
        <w:t>通过电子交易平台向采购人、采购代理机构提交。</w:t>
      </w:r>
      <w:r>
        <w:rPr>
          <w:rFonts w:hint="eastAsia" w:ascii="宋体" w:hAnsi="宋体"/>
          <w:bCs/>
          <w:color w:val="000000"/>
          <w:sz w:val="21"/>
          <w:szCs w:val="21"/>
        </w:rPr>
        <w:t>符合本章第</w:t>
      </w:r>
      <w:r>
        <w:rPr>
          <w:rFonts w:ascii="宋体" w:hAnsi="宋体"/>
          <w:bCs/>
          <w:color w:val="000000"/>
          <w:sz w:val="21"/>
          <w:szCs w:val="21"/>
        </w:rPr>
        <w:t>4.3</w:t>
      </w:r>
      <w:r>
        <w:rPr>
          <w:rFonts w:hint="eastAsia" w:ascii="宋体" w:hAnsi="宋体"/>
          <w:bCs/>
          <w:color w:val="000000"/>
          <w:sz w:val="21"/>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2682A1D6">
      <w:pPr>
        <w:spacing w:line="1" w:lineRule="exact"/>
        <w:ind w:firstLine="480" w:firstLineChars="200"/>
        <w:rPr>
          <w:lang w:eastAsia="zh-CN"/>
        </w:rPr>
      </w:pPr>
    </w:p>
    <w:p w14:paraId="405FFADD">
      <w:pPr>
        <w:pStyle w:val="49"/>
        <w:keepNext/>
        <w:keepLines/>
        <w:spacing w:after="160"/>
        <w:ind w:firstLine="640" w:firstLineChars="200"/>
        <w:jc w:val="center"/>
        <w:rPr>
          <w:sz w:val="32"/>
          <w:szCs w:val="32"/>
        </w:rPr>
      </w:pPr>
      <w:bookmarkStart w:id="210" w:name="bookmark301"/>
      <w:bookmarkStart w:id="211" w:name="bookmark299"/>
      <w:bookmarkStart w:id="212" w:name="bookmark300"/>
      <w:r>
        <w:rPr>
          <w:sz w:val="32"/>
          <w:szCs w:val="32"/>
        </w:rPr>
        <w:t>第二节评标报告</w:t>
      </w:r>
      <w:bookmarkEnd w:id="210"/>
      <w:bookmarkEnd w:id="211"/>
      <w:bookmarkEnd w:id="212"/>
    </w:p>
    <w:p w14:paraId="53E35261">
      <w:pPr>
        <w:pStyle w:val="37"/>
        <w:numPr>
          <w:ilvl w:val="0"/>
          <w:numId w:val="24"/>
        </w:numPr>
        <w:tabs>
          <w:tab w:val="left" w:pos="820"/>
        </w:tabs>
        <w:spacing w:line="411" w:lineRule="exact"/>
        <w:ind w:firstLine="420" w:firstLineChars="200"/>
        <w:jc w:val="both"/>
        <w:rPr>
          <w:sz w:val="21"/>
          <w:szCs w:val="21"/>
        </w:rPr>
      </w:pPr>
      <w:bookmarkStart w:id="213" w:name="bookmark302"/>
      <w:bookmarkEnd w:id="213"/>
      <w:r>
        <w:rPr>
          <w:sz w:val="21"/>
          <w:szCs w:val="21"/>
        </w:rPr>
        <w:t>成交标准</w:t>
      </w:r>
    </w:p>
    <w:p w14:paraId="0E7DF741">
      <w:pPr>
        <w:pStyle w:val="37"/>
        <w:spacing w:line="411" w:lineRule="exact"/>
        <w:ind w:firstLine="420" w:firstLineChars="200"/>
        <w:jc w:val="both"/>
        <w:rPr>
          <w:sz w:val="21"/>
          <w:szCs w:val="21"/>
        </w:rPr>
      </w:pPr>
      <w:r>
        <w:rPr>
          <w:sz w:val="21"/>
          <w:szCs w:val="21"/>
        </w:rPr>
        <w:t xml:space="preserve">由磋商小组根据综合评分情况，按照评审得分由高到低顺序推荐3名以上成交候选供应商,并在线编 </w:t>
      </w:r>
      <w:r>
        <w:rPr>
          <w:rFonts w:hint="eastAsia"/>
          <w:sz w:val="21"/>
          <w:szCs w:val="21"/>
          <w:lang w:eastAsia="zh-CN"/>
        </w:rPr>
        <w:t>写</w:t>
      </w:r>
      <w:r>
        <w:rPr>
          <w:sz w:val="21"/>
          <w:szCs w:val="21"/>
        </w:rPr>
        <w:t>电子评审报告。符合本章第一节第</w:t>
      </w:r>
      <w:r>
        <w:rPr>
          <w:sz w:val="21"/>
          <w:szCs w:val="21"/>
          <w:lang w:val="en-US" w:eastAsia="zh-CN" w:bidi="en-US"/>
        </w:rPr>
        <w:t xml:space="preserve">5. </w:t>
      </w:r>
      <w:r>
        <w:rPr>
          <w:sz w:val="21"/>
          <w:szCs w:val="21"/>
        </w:rPr>
        <w:t>3条情形的，可以推荐2家成交候选供应商。评审得分相同的，按 照最后报价（不计算价格折扣）由低到高的顺序推荐。评审得分且最后报价（不计算价格折扣）相同的， 按照技术指标优劣顺序推荐（按技术得分由高到低排序，技术得分相同的按照服务需求偏离分由高到低排 序）。评审得分、最后报价（不计算价格折扣）、技术得分、服务需求偏离分均相同的，由磋商小组随机 抽职推荐。</w:t>
      </w:r>
    </w:p>
    <w:p w14:paraId="081FCBDA">
      <w:pPr>
        <w:pStyle w:val="37"/>
        <w:numPr>
          <w:ilvl w:val="0"/>
          <w:numId w:val="24"/>
        </w:numPr>
        <w:tabs>
          <w:tab w:val="left" w:pos="770"/>
        </w:tabs>
        <w:spacing w:line="411" w:lineRule="exact"/>
        <w:ind w:firstLine="420" w:firstLineChars="200"/>
        <w:jc w:val="both"/>
        <w:rPr>
          <w:sz w:val="21"/>
          <w:szCs w:val="21"/>
        </w:rPr>
      </w:pPr>
      <w:bookmarkStart w:id="214" w:name="bookmark303"/>
      <w:bookmarkEnd w:id="214"/>
      <w:r>
        <w:rPr>
          <w:sz w:val="21"/>
          <w:szCs w:val="21"/>
        </w:rPr>
        <w:t>评标争议事项处理</w:t>
      </w:r>
    </w:p>
    <w:p w14:paraId="2ACDB8DB">
      <w:pPr>
        <w:pStyle w:val="37"/>
        <w:spacing w:after="160" w:line="405" w:lineRule="exact"/>
        <w:ind w:firstLine="420" w:firstLineChars="200"/>
        <w:jc w:val="both"/>
        <w:rPr>
          <w:sz w:val="21"/>
          <w:szCs w:val="21"/>
        </w:rPr>
      </w:pPr>
      <w:r>
        <w:rPr>
          <w:sz w:val="21"/>
          <w:szCs w:val="21"/>
        </w:rPr>
        <w:t>磋商小组成员对需要共同认定的事项存在争议的，应当按照少数服从多数的原则作出结论。持不同意 见的磋商小组成员应当在评标报告上签署不同意见及理由，否则视为同意评标报告。</w:t>
      </w:r>
    </w:p>
    <w:p w14:paraId="6E7D211B">
      <w:pPr>
        <w:pStyle w:val="49"/>
        <w:keepNext/>
        <w:keepLines/>
        <w:spacing w:after="80"/>
        <w:ind w:firstLine="640" w:firstLineChars="200"/>
        <w:jc w:val="center"/>
        <w:rPr>
          <w:sz w:val="32"/>
          <w:szCs w:val="32"/>
        </w:rPr>
      </w:pPr>
      <w:bookmarkStart w:id="215" w:name="bookmark306"/>
      <w:bookmarkStart w:id="216" w:name="bookmark304"/>
      <w:bookmarkStart w:id="217" w:name="bookmark305"/>
      <w:r>
        <w:rPr>
          <w:sz w:val="32"/>
          <w:szCs w:val="32"/>
        </w:rPr>
        <w:t>第三节评审过程的保密与录像</w:t>
      </w:r>
      <w:bookmarkEnd w:id="215"/>
      <w:bookmarkEnd w:id="216"/>
      <w:bookmarkEnd w:id="217"/>
    </w:p>
    <w:p w14:paraId="56E23DAE">
      <w:pPr>
        <w:pStyle w:val="37"/>
        <w:numPr>
          <w:ilvl w:val="0"/>
          <w:numId w:val="25"/>
        </w:numPr>
        <w:tabs>
          <w:tab w:val="left" w:pos="820"/>
        </w:tabs>
        <w:spacing w:line="411" w:lineRule="exact"/>
        <w:ind w:firstLine="420" w:firstLineChars="200"/>
        <w:jc w:val="both"/>
        <w:rPr>
          <w:sz w:val="21"/>
          <w:szCs w:val="21"/>
        </w:rPr>
      </w:pPr>
      <w:bookmarkStart w:id="218" w:name="bookmark307"/>
      <w:bookmarkEnd w:id="218"/>
      <w:r>
        <w:rPr>
          <w:sz w:val="21"/>
          <w:szCs w:val="21"/>
        </w:rPr>
        <w:t>保密。</w:t>
      </w:r>
    </w:p>
    <w:p w14:paraId="793ACA49">
      <w:pPr>
        <w:pStyle w:val="37"/>
        <w:spacing w:line="420" w:lineRule="exact"/>
        <w:ind w:firstLine="420" w:firstLineChars="200"/>
        <w:jc w:val="both"/>
        <w:rPr>
          <w:sz w:val="21"/>
          <w:szCs w:val="21"/>
        </w:rPr>
      </w:pPr>
      <w:r>
        <w:rPr>
          <w:sz w:val="21"/>
          <w:szCs w:val="21"/>
        </w:rPr>
        <w:t>评审活动在严格保密的情况下进行。评审过程中凡是与采购响应文件评审和比较、中标成交供应商推 荐等评审有关的情况，以及涉及国家秘密和商业秘密等信息，评审委员会成员、采购人和采购机构工作人 员、相关监督人员等与评审有关的人员应当予以保密。</w:t>
      </w:r>
    </w:p>
    <w:p w14:paraId="561B7EA5">
      <w:pPr>
        <w:pStyle w:val="37"/>
        <w:numPr>
          <w:ilvl w:val="0"/>
          <w:numId w:val="25"/>
        </w:numPr>
        <w:tabs>
          <w:tab w:val="left" w:pos="770"/>
        </w:tabs>
        <w:spacing w:after="80" w:line="420" w:lineRule="exact"/>
        <w:ind w:firstLine="420" w:firstLineChars="200"/>
        <w:jc w:val="both"/>
        <w:rPr>
          <w:sz w:val="21"/>
          <w:szCs w:val="21"/>
        </w:rPr>
      </w:pPr>
      <w:bookmarkStart w:id="219" w:name="bookmark308"/>
      <w:bookmarkEnd w:id="219"/>
      <w:r>
        <w:rPr>
          <w:sz w:val="21"/>
          <w:szCs w:val="21"/>
        </w:rPr>
        <w:t>录音录像。</w:t>
      </w:r>
    </w:p>
    <w:p w14:paraId="4FCCDF72">
      <w:pPr>
        <w:pStyle w:val="37"/>
        <w:spacing w:line="405" w:lineRule="exact"/>
        <w:ind w:firstLine="420" w:firstLineChars="200"/>
        <w:jc w:val="both"/>
        <w:rPr>
          <w:sz w:val="21"/>
          <w:szCs w:val="21"/>
        </w:rPr>
        <w:sectPr>
          <w:footerReference r:id="rId18" w:type="default"/>
          <w:footerReference r:id="rId19" w:type="even"/>
          <w:pgSz w:w="11900" w:h="16840"/>
          <w:pgMar w:top="1145" w:right="1120" w:bottom="1145" w:left="1105" w:header="717" w:footer="1077" w:gutter="0"/>
          <w:cols w:space="720" w:num="1"/>
          <w:docGrid w:linePitch="360" w:charSpace="0"/>
        </w:sectPr>
      </w:pPr>
      <w:r>
        <w:rPr>
          <w:sz w:val="21"/>
          <w:szCs w:val="21"/>
        </w:rPr>
        <w:t>采购代理机构对评宙工作现场及操作屏慕进行全过程录音录像，录音录像资料作为采购项目文件随其 他文件一并存档。</w:t>
      </w:r>
    </w:p>
    <w:p w14:paraId="4EA8A806">
      <w:pPr>
        <w:pStyle w:val="35"/>
        <w:spacing w:after="0"/>
        <w:ind w:firstLine="883" w:firstLineChars="200"/>
        <w:rPr>
          <w:b/>
          <w:bCs/>
          <w:sz w:val="44"/>
          <w:szCs w:val="44"/>
        </w:rPr>
      </w:pPr>
      <w:r>
        <w:rPr>
          <w:b/>
          <w:bCs/>
          <w:sz w:val="44"/>
          <w:szCs w:val="44"/>
        </w:rPr>
        <w:t>第五章响应文件格式</w:t>
      </w:r>
    </w:p>
    <w:p w14:paraId="55A3A0CB">
      <w:pPr>
        <w:pStyle w:val="29"/>
        <w:ind w:firstLine="640" w:firstLineChars="200"/>
        <w:jc w:val="center"/>
        <w:rPr>
          <w:sz w:val="32"/>
          <w:szCs w:val="32"/>
        </w:rPr>
      </w:pPr>
      <w:r>
        <w:rPr>
          <w:sz w:val="32"/>
          <w:szCs w:val="32"/>
        </w:rPr>
        <w:t>第一节资格证</w:t>
      </w:r>
      <w:r>
        <w:rPr>
          <w:color w:val="3E2D25"/>
          <w:sz w:val="32"/>
          <w:szCs w:val="32"/>
        </w:rPr>
        <w:t>明文件</w:t>
      </w:r>
    </w:p>
    <w:p w14:paraId="091EBB14">
      <w:pPr>
        <w:pStyle w:val="37"/>
        <w:spacing w:after="1200" w:line="240" w:lineRule="auto"/>
        <w:ind w:firstLine="420" w:firstLineChars="200"/>
        <w:jc w:val="center"/>
        <w:rPr>
          <w:sz w:val="21"/>
          <w:szCs w:val="21"/>
        </w:rPr>
      </w:pPr>
      <w:r>
        <w:rPr>
          <w:sz w:val="21"/>
          <w:szCs w:val="21"/>
        </w:rPr>
        <w:t>全流程电子文件</w:t>
      </w:r>
    </w:p>
    <w:p w14:paraId="44870804">
      <w:pPr>
        <w:pStyle w:val="41"/>
        <w:keepNext/>
        <w:keepLines/>
        <w:spacing w:after="2620"/>
        <w:ind w:firstLine="800" w:firstLineChars="200"/>
        <w:rPr>
          <w:sz w:val="40"/>
          <w:szCs w:val="40"/>
        </w:rPr>
      </w:pPr>
      <w:bookmarkStart w:id="220" w:name="bookmark309"/>
      <w:bookmarkStart w:id="221" w:name="bookmark311"/>
      <w:bookmarkStart w:id="222" w:name="bookmark310"/>
      <w:r>
        <w:rPr>
          <w:sz w:val="40"/>
          <w:szCs w:val="40"/>
        </w:rPr>
        <w:t>资格证明文件（封面）</w:t>
      </w:r>
      <w:bookmarkEnd w:id="220"/>
      <w:bookmarkEnd w:id="221"/>
      <w:bookmarkEnd w:id="222"/>
    </w:p>
    <w:p w14:paraId="3C0195BC">
      <w:pPr>
        <w:pStyle w:val="29"/>
        <w:spacing w:after="800" w:line="300" w:lineRule="exact"/>
        <w:ind w:firstLine="560" w:firstLineChars="200"/>
        <w:rPr>
          <w:sz w:val="28"/>
          <w:szCs w:val="28"/>
        </w:rPr>
      </w:pPr>
      <w:r>
        <w:rPr>
          <w:rFonts w:hint="eastAsia"/>
          <w:sz w:val="28"/>
          <w:szCs w:val="28"/>
          <w:lang w:eastAsia="zh-CN"/>
        </w:rPr>
        <w:t>项目</w:t>
      </w:r>
      <w:r>
        <w:rPr>
          <w:sz w:val="28"/>
          <w:szCs w:val="28"/>
        </w:rPr>
        <w:t>名称：</w:t>
      </w:r>
    </w:p>
    <w:p w14:paraId="09E77278">
      <w:pPr>
        <w:pStyle w:val="29"/>
        <w:spacing w:after="760" w:line="300" w:lineRule="exact"/>
        <w:ind w:firstLine="560" w:firstLineChars="200"/>
        <w:rPr>
          <w:sz w:val="28"/>
          <w:szCs w:val="28"/>
        </w:rPr>
      </w:pPr>
      <w:r>
        <w:rPr>
          <w:rFonts w:hint="eastAsia"/>
          <w:sz w:val="28"/>
          <w:szCs w:val="28"/>
          <w:lang w:eastAsia="zh-CN"/>
        </w:rPr>
        <w:t>项目</w:t>
      </w:r>
      <w:r>
        <w:rPr>
          <w:sz w:val="28"/>
          <w:szCs w:val="28"/>
        </w:rPr>
        <w:t>编号：</w:t>
      </w:r>
    </w:p>
    <w:p w14:paraId="28455F50">
      <w:pPr>
        <w:pStyle w:val="29"/>
        <w:spacing w:after="760" w:line="300" w:lineRule="exact"/>
        <w:ind w:firstLine="560" w:firstLineChars="200"/>
        <w:rPr>
          <w:sz w:val="28"/>
          <w:szCs w:val="28"/>
        </w:rPr>
      </w:pPr>
      <w:r>
        <w:rPr>
          <w:sz w:val="28"/>
          <w:szCs w:val="28"/>
        </w:rPr>
        <w:t>所竞分标（如有则填写，无分标时填写</w:t>
      </w:r>
      <w:r>
        <w:rPr>
          <w:sz w:val="28"/>
          <w:szCs w:val="28"/>
          <w:lang w:val="zh-CN" w:eastAsia="zh-CN" w:bidi="zh-CN"/>
        </w:rPr>
        <w:t>“无”</w:t>
      </w:r>
      <w:r>
        <w:rPr>
          <w:sz w:val="28"/>
          <w:szCs w:val="28"/>
        </w:rPr>
        <w:t>或者留空）：</w:t>
      </w:r>
    </w:p>
    <w:p w14:paraId="651723BD">
      <w:pPr>
        <w:pStyle w:val="29"/>
        <w:spacing w:after="0"/>
        <w:ind w:firstLine="640" w:firstLineChars="200"/>
        <w:jc w:val="both"/>
        <w:rPr>
          <w:sz w:val="32"/>
          <w:szCs w:val="32"/>
        </w:rPr>
      </w:pPr>
      <w:r>
        <w:rPr>
          <w:sz w:val="32"/>
          <w:szCs w:val="32"/>
        </w:rPr>
        <w:t>供应商名称：</w:t>
      </w:r>
    </w:p>
    <w:p w14:paraId="73335A16">
      <w:pPr>
        <w:pStyle w:val="29"/>
        <w:spacing w:after="0"/>
        <w:ind w:firstLine="640" w:firstLineChars="200"/>
        <w:jc w:val="center"/>
        <w:rPr>
          <w:sz w:val="32"/>
          <w:szCs w:val="32"/>
          <w:lang w:eastAsia="zh-CN"/>
        </w:rPr>
        <w:sectPr>
          <w:footerReference r:id="rId20" w:type="default"/>
          <w:footerReference r:id="rId21" w:type="even"/>
          <w:pgSz w:w="11900" w:h="16840"/>
          <w:pgMar w:top="1304" w:right="1141" w:bottom="3861" w:left="1084" w:header="876" w:footer="1417" w:gutter="0"/>
          <w:cols w:space="720" w:num="1"/>
          <w:docGrid w:linePitch="360" w:charSpace="0"/>
        </w:sectPr>
      </w:pPr>
      <w:r>
        <w:rPr>
          <w:sz w:val="32"/>
          <w:szCs w:val="32"/>
        </w:rPr>
        <w:t xml:space="preserve">年 月 </w:t>
      </w:r>
      <w:r>
        <w:rPr>
          <w:rFonts w:hint="eastAsia"/>
          <w:sz w:val="32"/>
          <w:szCs w:val="32"/>
          <w:lang w:eastAsia="zh-CN"/>
        </w:rPr>
        <w:t>日</w:t>
      </w:r>
    </w:p>
    <w:p w14:paraId="6C83B6AF">
      <w:pPr>
        <w:pStyle w:val="49"/>
        <w:keepNext/>
        <w:keepLines/>
        <w:spacing w:after="520"/>
        <w:ind w:firstLine="723" w:firstLineChars="200"/>
        <w:jc w:val="both"/>
        <w:rPr>
          <w:b/>
          <w:bCs/>
          <w:sz w:val="36"/>
          <w:szCs w:val="36"/>
        </w:rPr>
      </w:pPr>
      <w:bookmarkStart w:id="223" w:name="bookmark313"/>
      <w:bookmarkStart w:id="224" w:name="bookmark314"/>
      <w:bookmarkStart w:id="225" w:name="bookmark312"/>
      <w:r>
        <w:rPr>
          <w:b/>
          <w:bCs/>
          <w:sz w:val="36"/>
          <w:szCs w:val="36"/>
        </w:rPr>
        <w:t>资格证明文件目录</w:t>
      </w:r>
      <w:bookmarkEnd w:id="223"/>
      <w:bookmarkEnd w:id="224"/>
      <w:bookmarkEnd w:id="225"/>
    </w:p>
    <w:p w14:paraId="4D604554">
      <w:pPr>
        <w:pStyle w:val="29"/>
        <w:spacing w:after="0" w:line="510" w:lineRule="exact"/>
        <w:ind w:firstLine="562" w:firstLineChars="200"/>
        <w:rPr>
          <w:b/>
          <w:bCs/>
          <w:sz w:val="28"/>
          <w:szCs w:val="28"/>
        </w:rPr>
        <w:sectPr>
          <w:footerReference r:id="rId22" w:type="default"/>
          <w:footerReference r:id="rId23" w:type="even"/>
          <w:pgSz w:w="11900" w:h="16840"/>
          <w:pgMar w:top="2060" w:right="1097" w:bottom="2060" w:left="1112" w:header="1632" w:footer="1247" w:gutter="0"/>
          <w:cols w:space="720" w:num="1"/>
          <w:docGrid w:linePitch="360" w:charSpace="0"/>
        </w:sectPr>
      </w:pPr>
      <w:r>
        <w:rPr>
          <w:b/>
          <w:bCs/>
          <w:sz w:val="28"/>
          <w:szCs w:val="28"/>
        </w:rPr>
        <w:t>注：各供应商请根据《第三章供应商</w:t>
      </w:r>
      <w:r>
        <w:rPr>
          <w:rFonts w:hint="eastAsia"/>
          <w:b/>
          <w:bCs/>
          <w:sz w:val="28"/>
          <w:szCs w:val="28"/>
          <w:lang w:eastAsia="zh-CN"/>
        </w:rPr>
        <w:t>须知</w:t>
      </w:r>
      <w:r>
        <w:rPr>
          <w:b/>
          <w:bCs/>
          <w:sz w:val="28"/>
          <w:szCs w:val="28"/>
        </w:rPr>
        <w:t>》资格证明</w:t>
      </w:r>
      <w:r>
        <w:rPr>
          <w:rFonts w:hint="eastAsia"/>
          <w:b/>
          <w:bCs/>
          <w:sz w:val="28"/>
          <w:szCs w:val="28"/>
          <w:lang w:eastAsia="zh-CN"/>
        </w:rPr>
        <w:t>文件组</w:t>
      </w:r>
      <w:r>
        <w:rPr>
          <w:b/>
          <w:bCs/>
          <w:sz w:val="28"/>
          <w:szCs w:val="28"/>
        </w:rPr>
        <w:t>成的</w:t>
      </w:r>
      <w:r>
        <w:rPr>
          <w:rFonts w:hint="eastAsia"/>
          <w:b/>
          <w:bCs/>
          <w:sz w:val="28"/>
          <w:szCs w:val="28"/>
          <w:lang w:eastAsia="zh-CN"/>
        </w:rPr>
        <w:t>要求编制</w:t>
      </w:r>
      <w:r>
        <w:rPr>
          <w:b/>
          <w:bCs/>
          <w:sz w:val="28"/>
          <w:szCs w:val="28"/>
        </w:rPr>
        <w:t>目录及内容。提供有格式的按格式，没有格式要求的格式自拟。（要求</w:t>
      </w:r>
      <w:r>
        <w:rPr>
          <w:rFonts w:hint="eastAsia"/>
          <w:b/>
          <w:bCs/>
          <w:sz w:val="28"/>
          <w:szCs w:val="28"/>
          <w:lang w:eastAsia="zh-CN"/>
        </w:rPr>
        <w:t>必须</w:t>
      </w:r>
      <w:r>
        <w:rPr>
          <w:b/>
          <w:bCs/>
          <w:sz w:val="28"/>
          <w:szCs w:val="28"/>
        </w:rPr>
        <w:t>提供的，如不提供作无效竞标处理）</w:t>
      </w:r>
    </w:p>
    <w:p w14:paraId="4BB3BE39">
      <w:pPr>
        <w:widowControl/>
        <w:spacing w:line="440" w:lineRule="exact"/>
        <w:jc w:val="center"/>
        <w:rPr>
          <w:color w:val="auto"/>
          <w:sz w:val="32"/>
          <w:szCs w:val="32"/>
          <w:lang w:eastAsia="zh-CN"/>
        </w:rPr>
      </w:pPr>
      <w:bookmarkStart w:id="226" w:name="bookmark317"/>
      <w:bookmarkStart w:id="227" w:name="bookmark315"/>
      <w:bookmarkStart w:id="228" w:name="bookmark316"/>
      <w:r>
        <w:rPr>
          <w:rFonts w:hint="eastAsia" w:ascii="方正小标宋简体" w:hAnsi="方正小标宋简体" w:eastAsia="方正小标宋简体" w:cs="方正小标宋简体"/>
          <w:color w:val="auto"/>
          <w:sz w:val="36"/>
          <w:szCs w:val="36"/>
          <w:lang w:eastAsia="zh-CN" w:bidi="ar"/>
        </w:rPr>
        <w:t>1.崇左</w:t>
      </w:r>
      <w:r>
        <w:rPr>
          <w:rFonts w:ascii="方正小标宋简体" w:hAnsi="方正小标宋简体" w:eastAsia="方正小标宋简体" w:cs="方正小标宋简体"/>
          <w:color w:val="auto"/>
          <w:sz w:val="36"/>
          <w:szCs w:val="36"/>
          <w:lang w:eastAsia="zh-CN" w:bidi="ar"/>
        </w:rPr>
        <w:t>市政府采购供应商信用承诺函（格式）</w:t>
      </w:r>
    </w:p>
    <w:p w14:paraId="78033DD2">
      <w:pPr>
        <w:widowControl/>
        <w:spacing w:line="440" w:lineRule="exact"/>
        <w:rPr>
          <w:rFonts w:ascii="仿宋_GB2312" w:hAnsi="仿宋_GB2312" w:eastAsia="仿宋_GB2312" w:cs="仿宋_GB2312"/>
          <w:color w:val="auto"/>
          <w:sz w:val="32"/>
          <w:szCs w:val="32"/>
          <w:lang w:eastAsia="zh-CN" w:bidi="ar"/>
        </w:rPr>
      </w:pPr>
    </w:p>
    <w:p w14:paraId="6FBD5E32">
      <w:pPr>
        <w:widowControl/>
        <w:spacing w:line="440" w:lineRule="exact"/>
        <w:jc w:val="both"/>
        <w:rPr>
          <w:rFonts w:ascii="仿宋_GB2312" w:hAnsi="仿宋_GB2312" w:eastAsia="仿宋_GB2312" w:cs="仿宋_GB2312"/>
          <w:color w:val="auto"/>
          <w:u w:val="single"/>
          <w:lang w:eastAsia="zh-CN"/>
        </w:rPr>
      </w:pPr>
      <w:r>
        <w:rPr>
          <w:rFonts w:hint="eastAsia" w:ascii="仿宋_GB2312" w:hAnsi="仿宋_GB2312" w:eastAsia="仿宋_GB2312" w:cs="仿宋_GB2312"/>
          <w:color w:val="auto"/>
          <w:lang w:eastAsia="zh-CN" w:bidi="ar"/>
        </w:rPr>
        <w:t>致</w:t>
      </w:r>
      <w:r>
        <w:rPr>
          <w:rFonts w:hint="eastAsia" w:ascii="仿宋_GB2312" w:hAnsi="仿宋_GB2312" w:eastAsia="仿宋_GB2312" w:cs="仿宋_GB2312"/>
          <w:color w:val="auto"/>
          <w:u w:val="single"/>
          <w:lang w:eastAsia="zh-CN" w:bidi="ar"/>
        </w:rPr>
        <w:t>（采购代理机构名称）</w:t>
      </w:r>
      <w:r>
        <w:rPr>
          <w:rFonts w:hint="eastAsia" w:ascii="仿宋_GB2312" w:hAnsi="仿宋_GB2312" w:eastAsia="仿宋_GB2312" w:cs="仿宋_GB2312"/>
          <w:color w:val="auto"/>
          <w:lang w:eastAsia="zh-CN" w:bidi="ar"/>
        </w:rPr>
        <w:t>:</w:t>
      </w:r>
    </w:p>
    <w:p w14:paraId="23D3D792">
      <w:pPr>
        <w:widowControl/>
        <w:spacing w:line="440" w:lineRule="exact"/>
        <w:ind w:firstLine="480" w:firstLineChars="200"/>
        <w:jc w:val="both"/>
        <w:rPr>
          <w:rFonts w:ascii="仿宋_GB2312" w:hAnsi="仿宋_GB2312" w:eastAsia="仿宋_GB2312" w:cs="仿宋_GB2312"/>
          <w:color w:val="auto"/>
          <w:spacing w:val="-6"/>
          <w:lang w:eastAsia="zh-CN"/>
        </w:rPr>
      </w:pPr>
      <w:r>
        <w:rPr>
          <w:rFonts w:hint="eastAsia" w:ascii="仿宋_GB2312" w:hAnsi="仿宋_GB2312" w:eastAsia="仿宋_GB2312" w:cs="仿宋_GB2312"/>
          <w:color w:val="auto"/>
          <w:lang w:eastAsia="zh-CN" w:bidi="ar"/>
        </w:rPr>
        <w:t>我方自愿参加</w:t>
      </w:r>
      <w:r>
        <w:rPr>
          <w:rFonts w:hint="eastAsia" w:ascii="仿宋_GB2312" w:hAnsi="仿宋_GB2312" w:eastAsia="仿宋_GB2312" w:cs="仿宋_GB2312"/>
          <w:color w:val="auto"/>
          <w:u w:val="single"/>
          <w:lang w:eastAsia="zh-CN" w:bidi="ar"/>
        </w:rPr>
        <w:t xml:space="preserve"> （项目名称） </w:t>
      </w:r>
      <w:r>
        <w:rPr>
          <w:rFonts w:hint="eastAsia" w:ascii="仿宋_GB2312" w:hAnsi="仿宋_GB2312" w:eastAsia="仿宋_GB2312" w:cs="仿宋_GB2312"/>
          <w:color w:val="auto"/>
          <w:lang w:eastAsia="zh-CN" w:bidi="ar"/>
        </w:rPr>
        <w:t>项目</w:t>
      </w:r>
      <w:r>
        <w:rPr>
          <w:rFonts w:hint="eastAsia" w:ascii="仿宋_GB2312" w:eastAsia="仿宋_GB2312"/>
          <w:color w:val="auto"/>
          <w:spacing w:val="6"/>
          <w:lang w:eastAsia="zh-CN"/>
        </w:rPr>
        <w:t>（项目编号：</w:t>
      </w:r>
      <w:r>
        <w:rPr>
          <w:rFonts w:hint="eastAsia" w:ascii="仿宋_GB2312" w:eastAsia="仿宋_GB2312"/>
          <w:color w:val="auto"/>
          <w:spacing w:val="6"/>
          <w:u w:val="single"/>
          <w:lang w:eastAsia="zh-CN"/>
        </w:rPr>
        <w:t xml:space="preserve">         </w:t>
      </w:r>
      <w:r>
        <w:rPr>
          <w:rFonts w:hint="eastAsia" w:ascii="仿宋_GB2312" w:eastAsia="仿宋_GB2312"/>
          <w:color w:val="auto"/>
          <w:spacing w:val="6"/>
          <w:lang w:eastAsia="zh-CN"/>
        </w:rPr>
        <w:t>）</w:t>
      </w:r>
      <w:r>
        <w:rPr>
          <w:rFonts w:hint="eastAsia" w:ascii="仿宋_GB2312" w:hAnsi="仿宋_GB2312" w:eastAsia="仿宋_GB2312" w:cs="仿宋_GB2312"/>
          <w:color w:val="auto"/>
          <w:lang w:eastAsia="zh-CN" w:bidi="ar"/>
        </w:rPr>
        <w:t>的政府采购活动，严格遵守《中华人民共和国政府采购法》及相关法律法规，依法诚信经营，无条件遵守本次政府采购活动的各项规定，并郑重承诺</w:t>
      </w:r>
      <w:r>
        <w:rPr>
          <w:rFonts w:hint="eastAsia" w:ascii="仿宋_GB2312" w:hAnsi="仿宋_GB2312" w:eastAsia="仿宋_GB2312" w:cs="仿宋_GB2312"/>
          <w:color w:val="auto"/>
          <w:spacing w:val="-6"/>
          <w:lang w:eastAsia="zh-CN" w:bidi="ar"/>
        </w:rPr>
        <w:t xml:space="preserve">： </w:t>
      </w:r>
    </w:p>
    <w:p w14:paraId="1BD72C0D">
      <w:pPr>
        <w:widowControl/>
        <w:spacing w:line="440" w:lineRule="exact"/>
        <w:ind w:firstLine="480" w:firstLineChars="200"/>
        <w:jc w:val="both"/>
        <w:rPr>
          <w:rFonts w:ascii="仿宋_GB2312" w:hAnsi="仿宋_GB2312" w:eastAsia="仿宋_GB2312" w:cs="仿宋_GB2312"/>
          <w:color w:val="auto"/>
          <w:lang w:eastAsia="zh-CN" w:bidi="ar"/>
        </w:rPr>
      </w:pPr>
      <w:r>
        <w:rPr>
          <w:rFonts w:hint="eastAsia" w:ascii="仿宋_GB2312" w:hAnsi="仿宋_GB2312" w:eastAsia="仿宋_GB2312" w:cs="仿宋_GB2312"/>
          <w:color w:val="auto"/>
          <w:lang w:eastAsia="zh-CN" w:bidi="ar"/>
        </w:rPr>
        <w:t>1.我方</w:t>
      </w:r>
      <w:r>
        <w:rPr>
          <w:rFonts w:hint="eastAsia" w:ascii="仿宋_GB2312" w:eastAsia="仿宋_GB2312"/>
          <w:color w:val="auto"/>
          <w:spacing w:val="6"/>
          <w:lang w:eastAsia="zh-CN"/>
        </w:rPr>
        <w:t>具有独立承担民事责任的能力或我方属于银行、保险、石油石化、电力、电信等有行业特殊情况的法人的分支机构在参加本次政府采购活动前已取得总公司的授权。</w:t>
      </w:r>
    </w:p>
    <w:p w14:paraId="35DE6097">
      <w:pPr>
        <w:widowControl/>
        <w:spacing w:line="440" w:lineRule="exact"/>
        <w:ind w:firstLine="480" w:firstLineChars="200"/>
        <w:jc w:val="both"/>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bidi="ar"/>
        </w:rPr>
        <w:t xml:space="preserve">2.我方具有符合采购文件资格要求的财务状况报告。 </w:t>
      </w:r>
    </w:p>
    <w:p w14:paraId="3674D413">
      <w:pPr>
        <w:widowControl/>
        <w:spacing w:line="440" w:lineRule="exact"/>
        <w:ind w:firstLine="456" w:firstLineChars="200"/>
        <w:jc w:val="both"/>
        <w:rPr>
          <w:rFonts w:ascii="仿宋_GB2312" w:hAnsi="仿宋_GB2312" w:eastAsia="仿宋_GB2312" w:cs="仿宋_GB2312"/>
          <w:color w:val="auto"/>
          <w:spacing w:val="-17"/>
          <w:lang w:eastAsia="zh-CN"/>
        </w:rPr>
      </w:pPr>
      <w:r>
        <w:rPr>
          <w:rFonts w:hint="eastAsia" w:ascii="仿宋_GB2312" w:hAnsi="仿宋_GB2312" w:eastAsia="仿宋_GB2312" w:cs="仿宋_GB2312"/>
          <w:color w:val="auto"/>
          <w:spacing w:val="-6"/>
          <w:lang w:eastAsia="zh-CN" w:bidi="ar"/>
        </w:rPr>
        <w:t>3.我方具有符合采购文件资格要求的依法缴纳税收和社会保障资金的良好记录。</w:t>
      </w:r>
      <w:r>
        <w:rPr>
          <w:rFonts w:hint="eastAsia" w:ascii="仿宋_GB2312" w:hAnsi="仿宋_GB2312" w:eastAsia="仿宋_GB2312" w:cs="仿宋_GB2312"/>
          <w:color w:val="auto"/>
          <w:spacing w:val="-17"/>
          <w:lang w:eastAsia="zh-CN" w:bidi="ar"/>
        </w:rPr>
        <w:t xml:space="preserve"> </w:t>
      </w:r>
    </w:p>
    <w:p w14:paraId="512CFF33">
      <w:pPr>
        <w:widowControl/>
        <w:spacing w:line="440" w:lineRule="exact"/>
        <w:ind w:firstLine="480" w:firstLineChars="200"/>
        <w:jc w:val="both"/>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bidi="ar"/>
        </w:rPr>
        <w:t xml:space="preserve">4.我方具有符合采购文件资格要求履行合同所必需的设备和专业技术能力。 </w:t>
      </w:r>
    </w:p>
    <w:p w14:paraId="60EEC735">
      <w:pPr>
        <w:widowControl/>
        <w:spacing w:line="440" w:lineRule="exact"/>
        <w:ind w:firstLine="480" w:firstLineChars="200"/>
        <w:jc w:val="both"/>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bidi="ar"/>
        </w:rPr>
        <w:t xml:space="preserve">5.我方参加政府采购活动前3年内在经营活动中没有重大违法记录。 </w:t>
      </w:r>
    </w:p>
    <w:p w14:paraId="5F28869D">
      <w:pPr>
        <w:widowControl/>
        <w:spacing w:line="440" w:lineRule="exact"/>
        <w:ind w:firstLine="480" w:firstLineChars="200"/>
        <w:jc w:val="both"/>
        <w:rPr>
          <w:rFonts w:ascii="仿宋_GB2312" w:hAnsi="仿宋_GB2312" w:eastAsia="仿宋_GB2312" w:cs="仿宋_GB2312"/>
          <w:color w:val="auto"/>
          <w:lang w:eastAsia="zh-CN" w:bidi="ar"/>
        </w:rPr>
      </w:pPr>
      <w:r>
        <w:rPr>
          <w:rFonts w:hint="eastAsia" w:ascii="仿宋_GB2312" w:hAnsi="仿宋_GB2312" w:eastAsia="仿宋_GB2312" w:cs="仿宋_GB2312"/>
          <w:color w:val="auto"/>
          <w:lang w:eastAsia="zh-CN" w:bidi="ar"/>
        </w:rPr>
        <w:t>我方对以上承诺内容的真实性负责。如有虚假，将依法承担相应责任。</w:t>
      </w:r>
    </w:p>
    <w:p w14:paraId="44DBE583">
      <w:pPr>
        <w:widowControl/>
        <w:spacing w:line="440" w:lineRule="exact"/>
        <w:ind w:firstLine="480" w:firstLineChars="200"/>
        <w:jc w:val="both"/>
        <w:rPr>
          <w:rFonts w:ascii="仿宋_GB2312" w:hAnsi="仿宋_GB2312" w:eastAsia="仿宋_GB2312" w:cs="仿宋_GB2312"/>
          <w:color w:val="auto"/>
          <w:lang w:eastAsia="zh-CN" w:bidi="ar"/>
        </w:rPr>
      </w:pPr>
    </w:p>
    <w:p w14:paraId="63BCF43F">
      <w:pPr>
        <w:widowControl/>
        <w:spacing w:line="440" w:lineRule="exact"/>
        <w:ind w:firstLine="480" w:firstLineChars="200"/>
        <w:jc w:val="both"/>
        <w:rPr>
          <w:rFonts w:ascii="仿宋_GB2312" w:hAnsi="仿宋_GB2312" w:eastAsia="仿宋_GB2312" w:cs="仿宋_GB2312"/>
          <w:color w:val="auto"/>
          <w:lang w:eastAsia="zh-CN" w:bidi="ar"/>
        </w:rPr>
      </w:pPr>
    </w:p>
    <w:p w14:paraId="198BC6A1">
      <w:pPr>
        <w:widowControl/>
        <w:spacing w:line="440" w:lineRule="exact"/>
        <w:ind w:firstLine="3600" w:firstLineChars="1500"/>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bidi="ar"/>
        </w:rPr>
        <w:t xml:space="preserve">供应商名称（电子签章）： </w:t>
      </w:r>
    </w:p>
    <w:p w14:paraId="7298F05A">
      <w:pPr>
        <w:tabs>
          <w:tab w:val="left" w:pos="7560"/>
        </w:tabs>
        <w:spacing w:line="440" w:lineRule="exact"/>
        <w:ind w:firstLine="3600" w:firstLineChars="1500"/>
        <w:rPr>
          <w:rFonts w:ascii="仿宋_GB2312" w:hAnsi="仿宋_GB2312" w:eastAsia="仿宋_GB2312" w:cs="仿宋_GB2312"/>
          <w:color w:val="auto"/>
          <w:lang w:eastAsia="zh-CN" w:bidi="ar"/>
        </w:rPr>
      </w:pPr>
      <w:r>
        <w:rPr>
          <w:rFonts w:hint="eastAsia" w:ascii="仿宋_GB2312" w:hAnsi="仿宋_GB2312" w:eastAsia="仿宋_GB2312" w:cs="仿宋_GB2312"/>
          <w:color w:val="auto"/>
          <w:lang w:eastAsia="zh-CN" w:bidi="ar"/>
        </w:rPr>
        <w:t>日期：</w:t>
      </w:r>
    </w:p>
    <w:p w14:paraId="1737D672">
      <w:pPr>
        <w:pStyle w:val="12"/>
        <w:widowControl/>
        <w:wordWrap w:val="0"/>
        <w:spacing w:line="560" w:lineRule="exact"/>
        <w:jc w:val="both"/>
        <w:rPr>
          <w:rFonts w:ascii="仿宋_GB2312" w:hAnsi="仿宋_GB2312" w:eastAsia="仿宋_GB2312" w:cs="仿宋_GB2312"/>
          <w:color w:val="auto"/>
          <w:lang w:eastAsia="zh-CN" w:bidi="ar"/>
        </w:rPr>
      </w:pPr>
    </w:p>
    <w:p w14:paraId="2AB7E287">
      <w:pPr>
        <w:pStyle w:val="12"/>
        <w:widowControl/>
        <w:wordWrap w:val="0"/>
        <w:spacing w:line="400" w:lineRule="exact"/>
        <w:jc w:val="both"/>
        <w:rPr>
          <w:color w:val="auto"/>
          <w:lang w:eastAsia="zh-CN"/>
        </w:rPr>
      </w:pPr>
      <w:r>
        <w:rPr>
          <w:rFonts w:hint="eastAsia" w:ascii="仿宋_GB2312" w:hAnsi="仿宋_GB2312" w:eastAsia="仿宋_GB2312" w:cs="仿宋_GB2312"/>
          <w:color w:val="auto"/>
          <w:lang w:eastAsia="zh-CN" w:bidi="ar"/>
        </w:rPr>
        <w:t>注：1.</w:t>
      </w:r>
      <w:r>
        <w:rPr>
          <w:rFonts w:hint="eastAsia" w:ascii="仿宋_GB2312" w:hAnsi="仿宋_GB2312" w:eastAsia="仿宋_GB2312" w:cs="仿宋_GB2312"/>
          <w:color w:val="auto"/>
          <w:lang w:eastAsia="zh-CN"/>
        </w:rPr>
        <w:t>参与政府采购活动的供应商可按第1点的内容：“</w:t>
      </w:r>
      <w:r>
        <w:rPr>
          <w:rFonts w:hint="eastAsia" w:ascii="仿宋_GB2312" w:hAnsi="仿宋_GB2312" w:eastAsia="仿宋_GB2312" w:cs="仿宋_GB2312"/>
          <w:color w:val="auto"/>
          <w:lang w:eastAsia="zh-CN" w:bidi="ar"/>
        </w:rPr>
        <w:t>我方</w:t>
      </w:r>
      <w:r>
        <w:rPr>
          <w:rFonts w:hint="eastAsia" w:ascii="仿宋_GB2312" w:hAnsi="Times New Roman" w:eastAsia="仿宋_GB2312"/>
          <w:color w:val="auto"/>
          <w:spacing w:val="6"/>
          <w:lang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仿宋_GB2312" w:hAnsi="仿宋_GB2312" w:eastAsia="仿宋_GB2312" w:cs="仿宋_GB2312"/>
          <w:color w:val="auto"/>
          <w:lang w:eastAsia="zh-CN" w:bidi="ar"/>
        </w:rPr>
        <w:t>我方</w:t>
      </w:r>
      <w:r>
        <w:rPr>
          <w:rFonts w:hint="eastAsia" w:ascii="仿宋_GB2312" w:hAnsi="Times New Roman" w:eastAsia="仿宋_GB2312"/>
          <w:color w:val="auto"/>
          <w:spacing w:val="6"/>
          <w:lang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3B71F382">
      <w:pPr>
        <w:pStyle w:val="50"/>
      </w:pPr>
    </w:p>
    <w:p w14:paraId="4D80A651">
      <w:pPr>
        <w:spacing w:line="300" w:lineRule="auto"/>
        <w:rPr>
          <w:rFonts w:ascii="宋体"/>
          <w:color w:val="000000" w:themeColor="text1"/>
          <w:szCs w:val="21"/>
          <w:lang w:eastAsia="zh-CN"/>
          <w14:textFill>
            <w14:solidFill>
              <w14:schemeClr w14:val="tx1"/>
            </w14:solidFill>
          </w14:textFill>
        </w:rPr>
      </w:pPr>
    </w:p>
    <w:p w14:paraId="749AD36F">
      <w:pPr>
        <w:spacing w:line="320" w:lineRule="exact"/>
        <w:jc w:val="center"/>
        <w:rPr>
          <w:rFonts w:ascii="宋体" w:hAnsi="宋体"/>
          <w:b/>
          <w:color w:val="000000" w:themeColor="text1"/>
          <w:sz w:val="32"/>
          <w:szCs w:val="32"/>
          <w:lang w:eastAsia="zh-CN"/>
          <w14:textFill>
            <w14:solidFill>
              <w14:schemeClr w14:val="tx1"/>
            </w14:solidFill>
          </w14:textFill>
        </w:rPr>
      </w:pPr>
    </w:p>
    <w:p w14:paraId="6CCADDFA">
      <w:pPr>
        <w:spacing w:line="320" w:lineRule="exact"/>
        <w:jc w:val="center"/>
        <w:rPr>
          <w:rFonts w:ascii="宋体" w:hAnsi="宋体"/>
          <w:b/>
          <w:color w:val="000000" w:themeColor="text1"/>
          <w:sz w:val="32"/>
          <w:szCs w:val="32"/>
          <w:lang w:eastAsia="zh-CN"/>
          <w14:textFill>
            <w14:solidFill>
              <w14:schemeClr w14:val="tx1"/>
            </w14:solidFill>
          </w14:textFill>
        </w:rPr>
      </w:pPr>
    </w:p>
    <w:p w14:paraId="101C9AC6">
      <w:pPr>
        <w:spacing w:line="320" w:lineRule="exact"/>
        <w:jc w:val="center"/>
        <w:rPr>
          <w:rFonts w:ascii="宋体" w:hAnsi="宋体"/>
          <w:b/>
          <w:color w:val="000000" w:themeColor="text1"/>
          <w:sz w:val="32"/>
          <w:szCs w:val="32"/>
          <w:lang w:eastAsia="zh-CN"/>
          <w14:textFill>
            <w14:solidFill>
              <w14:schemeClr w14:val="tx1"/>
            </w14:solidFill>
          </w14:textFill>
        </w:rPr>
      </w:pPr>
    </w:p>
    <w:p w14:paraId="2C491321">
      <w:pPr>
        <w:spacing w:line="320" w:lineRule="exact"/>
        <w:jc w:val="center"/>
        <w:rPr>
          <w:rFonts w:ascii="宋体" w:hAnsi="宋体"/>
          <w:b/>
          <w:color w:val="000000" w:themeColor="text1"/>
          <w:sz w:val="32"/>
          <w:szCs w:val="32"/>
          <w:lang w:eastAsia="zh-CN"/>
          <w14:textFill>
            <w14:solidFill>
              <w14:schemeClr w14:val="tx1"/>
            </w14:solidFill>
          </w14:textFill>
        </w:rPr>
      </w:pPr>
    </w:p>
    <w:p w14:paraId="4EFD5936">
      <w:pPr>
        <w:spacing w:line="320" w:lineRule="exact"/>
        <w:jc w:val="center"/>
        <w:rPr>
          <w:rFonts w:ascii="宋体" w:hAnsi="宋体"/>
          <w:b/>
          <w:color w:val="000000" w:themeColor="text1"/>
          <w:sz w:val="32"/>
          <w:szCs w:val="32"/>
          <w:lang w:eastAsia="zh-CN"/>
          <w14:textFill>
            <w14:solidFill>
              <w14:schemeClr w14:val="tx1"/>
            </w14:solidFill>
          </w14:textFill>
        </w:rPr>
      </w:pPr>
    </w:p>
    <w:p w14:paraId="48AB5116">
      <w:pPr>
        <w:spacing w:line="320" w:lineRule="exact"/>
        <w:jc w:val="center"/>
        <w:rPr>
          <w:rFonts w:ascii="宋体" w:hAnsi="宋体"/>
          <w:b/>
          <w:color w:val="000000" w:themeColor="text1"/>
          <w:sz w:val="32"/>
          <w:szCs w:val="32"/>
          <w:lang w:eastAsia="zh-CN"/>
          <w14:textFill>
            <w14:solidFill>
              <w14:schemeClr w14:val="tx1"/>
            </w14:solidFill>
          </w14:textFill>
        </w:rPr>
      </w:pPr>
    </w:p>
    <w:p w14:paraId="51CB2ED0">
      <w:pPr>
        <w:pStyle w:val="49"/>
        <w:keepNext/>
        <w:keepLines/>
        <w:spacing w:after="60"/>
        <w:ind w:firstLine="643" w:firstLineChars="200"/>
        <w:jc w:val="center"/>
        <w:rPr>
          <w:color w:val="auto"/>
          <w:sz w:val="36"/>
          <w:szCs w:val="36"/>
        </w:rPr>
      </w:pPr>
      <w:r>
        <w:rPr>
          <w:rFonts w:hint="eastAsia"/>
          <w:b/>
          <w:color w:val="000000" w:themeColor="text1"/>
          <w:sz w:val="32"/>
          <w:szCs w:val="32"/>
          <w:lang w:val="en-US" w:eastAsia="zh-CN"/>
          <w14:textFill>
            <w14:solidFill>
              <w14:schemeClr w14:val="tx1"/>
            </w14:solidFill>
          </w14:textFill>
        </w:rPr>
        <w:t>2.</w:t>
      </w:r>
      <w:r>
        <w:rPr>
          <w:color w:val="auto"/>
          <w:sz w:val="36"/>
          <w:szCs w:val="36"/>
        </w:rPr>
        <w:t>中小企业声明函</w:t>
      </w:r>
    </w:p>
    <w:p w14:paraId="03DA87A2">
      <w:pPr>
        <w:pStyle w:val="37"/>
        <w:spacing w:line="510" w:lineRule="exact"/>
        <w:ind w:firstLine="1050" w:firstLineChars="500"/>
        <w:jc w:val="both"/>
        <w:rPr>
          <w:color w:val="auto"/>
          <w:sz w:val="21"/>
          <w:szCs w:val="21"/>
        </w:rPr>
      </w:pPr>
      <w:r>
        <w:rPr>
          <w:color w:val="auto"/>
          <w:sz w:val="21"/>
          <w:szCs w:val="21"/>
        </w:rPr>
        <w:t>本公司（联合体）郑重声明，根据《政府釆购促进中小企业发展管理办法》（财库（2020）</w:t>
      </w:r>
    </w:p>
    <w:p w14:paraId="702DC47E">
      <w:pPr>
        <w:pStyle w:val="37"/>
        <w:spacing w:line="510" w:lineRule="exact"/>
        <w:ind w:firstLine="420" w:firstLineChars="200"/>
        <w:jc w:val="both"/>
        <w:rPr>
          <w:color w:val="auto"/>
          <w:sz w:val="21"/>
          <w:szCs w:val="21"/>
        </w:rPr>
      </w:pPr>
      <w:r>
        <w:rPr>
          <w:color w:val="auto"/>
          <w:sz w:val="21"/>
          <w:szCs w:val="21"/>
        </w:rPr>
        <w:t>46号）的规定，本公司（联合体）参加</w:t>
      </w:r>
      <w:r>
        <w:rPr>
          <w:color w:val="auto"/>
          <w:sz w:val="21"/>
          <w:szCs w:val="21"/>
          <w:u w:val="single"/>
        </w:rPr>
        <w:t>（单位名称）</w:t>
      </w:r>
      <w:r>
        <w:rPr>
          <w:color w:val="auto"/>
          <w:sz w:val="21"/>
          <w:szCs w:val="21"/>
        </w:rPr>
        <w:t>的</w:t>
      </w:r>
      <w:r>
        <w:rPr>
          <w:color w:val="auto"/>
          <w:sz w:val="21"/>
          <w:szCs w:val="21"/>
          <w:u w:val="single"/>
        </w:rPr>
        <w:t>（项目名称）釆</w:t>
      </w:r>
      <w:r>
        <w:rPr>
          <w:color w:val="auto"/>
          <w:sz w:val="21"/>
          <w:szCs w:val="21"/>
        </w:rPr>
        <w:t>购活动,工程的施工单位全部为符合政策要求的中小企业（或者：服务全部由符合政策要求的中小企业承接）。</w:t>
      </w:r>
    </w:p>
    <w:p w14:paraId="5AB9D9AB">
      <w:pPr>
        <w:pStyle w:val="37"/>
        <w:spacing w:line="502" w:lineRule="exact"/>
        <w:ind w:firstLine="420" w:firstLineChars="200"/>
        <w:jc w:val="both"/>
        <w:rPr>
          <w:color w:val="auto"/>
          <w:sz w:val="21"/>
          <w:szCs w:val="21"/>
        </w:rPr>
      </w:pPr>
      <w:r>
        <w:rPr>
          <w:color w:val="auto"/>
          <w:sz w:val="21"/>
          <w:szCs w:val="21"/>
        </w:rPr>
        <w:t>相关企业（含联合体中的中小企业、签订分包意向协议的中小企业）的具体情况如下：</w:t>
      </w:r>
    </w:p>
    <w:p w14:paraId="3E17DD86">
      <w:pPr>
        <w:pStyle w:val="37"/>
        <w:spacing w:line="502" w:lineRule="exact"/>
        <w:ind w:left="480" w:leftChars="200" w:firstLine="0"/>
        <w:jc w:val="both"/>
        <w:rPr>
          <w:color w:val="auto"/>
          <w:sz w:val="21"/>
          <w:szCs w:val="21"/>
        </w:rPr>
      </w:pPr>
      <w:bookmarkStart w:id="229" w:name="bookmark318"/>
      <w:bookmarkEnd w:id="229"/>
      <w:r>
        <w:rPr>
          <w:rFonts w:hint="eastAsia"/>
          <w:color w:val="auto"/>
          <w:sz w:val="21"/>
          <w:szCs w:val="21"/>
          <w:u w:val="single"/>
          <w:lang w:val="en-US" w:eastAsia="zh-CN"/>
        </w:rPr>
        <w:t>1.</w:t>
      </w:r>
      <w:r>
        <w:rPr>
          <w:color w:val="auto"/>
          <w:sz w:val="21"/>
          <w:szCs w:val="21"/>
          <w:u w:val="single"/>
        </w:rPr>
        <w:t>（标的名称）</w:t>
      </w:r>
      <w:r>
        <w:rPr>
          <w:color w:val="auto"/>
          <w:sz w:val="21"/>
          <w:szCs w:val="21"/>
        </w:rPr>
        <w:t>,属于</w:t>
      </w:r>
      <w:r>
        <w:rPr>
          <w:color w:val="auto"/>
          <w:sz w:val="21"/>
          <w:szCs w:val="21"/>
          <w:u w:val="single"/>
        </w:rPr>
        <w:t>（釆购文件中明确的所属行业）</w:t>
      </w:r>
      <w:r>
        <w:rPr>
          <w:color w:val="auto"/>
          <w:sz w:val="21"/>
          <w:szCs w:val="21"/>
        </w:rPr>
        <w:t>；承建</w:t>
      </w:r>
      <w:r>
        <w:rPr>
          <w:color w:val="auto"/>
          <w:sz w:val="21"/>
          <w:szCs w:val="21"/>
          <w:u w:val="single"/>
        </w:rPr>
        <w:t>（承接）企</w:t>
      </w:r>
      <w:r>
        <w:rPr>
          <w:color w:val="auto"/>
          <w:sz w:val="21"/>
          <w:szCs w:val="21"/>
        </w:rPr>
        <w:t>业为</w:t>
      </w:r>
      <w:r>
        <w:rPr>
          <w:color w:val="auto"/>
          <w:sz w:val="21"/>
          <w:szCs w:val="21"/>
          <w:u w:val="single"/>
        </w:rPr>
        <w:t>（企业名 称）</w:t>
      </w:r>
      <w:r>
        <w:rPr>
          <w:i/>
          <w:iCs/>
          <w:color w:val="auto"/>
          <w:sz w:val="21"/>
          <w:szCs w:val="21"/>
        </w:rPr>
        <w:t>，</w:t>
      </w:r>
      <w:r>
        <w:rPr>
          <w:color w:val="auto"/>
          <w:sz w:val="21"/>
          <w:szCs w:val="21"/>
        </w:rPr>
        <w:t>从业人员</w:t>
      </w:r>
      <w:r>
        <w:rPr>
          <w:color w:val="auto"/>
          <w:sz w:val="21"/>
          <w:szCs w:val="21"/>
          <w:lang w:val="zh-CN" w:eastAsia="zh-CN" w:bidi="zh-CN"/>
        </w:rPr>
        <w:t>—</w:t>
      </w:r>
      <w:r>
        <w:rPr>
          <w:color w:val="auto"/>
          <w:sz w:val="21"/>
          <w:szCs w:val="21"/>
        </w:rPr>
        <w:t>人，营业收入为</w:t>
      </w:r>
      <w:r>
        <w:rPr>
          <w:color w:val="auto"/>
          <w:sz w:val="21"/>
          <w:szCs w:val="21"/>
          <w:lang w:val="zh-CN" w:eastAsia="zh-CN" w:bidi="zh-CN"/>
        </w:rPr>
        <w:t>—</w:t>
      </w:r>
      <w:r>
        <w:rPr>
          <w:color w:val="auto"/>
          <w:sz w:val="21"/>
          <w:szCs w:val="21"/>
        </w:rPr>
        <w:t>万元，资产总额为</w:t>
      </w:r>
      <w:r>
        <w:rPr>
          <w:color w:val="auto"/>
          <w:sz w:val="21"/>
          <w:szCs w:val="21"/>
          <w:lang w:val="zh-CN" w:eastAsia="zh-CN" w:bidi="zh-CN"/>
        </w:rPr>
        <w:t>—</w:t>
      </w:r>
      <w:r>
        <w:rPr>
          <w:color w:val="auto"/>
          <w:sz w:val="21"/>
          <w:szCs w:val="21"/>
        </w:rPr>
        <w:t>万元，属于</w:t>
      </w:r>
      <w:r>
        <w:rPr>
          <w:color w:val="auto"/>
          <w:sz w:val="21"/>
          <w:szCs w:val="21"/>
          <w:u w:val="single"/>
        </w:rPr>
        <w:t>（中型企业、小型企业、微型企业）</w:t>
      </w:r>
      <w:r>
        <w:rPr>
          <w:color w:val="auto"/>
          <w:sz w:val="21"/>
          <w:szCs w:val="21"/>
        </w:rPr>
        <w:t>；</w:t>
      </w:r>
    </w:p>
    <w:p w14:paraId="12E4634D">
      <w:pPr>
        <w:pStyle w:val="37"/>
        <w:spacing w:after="460" w:line="510" w:lineRule="exact"/>
        <w:ind w:left="480" w:leftChars="200" w:firstLine="0"/>
        <w:jc w:val="both"/>
        <w:rPr>
          <w:color w:val="auto"/>
          <w:sz w:val="21"/>
          <w:szCs w:val="21"/>
        </w:rPr>
      </w:pPr>
      <w:bookmarkStart w:id="230" w:name="bookmark319"/>
      <w:bookmarkEnd w:id="230"/>
      <w:r>
        <w:rPr>
          <w:rFonts w:hint="eastAsia"/>
          <w:color w:val="auto"/>
          <w:sz w:val="21"/>
          <w:szCs w:val="21"/>
          <w:u w:val="single"/>
          <w:lang w:val="en-US" w:eastAsia="zh-CN"/>
        </w:rPr>
        <w:t>2.（</w:t>
      </w:r>
      <w:r>
        <w:rPr>
          <w:color w:val="auto"/>
          <w:sz w:val="21"/>
          <w:szCs w:val="21"/>
          <w:u w:val="single"/>
        </w:rPr>
        <w:t>标的名称）</w:t>
      </w:r>
      <w:r>
        <w:rPr>
          <w:color w:val="auto"/>
          <w:sz w:val="21"/>
          <w:szCs w:val="21"/>
        </w:rPr>
        <w:t>,属于</w:t>
      </w:r>
      <w:r>
        <w:rPr>
          <w:color w:val="auto"/>
          <w:sz w:val="21"/>
          <w:szCs w:val="21"/>
          <w:u w:val="single"/>
        </w:rPr>
        <w:t>（釆购文件中明确的所属行业）</w:t>
      </w:r>
      <w:r>
        <w:rPr>
          <w:color w:val="auto"/>
          <w:sz w:val="21"/>
          <w:szCs w:val="21"/>
        </w:rPr>
        <w:t>；承建</w:t>
      </w:r>
      <w:r>
        <w:rPr>
          <w:color w:val="auto"/>
          <w:sz w:val="21"/>
          <w:szCs w:val="21"/>
          <w:u w:val="single"/>
        </w:rPr>
        <w:t>（承接）企</w:t>
      </w:r>
      <w:r>
        <w:rPr>
          <w:color w:val="auto"/>
          <w:sz w:val="21"/>
          <w:szCs w:val="21"/>
        </w:rPr>
        <w:t>业为</w:t>
      </w:r>
      <w:r>
        <w:rPr>
          <w:color w:val="auto"/>
          <w:sz w:val="21"/>
          <w:szCs w:val="21"/>
          <w:u w:val="single"/>
        </w:rPr>
        <w:t>（企业名 称）</w:t>
      </w:r>
      <w:r>
        <w:rPr>
          <w:i/>
          <w:iCs/>
          <w:color w:val="auto"/>
          <w:sz w:val="21"/>
          <w:szCs w:val="21"/>
        </w:rPr>
        <w:t>，</w:t>
      </w:r>
      <w:r>
        <w:rPr>
          <w:color w:val="auto"/>
          <w:sz w:val="21"/>
          <w:szCs w:val="21"/>
        </w:rPr>
        <w:t>从业人员</w:t>
      </w:r>
      <w:r>
        <w:rPr>
          <w:color w:val="auto"/>
          <w:sz w:val="21"/>
          <w:szCs w:val="21"/>
          <w:lang w:val="zh-CN" w:eastAsia="zh-CN" w:bidi="zh-CN"/>
        </w:rPr>
        <w:t>—</w:t>
      </w:r>
      <w:r>
        <w:rPr>
          <w:color w:val="auto"/>
          <w:sz w:val="21"/>
          <w:szCs w:val="21"/>
        </w:rPr>
        <w:t>人，营业收入为</w:t>
      </w:r>
      <w:r>
        <w:rPr>
          <w:color w:val="auto"/>
          <w:sz w:val="21"/>
          <w:szCs w:val="21"/>
          <w:lang w:val="zh-CN" w:eastAsia="zh-CN" w:bidi="zh-CN"/>
        </w:rPr>
        <w:t>—</w:t>
      </w:r>
      <w:r>
        <w:rPr>
          <w:color w:val="auto"/>
          <w:sz w:val="21"/>
          <w:szCs w:val="21"/>
        </w:rPr>
        <w:t>万元，资产总额为</w:t>
      </w:r>
      <w:r>
        <w:rPr>
          <w:color w:val="auto"/>
          <w:sz w:val="21"/>
          <w:szCs w:val="21"/>
          <w:lang w:val="zh-CN" w:eastAsia="zh-CN" w:bidi="zh-CN"/>
        </w:rPr>
        <w:t>—</w:t>
      </w:r>
      <w:r>
        <w:rPr>
          <w:color w:val="auto"/>
          <w:sz w:val="21"/>
          <w:szCs w:val="21"/>
        </w:rPr>
        <w:t>万元，属于（中型企业、小型企业、微型企业）；</w:t>
      </w:r>
    </w:p>
    <w:p w14:paraId="52340709">
      <w:pPr>
        <w:pStyle w:val="37"/>
        <w:spacing w:line="525" w:lineRule="exact"/>
        <w:ind w:firstLine="420" w:firstLineChars="200"/>
        <w:jc w:val="both"/>
        <w:rPr>
          <w:color w:val="auto"/>
          <w:sz w:val="21"/>
          <w:szCs w:val="21"/>
        </w:rPr>
      </w:pPr>
      <w:r>
        <w:rPr>
          <w:color w:val="auto"/>
          <w:sz w:val="21"/>
          <w:szCs w:val="21"/>
        </w:rPr>
        <w:t>以上企业，不属于大企业的分支机构，不存在控股股东为大企业的情形，也不存在与大企业的负责人为同一人的情形。</w:t>
      </w:r>
    </w:p>
    <w:p w14:paraId="65C50150">
      <w:pPr>
        <w:pStyle w:val="37"/>
        <w:spacing w:after="1740" w:line="525" w:lineRule="exact"/>
        <w:ind w:firstLine="420" w:firstLineChars="200"/>
        <w:jc w:val="both"/>
        <w:rPr>
          <w:color w:val="auto"/>
          <w:sz w:val="21"/>
          <w:szCs w:val="21"/>
        </w:rPr>
      </w:pPr>
      <w:r>
        <w:rPr>
          <w:color w:val="auto"/>
          <w:sz w:val="21"/>
          <w:szCs w:val="21"/>
        </w:rPr>
        <w:t>本企业对上述声明内容的真实性负责。如有虚假，将依法承担相应责任。</w:t>
      </w:r>
    </w:p>
    <w:p w14:paraId="7A0C8803">
      <w:pPr>
        <w:pStyle w:val="37"/>
        <w:spacing w:after="240" w:line="240" w:lineRule="auto"/>
        <w:ind w:right="700" w:firstLine="420" w:firstLineChars="200"/>
        <w:jc w:val="right"/>
        <w:rPr>
          <w:color w:val="auto"/>
          <w:sz w:val="21"/>
          <w:szCs w:val="21"/>
        </w:rPr>
      </w:pPr>
      <w:r>
        <w:rPr>
          <w:color w:val="auto"/>
          <w:sz w:val="21"/>
          <w:szCs w:val="21"/>
        </w:rPr>
        <w:t>企业名称（盖</w:t>
      </w:r>
      <w:r>
        <w:rPr>
          <w:rFonts w:hint="eastAsia"/>
          <w:color w:val="auto"/>
          <w:sz w:val="21"/>
          <w:szCs w:val="21"/>
          <w:lang w:eastAsia="zh-CN"/>
        </w:rPr>
        <w:t>电子</w:t>
      </w:r>
      <w:r>
        <w:rPr>
          <w:color w:val="auto"/>
          <w:sz w:val="21"/>
          <w:szCs w:val="21"/>
        </w:rPr>
        <w:t>章）：</w:t>
      </w:r>
    </w:p>
    <w:p w14:paraId="1D6E48D8">
      <w:pPr>
        <w:pStyle w:val="37"/>
        <w:spacing w:after="2560" w:line="240" w:lineRule="auto"/>
        <w:ind w:left="6960" w:firstLine="420" w:firstLineChars="200"/>
        <w:rPr>
          <w:sz w:val="21"/>
          <w:szCs w:val="21"/>
        </w:rPr>
      </w:pPr>
      <w:r>
        <w:rPr>
          <w:sz w:val="21"/>
          <w:szCs w:val="21"/>
        </w:rPr>
        <w:t>日期：</w:t>
      </w:r>
    </w:p>
    <w:p w14:paraId="1D32B4F1">
      <w:pPr>
        <w:pStyle w:val="37"/>
        <w:spacing w:line="337" w:lineRule="exact"/>
        <w:ind w:firstLine="420" w:firstLineChars="200"/>
        <w:jc w:val="both"/>
        <w:rPr>
          <w:sz w:val="21"/>
          <w:szCs w:val="21"/>
        </w:rPr>
      </w:pPr>
      <w:r>
        <w:rPr>
          <w:sz w:val="21"/>
          <w:szCs w:val="21"/>
        </w:rPr>
        <w:t>注：</w:t>
      </w:r>
    </w:p>
    <w:p w14:paraId="04B94E10">
      <w:pPr>
        <w:pStyle w:val="37"/>
        <w:numPr>
          <w:ilvl w:val="0"/>
          <w:numId w:val="26"/>
        </w:numPr>
        <w:tabs>
          <w:tab w:val="left" w:pos="335"/>
        </w:tabs>
        <w:spacing w:after="60" w:line="337" w:lineRule="exact"/>
        <w:ind w:firstLine="420" w:firstLineChars="200"/>
        <w:jc w:val="both"/>
        <w:rPr>
          <w:sz w:val="21"/>
          <w:szCs w:val="21"/>
        </w:rPr>
      </w:pPr>
      <w:bookmarkStart w:id="231" w:name="bookmark320"/>
      <w:bookmarkEnd w:id="231"/>
      <w:r>
        <w:rPr>
          <w:sz w:val="21"/>
          <w:szCs w:val="21"/>
        </w:rPr>
        <w:t>享受《政府采购促进中小企业发展管理办法》（财库（2020）46号）规定的中小企业扶持政策的，采购 人、采购代理机构应当随成交结果公开成交供应商的《中小企业声明函》。从业人员、营业收入、资产总额填报上一年度数据，无上一年度数据的新成立企业可不填报。</w:t>
      </w:r>
    </w:p>
    <w:p w14:paraId="430E91D8">
      <w:pPr>
        <w:pStyle w:val="37"/>
        <w:numPr>
          <w:ilvl w:val="0"/>
          <w:numId w:val="26"/>
        </w:numPr>
        <w:tabs>
          <w:tab w:val="left" w:pos="335"/>
        </w:tabs>
        <w:spacing w:after="340" w:line="240" w:lineRule="auto"/>
        <w:ind w:firstLine="422" w:firstLineChars="200"/>
        <w:jc w:val="both"/>
        <w:rPr>
          <w:color w:val="auto"/>
          <w:sz w:val="21"/>
          <w:szCs w:val="21"/>
          <w:highlight w:val="none"/>
        </w:rPr>
      </w:pPr>
      <w:bookmarkStart w:id="232" w:name="bookmark321"/>
      <w:bookmarkEnd w:id="232"/>
      <w:r>
        <w:rPr>
          <w:b/>
          <w:bCs/>
          <w:color w:val="auto"/>
          <w:sz w:val="21"/>
          <w:szCs w:val="21"/>
          <w:highlight w:val="none"/>
        </w:rPr>
        <w:t>本项目所属行业为：</w:t>
      </w:r>
      <w:r>
        <w:rPr>
          <w:rFonts w:hint="eastAsia"/>
          <w:b/>
          <w:bCs/>
          <w:color w:val="auto"/>
          <w:sz w:val="21"/>
          <w:szCs w:val="21"/>
          <w:highlight w:val="none"/>
        </w:rPr>
        <w:t>物业管理</w:t>
      </w:r>
    </w:p>
    <w:p w14:paraId="0EE5D0AB">
      <w:pPr>
        <w:spacing w:line="528" w:lineRule="exact"/>
        <w:ind w:firstLine="3200" w:firstLineChars="800"/>
        <w:rPr>
          <w:rFonts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中小微企业划型标准</w:t>
      </w:r>
    </w:p>
    <w:tbl>
      <w:tblPr>
        <w:tblStyle w:val="14"/>
        <w:tblW w:w="0" w:type="auto"/>
        <w:tblInd w:w="-70" w:type="dxa"/>
        <w:tblLayout w:type="fixed"/>
        <w:tblCellMar>
          <w:top w:w="0" w:type="dxa"/>
          <w:left w:w="108" w:type="dxa"/>
          <w:bottom w:w="0" w:type="dxa"/>
          <w:right w:w="108" w:type="dxa"/>
        </w:tblCellMar>
      </w:tblPr>
      <w:tblGrid>
        <w:gridCol w:w="2021"/>
        <w:gridCol w:w="1504"/>
        <w:gridCol w:w="1200"/>
        <w:gridCol w:w="1995"/>
        <w:gridCol w:w="1922"/>
        <w:gridCol w:w="1098"/>
      </w:tblGrid>
      <w:tr w14:paraId="647A7AC1">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vAlign w:val="center"/>
          </w:tcPr>
          <w:p w14:paraId="5DB52252">
            <w:pPr>
              <w:widowControl/>
              <w:rPr>
                <w:rFonts w:ascii="仿宋_GB2312" w:hAnsi="仿宋" w:eastAsia="仿宋_GB2312" w:cs="宋体"/>
                <w:b/>
                <w:szCs w:val="21"/>
              </w:rPr>
            </w:pPr>
            <w:r>
              <w:rPr>
                <w:rFonts w:hint="eastAsia" w:ascii="仿宋_GB2312" w:hAnsi="仿宋" w:eastAsia="仿宋_GB2312" w:cs="宋体"/>
                <w:b/>
                <w:szCs w:val="21"/>
              </w:rPr>
              <w:t>行业名称</w:t>
            </w:r>
          </w:p>
        </w:tc>
        <w:tc>
          <w:tcPr>
            <w:tcW w:w="1504" w:type="dxa"/>
            <w:tcBorders>
              <w:top w:val="single" w:color="auto" w:sz="4" w:space="0"/>
              <w:left w:val="nil"/>
              <w:bottom w:val="single" w:color="auto" w:sz="4" w:space="0"/>
              <w:right w:val="single" w:color="auto" w:sz="4" w:space="0"/>
            </w:tcBorders>
            <w:vAlign w:val="center"/>
          </w:tcPr>
          <w:p w14:paraId="032AB6BE">
            <w:pPr>
              <w:widowControl/>
              <w:rPr>
                <w:rFonts w:ascii="仿宋_GB2312" w:hAnsi="仿宋" w:eastAsia="仿宋_GB2312" w:cs="宋体"/>
                <w:b/>
                <w:szCs w:val="21"/>
              </w:rPr>
            </w:pPr>
            <w:r>
              <w:rPr>
                <w:rFonts w:hint="eastAsia" w:ascii="仿宋_GB2312" w:hAnsi="仿宋" w:eastAsia="仿宋_GB2312" w:cs="宋体"/>
                <w:b/>
                <w:szCs w:val="21"/>
              </w:rPr>
              <w:t>指标名称</w:t>
            </w:r>
          </w:p>
        </w:tc>
        <w:tc>
          <w:tcPr>
            <w:tcW w:w="1200" w:type="dxa"/>
            <w:tcBorders>
              <w:top w:val="single" w:color="auto" w:sz="4" w:space="0"/>
              <w:left w:val="nil"/>
              <w:bottom w:val="single" w:color="auto" w:sz="4" w:space="0"/>
              <w:right w:val="single" w:color="auto" w:sz="4" w:space="0"/>
            </w:tcBorders>
            <w:vAlign w:val="center"/>
          </w:tcPr>
          <w:p w14:paraId="255EDC1B">
            <w:pPr>
              <w:widowControl/>
              <w:rPr>
                <w:rFonts w:ascii="仿宋_GB2312" w:hAnsi="仿宋" w:eastAsia="仿宋_GB2312" w:cs="宋体"/>
                <w:b/>
                <w:szCs w:val="21"/>
              </w:rPr>
            </w:pPr>
            <w:r>
              <w:rPr>
                <w:rFonts w:hint="eastAsia" w:ascii="仿宋_GB2312" w:hAnsi="仿宋" w:eastAsia="仿宋_GB2312" w:cs="宋体"/>
                <w:b/>
                <w:szCs w:val="21"/>
              </w:rPr>
              <w:t>计量单位</w:t>
            </w:r>
          </w:p>
        </w:tc>
        <w:tc>
          <w:tcPr>
            <w:tcW w:w="1995" w:type="dxa"/>
            <w:tcBorders>
              <w:top w:val="single" w:color="auto" w:sz="4" w:space="0"/>
              <w:left w:val="nil"/>
              <w:bottom w:val="single" w:color="auto" w:sz="4" w:space="0"/>
              <w:right w:val="single" w:color="auto" w:sz="4" w:space="0"/>
            </w:tcBorders>
            <w:vAlign w:val="center"/>
          </w:tcPr>
          <w:p w14:paraId="18F4B05F">
            <w:pPr>
              <w:widowControl/>
              <w:rPr>
                <w:rFonts w:ascii="仿宋_GB2312" w:hAnsi="仿宋" w:eastAsia="仿宋_GB2312" w:cs="宋体"/>
                <w:b/>
                <w:szCs w:val="21"/>
              </w:rPr>
            </w:pPr>
            <w:r>
              <w:rPr>
                <w:rFonts w:hint="eastAsia" w:ascii="仿宋_GB2312" w:hAnsi="仿宋" w:eastAsia="仿宋_GB2312" w:cs="宋体"/>
                <w:b/>
                <w:szCs w:val="21"/>
              </w:rPr>
              <w:t>中型</w:t>
            </w:r>
          </w:p>
        </w:tc>
        <w:tc>
          <w:tcPr>
            <w:tcW w:w="1922" w:type="dxa"/>
            <w:tcBorders>
              <w:top w:val="single" w:color="auto" w:sz="4" w:space="0"/>
              <w:left w:val="nil"/>
              <w:bottom w:val="single" w:color="auto" w:sz="4" w:space="0"/>
              <w:right w:val="single" w:color="auto" w:sz="4" w:space="0"/>
            </w:tcBorders>
            <w:vAlign w:val="center"/>
          </w:tcPr>
          <w:p w14:paraId="0B590938">
            <w:pPr>
              <w:widowControl/>
              <w:rPr>
                <w:rFonts w:ascii="仿宋_GB2312" w:hAnsi="仿宋" w:eastAsia="仿宋_GB2312" w:cs="宋体"/>
                <w:b/>
                <w:szCs w:val="21"/>
              </w:rPr>
            </w:pPr>
            <w:r>
              <w:rPr>
                <w:rFonts w:hint="eastAsia" w:ascii="仿宋_GB2312" w:hAnsi="仿宋" w:eastAsia="仿宋_GB2312" w:cs="宋体"/>
                <w:b/>
                <w:szCs w:val="21"/>
              </w:rPr>
              <w:t>小型</w:t>
            </w:r>
          </w:p>
        </w:tc>
        <w:tc>
          <w:tcPr>
            <w:tcW w:w="1098" w:type="dxa"/>
            <w:tcBorders>
              <w:top w:val="single" w:color="auto" w:sz="4" w:space="0"/>
              <w:left w:val="nil"/>
              <w:bottom w:val="single" w:color="auto" w:sz="4" w:space="0"/>
              <w:right w:val="single" w:color="auto" w:sz="4" w:space="0"/>
            </w:tcBorders>
            <w:vAlign w:val="center"/>
          </w:tcPr>
          <w:p w14:paraId="65EDE6FF">
            <w:pPr>
              <w:widowControl/>
              <w:rPr>
                <w:rFonts w:ascii="仿宋_GB2312" w:hAnsi="仿宋" w:eastAsia="仿宋_GB2312" w:cs="宋体"/>
                <w:b/>
                <w:szCs w:val="21"/>
              </w:rPr>
            </w:pPr>
            <w:r>
              <w:rPr>
                <w:rFonts w:hint="eastAsia" w:ascii="仿宋_GB2312" w:hAnsi="仿宋" w:eastAsia="仿宋_GB2312" w:cs="宋体"/>
                <w:b/>
                <w:szCs w:val="21"/>
              </w:rPr>
              <w:t>微型</w:t>
            </w:r>
          </w:p>
        </w:tc>
      </w:tr>
      <w:tr w14:paraId="4CE63D2B">
        <w:tblPrEx>
          <w:tblCellMar>
            <w:top w:w="0" w:type="dxa"/>
            <w:left w:w="108" w:type="dxa"/>
            <w:bottom w:w="0" w:type="dxa"/>
            <w:right w:w="108" w:type="dxa"/>
          </w:tblCellMar>
        </w:tblPrEx>
        <w:trPr>
          <w:trHeight w:val="225" w:hRule="atLeast"/>
        </w:trPr>
        <w:tc>
          <w:tcPr>
            <w:tcW w:w="2021" w:type="dxa"/>
            <w:tcBorders>
              <w:top w:val="nil"/>
              <w:left w:val="single" w:color="auto" w:sz="4" w:space="0"/>
              <w:bottom w:val="single" w:color="auto" w:sz="4" w:space="0"/>
              <w:right w:val="single" w:color="auto" w:sz="4" w:space="0"/>
            </w:tcBorders>
            <w:vAlign w:val="bottom"/>
          </w:tcPr>
          <w:p w14:paraId="4E396E17">
            <w:pPr>
              <w:widowControl/>
              <w:jc w:val="center"/>
              <w:rPr>
                <w:rFonts w:ascii="仿宋_GB2312" w:hAnsi="仿宋" w:eastAsia="仿宋_GB2312" w:cs="宋体"/>
                <w:b/>
                <w:bCs/>
                <w:sz w:val="21"/>
                <w:szCs w:val="18"/>
              </w:rPr>
            </w:pPr>
            <w:r>
              <w:rPr>
                <w:rFonts w:hint="eastAsia" w:ascii="仿宋_GB2312" w:hAnsi="仿宋" w:eastAsia="仿宋_GB2312" w:cs="宋体"/>
                <w:b/>
                <w:bCs/>
                <w:sz w:val="21"/>
                <w:szCs w:val="18"/>
              </w:rPr>
              <w:t>农、林、牧、渔</w:t>
            </w:r>
          </w:p>
        </w:tc>
        <w:tc>
          <w:tcPr>
            <w:tcW w:w="1504" w:type="dxa"/>
            <w:tcBorders>
              <w:top w:val="nil"/>
              <w:left w:val="nil"/>
              <w:bottom w:val="single" w:color="auto" w:sz="4" w:space="0"/>
              <w:right w:val="single" w:color="auto" w:sz="4" w:space="0"/>
            </w:tcBorders>
            <w:vAlign w:val="center"/>
          </w:tcPr>
          <w:p w14:paraId="1C0EA9DA">
            <w:pPr>
              <w:widowControl/>
              <w:rPr>
                <w:rFonts w:ascii="仿宋_GB2312" w:hAnsi="仿宋" w:eastAsia="仿宋_GB2312" w:cs="宋体"/>
                <w:sz w:val="21"/>
                <w:szCs w:val="18"/>
              </w:rPr>
            </w:pPr>
            <w:r>
              <w:rPr>
                <w:rFonts w:hint="eastAsia" w:ascii="仿宋_GB2312" w:hAnsi="仿宋" w:eastAsia="仿宋_GB2312" w:cs="宋体"/>
                <w:sz w:val="21"/>
                <w:szCs w:val="18"/>
              </w:rPr>
              <w:t>营业收入（Y）</w:t>
            </w:r>
          </w:p>
        </w:tc>
        <w:tc>
          <w:tcPr>
            <w:tcW w:w="1200" w:type="dxa"/>
            <w:tcBorders>
              <w:top w:val="nil"/>
              <w:left w:val="nil"/>
              <w:bottom w:val="single" w:color="auto" w:sz="4" w:space="0"/>
              <w:right w:val="single" w:color="auto" w:sz="4" w:space="0"/>
            </w:tcBorders>
            <w:vAlign w:val="center"/>
          </w:tcPr>
          <w:p w14:paraId="45BA2F6F">
            <w:pPr>
              <w:widowControl/>
              <w:rPr>
                <w:rFonts w:ascii="仿宋_GB2312" w:hAnsi="仿宋" w:eastAsia="仿宋_GB2312" w:cs="宋体"/>
                <w:sz w:val="21"/>
                <w:szCs w:val="18"/>
              </w:rPr>
            </w:pPr>
            <w:r>
              <w:rPr>
                <w:rFonts w:hint="eastAsia" w:ascii="仿宋_GB2312" w:hAnsi="仿宋" w:eastAsia="仿宋_GB2312" w:cs="宋体"/>
                <w:sz w:val="21"/>
                <w:szCs w:val="18"/>
              </w:rPr>
              <w:t>万元</w:t>
            </w:r>
          </w:p>
        </w:tc>
        <w:tc>
          <w:tcPr>
            <w:tcW w:w="1995" w:type="dxa"/>
            <w:tcBorders>
              <w:top w:val="nil"/>
              <w:left w:val="nil"/>
              <w:bottom w:val="single" w:color="auto" w:sz="4" w:space="0"/>
              <w:right w:val="single" w:color="auto" w:sz="4" w:space="0"/>
            </w:tcBorders>
            <w:vAlign w:val="center"/>
          </w:tcPr>
          <w:p w14:paraId="5ECE88D9">
            <w:pPr>
              <w:widowControl/>
              <w:rPr>
                <w:rFonts w:ascii="仿宋_GB2312" w:hAnsi="仿宋" w:eastAsia="仿宋_GB2312" w:cs="宋体"/>
                <w:sz w:val="21"/>
                <w:szCs w:val="18"/>
              </w:rPr>
            </w:pPr>
            <w:r>
              <w:rPr>
                <w:rFonts w:hint="eastAsia" w:ascii="仿宋_GB2312" w:hAnsi="仿宋" w:eastAsia="仿宋_GB2312" w:cs="宋体"/>
                <w:sz w:val="21"/>
                <w:szCs w:val="18"/>
              </w:rPr>
              <w:t>500≤Y＜20000</w:t>
            </w:r>
          </w:p>
        </w:tc>
        <w:tc>
          <w:tcPr>
            <w:tcW w:w="1922" w:type="dxa"/>
            <w:tcBorders>
              <w:top w:val="nil"/>
              <w:left w:val="nil"/>
              <w:bottom w:val="single" w:color="auto" w:sz="4" w:space="0"/>
              <w:right w:val="single" w:color="auto" w:sz="4" w:space="0"/>
            </w:tcBorders>
            <w:vAlign w:val="center"/>
          </w:tcPr>
          <w:p w14:paraId="3D6F4D5F">
            <w:pPr>
              <w:widowControl/>
              <w:rPr>
                <w:rFonts w:ascii="仿宋_GB2312" w:hAnsi="仿宋" w:eastAsia="仿宋_GB2312" w:cs="宋体"/>
                <w:sz w:val="21"/>
                <w:szCs w:val="18"/>
              </w:rPr>
            </w:pPr>
            <w:r>
              <w:rPr>
                <w:rFonts w:hint="eastAsia" w:ascii="仿宋_GB2312" w:hAnsi="仿宋" w:eastAsia="仿宋_GB2312" w:cs="宋体"/>
                <w:sz w:val="21"/>
                <w:szCs w:val="18"/>
              </w:rPr>
              <w:t>50≤Y＜500</w:t>
            </w:r>
          </w:p>
        </w:tc>
        <w:tc>
          <w:tcPr>
            <w:tcW w:w="1098" w:type="dxa"/>
            <w:tcBorders>
              <w:top w:val="nil"/>
              <w:left w:val="nil"/>
              <w:bottom w:val="single" w:color="auto" w:sz="4" w:space="0"/>
              <w:right w:val="single" w:color="auto" w:sz="4" w:space="0"/>
            </w:tcBorders>
            <w:vAlign w:val="center"/>
          </w:tcPr>
          <w:p w14:paraId="788C81EF">
            <w:pPr>
              <w:widowControl/>
              <w:rPr>
                <w:rFonts w:ascii="仿宋_GB2312" w:hAnsi="仿宋" w:eastAsia="仿宋_GB2312" w:cs="宋体"/>
                <w:sz w:val="21"/>
                <w:szCs w:val="18"/>
              </w:rPr>
            </w:pPr>
            <w:r>
              <w:rPr>
                <w:rFonts w:hint="eastAsia" w:ascii="仿宋_GB2312" w:hAnsi="仿宋" w:eastAsia="仿宋_GB2312" w:cs="宋体"/>
                <w:sz w:val="21"/>
                <w:szCs w:val="18"/>
              </w:rPr>
              <w:t>Y＜50</w:t>
            </w:r>
          </w:p>
        </w:tc>
      </w:tr>
      <w:tr w14:paraId="322BEA0A">
        <w:tblPrEx>
          <w:tblCellMar>
            <w:top w:w="0" w:type="dxa"/>
            <w:left w:w="108" w:type="dxa"/>
            <w:bottom w:w="0" w:type="dxa"/>
            <w:right w:w="108" w:type="dxa"/>
          </w:tblCellMar>
        </w:tblPrEx>
        <w:trPr>
          <w:trHeight w:val="225" w:hRule="atLeast"/>
        </w:trPr>
        <w:tc>
          <w:tcPr>
            <w:tcW w:w="2021" w:type="dxa"/>
            <w:vMerge w:val="restart"/>
            <w:tcBorders>
              <w:top w:val="nil"/>
              <w:left w:val="single" w:color="auto" w:sz="4" w:space="0"/>
              <w:bottom w:val="single" w:color="auto" w:sz="4" w:space="0"/>
              <w:right w:val="single" w:color="auto" w:sz="4" w:space="0"/>
            </w:tcBorders>
            <w:vAlign w:val="bottom"/>
          </w:tcPr>
          <w:p w14:paraId="516ED4CF">
            <w:pPr>
              <w:widowControl/>
              <w:jc w:val="center"/>
              <w:rPr>
                <w:rFonts w:ascii="仿宋_GB2312" w:hAnsi="仿宋" w:eastAsia="仿宋_GB2312" w:cs="宋体"/>
                <w:b/>
                <w:bCs/>
                <w:sz w:val="21"/>
                <w:szCs w:val="18"/>
              </w:rPr>
            </w:pPr>
            <w:r>
              <w:rPr>
                <w:rFonts w:hint="eastAsia" w:ascii="仿宋_GB2312" w:hAnsi="仿宋" w:eastAsia="仿宋_GB2312" w:cs="宋体"/>
                <w:b/>
                <w:bCs/>
                <w:sz w:val="21"/>
                <w:szCs w:val="18"/>
              </w:rPr>
              <w:t>工业</w:t>
            </w:r>
          </w:p>
        </w:tc>
        <w:tc>
          <w:tcPr>
            <w:tcW w:w="1504" w:type="dxa"/>
            <w:tcBorders>
              <w:top w:val="nil"/>
              <w:left w:val="nil"/>
              <w:bottom w:val="single" w:color="auto" w:sz="4" w:space="0"/>
              <w:right w:val="single" w:color="auto" w:sz="4" w:space="0"/>
            </w:tcBorders>
            <w:vAlign w:val="center"/>
          </w:tcPr>
          <w:p w14:paraId="2A89B18E">
            <w:pPr>
              <w:widowControl/>
              <w:rPr>
                <w:rFonts w:ascii="仿宋_GB2312" w:hAnsi="仿宋" w:eastAsia="仿宋_GB2312" w:cs="宋体"/>
                <w:sz w:val="21"/>
                <w:szCs w:val="18"/>
              </w:rPr>
            </w:pPr>
            <w:r>
              <w:rPr>
                <w:rFonts w:hint="eastAsia" w:ascii="仿宋_GB2312" w:hAnsi="仿宋" w:eastAsia="仿宋_GB2312" w:cs="宋体"/>
                <w:sz w:val="21"/>
                <w:szCs w:val="18"/>
              </w:rPr>
              <w:t>从业人员（X）</w:t>
            </w:r>
          </w:p>
        </w:tc>
        <w:tc>
          <w:tcPr>
            <w:tcW w:w="1200" w:type="dxa"/>
            <w:tcBorders>
              <w:top w:val="nil"/>
              <w:left w:val="nil"/>
              <w:bottom w:val="single" w:color="auto" w:sz="4" w:space="0"/>
              <w:right w:val="single" w:color="auto" w:sz="4" w:space="0"/>
            </w:tcBorders>
            <w:vAlign w:val="center"/>
          </w:tcPr>
          <w:p w14:paraId="6B0DE6DE">
            <w:pPr>
              <w:widowControl/>
              <w:rPr>
                <w:rFonts w:ascii="仿宋_GB2312" w:hAnsi="仿宋" w:eastAsia="仿宋_GB2312" w:cs="宋体"/>
                <w:sz w:val="21"/>
                <w:szCs w:val="18"/>
              </w:rPr>
            </w:pPr>
            <w:r>
              <w:rPr>
                <w:rFonts w:hint="eastAsia" w:ascii="仿宋_GB2312" w:hAnsi="仿宋" w:eastAsia="仿宋_GB2312" w:cs="宋体"/>
                <w:sz w:val="21"/>
                <w:szCs w:val="18"/>
              </w:rPr>
              <w:t>人</w:t>
            </w:r>
          </w:p>
        </w:tc>
        <w:tc>
          <w:tcPr>
            <w:tcW w:w="1995" w:type="dxa"/>
            <w:tcBorders>
              <w:top w:val="nil"/>
              <w:left w:val="nil"/>
              <w:bottom w:val="single" w:color="auto" w:sz="4" w:space="0"/>
              <w:right w:val="single" w:color="auto" w:sz="4" w:space="0"/>
            </w:tcBorders>
            <w:vAlign w:val="center"/>
          </w:tcPr>
          <w:p w14:paraId="11744208">
            <w:pPr>
              <w:widowControl/>
              <w:rPr>
                <w:rFonts w:ascii="仿宋_GB2312" w:hAnsi="仿宋" w:eastAsia="仿宋_GB2312" w:cs="宋体"/>
                <w:sz w:val="21"/>
                <w:szCs w:val="18"/>
              </w:rPr>
            </w:pPr>
            <w:r>
              <w:rPr>
                <w:rFonts w:hint="eastAsia" w:ascii="仿宋_GB2312" w:hAnsi="仿宋" w:eastAsia="仿宋_GB2312" w:cs="宋体"/>
                <w:sz w:val="21"/>
                <w:szCs w:val="18"/>
              </w:rPr>
              <w:t>300≤X＜1000</w:t>
            </w:r>
          </w:p>
        </w:tc>
        <w:tc>
          <w:tcPr>
            <w:tcW w:w="1922" w:type="dxa"/>
            <w:tcBorders>
              <w:top w:val="nil"/>
              <w:left w:val="nil"/>
              <w:bottom w:val="single" w:color="auto" w:sz="4" w:space="0"/>
              <w:right w:val="single" w:color="auto" w:sz="4" w:space="0"/>
            </w:tcBorders>
            <w:vAlign w:val="center"/>
          </w:tcPr>
          <w:p w14:paraId="4876FCED">
            <w:pPr>
              <w:widowControl/>
              <w:rPr>
                <w:rFonts w:ascii="仿宋_GB2312" w:hAnsi="仿宋" w:eastAsia="仿宋_GB2312" w:cs="宋体"/>
                <w:sz w:val="21"/>
                <w:szCs w:val="18"/>
              </w:rPr>
            </w:pPr>
            <w:r>
              <w:rPr>
                <w:rFonts w:hint="eastAsia" w:ascii="仿宋_GB2312" w:hAnsi="仿宋" w:eastAsia="仿宋_GB2312" w:cs="宋体"/>
                <w:sz w:val="21"/>
                <w:szCs w:val="18"/>
              </w:rPr>
              <w:t>20≤X＜300</w:t>
            </w:r>
          </w:p>
        </w:tc>
        <w:tc>
          <w:tcPr>
            <w:tcW w:w="1098" w:type="dxa"/>
            <w:tcBorders>
              <w:top w:val="nil"/>
              <w:left w:val="nil"/>
              <w:bottom w:val="single" w:color="auto" w:sz="4" w:space="0"/>
              <w:right w:val="single" w:color="auto" w:sz="4" w:space="0"/>
            </w:tcBorders>
            <w:vAlign w:val="center"/>
          </w:tcPr>
          <w:p w14:paraId="7405A8C5">
            <w:pPr>
              <w:widowControl/>
              <w:rPr>
                <w:rFonts w:ascii="仿宋_GB2312" w:hAnsi="仿宋" w:eastAsia="仿宋_GB2312" w:cs="宋体"/>
                <w:sz w:val="21"/>
                <w:szCs w:val="18"/>
              </w:rPr>
            </w:pPr>
            <w:r>
              <w:rPr>
                <w:rFonts w:hint="eastAsia" w:ascii="仿宋_GB2312" w:hAnsi="仿宋" w:eastAsia="仿宋_GB2312" w:cs="宋体"/>
                <w:sz w:val="21"/>
                <w:szCs w:val="18"/>
              </w:rPr>
              <w:t>X＜20</w:t>
            </w:r>
          </w:p>
        </w:tc>
      </w:tr>
      <w:tr w14:paraId="05F3F6B4">
        <w:tblPrEx>
          <w:tblCellMar>
            <w:top w:w="0" w:type="dxa"/>
            <w:left w:w="108" w:type="dxa"/>
            <w:bottom w:w="0" w:type="dxa"/>
            <w:right w:w="108" w:type="dxa"/>
          </w:tblCellMar>
        </w:tblPrEx>
        <w:trPr>
          <w:trHeight w:val="225" w:hRule="atLeast"/>
        </w:trPr>
        <w:tc>
          <w:tcPr>
            <w:tcW w:w="2021" w:type="dxa"/>
            <w:vMerge w:val="continue"/>
            <w:tcBorders>
              <w:top w:val="nil"/>
              <w:left w:val="single" w:color="auto" w:sz="4" w:space="0"/>
              <w:bottom w:val="single" w:color="auto" w:sz="4" w:space="0"/>
              <w:right w:val="single" w:color="auto" w:sz="4" w:space="0"/>
            </w:tcBorders>
            <w:vAlign w:val="center"/>
          </w:tcPr>
          <w:p w14:paraId="3045EFB8">
            <w:pPr>
              <w:widowControl/>
              <w:rPr>
                <w:rFonts w:ascii="仿宋_GB2312" w:hAnsi="仿宋" w:eastAsia="仿宋_GB2312" w:cs="宋体"/>
                <w:b/>
                <w:bCs/>
                <w:sz w:val="21"/>
                <w:szCs w:val="18"/>
              </w:rPr>
            </w:pPr>
          </w:p>
        </w:tc>
        <w:tc>
          <w:tcPr>
            <w:tcW w:w="1504" w:type="dxa"/>
            <w:tcBorders>
              <w:top w:val="nil"/>
              <w:left w:val="nil"/>
              <w:bottom w:val="single" w:color="auto" w:sz="4" w:space="0"/>
              <w:right w:val="single" w:color="auto" w:sz="4" w:space="0"/>
            </w:tcBorders>
            <w:vAlign w:val="center"/>
          </w:tcPr>
          <w:p w14:paraId="5879AABD">
            <w:pPr>
              <w:widowControl/>
              <w:rPr>
                <w:rFonts w:ascii="仿宋_GB2312" w:hAnsi="仿宋" w:eastAsia="仿宋_GB2312" w:cs="宋体"/>
                <w:sz w:val="21"/>
                <w:szCs w:val="18"/>
              </w:rPr>
            </w:pPr>
            <w:r>
              <w:rPr>
                <w:rFonts w:hint="eastAsia" w:ascii="仿宋_GB2312" w:hAnsi="仿宋" w:eastAsia="仿宋_GB2312" w:cs="宋体"/>
                <w:sz w:val="21"/>
                <w:szCs w:val="18"/>
              </w:rPr>
              <w:t>营业收入（Y）</w:t>
            </w:r>
          </w:p>
        </w:tc>
        <w:tc>
          <w:tcPr>
            <w:tcW w:w="1200" w:type="dxa"/>
            <w:tcBorders>
              <w:top w:val="nil"/>
              <w:left w:val="nil"/>
              <w:bottom w:val="single" w:color="auto" w:sz="4" w:space="0"/>
              <w:right w:val="single" w:color="auto" w:sz="4" w:space="0"/>
            </w:tcBorders>
            <w:vAlign w:val="center"/>
          </w:tcPr>
          <w:p w14:paraId="0DCCBE53">
            <w:pPr>
              <w:widowControl/>
              <w:rPr>
                <w:rFonts w:ascii="仿宋_GB2312" w:hAnsi="仿宋" w:eastAsia="仿宋_GB2312" w:cs="宋体"/>
                <w:sz w:val="21"/>
                <w:szCs w:val="18"/>
              </w:rPr>
            </w:pPr>
            <w:r>
              <w:rPr>
                <w:rFonts w:hint="eastAsia" w:ascii="仿宋_GB2312" w:hAnsi="仿宋" w:eastAsia="仿宋_GB2312" w:cs="宋体"/>
                <w:sz w:val="21"/>
                <w:szCs w:val="18"/>
              </w:rPr>
              <w:t>万元</w:t>
            </w:r>
          </w:p>
        </w:tc>
        <w:tc>
          <w:tcPr>
            <w:tcW w:w="1995" w:type="dxa"/>
            <w:tcBorders>
              <w:top w:val="nil"/>
              <w:left w:val="nil"/>
              <w:bottom w:val="single" w:color="auto" w:sz="4" w:space="0"/>
              <w:right w:val="single" w:color="auto" w:sz="4" w:space="0"/>
            </w:tcBorders>
            <w:vAlign w:val="center"/>
          </w:tcPr>
          <w:p w14:paraId="79D5F74A">
            <w:pPr>
              <w:widowControl/>
              <w:rPr>
                <w:rFonts w:ascii="仿宋_GB2312" w:hAnsi="仿宋" w:eastAsia="仿宋_GB2312" w:cs="宋体"/>
                <w:sz w:val="21"/>
                <w:szCs w:val="18"/>
              </w:rPr>
            </w:pPr>
            <w:r>
              <w:rPr>
                <w:rFonts w:hint="eastAsia" w:ascii="仿宋_GB2312" w:hAnsi="仿宋" w:eastAsia="仿宋_GB2312" w:cs="宋体"/>
                <w:sz w:val="21"/>
                <w:szCs w:val="18"/>
              </w:rPr>
              <w:t>2000≤Y＜40000</w:t>
            </w:r>
          </w:p>
        </w:tc>
        <w:tc>
          <w:tcPr>
            <w:tcW w:w="1922" w:type="dxa"/>
            <w:tcBorders>
              <w:top w:val="nil"/>
              <w:left w:val="nil"/>
              <w:bottom w:val="single" w:color="auto" w:sz="4" w:space="0"/>
              <w:right w:val="single" w:color="auto" w:sz="4" w:space="0"/>
            </w:tcBorders>
            <w:vAlign w:val="center"/>
          </w:tcPr>
          <w:p w14:paraId="2FE6624C">
            <w:pPr>
              <w:widowControl/>
              <w:rPr>
                <w:rFonts w:ascii="仿宋_GB2312" w:hAnsi="仿宋" w:eastAsia="仿宋_GB2312" w:cs="宋体"/>
                <w:sz w:val="21"/>
                <w:szCs w:val="18"/>
              </w:rPr>
            </w:pPr>
            <w:r>
              <w:rPr>
                <w:rFonts w:hint="eastAsia" w:ascii="仿宋_GB2312" w:hAnsi="仿宋" w:eastAsia="仿宋_GB2312" w:cs="宋体"/>
                <w:sz w:val="21"/>
                <w:szCs w:val="18"/>
              </w:rPr>
              <w:t>300≤Y＜2000</w:t>
            </w:r>
          </w:p>
        </w:tc>
        <w:tc>
          <w:tcPr>
            <w:tcW w:w="1098" w:type="dxa"/>
            <w:tcBorders>
              <w:top w:val="nil"/>
              <w:left w:val="nil"/>
              <w:bottom w:val="single" w:color="auto" w:sz="4" w:space="0"/>
              <w:right w:val="single" w:color="auto" w:sz="4" w:space="0"/>
            </w:tcBorders>
            <w:vAlign w:val="center"/>
          </w:tcPr>
          <w:p w14:paraId="425F77E9">
            <w:pPr>
              <w:widowControl/>
              <w:rPr>
                <w:rFonts w:ascii="仿宋_GB2312" w:hAnsi="仿宋" w:eastAsia="仿宋_GB2312" w:cs="宋体"/>
                <w:sz w:val="21"/>
                <w:szCs w:val="18"/>
              </w:rPr>
            </w:pPr>
            <w:r>
              <w:rPr>
                <w:rFonts w:hint="eastAsia" w:ascii="仿宋_GB2312" w:hAnsi="仿宋" w:eastAsia="仿宋_GB2312" w:cs="宋体"/>
                <w:sz w:val="21"/>
                <w:szCs w:val="18"/>
              </w:rPr>
              <w:t>Y＜300</w:t>
            </w:r>
          </w:p>
        </w:tc>
      </w:tr>
      <w:tr w14:paraId="71AB72A7">
        <w:tblPrEx>
          <w:tblCellMar>
            <w:top w:w="0" w:type="dxa"/>
            <w:left w:w="108" w:type="dxa"/>
            <w:bottom w:w="0" w:type="dxa"/>
            <w:right w:w="108" w:type="dxa"/>
          </w:tblCellMar>
        </w:tblPrEx>
        <w:trPr>
          <w:trHeight w:val="225" w:hRule="atLeast"/>
        </w:trPr>
        <w:tc>
          <w:tcPr>
            <w:tcW w:w="2021" w:type="dxa"/>
            <w:vMerge w:val="restart"/>
            <w:tcBorders>
              <w:top w:val="nil"/>
              <w:left w:val="single" w:color="auto" w:sz="4" w:space="0"/>
              <w:bottom w:val="single" w:color="auto" w:sz="4" w:space="0"/>
              <w:right w:val="single" w:color="auto" w:sz="4" w:space="0"/>
            </w:tcBorders>
            <w:vAlign w:val="bottom"/>
          </w:tcPr>
          <w:p w14:paraId="2D09CB2B">
            <w:pPr>
              <w:widowControl/>
              <w:jc w:val="center"/>
              <w:rPr>
                <w:rFonts w:ascii="仿宋_GB2312" w:hAnsi="仿宋" w:eastAsia="仿宋_GB2312" w:cs="宋体"/>
                <w:b/>
                <w:bCs/>
                <w:sz w:val="21"/>
                <w:szCs w:val="18"/>
              </w:rPr>
            </w:pPr>
            <w:r>
              <w:rPr>
                <w:rFonts w:hint="eastAsia" w:ascii="仿宋_GB2312" w:hAnsi="仿宋" w:eastAsia="仿宋_GB2312" w:cs="宋体"/>
                <w:b/>
                <w:bCs/>
                <w:sz w:val="21"/>
                <w:szCs w:val="18"/>
              </w:rPr>
              <w:t>建筑业</w:t>
            </w:r>
          </w:p>
        </w:tc>
        <w:tc>
          <w:tcPr>
            <w:tcW w:w="1504" w:type="dxa"/>
            <w:tcBorders>
              <w:top w:val="nil"/>
              <w:left w:val="nil"/>
              <w:bottom w:val="single" w:color="auto" w:sz="4" w:space="0"/>
              <w:right w:val="single" w:color="auto" w:sz="4" w:space="0"/>
            </w:tcBorders>
            <w:vAlign w:val="center"/>
          </w:tcPr>
          <w:p w14:paraId="51D6E05F">
            <w:pPr>
              <w:widowControl/>
              <w:rPr>
                <w:rFonts w:ascii="仿宋_GB2312" w:hAnsi="仿宋" w:eastAsia="仿宋_GB2312" w:cs="宋体"/>
                <w:sz w:val="21"/>
                <w:szCs w:val="18"/>
              </w:rPr>
            </w:pPr>
            <w:r>
              <w:rPr>
                <w:rFonts w:hint="eastAsia" w:ascii="仿宋_GB2312" w:hAnsi="仿宋" w:eastAsia="仿宋_GB2312" w:cs="宋体"/>
                <w:sz w:val="21"/>
                <w:szCs w:val="18"/>
              </w:rPr>
              <w:t>营业收入（Y）</w:t>
            </w:r>
          </w:p>
        </w:tc>
        <w:tc>
          <w:tcPr>
            <w:tcW w:w="1200" w:type="dxa"/>
            <w:tcBorders>
              <w:top w:val="nil"/>
              <w:left w:val="nil"/>
              <w:bottom w:val="single" w:color="auto" w:sz="4" w:space="0"/>
              <w:right w:val="single" w:color="auto" w:sz="4" w:space="0"/>
            </w:tcBorders>
            <w:vAlign w:val="center"/>
          </w:tcPr>
          <w:p w14:paraId="4307D8C9">
            <w:pPr>
              <w:widowControl/>
              <w:rPr>
                <w:rFonts w:ascii="仿宋_GB2312" w:hAnsi="仿宋" w:eastAsia="仿宋_GB2312" w:cs="宋体"/>
                <w:sz w:val="21"/>
                <w:szCs w:val="18"/>
              </w:rPr>
            </w:pPr>
            <w:r>
              <w:rPr>
                <w:rFonts w:hint="eastAsia" w:ascii="仿宋_GB2312" w:hAnsi="仿宋" w:eastAsia="仿宋_GB2312" w:cs="宋体"/>
                <w:sz w:val="21"/>
                <w:szCs w:val="18"/>
              </w:rPr>
              <w:t>万元</w:t>
            </w:r>
          </w:p>
        </w:tc>
        <w:tc>
          <w:tcPr>
            <w:tcW w:w="1995" w:type="dxa"/>
            <w:tcBorders>
              <w:top w:val="nil"/>
              <w:left w:val="nil"/>
              <w:bottom w:val="single" w:color="auto" w:sz="4" w:space="0"/>
              <w:right w:val="single" w:color="auto" w:sz="4" w:space="0"/>
            </w:tcBorders>
            <w:vAlign w:val="center"/>
          </w:tcPr>
          <w:p w14:paraId="4B633466">
            <w:pPr>
              <w:widowControl/>
              <w:rPr>
                <w:rFonts w:ascii="仿宋_GB2312" w:hAnsi="仿宋" w:eastAsia="仿宋_GB2312" w:cs="宋体"/>
                <w:sz w:val="21"/>
                <w:szCs w:val="18"/>
              </w:rPr>
            </w:pPr>
            <w:r>
              <w:rPr>
                <w:rFonts w:hint="eastAsia" w:ascii="仿宋_GB2312" w:hAnsi="仿宋" w:eastAsia="仿宋_GB2312" w:cs="宋体"/>
                <w:sz w:val="21"/>
                <w:szCs w:val="18"/>
              </w:rPr>
              <w:t>6000≤Y＜80000</w:t>
            </w:r>
          </w:p>
        </w:tc>
        <w:tc>
          <w:tcPr>
            <w:tcW w:w="1922" w:type="dxa"/>
            <w:tcBorders>
              <w:top w:val="nil"/>
              <w:left w:val="nil"/>
              <w:bottom w:val="single" w:color="auto" w:sz="4" w:space="0"/>
              <w:right w:val="single" w:color="auto" w:sz="4" w:space="0"/>
            </w:tcBorders>
            <w:vAlign w:val="center"/>
          </w:tcPr>
          <w:p w14:paraId="3B2B1E18">
            <w:pPr>
              <w:widowControl/>
              <w:rPr>
                <w:rFonts w:ascii="仿宋_GB2312" w:hAnsi="仿宋" w:eastAsia="仿宋_GB2312" w:cs="宋体"/>
                <w:sz w:val="21"/>
                <w:szCs w:val="18"/>
              </w:rPr>
            </w:pPr>
            <w:r>
              <w:rPr>
                <w:rFonts w:hint="eastAsia" w:ascii="仿宋_GB2312" w:hAnsi="仿宋" w:eastAsia="仿宋_GB2312" w:cs="宋体"/>
                <w:sz w:val="21"/>
                <w:szCs w:val="18"/>
              </w:rPr>
              <w:t>300≤Y＜6000</w:t>
            </w:r>
          </w:p>
        </w:tc>
        <w:tc>
          <w:tcPr>
            <w:tcW w:w="1098" w:type="dxa"/>
            <w:tcBorders>
              <w:top w:val="nil"/>
              <w:left w:val="nil"/>
              <w:bottom w:val="single" w:color="auto" w:sz="4" w:space="0"/>
              <w:right w:val="single" w:color="auto" w:sz="4" w:space="0"/>
            </w:tcBorders>
            <w:vAlign w:val="center"/>
          </w:tcPr>
          <w:p w14:paraId="7C76761E">
            <w:pPr>
              <w:widowControl/>
              <w:rPr>
                <w:rFonts w:ascii="仿宋_GB2312" w:hAnsi="仿宋" w:eastAsia="仿宋_GB2312" w:cs="宋体"/>
                <w:sz w:val="21"/>
                <w:szCs w:val="18"/>
              </w:rPr>
            </w:pPr>
            <w:r>
              <w:rPr>
                <w:rFonts w:hint="eastAsia" w:ascii="仿宋_GB2312" w:hAnsi="仿宋" w:eastAsia="仿宋_GB2312" w:cs="宋体"/>
                <w:sz w:val="21"/>
                <w:szCs w:val="18"/>
              </w:rPr>
              <w:t>Y＜300</w:t>
            </w:r>
          </w:p>
        </w:tc>
      </w:tr>
      <w:tr w14:paraId="581F1ACE">
        <w:tblPrEx>
          <w:tblCellMar>
            <w:top w:w="0" w:type="dxa"/>
            <w:left w:w="108" w:type="dxa"/>
            <w:bottom w:w="0" w:type="dxa"/>
            <w:right w:w="108" w:type="dxa"/>
          </w:tblCellMar>
        </w:tblPrEx>
        <w:trPr>
          <w:trHeight w:val="225" w:hRule="atLeast"/>
        </w:trPr>
        <w:tc>
          <w:tcPr>
            <w:tcW w:w="2021" w:type="dxa"/>
            <w:vMerge w:val="continue"/>
            <w:tcBorders>
              <w:top w:val="nil"/>
              <w:left w:val="single" w:color="auto" w:sz="4" w:space="0"/>
              <w:bottom w:val="single" w:color="auto" w:sz="4" w:space="0"/>
              <w:right w:val="single" w:color="auto" w:sz="4" w:space="0"/>
            </w:tcBorders>
            <w:vAlign w:val="center"/>
          </w:tcPr>
          <w:p w14:paraId="26DC53DB">
            <w:pPr>
              <w:widowControl/>
              <w:rPr>
                <w:rFonts w:ascii="仿宋_GB2312" w:hAnsi="仿宋" w:eastAsia="仿宋_GB2312" w:cs="宋体"/>
                <w:b/>
                <w:bCs/>
                <w:sz w:val="21"/>
                <w:szCs w:val="18"/>
              </w:rPr>
            </w:pPr>
          </w:p>
        </w:tc>
        <w:tc>
          <w:tcPr>
            <w:tcW w:w="1504" w:type="dxa"/>
            <w:tcBorders>
              <w:top w:val="nil"/>
              <w:left w:val="nil"/>
              <w:bottom w:val="single" w:color="auto" w:sz="4" w:space="0"/>
              <w:right w:val="single" w:color="auto" w:sz="4" w:space="0"/>
            </w:tcBorders>
            <w:vAlign w:val="center"/>
          </w:tcPr>
          <w:p w14:paraId="68C52FAE">
            <w:pPr>
              <w:widowControl/>
              <w:rPr>
                <w:rFonts w:ascii="仿宋_GB2312" w:hAnsi="仿宋" w:eastAsia="仿宋_GB2312" w:cs="宋体"/>
                <w:sz w:val="21"/>
                <w:szCs w:val="18"/>
              </w:rPr>
            </w:pPr>
            <w:r>
              <w:rPr>
                <w:rFonts w:hint="eastAsia" w:ascii="仿宋_GB2312" w:hAnsi="仿宋" w:eastAsia="仿宋_GB2312" w:cs="宋体"/>
                <w:sz w:val="21"/>
                <w:szCs w:val="18"/>
              </w:rPr>
              <w:t>资产总额（Z）</w:t>
            </w:r>
          </w:p>
        </w:tc>
        <w:tc>
          <w:tcPr>
            <w:tcW w:w="1200" w:type="dxa"/>
            <w:tcBorders>
              <w:top w:val="nil"/>
              <w:left w:val="nil"/>
              <w:bottom w:val="single" w:color="auto" w:sz="4" w:space="0"/>
              <w:right w:val="single" w:color="auto" w:sz="4" w:space="0"/>
            </w:tcBorders>
            <w:vAlign w:val="center"/>
          </w:tcPr>
          <w:p w14:paraId="64F501B3">
            <w:pPr>
              <w:widowControl/>
              <w:rPr>
                <w:rFonts w:ascii="仿宋_GB2312" w:hAnsi="仿宋" w:eastAsia="仿宋_GB2312" w:cs="宋体"/>
                <w:sz w:val="21"/>
                <w:szCs w:val="18"/>
              </w:rPr>
            </w:pPr>
            <w:r>
              <w:rPr>
                <w:rFonts w:hint="eastAsia" w:ascii="仿宋_GB2312" w:hAnsi="仿宋" w:eastAsia="仿宋_GB2312" w:cs="宋体"/>
                <w:sz w:val="21"/>
                <w:szCs w:val="18"/>
              </w:rPr>
              <w:t>万元</w:t>
            </w:r>
          </w:p>
        </w:tc>
        <w:tc>
          <w:tcPr>
            <w:tcW w:w="1995" w:type="dxa"/>
            <w:tcBorders>
              <w:top w:val="nil"/>
              <w:left w:val="nil"/>
              <w:bottom w:val="single" w:color="auto" w:sz="4" w:space="0"/>
              <w:right w:val="single" w:color="auto" w:sz="4" w:space="0"/>
            </w:tcBorders>
            <w:vAlign w:val="center"/>
          </w:tcPr>
          <w:p w14:paraId="3A9FEB9E">
            <w:pPr>
              <w:widowControl/>
              <w:rPr>
                <w:rFonts w:ascii="仿宋_GB2312" w:hAnsi="仿宋" w:eastAsia="仿宋_GB2312" w:cs="宋体"/>
                <w:sz w:val="21"/>
                <w:szCs w:val="18"/>
              </w:rPr>
            </w:pPr>
            <w:r>
              <w:rPr>
                <w:rFonts w:hint="eastAsia" w:ascii="仿宋_GB2312" w:hAnsi="仿宋" w:eastAsia="仿宋_GB2312" w:cs="宋体"/>
                <w:sz w:val="21"/>
                <w:szCs w:val="18"/>
              </w:rPr>
              <w:t>5000≤Z＜80000</w:t>
            </w:r>
          </w:p>
        </w:tc>
        <w:tc>
          <w:tcPr>
            <w:tcW w:w="1922" w:type="dxa"/>
            <w:tcBorders>
              <w:top w:val="nil"/>
              <w:left w:val="nil"/>
              <w:bottom w:val="single" w:color="auto" w:sz="4" w:space="0"/>
              <w:right w:val="single" w:color="auto" w:sz="4" w:space="0"/>
            </w:tcBorders>
            <w:vAlign w:val="center"/>
          </w:tcPr>
          <w:p w14:paraId="43E2E049">
            <w:pPr>
              <w:widowControl/>
              <w:rPr>
                <w:rFonts w:ascii="仿宋_GB2312" w:hAnsi="仿宋" w:eastAsia="仿宋_GB2312" w:cs="宋体"/>
                <w:sz w:val="21"/>
                <w:szCs w:val="18"/>
              </w:rPr>
            </w:pPr>
            <w:r>
              <w:rPr>
                <w:rFonts w:hint="eastAsia" w:ascii="仿宋_GB2312" w:hAnsi="仿宋" w:eastAsia="仿宋_GB2312" w:cs="宋体"/>
                <w:sz w:val="21"/>
                <w:szCs w:val="18"/>
              </w:rPr>
              <w:t>300≤Z＜5000</w:t>
            </w:r>
          </w:p>
        </w:tc>
        <w:tc>
          <w:tcPr>
            <w:tcW w:w="1098" w:type="dxa"/>
            <w:tcBorders>
              <w:top w:val="nil"/>
              <w:left w:val="nil"/>
              <w:bottom w:val="single" w:color="auto" w:sz="4" w:space="0"/>
              <w:right w:val="single" w:color="auto" w:sz="4" w:space="0"/>
            </w:tcBorders>
            <w:vAlign w:val="center"/>
          </w:tcPr>
          <w:p w14:paraId="3F03689D">
            <w:pPr>
              <w:widowControl/>
              <w:rPr>
                <w:rFonts w:ascii="仿宋_GB2312" w:hAnsi="仿宋" w:eastAsia="仿宋_GB2312" w:cs="宋体"/>
                <w:sz w:val="21"/>
                <w:szCs w:val="18"/>
              </w:rPr>
            </w:pPr>
            <w:r>
              <w:rPr>
                <w:rFonts w:hint="eastAsia" w:ascii="仿宋_GB2312" w:hAnsi="仿宋" w:eastAsia="仿宋_GB2312" w:cs="宋体"/>
                <w:sz w:val="21"/>
                <w:szCs w:val="18"/>
              </w:rPr>
              <w:t>Z＜300</w:t>
            </w:r>
          </w:p>
        </w:tc>
      </w:tr>
      <w:tr w14:paraId="1F9013FD">
        <w:tblPrEx>
          <w:tblCellMar>
            <w:top w:w="0" w:type="dxa"/>
            <w:left w:w="108" w:type="dxa"/>
            <w:bottom w:w="0" w:type="dxa"/>
            <w:right w:w="108" w:type="dxa"/>
          </w:tblCellMar>
        </w:tblPrEx>
        <w:trPr>
          <w:trHeight w:val="225" w:hRule="atLeast"/>
        </w:trPr>
        <w:tc>
          <w:tcPr>
            <w:tcW w:w="2021" w:type="dxa"/>
            <w:vMerge w:val="restart"/>
            <w:tcBorders>
              <w:top w:val="nil"/>
              <w:left w:val="single" w:color="auto" w:sz="4" w:space="0"/>
              <w:bottom w:val="single" w:color="auto" w:sz="4" w:space="0"/>
              <w:right w:val="single" w:color="auto" w:sz="4" w:space="0"/>
            </w:tcBorders>
            <w:vAlign w:val="bottom"/>
          </w:tcPr>
          <w:p w14:paraId="16092EC5">
            <w:pPr>
              <w:widowControl/>
              <w:jc w:val="center"/>
              <w:rPr>
                <w:rFonts w:ascii="仿宋_GB2312" w:hAnsi="仿宋" w:eastAsia="仿宋_GB2312" w:cs="宋体"/>
                <w:b/>
                <w:bCs/>
                <w:sz w:val="21"/>
                <w:szCs w:val="18"/>
              </w:rPr>
            </w:pPr>
            <w:r>
              <w:rPr>
                <w:rFonts w:hint="eastAsia" w:ascii="仿宋_GB2312" w:hAnsi="仿宋" w:eastAsia="仿宋_GB2312" w:cs="宋体"/>
                <w:b/>
                <w:bCs/>
                <w:sz w:val="21"/>
                <w:szCs w:val="18"/>
              </w:rPr>
              <w:t>批发业</w:t>
            </w:r>
          </w:p>
        </w:tc>
        <w:tc>
          <w:tcPr>
            <w:tcW w:w="1504" w:type="dxa"/>
            <w:tcBorders>
              <w:top w:val="nil"/>
              <w:left w:val="nil"/>
              <w:bottom w:val="single" w:color="auto" w:sz="4" w:space="0"/>
              <w:right w:val="single" w:color="auto" w:sz="4" w:space="0"/>
            </w:tcBorders>
            <w:vAlign w:val="center"/>
          </w:tcPr>
          <w:p w14:paraId="336346A0">
            <w:pPr>
              <w:widowControl/>
              <w:rPr>
                <w:rFonts w:ascii="仿宋_GB2312" w:hAnsi="仿宋" w:eastAsia="仿宋_GB2312" w:cs="宋体"/>
                <w:sz w:val="21"/>
                <w:szCs w:val="18"/>
              </w:rPr>
            </w:pPr>
            <w:r>
              <w:rPr>
                <w:rFonts w:hint="eastAsia" w:ascii="仿宋_GB2312" w:hAnsi="仿宋" w:eastAsia="仿宋_GB2312" w:cs="宋体"/>
                <w:sz w:val="21"/>
                <w:szCs w:val="18"/>
              </w:rPr>
              <w:t>从业人员（X）</w:t>
            </w:r>
          </w:p>
        </w:tc>
        <w:tc>
          <w:tcPr>
            <w:tcW w:w="1200" w:type="dxa"/>
            <w:tcBorders>
              <w:top w:val="nil"/>
              <w:left w:val="nil"/>
              <w:bottom w:val="single" w:color="auto" w:sz="4" w:space="0"/>
              <w:right w:val="single" w:color="auto" w:sz="4" w:space="0"/>
            </w:tcBorders>
            <w:vAlign w:val="center"/>
          </w:tcPr>
          <w:p w14:paraId="15E26648">
            <w:pPr>
              <w:widowControl/>
              <w:rPr>
                <w:rFonts w:ascii="仿宋_GB2312" w:hAnsi="仿宋" w:eastAsia="仿宋_GB2312" w:cs="宋体"/>
                <w:sz w:val="21"/>
                <w:szCs w:val="18"/>
              </w:rPr>
            </w:pPr>
            <w:r>
              <w:rPr>
                <w:rFonts w:hint="eastAsia" w:ascii="仿宋_GB2312" w:hAnsi="仿宋" w:eastAsia="仿宋_GB2312" w:cs="宋体"/>
                <w:sz w:val="21"/>
                <w:szCs w:val="18"/>
              </w:rPr>
              <w:t>人</w:t>
            </w:r>
          </w:p>
        </w:tc>
        <w:tc>
          <w:tcPr>
            <w:tcW w:w="1995" w:type="dxa"/>
            <w:tcBorders>
              <w:top w:val="nil"/>
              <w:left w:val="nil"/>
              <w:bottom w:val="single" w:color="auto" w:sz="4" w:space="0"/>
              <w:right w:val="single" w:color="auto" w:sz="4" w:space="0"/>
            </w:tcBorders>
            <w:vAlign w:val="center"/>
          </w:tcPr>
          <w:p w14:paraId="4B24EC00">
            <w:pPr>
              <w:widowControl/>
              <w:rPr>
                <w:rFonts w:ascii="仿宋_GB2312" w:hAnsi="仿宋" w:eastAsia="仿宋_GB2312" w:cs="宋体"/>
                <w:sz w:val="21"/>
                <w:szCs w:val="18"/>
              </w:rPr>
            </w:pPr>
            <w:r>
              <w:rPr>
                <w:rFonts w:hint="eastAsia" w:ascii="仿宋_GB2312" w:hAnsi="仿宋" w:eastAsia="仿宋_GB2312" w:cs="宋体"/>
                <w:sz w:val="21"/>
                <w:szCs w:val="18"/>
              </w:rPr>
              <w:t>20≤X＜200</w:t>
            </w:r>
          </w:p>
        </w:tc>
        <w:tc>
          <w:tcPr>
            <w:tcW w:w="1922" w:type="dxa"/>
            <w:tcBorders>
              <w:top w:val="nil"/>
              <w:left w:val="nil"/>
              <w:bottom w:val="single" w:color="auto" w:sz="4" w:space="0"/>
              <w:right w:val="single" w:color="auto" w:sz="4" w:space="0"/>
            </w:tcBorders>
            <w:vAlign w:val="center"/>
          </w:tcPr>
          <w:p w14:paraId="5E26D856">
            <w:pPr>
              <w:widowControl/>
              <w:rPr>
                <w:rFonts w:ascii="仿宋_GB2312" w:hAnsi="仿宋" w:eastAsia="仿宋_GB2312" w:cs="宋体"/>
                <w:sz w:val="21"/>
                <w:szCs w:val="18"/>
              </w:rPr>
            </w:pPr>
            <w:r>
              <w:rPr>
                <w:rFonts w:hint="eastAsia" w:ascii="仿宋_GB2312" w:hAnsi="仿宋" w:eastAsia="仿宋_GB2312" w:cs="宋体"/>
                <w:sz w:val="21"/>
                <w:szCs w:val="18"/>
              </w:rPr>
              <w:t>5≤X＜20</w:t>
            </w:r>
          </w:p>
        </w:tc>
        <w:tc>
          <w:tcPr>
            <w:tcW w:w="1098" w:type="dxa"/>
            <w:tcBorders>
              <w:top w:val="nil"/>
              <w:left w:val="nil"/>
              <w:bottom w:val="single" w:color="auto" w:sz="4" w:space="0"/>
              <w:right w:val="single" w:color="auto" w:sz="4" w:space="0"/>
            </w:tcBorders>
            <w:vAlign w:val="center"/>
          </w:tcPr>
          <w:p w14:paraId="25B139A7">
            <w:pPr>
              <w:widowControl/>
              <w:rPr>
                <w:rFonts w:ascii="仿宋_GB2312" w:hAnsi="仿宋" w:eastAsia="仿宋_GB2312" w:cs="宋体"/>
                <w:sz w:val="21"/>
                <w:szCs w:val="18"/>
              </w:rPr>
            </w:pPr>
            <w:r>
              <w:rPr>
                <w:rFonts w:hint="eastAsia" w:ascii="仿宋_GB2312" w:hAnsi="仿宋" w:eastAsia="仿宋_GB2312" w:cs="宋体"/>
                <w:sz w:val="21"/>
                <w:szCs w:val="18"/>
              </w:rPr>
              <w:t>X＜5</w:t>
            </w:r>
          </w:p>
        </w:tc>
      </w:tr>
      <w:tr w14:paraId="1ECF8F83">
        <w:tblPrEx>
          <w:tblCellMar>
            <w:top w:w="0" w:type="dxa"/>
            <w:left w:w="108" w:type="dxa"/>
            <w:bottom w:w="0" w:type="dxa"/>
            <w:right w:w="108" w:type="dxa"/>
          </w:tblCellMar>
        </w:tblPrEx>
        <w:trPr>
          <w:trHeight w:val="225" w:hRule="atLeast"/>
        </w:trPr>
        <w:tc>
          <w:tcPr>
            <w:tcW w:w="2021" w:type="dxa"/>
            <w:vMerge w:val="continue"/>
            <w:tcBorders>
              <w:top w:val="nil"/>
              <w:left w:val="single" w:color="auto" w:sz="4" w:space="0"/>
              <w:bottom w:val="single" w:color="auto" w:sz="4" w:space="0"/>
              <w:right w:val="single" w:color="auto" w:sz="4" w:space="0"/>
            </w:tcBorders>
            <w:vAlign w:val="center"/>
          </w:tcPr>
          <w:p w14:paraId="3836CF1D">
            <w:pPr>
              <w:widowControl/>
              <w:rPr>
                <w:rFonts w:ascii="仿宋_GB2312" w:hAnsi="仿宋" w:eastAsia="仿宋_GB2312" w:cs="宋体"/>
                <w:b/>
                <w:bCs/>
                <w:sz w:val="21"/>
                <w:szCs w:val="18"/>
              </w:rPr>
            </w:pPr>
          </w:p>
        </w:tc>
        <w:tc>
          <w:tcPr>
            <w:tcW w:w="1504" w:type="dxa"/>
            <w:tcBorders>
              <w:top w:val="nil"/>
              <w:left w:val="nil"/>
              <w:bottom w:val="single" w:color="auto" w:sz="4" w:space="0"/>
              <w:right w:val="single" w:color="auto" w:sz="4" w:space="0"/>
            </w:tcBorders>
            <w:vAlign w:val="center"/>
          </w:tcPr>
          <w:p w14:paraId="7557F805">
            <w:pPr>
              <w:widowControl/>
              <w:rPr>
                <w:rFonts w:ascii="仿宋_GB2312" w:hAnsi="仿宋" w:eastAsia="仿宋_GB2312" w:cs="宋体"/>
                <w:sz w:val="21"/>
                <w:szCs w:val="18"/>
              </w:rPr>
            </w:pPr>
            <w:r>
              <w:rPr>
                <w:rFonts w:hint="eastAsia" w:ascii="仿宋_GB2312" w:hAnsi="仿宋" w:eastAsia="仿宋_GB2312" w:cs="宋体"/>
                <w:sz w:val="21"/>
                <w:szCs w:val="18"/>
              </w:rPr>
              <w:t>营业收入（Y）</w:t>
            </w:r>
          </w:p>
        </w:tc>
        <w:tc>
          <w:tcPr>
            <w:tcW w:w="1200" w:type="dxa"/>
            <w:tcBorders>
              <w:top w:val="nil"/>
              <w:left w:val="nil"/>
              <w:bottom w:val="single" w:color="auto" w:sz="4" w:space="0"/>
              <w:right w:val="single" w:color="auto" w:sz="4" w:space="0"/>
            </w:tcBorders>
            <w:vAlign w:val="center"/>
          </w:tcPr>
          <w:p w14:paraId="4ED67E7E">
            <w:pPr>
              <w:widowControl/>
              <w:rPr>
                <w:rFonts w:ascii="仿宋_GB2312" w:hAnsi="仿宋" w:eastAsia="仿宋_GB2312" w:cs="宋体"/>
                <w:sz w:val="21"/>
                <w:szCs w:val="18"/>
              </w:rPr>
            </w:pPr>
            <w:r>
              <w:rPr>
                <w:rFonts w:hint="eastAsia" w:ascii="仿宋_GB2312" w:hAnsi="仿宋" w:eastAsia="仿宋_GB2312" w:cs="宋体"/>
                <w:sz w:val="21"/>
                <w:szCs w:val="18"/>
              </w:rPr>
              <w:t>万元</w:t>
            </w:r>
          </w:p>
        </w:tc>
        <w:tc>
          <w:tcPr>
            <w:tcW w:w="1995" w:type="dxa"/>
            <w:tcBorders>
              <w:top w:val="nil"/>
              <w:left w:val="nil"/>
              <w:bottom w:val="single" w:color="auto" w:sz="4" w:space="0"/>
              <w:right w:val="single" w:color="auto" w:sz="4" w:space="0"/>
            </w:tcBorders>
            <w:vAlign w:val="center"/>
          </w:tcPr>
          <w:p w14:paraId="4189EAC6">
            <w:pPr>
              <w:widowControl/>
              <w:rPr>
                <w:rFonts w:ascii="仿宋_GB2312" w:hAnsi="仿宋" w:eastAsia="仿宋_GB2312" w:cs="宋体"/>
                <w:sz w:val="21"/>
                <w:szCs w:val="18"/>
              </w:rPr>
            </w:pPr>
            <w:r>
              <w:rPr>
                <w:rFonts w:hint="eastAsia" w:ascii="仿宋_GB2312" w:hAnsi="仿宋" w:eastAsia="仿宋_GB2312" w:cs="宋体"/>
                <w:sz w:val="21"/>
                <w:szCs w:val="18"/>
              </w:rPr>
              <w:t>5000≤Y＜40000</w:t>
            </w:r>
          </w:p>
        </w:tc>
        <w:tc>
          <w:tcPr>
            <w:tcW w:w="1922" w:type="dxa"/>
            <w:tcBorders>
              <w:top w:val="nil"/>
              <w:left w:val="nil"/>
              <w:bottom w:val="single" w:color="auto" w:sz="4" w:space="0"/>
              <w:right w:val="single" w:color="auto" w:sz="4" w:space="0"/>
            </w:tcBorders>
            <w:vAlign w:val="center"/>
          </w:tcPr>
          <w:p w14:paraId="69E1700F">
            <w:pPr>
              <w:widowControl/>
              <w:rPr>
                <w:rFonts w:ascii="仿宋_GB2312" w:hAnsi="仿宋" w:eastAsia="仿宋_GB2312" w:cs="宋体"/>
                <w:sz w:val="21"/>
                <w:szCs w:val="18"/>
              </w:rPr>
            </w:pPr>
            <w:r>
              <w:rPr>
                <w:rFonts w:hint="eastAsia" w:ascii="仿宋_GB2312" w:hAnsi="仿宋" w:eastAsia="仿宋_GB2312" w:cs="宋体"/>
                <w:sz w:val="21"/>
                <w:szCs w:val="18"/>
              </w:rPr>
              <w:t>1000≤Y＜5000</w:t>
            </w:r>
          </w:p>
        </w:tc>
        <w:tc>
          <w:tcPr>
            <w:tcW w:w="1098" w:type="dxa"/>
            <w:tcBorders>
              <w:top w:val="nil"/>
              <w:left w:val="nil"/>
              <w:bottom w:val="single" w:color="auto" w:sz="4" w:space="0"/>
              <w:right w:val="single" w:color="auto" w:sz="4" w:space="0"/>
            </w:tcBorders>
            <w:vAlign w:val="center"/>
          </w:tcPr>
          <w:p w14:paraId="21E55330">
            <w:pPr>
              <w:widowControl/>
              <w:rPr>
                <w:rFonts w:ascii="仿宋_GB2312" w:hAnsi="仿宋" w:eastAsia="仿宋_GB2312" w:cs="宋体"/>
                <w:sz w:val="21"/>
                <w:szCs w:val="18"/>
              </w:rPr>
            </w:pPr>
            <w:r>
              <w:rPr>
                <w:rFonts w:hint="eastAsia" w:ascii="仿宋_GB2312" w:hAnsi="仿宋" w:eastAsia="仿宋_GB2312" w:cs="宋体"/>
                <w:sz w:val="21"/>
                <w:szCs w:val="18"/>
              </w:rPr>
              <w:t>Y＜1000</w:t>
            </w:r>
          </w:p>
        </w:tc>
      </w:tr>
      <w:tr w14:paraId="77D6D0C3">
        <w:tblPrEx>
          <w:tblCellMar>
            <w:top w:w="0" w:type="dxa"/>
            <w:left w:w="108" w:type="dxa"/>
            <w:bottom w:w="0" w:type="dxa"/>
            <w:right w:w="108" w:type="dxa"/>
          </w:tblCellMar>
        </w:tblPrEx>
        <w:trPr>
          <w:trHeight w:val="225" w:hRule="atLeast"/>
        </w:trPr>
        <w:tc>
          <w:tcPr>
            <w:tcW w:w="2021" w:type="dxa"/>
            <w:vMerge w:val="restart"/>
            <w:tcBorders>
              <w:top w:val="nil"/>
              <w:left w:val="single" w:color="auto" w:sz="4" w:space="0"/>
              <w:bottom w:val="single" w:color="auto" w:sz="4" w:space="0"/>
              <w:right w:val="single" w:color="auto" w:sz="4" w:space="0"/>
            </w:tcBorders>
            <w:vAlign w:val="bottom"/>
          </w:tcPr>
          <w:p w14:paraId="0788D88D">
            <w:pPr>
              <w:widowControl/>
              <w:jc w:val="center"/>
              <w:rPr>
                <w:rFonts w:ascii="仿宋_GB2312" w:hAnsi="仿宋" w:eastAsia="仿宋_GB2312" w:cs="宋体"/>
                <w:b/>
                <w:bCs/>
                <w:sz w:val="21"/>
                <w:szCs w:val="18"/>
              </w:rPr>
            </w:pPr>
            <w:r>
              <w:rPr>
                <w:rFonts w:hint="eastAsia" w:ascii="仿宋_GB2312" w:hAnsi="仿宋" w:eastAsia="仿宋_GB2312" w:cs="宋体"/>
                <w:b/>
                <w:bCs/>
                <w:sz w:val="21"/>
                <w:szCs w:val="18"/>
              </w:rPr>
              <w:t>零售业</w:t>
            </w:r>
          </w:p>
        </w:tc>
        <w:tc>
          <w:tcPr>
            <w:tcW w:w="1504" w:type="dxa"/>
            <w:tcBorders>
              <w:top w:val="nil"/>
              <w:left w:val="nil"/>
              <w:bottom w:val="single" w:color="auto" w:sz="4" w:space="0"/>
              <w:right w:val="single" w:color="auto" w:sz="4" w:space="0"/>
            </w:tcBorders>
            <w:vAlign w:val="center"/>
          </w:tcPr>
          <w:p w14:paraId="7A3EEDA5">
            <w:pPr>
              <w:widowControl/>
              <w:rPr>
                <w:rFonts w:ascii="仿宋_GB2312" w:hAnsi="仿宋" w:eastAsia="仿宋_GB2312" w:cs="宋体"/>
                <w:sz w:val="21"/>
                <w:szCs w:val="18"/>
              </w:rPr>
            </w:pPr>
            <w:r>
              <w:rPr>
                <w:rFonts w:hint="eastAsia" w:ascii="仿宋_GB2312" w:hAnsi="仿宋" w:eastAsia="仿宋_GB2312" w:cs="宋体"/>
                <w:sz w:val="21"/>
                <w:szCs w:val="18"/>
              </w:rPr>
              <w:t>从业人员（X）</w:t>
            </w:r>
          </w:p>
        </w:tc>
        <w:tc>
          <w:tcPr>
            <w:tcW w:w="1200" w:type="dxa"/>
            <w:tcBorders>
              <w:top w:val="nil"/>
              <w:left w:val="nil"/>
              <w:bottom w:val="single" w:color="auto" w:sz="4" w:space="0"/>
              <w:right w:val="single" w:color="auto" w:sz="4" w:space="0"/>
            </w:tcBorders>
            <w:vAlign w:val="center"/>
          </w:tcPr>
          <w:p w14:paraId="3B4B94C6">
            <w:pPr>
              <w:widowControl/>
              <w:rPr>
                <w:rFonts w:ascii="仿宋_GB2312" w:hAnsi="仿宋" w:eastAsia="仿宋_GB2312" w:cs="宋体"/>
                <w:sz w:val="21"/>
                <w:szCs w:val="18"/>
              </w:rPr>
            </w:pPr>
            <w:r>
              <w:rPr>
                <w:rFonts w:hint="eastAsia" w:ascii="仿宋_GB2312" w:hAnsi="仿宋" w:eastAsia="仿宋_GB2312" w:cs="宋体"/>
                <w:sz w:val="21"/>
                <w:szCs w:val="18"/>
              </w:rPr>
              <w:t>人</w:t>
            </w:r>
          </w:p>
        </w:tc>
        <w:tc>
          <w:tcPr>
            <w:tcW w:w="1995" w:type="dxa"/>
            <w:tcBorders>
              <w:top w:val="nil"/>
              <w:left w:val="nil"/>
              <w:bottom w:val="single" w:color="auto" w:sz="4" w:space="0"/>
              <w:right w:val="single" w:color="auto" w:sz="4" w:space="0"/>
            </w:tcBorders>
            <w:vAlign w:val="center"/>
          </w:tcPr>
          <w:p w14:paraId="17CE0240">
            <w:pPr>
              <w:widowControl/>
              <w:rPr>
                <w:rFonts w:ascii="仿宋_GB2312" w:hAnsi="仿宋" w:eastAsia="仿宋_GB2312" w:cs="宋体"/>
                <w:sz w:val="21"/>
                <w:szCs w:val="18"/>
              </w:rPr>
            </w:pPr>
            <w:r>
              <w:rPr>
                <w:rFonts w:hint="eastAsia" w:ascii="仿宋_GB2312" w:hAnsi="仿宋" w:eastAsia="仿宋_GB2312" w:cs="宋体"/>
                <w:sz w:val="21"/>
                <w:szCs w:val="18"/>
              </w:rPr>
              <w:t>50≤X＜300</w:t>
            </w:r>
          </w:p>
        </w:tc>
        <w:tc>
          <w:tcPr>
            <w:tcW w:w="1922" w:type="dxa"/>
            <w:tcBorders>
              <w:top w:val="nil"/>
              <w:left w:val="nil"/>
              <w:bottom w:val="single" w:color="auto" w:sz="4" w:space="0"/>
              <w:right w:val="single" w:color="auto" w:sz="4" w:space="0"/>
            </w:tcBorders>
            <w:vAlign w:val="center"/>
          </w:tcPr>
          <w:p w14:paraId="365BE3BA">
            <w:pPr>
              <w:widowControl/>
              <w:rPr>
                <w:rFonts w:ascii="仿宋_GB2312" w:hAnsi="仿宋" w:eastAsia="仿宋_GB2312" w:cs="宋体"/>
                <w:sz w:val="21"/>
                <w:szCs w:val="18"/>
              </w:rPr>
            </w:pPr>
            <w:r>
              <w:rPr>
                <w:rFonts w:hint="eastAsia" w:ascii="仿宋_GB2312" w:hAnsi="仿宋" w:eastAsia="仿宋_GB2312" w:cs="宋体"/>
                <w:sz w:val="21"/>
                <w:szCs w:val="18"/>
              </w:rPr>
              <w:t>10≤X＜50</w:t>
            </w:r>
          </w:p>
        </w:tc>
        <w:tc>
          <w:tcPr>
            <w:tcW w:w="1098" w:type="dxa"/>
            <w:tcBorders>
              <w:top w:val="nil"/>
              <w:left w:val="nil"/>
              <w:bottom w:val="single" w:color="auto" w:sz="4" w:space="0"/>
              <w:right w:val="single" w:color="auto" w:sz="4" w:space="0"/>
            </w:tcBorders>
            <w:vAlign w:val="center"/>
          </w:tcPr>
          <w:p w14:paraId="4F51D006">
            <w:pPr>
              <w:widowControl/>
              <w:rPr>
                <w:rFonts w:ascii="仿宋_GB2312" w:hAnsi="仿宋" w:eastAsia="仿宋_GB2312" w:cs="宋体"/>
                <w:sz w:val="21"/>
                <w:szCs w:val="18"/>
              </w:rPr>
            </w:pPr>
            <w:r>
              <w:rPr>
                <w:rFonts w:hint="eastAsia" w:ascii="仿宋_GB2312" w:hAnsi="仿宋" w:eastAsia="仿宋_GB2312" w:cs="宋体"/>
                <w:sz w:val="21"/>
                <w:szCs w:val="18"/>
              </w:rPr>
              <w:t>X＜10</w:t>
            </w:r>
          </w:p>
        </w:tc>
      </w:tr>
      <w:tr w14:paraId="78EC20E1">
        <w:tblPrEx>
          <w:tblCellMar>
            <w:top w:w="0" w:type="dxa"/>
            <w:left w:w="108" w:type="dxa"/>
            <w:bottom w:w="0" w:type="dxa"/>
            <w:right w:w="108" w:type="dxa"/>
          </w:tblCellMar>
        </w:tblPrEx>
        <w:trPr>
          <w:trHeight w:val="225" w:hRule="atLeast"/>
        </w:trPr>
        <w:tc>
          <w:tcPr>
            <w:tcW w:w="2021" w:type="dxa"/>
            <w:vMerge w:val="continue"/>
            <w:tcBorders>
              <w:top w:val="nil"/>
              <w:left w:val="single" w:color="auto" w:sz="4" w:space="0"/>
              <w:bottom w:val="single" w:color="auto" w:sz="4" w:space="0"/>
              <w:right w:val="single" w:color="auto" w:sz="4" w:space="0"/>
            </w:tcBorders>
            <w:vAlign w:val="center"/>
          </w:tcPr>
          <w:p w14:paraId="7D47AE4D">
            <w:pPr>
              <w:widowControl/>
              <w:rPr>
                <w:rFonts w:ascii="仿宋_GB2312" w:hAnsi="仿宋" w:eastAsia="仿宋_GB2312" w:cs="宋体"/>
                <w:b/>
                <w:bCs/>
                <w:sz w:val="21"/>
                <w:szCs w:val="18"/>
              </w:rPr>
            </w:pPr>
          </w:p>
        </w:tc>
        <w:tc>
          <w:tcPr>
            <w:tcW w:w="1504" w:type="dxa"/>
            <w:tcBorders>
              <w:top w:val="nil"/>
              <w:left w:val="nil"/>
              <w:bottom w:val="single" w:color="auto" w:sz="4" w:space="0"/>
              <w:right w:val="single" w:color="auto" w:sz="4" w:space="0"/>
            </w:tcBorders>
            <w:vAlign w:val="center"/>
          </w:tcPr>
          <w:p w14:paraId="5C3A56A2">
            <w:pPr>
              <w:widowControl/>
              <w:rPr>
                <w:rFonts w:ascii="仿宋_GB2312" w:hAnsi="仿宋" w:eastAsia="仿宋_GB2312" w:cs="宋体"/>
                <w:sz w:val="21"/>
                <w:szCs w:val="18"/>
              </w:rPr>
            </w:pPr>
            <w:r>
              <w:rPr>
                <w:rFonts w:hint="eastAsia" w:ascii="仿宋_GB2312" w:hAnsi="仿宋" w:eastAsia="仿宋_GB2312" w:cs="宋体"/>
                <w:sz w:val="21"/>
                <w:szCs w:val="18"/>
              </w:rPr>
              <w:t>营业收入（Y）</w:t>
            </w:r>
          </w:p>
        </w:tc>
        <w:tc>
          <w:tcPr>
            <w:tcW w:w="1200" w:type="dxa"/>
            <w:tcBorders>
              <w:top w:val="nil"/>
              <w:left w:val="nil"/>
              <w:bottom w:val="single" w:color="auto" w:sz="4" w:space="0"/>
              <w:right w:val="single" w:color="auto" w:sz="4" w:space="0"/>
            </w:tcBorders>
            <w:vAlign w:val="center"/>
          </w:tcPr>
          <w:p w14:paraId="0C4C32A8">
            <w:pPr>
              <w:widowControl/>
              <w:rPr>
                <w:rFonts w:ascii="仿宋_GB2312" w:hAnsi="仿宋" w:eastAsia="仿宋_GB2312" w:cs="宋体"/>
                <w:sz w:val="21"/>
                <w:szCs w:val="18"/>
              </w:rPr>
            </w:pPr>
            <w:r>
              <w:rPr>
                <w:rFonts w:hint="eastAsia" w:ascii="仿宋_GB2312" w:hAnsi="仿宋" w:eastAsia="仿宋_GB2312" w:cs="宋体"/>
                <w:sz w:val="21"/>
                <w:szCs w:val="18"/>
              </w:rPr>
              <w:t>万元</w:t>
            </w:r>
          </w:p>
        </w:tc>
        <w:tc>
          <w:tcPr>
            <w:tcW w:w="1995" w:type="dxa"/>
            <w:tcBorders>
              <w:top w:val="nil"/>
              <w:left w:val="nil"/>
              <w:bottom w:val="single" w:color="auto" w:sz="4" w:space="0"/>
              <w:right w:val="single" w:color="auto" w:sz="4" w:space="0"/>
            </w:tcBorders>
            <w:vAlign w:val="center"/>
          </w:tcPr>
          <w:p w14:paraId="4A236AC6">
            <w:pPr>
              <w:widowControl/>
              <w:rPr>
                <w:rFonts w:ascii="仿宋_GB2312" w:hAnsi="仿宋" w:eastAsia="仿宋_GB2312" w:cs="宋体"/>
                <w:sz w:val="21"/>
                <w:szCs w:val="18"/>
              </w:rPr>
            </w:pPr>
            <w:r>
              <w:rPr>
                <w:rFonts w:hint="eastAsia" w:ascii="仿宋_GB2312" w:hAnsi="仿宋" w:eastAsia="仿宋_GB2312" w:cs="宋体"/>
                <w:sz w:val="21"/>
                <w:szCs w:val="18"/>
              </w:rPr>
              <w:t>500≤Y＜20000</w:t>
            </w:r>
          </w:p>
        </w:tc>
        <w:tc>
          <w:tcPr>
            <w:tcW w:w="1922" w:type="dxa"/>
            <w:tcBorders>
              <w:top w:val="nil"/>
              <w:left w:val="nil"/>
              <w:bottom w:val="single" w:color="auto" w:sz="4" w:space="0"/>
              <w:right w:val="single" w:color="auto" w:sz="4" w:space="0"/>
            </w:tcBorders>
            <w:vAlign w:val="center"/>
          </w:tcPr>
          <w:p w14:paraId="13127E0E">
            <w:pPr>
              <w:widowControl/>
              <w:rPr>
                <w:rFonts w:ascii="仿宋_GB2312" w:hAnsi="仿宋" w:eastAsia="仿宋_GB2312" w:cs="宋体"/>
                <w:sz w:val="21"/>
                <w:szCs w:val="18"/>
              </w:rPr>
            </w:pPr>
            <w:r>
              <w:rPr>
                <w:rFonts w:hint="eastAsia" w:ascii="仿宋_GB2312" w:hAnsi="仿宋" w:eastAsia="仿宋_GB2312" w:cs="宋体"/>
                <w:sz w:val="21"/>
                <w:szCs w:val="18"/>
              </w:rPr>
              <w:t>100≤Y＜500</w:t>
            </w:r>
          </w:p>
        </w:tc>
        <w:tc>
          <w:tcPr>
            <w:tcW w:w="1098" w:type="dxa"/>
            <w:tcBorders>
              <w:top w:val="nil"/>
              <w:left w:val="nil"/>
              <w:bottom w:val="single" w:color="auto" w:sz="4" w:space="0"/>
              <w:right w:val="single" w:color="auto" w:sz="4" w:space="0"/>
            </w:tcBorders>
            <w:vAlign w:val="center"/>
          </w:tcPr>
          <w:p w14:paraId="19B6BB8F">
            <w:pPr>
              <w:widowControl/>
              <w:rPr>
                <w:rFonts w:ascii="仿宋_GB2312" w:hAnsi="仿宋" w:eastAsia="仿宋_GB2312" w:cs="宋体"/>
                <w:sz w:val="21"/>
                <w:szCs w:val="18"/>
              </w:rPr>
            </w:pPr>
            <w:r>
              <w:rPr>
                <w:rFonts w:hint="eastAsia" w:ascii="仿宋_GB2312" w:hAnsi="仿宋" w:eastAsia="仿宋_GB2312" w:cs="宋体"/>
                <w:sz w:val="21"/>
                <w:szCs w:val="18"/>
              </w:rPr>
              <w:t>Y＜100</w:t>
            </w:r>
          </w:p>
        </w:tc>
      </w:tr>
      <w:tr w14:paraId="13E613FB">
        <w:tblPrEx>
          <w:tblCellMar>
            <w:top w:w="0" w:type="dxa"/>
            <w:left w:w="108" w:type="dxa"/>
            <w:bottom w:w="0" w:type="dxa"/>
            <w:right w:w="108" w:type="dxa"/>
          </w:tblCellMar>
        </w:tblPrEx>
        <w:trPr>
          <w:trHeight w:val="225" w:hRule="atLeast"/>
        </w:trPr>
        <w:tc>
          <w:tcPr>
            <w:tcW w:w="2021" w:type="dxa"/>
            <w:vMerge w:val="restart"/>
            <w:tcBorders>
              <w:top w:val="nil"/>
              <w:left w:val="single" w:color="auto" w:sz="4" w:space="0"/>
              <w:bottom w:val="single" w:color="auto" w:sz="4" w:space="0"/>
              <w:right w:val="single" w:color="auto" w:sz="4" w:space="0"/>
            </w:tcBorders>
            <w:vAlign w:val="bottom"/>
          </w:tcPr>
          <w:p w14:paraId="1CA9721A">
            <w:pPr>
              <w:widowControl/>
              <w:jc w:val="center"/>
              <w:rPr>
                <w:rFonts w:ascii="仿宋_GB2312" w:hAnsi="仿宋" w:eastAsia="仿宋_GB2312" w:cs="宋体"/>
                <w:b/>
                <w:bCs/>
                <w:sz w:val="21"/>
                <w:szCs w:val="18"/>
              </w:rPr>
            </w:pPr>
            <w:r>
              <w:rPr>
                <w:rFonts w:hint="eastAsia" w:ascii="仿宋_GB2312" w:hAnsi="仿宋" w:eastAsia="仿宋_GB2312" w:cs="宋体"/>
                <w:b/>
                <w:bCs/>
                <w:sz w:val="21"/>
                <w:szCs w:val="18"/>
              </w:rPr>
              <w:t>交通运输业</w:t>
            </w:r>
          </w:p>
        </w:tc>
        <w:tc>
          <w:tcPr>
            <w:tcW w:w="1504" w:type="dxa"/>
            <w:tcBorders>
              <w:top w:val="nil"/>
              <w:left w:val="nil"/>
              <w:bottom w:val="single" w:color="auto" w:sz="4" w:space="0"/>
              <w:right w:val="single" w:color="auto" w:sz="4" w:space="0"/>
            </w:tcBorders>
            <w:vAlign w:val="center"/>
          </w:tcPr>
          <w:p w14:paraId="68D1781E">
            <w:pPr>
              <w:widowControl/>
              <w:rPr>
                <w:rFonts w:ascii="仿宋_GB2312" w:hAnsi="仿宋" w:eastAsia="仿宋_GB2312" w:cs="宋体"/>
                <w:sz w:val="21"/>
                <w:szCs w:val="18"/>
              </w:rPr>
            </w:pPr>
            <w:r>
              <w:rPr>
                <w:rFonts w:hint="eastAsia" w:ascii="仿宋_GB2312" w:hAnsi="仿宋" w:eastAsia="仿宋_GB2312" w:cs="宋体"/>
                <w:sz w:val="21"/>
                <w:szCs w:val="18"/>
              </w:rPr>
              <w:t>从业人员（X）</w:t>
            </w:r>
          </w:p>
        </w:tc>
        <w:tc>
          <w:tcPr>
            <w:tcW w:w="1200" w:type="dxa"/>
            <w:tcBorders>
              <w:top w:val="nil"/>
              <w:left w:val="nil"/>
              <w:bottom w:val="single" w:color="auto" w:sz="4" w:space="0"/>
              <w:right w:val="single" w:color="auto" w:sz="4" w:space="0"/>
            </w:tcBorders>
            <w:vAlign w:val="center"/>
          </w:tcPr>
          <w:p w14:paraId="56F200F1">
            <w:pPr>
              <w:widowControl/>
              <w:rPr>
                <w:rFonts w:ascii="仿宋_GB2312" w:hAnsi="仿宋" w:eastAsia="仿宋_GB2312" w:cs="宋体"/>
                <w:sz w:val="21"/>
                <w:szCs w:val="18"/>
              </w:rPr>
            </w:pPr>
            <w:r>
              <w:rPr>
                <w:rFonts w:hint="eastAsia" w:ascii="仿宋_GB2312" w:hAnsi="仿宋" w:eastAsia="仿宋_GB2312" w:cs="宋体"/>
                <w:sz w:val="21"/>
                <w:szCs w:val="18"/>
              </w:rPr>
              <w:t>人</w:t>
            </w:r>
          </w:p>
        </w:tc>
        <w:tc>
          <w:tcPr>
            <w:tcW w:w="1995" w:type="dxa"/>
            <w:tcBorders>
              <w:top w:val="nil"/>
              <w:left w:val="nil"/>
              <w:bottom w:val="single" w:color="auto" w:sz="4" w:space="0"/>
              <w:right w:val="single" w:color="auto" w:sz="4" w:space="0"/>
            </w:tcBorders>
            <w:vAlign w:val="center"/>
          </w:tcPr>
          <w:p w14:paraId="2E0C51D1">
            <w:pPr>
              <w:widowControl/>
              <w:rPr>
                <w:rFonts w:ascii="仿宋_GB2312" w:hAnsi="仿宋" w:eastAsia="仿宋_GB2312" w:cs="宋体"/>
                <w:sz w:val="21"/>
                <w:szCs w:val="18"/>
              </w:rPr>
            </w:pPr>
            <w:r>
              <w:rPr>
                <w:rFonts w:hint="eastAsia" w:ascii="仿宋_GB2312" w:hAnsi="仿宋" w:eastAsia="仿宋_GB2312" w:cs="宋体"/>
                <w:sz w:val="21"/>
                <w:szCs w:val="18"/>
              </w:rPr>
              <w:t>300≤X＜1000</w:t>
            </w:r>
          </w:p>
        </w:tc>
        <w:tc>
          <w:tcPr>
            <w:tcW w:w="1922" w:type="dxa"/>
            <w:tcBorders>
              <w:top w:val="nil"/>
              <w:left w:val="nil"/>
              <w:bottom w:val="single" w:color="auto" w:sz="4" w:space="0"/>
              <w:right w:val="single" w:color="auto" w:sz="4" w:space="0"/>
            </w:tcBorders>
            <w:vAlign w:val="center"/>
          </w:tcPr>
          <w:p w14:paraId="43FD52D9">
            <w:pPr>
              <w:widowControl/>
              <w:rPr>
                <w:rFonts w:ascii="仿宋_GB2312" w:hAnsi="仿宋" w:eastAsia="仿宋_GB2312" w:cs="宋体"/>
                <w:sz w:val="21"/>
                <w:szCs w:val="18"/>
              </w:rPr>
            </w:pPr>
            <w:r>
              <w:rPr>
                <w:rFonts w:hint="eastAsia" w:ascii="仿宋_GB2312" w:hAnsi="仿宋" w:eastAsia="仿宋_GB2312" w:cs="宋体"/>
                <w:sz w:val="21"/>
                <w:szCs w:val="18"/>
              </w:rPr>
              <w:t>20≤X＜300</w:t>
            </w:r>
          </w:p>
        </w:tc>
        <w:tc>
          <w:tcPr>
            <w:tcW w:w="1098" w:type="dxa"/>
            <w:tcBorders>
              <w:top w:val="nil"/>
              <w:left w:val="nil"/>
              <w:bottom w:val="single" w:color="auto" w:sz="4" w:space="0"/>
              <w:right w:val="single" w:color="auto" w:sz="4" w:space="0"/>
            </w:tcBorders>
            <w:vAlign w:val="center"/>
          </w:tcPr>
          <w:p w14:paraId="66C0D5A5">
            <w:pPr>
              <w:widowControl/>
              <w:rPr>
                <w:rFonts w:ascii="仿宋_GB2312" w:hAnsi="仿宋" w:eastAsia="仿宋_GB2312" w:cs="宋体"/>
                <w:sz w:val="21"/>
                <w:szCs w:val="18"/>
              </w:rPr>
            </w:pPr>
            <w:r>
              <w:rPr>
                <w:rFonts w:hint="eastAsia" w:ascii="仿宋_GB2312" w:hAnsi="仿宋" w:eastAsia="仿宋_GB2312" w:cs="宋体"/>
                <w:sz w:val="21"/>
                <w:szCs w:val="18"/>
              </w:rPr>
              <w:t>X＜20</w:t>
            </w:r>
          </w:p>
        </w:tc>
      </w:tr>
      <w:tr w14:paraId="17843BBF">
        <w:tblPrEx>
          <w:tblCellMar>
            <w:top w:w="0" w:type="dxa"/>
            <w:left w:w="108" w:type="dxa"/>
            <w:bottom w:w="0" w:type="dxa"/>
            <w:right w:w="108" w:type="dxa"/>
          </w:tblCellMar>
        </w:tblPrEx>
        <w:trPr>
          <w:trHeight w:val="225" w:hRule="atLeast"/>
        </w:trPr>
        <w:tc>
          <w:tcPr>
            <w:tcW w:w="2021" w:type="dxa"/>
            <w:vMerge w:val="continue"/>
            <w:tcBorders>
              <w:top w:val="nil"/>
              <w:left w:val="single" w:color="auto" w:sz="4" w:space="0"/>
              <w:bottom w:val="single" w:color="auto" w:sz="4" w:space="0"/>
              <w:right w:val="single" w:color="auto" w:sz="4" w:space="0"/>
            </w:tcBorders>
            <w:vAlign w:val="center"/>
          </w:tcPr>
          <w:p w14:paraId="325E5A32">
            <w:pPr>
              <w:widowControl/>
              <w:rPr>
                <w:rFonts w:ascii="仿宋_GB2312" w:hAnsi="仿宋" w:eastAsia="仿宋_GB2312" w:cs="宋体"/>
                <w:b/>
                <w:bCs/>
                <w:sz w:val="21"/>
                <w:szCs w:val="18"/>
              </w:rPr>
            </w:pPr>
          </w:p>
        </w:tc>
        <w:tc>
          <w:tcPr>
            <w:tcW w:w="1504" w:type="dxa"/>
            <w:tcBorders>
              <w:top w:val="nil"/>
              <w:left w:val="nil"/>
              <w:bottom w:val="single" w:color="auto" w:sz="4" w:space="0"/>
              <w:right w:val="single" w:color="auto" w:sz="4" w:space="0"/>
            </w:tcBorders>
            <w:vAlign w:val="center"/>
          </w:tcPr>
          <w:p w14:paraId="3B07256D">
            <w:pPr>
              <w:widowControl/>
              <w:rPr>
                <w:rFonts w:ascii="仿宋_GB2312" w:hAnsi="仿宋" w:eastAsia="仿宋_GB2312" w:cs="宋体"/>
                <w:sz w:val="21"/>
                <w:szCs w:val="18"/>
              </w:rPr>
            </w:pPr>
            <w:r>
              <w:rPr>
                <w:rFonts w:hint="eastAsia" w:ascii="仿宋_GB2312" w:hAnsi="仿宋" w:eastAsia="仿宋_GB2312" w:cs="宋体"/>
                <w:sz w:val="21"/>
                <w:szCs w:val="18"/>
              </w:rPr>
              <w:t>营业收入（Y）</w:t>
            </w:r>
          </w:p>
        </w:tc>
        <w:tc>
          <w:tcPr>
            <w:tcW w:w="1200" w:type="dxa"/>
            <w:tcBorders>
              <w:top w:val="nil"/>
              <w:left w:val="nil"/>
              <w:bottom w:val="single" w:color="auto" w:sz="4" w:space="0"/>
              <w:right w:val="single" w:color="auto" w:sz="4" w:space="0"/>
            </w:tcBorders>
            <w:vAlign w:val="center"/>
          </w:tcPr>
          <w:p w14:paraId="599EB8F3">
            <w:pPr>
              <w:widowControl/>
              <w:rPr>
                <w:rFonts w:ascii="仿宋_GB2312" w:hAnsi="仿宋" w:eastAsia="仿宋_GB2312" w:cs="宋体"/>
                <w:sz w:val="21"/>
                <w:szCs w:val="18"/>
              </w:rPr>
            </w:pPr>
            <w:r>
              <w:rPr>
                <w:rFonts w:hint="eastAsia" w:ascii="仿宋_GB2312" w:hAnsi="仿宋" w:eastAsia="仿宋_GB2312" w:cs="宋体"/>
                <w:sz w:val="21"/>
                <w:szCs w:val="18"/>
              </w:rPr>
              <w:t>万元</w:t>
            </w:r>
          </w:p>
        </w:tc>
        <w:tc>
          <w:tcPr>
            <w:tcW w:w="1995" w:type="dxa"/>
            <w:tcBorders>
              <w:top w:val="nil"/>
              <w:left w:val="nil"/>
              <w:bottom w:val="single" w:color="auto" w:sz="4" w:space="0"/>
              <w:right w:val="single" w:color="auto" w:sz="4" w:space="0"/>
            </w:tcBorders>
            <w:vAlign w:val="center"/>
          </w:tcPr>
          <w:p w14:paraId="22D16D37">
            <w:pPr>
              <w:widowControl/>
              <w:rPr>
                <w:rFonts w:ascii="仿宋_GB2312" w:hAnsi="仿宋" w:eastAsia="仿宋_GB2312" w:cs="宋体"/>
                <w:sz w:val="21"/>
                <w:szCs w:val="18"/>
              </w:rPr>
            </w:pPr>
            <w:r>
              <w:rPr>
                <w:rFonts w:hint="eastAsia" w:ascii="仿宋_GB2312" w:hAnsi="仿宋" w:eastAsia="仿宋_GB2312" w:cs="宋体"/>
                <w:sz w:val="21"/>
                <w:szCs w:val="18"/>
              </w:rPr>
              <w:t>3000≤Y＜30000</w:t>
            </w:r>
          </w:p>
        </w:tc>
        <w:tc>
          <w:tcPr>
            <w:tcW w:w="1922" w:type="dxa"/>
            <w:tcBorders>
              <w:top w:val="nil"/>
              <w:left w:val="nil"/>
              <w:bottom w:val="single" w:color="auto" w:sz="4" w:space="0"/>
              <w:right w:val="single" w:color="auto" w:sz="4" w:space="0"/>
            </w:tcBorders>
            <w:vAlign w:val="center"/>
          </w:tcPr>
          <w:p w14:paraId="468C6D91">
            <w:pPr>
              <w:widowControl/>
              <w:rPr>
                <w:rFonts w:ascii="仿宋_GB2312" w:hAnsi="仿宋" w:eastAsia="仿宋_GB2312" w:cs="宋体"/>
                <w:sz w:val="21"/>
                <w:szCs w:val="18"/>
              </w:rPr>
            </w:pPr>
            <w:r>
              <w:rPr>
                <w:rFonts w:hint="eastAsia" w:ascii="仿宋_GB2312" w:hAnsi="仿宋" w:eastAsia="仿宋_GB2312" w:cs="宋体"/>
                <w:sz w:val="21"/>
                <w:szCs w:val="18"/>
              </w:rPr>
              <w:t>200≤Y＜3000</w:t>
            </w:r>
          </w:p>
        </w:tc>
        <w:tc>
          <w:tcPr>
            <w:tcW w:w="1098" w:type="dxa"/>
            <w:tcBorders>
              <w:top w:val="nil"/>
              <w:left w:val="nil"/>
              <w:bottom w:val="single" w:color="auto" w:sz="4" w:space="0"/>
              <w:right w:val="single" w:color="auto" w:sz="4" w:space="0"/>
            </w:tcBorders>
            <w:vAlign w:val="center"/>
          </w:tcPr>
          <w:p w14:paraId="46E9257F">
            <w:pPr>
              <w:widowControl/>
              <w:rPr>
                <w:rFonts w:ascii="仿宋_GB2312" w:hAnsi="仿宋" w:eastAsia="仿宋_GB2312" w:cs="宋体"/>
                <w:sz w:val="21"/>
                <w:szCs w:val="18"/>
              </w:rPr>
            </w:pPr>
            <w:r>
              <w:rPr>
                <w:rFonts w:hint="eastAsia" w:ascii="仿宋_GB2312" w:hAnsi="仿宋" w:eastAsia="仿宋_GB2312" w:cs="宋体"/>
                <w:sz w:val="21"/>
                <w:szCs w:val="18"/>
              </w:rPr>
              <w:t>Y＜200</w:t>
            </w:r>
          </w:p>
        </w:tc>
      </w:tr>
      <w:tr w14:paraId="4C20D295">
        <w:tblPrEx>
          <w:tblCellMar>
            <w:top w:w="0" w:type="dxa"/>
            <w:left w:w="108" w:type="dxa"/>
            <w:bottom w:w="0" w:type="dxa"/>
            <w:right w:w="108" w:type="dxa"/>
          </w:tblCellMar>
        </w:tblPrEx>
        <w:trPr>
          <w:trHeight w:val="225" w:hRule="atLeast"/>
        </w:trPr>
        <w:tc>
          <w:tcPr>
            <w:tcW w:w="2021" w:type="dxa"/>
            <w:vMerge w:val="restart"/>
            <w:tcBorders>
              <w:top w:val="nil"/>
              <w:left w:val="single" w:color="auto" w:sz="4" w:space="0"/>
              <w:bottom w:val="single" w:color="auto" w:sz="4" w:space="0"/>
              <w:right w:val="single" w:color="auto" w:sz="4" w:space="0"/>
            </w:tcBorders>
            <w:vAlign w:val="bottom"/>
          </w:tcPr>
          <w:p w14:paraId="7B26EFDE">
            <w:pPr>
              <w:widowControl/>
              <w:jc w:val="center"/>
              <w:rPr>
                <w:rFonts w:ascii="仿宋_GB2312" w:hAnsi="仿宋" w:eastAsia="仿宋_GB2312" w:cs="宋体"/>
                <w:b/>
                <w:bCs/>
                <w:sz w:val="21"/>
                <w:szCs w:val="18"/>
              </w:rPr>
            </w:pPr>
            <w:r>
              <w:rPr>
                <w:rFonts w:hint="eastAsia" w:ascii="仿宋_GB2312" w:hAnsi="仿宋" w:eastAsia="仿宋_GB2312" w:cs="宋体"/>
                <w:b/>
                <w:bCs/>
                <w:sz w:val="21"/>
                <w:szCs w:val="18"/>
              </w:rPr>
              <w:t>仓储业</w:t>
            </w:r>
          </w:p>
        </w:tc>
        <w:tc>
          <w:tcPr>
            <w:tcW w:w="1504" w:type="dxa"/>
            <w:tcBorders>
              <w:top w:val="nil"/>
              <w:left w:val="nil"/>
              <w:bottom w:val="single" w:color="auto" w:sz="4" w:space="0"/>
              <w:right w:val="single" w:color="auto" w:sz="4" w:space="0"/>
            </w:tcBorders>
            <w:vAlign w:val="center"/>
          </w:tcPr>
          <w:p w14:paraId="0F8B1201">
            <w:pPr>
              <w:widowControl/>
              <w:rPr>
                <w:rFonts w:ascii="仿宋_GB2312" w:hAnsi="仿宋" w:eastAsia="仿宋_GB2312" w:cs="宋体"/>
                <w:sz w:val="21"/>
                <w:szCs w:val="18"/>
              </w:rPr>
            </w:pPr>
            <w:r>
              <w:rPr>
                <w:rFonts w:hint="eastAsia" w:ascii="仿宋_GB2312" w:hAnsi="仿宋" w:eastAsia="仿宋_GB2312" w:cs="宋体"/>
                <w:sz w:val="21"/>
                <w:szCs w:val="18"/>
              </w:rPr>
              <w:t>从业人员（X）</w:t>
            </w:r>
          </w:p>
        </w:tc>
        <w:tc>
          <w:tcPr>
            <w:tcW w:w="1200" w:type="dxa"/>
            <w:tcBorders>
              <w:top w:val="nil"/>
              <w:left w:val="nil"/>
              <w:bottom w:val="single" w:color="auto" w:sz="4" w:space="0"/>
              <w:right w:val="single" w:color="auto" w:sz="4" w:space="0"/>
            </w:tcBorders>
            <w:vAlign w:val="center"/>
          </w:tcPr>
          <w:p w14:paraId="70FBBE06">
            <w:pPr>
              <w:widowControl/>
              <w:rPr>
                <w:rFonts w:ascii="仿宋_GB2312" w:hAnsi="仿宋" w:eastAsia="仿宋_GB2312" w:cs="宋体"/>
                <w:sz w:val="21"/>
                <w:szCs w:val="18"/>
              </w:rPr>
            </w:pPr>
            <w:r>
              <w:rPr>
                <w:rFonts w:hint="eastAsia" w:ascii="仿宋_GB2312" w:hAnsi="仿宋" w:eastAsia="仿宋_GB2312" w:cs="宋体"/>
                <w:sz w:val="21"/>
                <w:szCs w:val="18"/>
              </w:rPr>
              <w:t>人</w:t>
            </w:r>
          </w:p>
        </w:tc>
        <w:tc>
          <w:tcPr>
            <w:tcW w:w="1995" w:type="dxa"/>
            <w:tcBorders>
              <w:top w:val="nil"/>
              <w:left w:val="nil"/>
              <w:bottom w:val="single" w:color="auto" w:sz="4" w:space="0"/>
              <w:right w:val="single" w:color="auto" w:sz="4" w:space="0"/>
            </w:tcBorders>
            <w:vAlign w:val="center"/>
          </w:tcPr>
          <w:p w14:paraId="49DB9DE6">
            <w:pPr>
              <w:widowControl/>
              <w:rPr>
                <w:rFonts w:ascii="仿宋_GB2312" w:hAnsi="仿宋" w:eastAsia="仿宋_GB2312" w:cs="宋体"/>
                <w:sz w:val="21"/>
                <w:szCs w:val="18"/>
              </w:rPr>
            </w:pPr>
            <w:r>
              <w:rPr>
                <w:rFonts w:hint="eastAsia" w:ascii="仿宋_GB2312" w:hAnsi="仿宋" w:eastAsia="仿宋_GB2312" w:cs="宋体"/>
                <w:sz w:val="21"/>
                <w:szCs w:val="18"/>
              </w:rPr>
              <w:t>100≤X＜200</w:t>
            </w:r>
          </w:p>
        </w:tc>
        <w:tc>
          <w:tcPr>
            <w:tcW w:w="1922" w:type="dxa"/>
            <w:tcBorders>
              <w:top w:val="nil"/>
              <w:left w:val="nil"/>
              <w:bottom w:val="single" w:color="auto" w:sz="4" w:space="0"/>
              <w:right w:val="single" w:color="auto" w:sz="4" w:space="0"/>
            </w:tcBorders>
            <w:vAlign w:val="center"/>
          </w:tcPr>
          <w:p w14:paraId="3A4AE845">
            <w:pPr>
              <w:widowControl/>
              <w:rPr>
                <w:rFonts w:ascii="仿宋_GB2312" w:hAnsi="仿宋" w:eastAsia="仿宋_GB2312" w:cs="宋体"/>
                <w:sz w:val="21"/>
                <w:szCs w:val="18"/>
              </w:rPr>
            </w:pPr>
            <w:r>
              <w:rPr>
                <w:rFonts w:hint="eastAsia" w:ascii="仿宋_GB2312" w:hAnsi="仿宋" w:eastAsia="仿宋_GB2312" w:cs="宋体"/>
                <w:sz w:val="21"/>
                <w:szCs w:val="18"/>
              </w:rPr>
              <w:t>20≤X＜100</w:t>
            </w:r>
          </w:p>
        </w:tc>
        <w:tc>
          <w:tcPr>
            <w:tcW w:w="1098" w:type="dxa"/>
            <w:tcBorders>
              <w:top w:val="nil"/>
              <w:left w:val="nil"/>
              <w:bottom w:val="single" w:color="auto" w:sz="4" w:space="0"/>
              <w:right w:val="single" w:color="auto" w:sz="4" w:space="0"/>
            </w:tcBorders>
            <w:vAlign w:val="center"/>
          </w:tcPr>
          <w:p w14:paraId="20AAAD65">
            <w:pPr>
              <w:widowControl/>
              <w:rPr>
                <w:rFonts w:ascii="仿宋_GB2312" w:hAnsi="仿宋" w:eastAsia="仿宋_GB2312" w:cs="宋体"/>
                <w:sz w:val="21"/>
                <w:szCs w:val="18"/>
              </w:rPr>
            </w:pPr>
            <w:r>
              <w:rPr>
                <w:rFonts w:hint="eastAsia" w:ascii="仿宋_GB2312" w:hAnsi="仿宋" w:eastAsia="仿宋_GB2312" w:cs="宋体"/>
                <w:sz w:val="21"/>
                <w:szCs w:val="18"/>
              </w:rPr>
              <w:t>X＜20</w:t>
            </w:r>
          </w:p>
        </w:tc>
      </w:tr>
      <w:tr w14:paraId="6EB8DB40">
        <w:tblPrEx>
          <w:tblCellMar>
            <w:top w:w="0" w:type="dxa"/>
            <w:left w:w="108" w:type="dxa"/>
            <w:bottom w:w="0" w:type="dxa"/>
            <w:right w:w="108" w:type="dxa"/>
          </w:tblCellMar>
        </w:tblPrEx>
        <w:trPr>
          <w:trHeight w:val="225" w:hRule="atLeast"/>
        </w:trPr>
        <w:tc>
          <w:tcPr>
            <w:tcW w:w="2021" w:type="dxa"/>
            <w:vMerge w:val="continue"/>
            <w:tcBorders>
              <w:top w:val="nil"/>
              <w:left w:val="single" w:color="auto" w:sz="4" w:space="0"/>
              <w:bottom w:val="single" w:color="auto" w:sz="4" w:space="0"/>
              <w:right w:val="single" w:color="auto" w:sz="4" w:space="0"/>
            </w:tcBorders>
            <w:vAlign w:val="center"/>
          </w:tcPr>
          <w:p w14:paraId="3D06F1FD">
            <w:pPr>
              <w:widowControl/>
              <w:rPr>
                <w:rFonts w:ascii="仿宋_GB2312" w:hAnsi="仿宋" w:eastAsia="仿宋_GB2312" w:cs="宋体"/>
                <w:b/>
                <w:bCs/>
                <w:sz w:val="21"/>
                <w:szCs w:val="18"/>
              </w:rPr>
            </w:pPr>
          </w:p>
        </w:tc>
        <w:tc>
          <w:tcPr>
            <w:tcW w:w="1504" w:type="dxa"/>
            <w:tcBorders>
              <w:top w:val="nil"/>
              <w:left w:val="nil"/>
              <w:bottom w:val="single" w:color="auto" w:sz="4" w:space="0"/>
              <w:right w:val="single" w:color="auto" w:sz="4" w:space="0"/>
            </w:tcBorders>
            <w:vAlign w:val="center"/>
          </w:tcPr>
          <w:p w14:paraId="0BBE6127">
            <w:pPr>
              <w:widowControl/>
              <w:rPr>
                <w:rFonts w:ascii="仿宋_GB2312" w:hAnsi="仿宋" w:eastAsia="仿宋_GB2312" w:cs="宋体"/>
                <w:sz w:val="21"/>
                <w:szCs w:val="18"/>
              </w:rPr>
            </w:pPr>
            <w:r>
              <w:rPr>
                <w:rFonts w:hint="eastAsia" w:ascii="仿宋_GB2312" w:hAnsi="仿宋" w:eastAsia="仿宋_GB2312" w:cs="宋体"/>
                <w:sz w:val="21"/>
                <w:szCs w:val="18"/>
              </w:rPr>
              <w:t>营业收入（Y）</w:t>
            </w:r>
          </w:p>
        </w:tc>
        <w:tc>
          <w:tcPr>
            <w:tcW w:w="1200" w:type="dxa"/>
            <w:tcBorders>
              <w:top w:val="nil"/>
              <w:left w:val="nil"/>
              <w:bottom w:val="single" w:color="auto" w:sz="4" w:space="0"/>
              <w:right w:val="single" w:color="auto" w:sz="4" w:space="0"/>
            </w:tcBorders>
            <w:vAlign w:val="center"/>
          </w:tcPr>
          <w:p w14:paraId="68A7E702">
            <w:pPr>
              <w:widowControl/>
              <w:rPr>
                <w:rFonts w:ascii="仿宋_GB2312" w:hAnsi="仿宋" w:eastAsia="仿宋_GB2312" w:cs="宋体"/>
                <w:sz w:val="21"/>
                <w:szCs w:val="18"/>
              </w:rPr>
            </w:pPr>
            <w:r>
              <w:rPr>
                <w:rFonts w:hint="eastAsia" w:ascii="仿宋_GB2312" w:hAnsi="仿宋" w:eastAsia="仿宋_GB2312" w:cs="宋体"/>
                <w:sz w:val="21"/>
                <w:szCs w:val="18"/>
              </w:rPr>
              <w:t>万元</w:t>
            </w:r>
          </w:p>
        </w:tc>
        <w:tc>
          <w:tcPr>
            <w:tcW w:w="1995" w:type="dxa"/>
            <w:tcBorders>
              <w:top w:val="nil"/>
              <w:left w:val="nil"/>
              <w:bottom w:val="single" w:color="auto" w:sz="4" w:space="0"/>
              <w:right w:val="single" w:color="auto" w:sz="4" w:space="0"/>
            </w:tcBorders>
            <w:vAlign w:val="center"/>
          </w:tcPr>
          <w:p w14:paraId="393B13C2">
            <w:pPr>
              <w:widowControl/>
              <w:rPr>
                <w:rFonts w:ascii="仿宋_GB2312" w:hAnsi="仿宋" w:eastAsia="仿宋_GB2312" w:cs="宋体"/>
                <w:sz w:val="21"/>
                <w:szCs w:val="18"/>
              </w:rPr>
            </w:pPr>
            <w:r>
              <w:rPr>
                <w:rFonts w:hint="eastAsia" w:ascii="仿宋_GB2312" w:hAnsi="仿宋" w:eastAsia="仿宋_GB2312" w:cs="宋体"/>
                <w:sz w:val="21"/>
                <w:szCs w:val="18"/>
              </w:rPr>
              <w:t>1000≤Y＜30000</w:t>
            </w:r>
          </w:p>
        </w:tc>
        <w:tc>
          <w:tcPr>
            <w:tcW w:w="1922" w:type="dxa"/>
            <w:tcBorders>
              <w:top w:val="nil"/>
              <w:left w:val="nil"/>
              <w:bottom w:val="single" w:color="auto" w:sz="4" w:space="0"/>
              <w:right w:val="single" w:color="auto" w:sz="4" w:space="0"/>
            </w:tcBorders>
            <w:vAlign w:val="center"/>
          </w:tcPr>
          <w:p w14:paraId="35B1219F">
            <w:pPr>
              <w:widowControl/>
              <w:rPr>
                <w:rFonts w:ascii="仿宋_GB2312" w:hAnsi="仿宋" w:eastAsia="仿宋_GB2312" w:cs="宋体"/>
                <w:sz w:val="21"/>
                <w:szCs w:val="18"/>
              </w:rPr>
            </w:pPr>
            <w:r>
              <w:rPr>
                <w:rFonts w:hint="eastAsia" w:ascii="仿宋_GB2312" w:hAnsi="仿宋" w:eastAsia="仿宋_GB2312" w:cs="宋体"/>
                <w:sz w:val="21"/>
                <w:szCs w:val="18"/>
              </w:rPr>
              <w:t>100≤Y＜1000</w:t>
            </w:r>
          </w:p>
        </w:tc>
        <w:tc>
          <w:tcPr>
            <w:tcW w:w="1098" w:type="dxa"/>
            <w:tcBorders>
              <w:top w:val="nil"/>
              <w:left w:val="nil"/>
              <w:bottom w:val="single" w:color="auto" w:sz="4" w:space="0"/>
              <w:right w:val="single" w:color="auto" w:sz="4" w:space="0"/>
            </w:tcBorders>
            <w:vAlign w:val="center"/>
          </w:tcPr>
          <w:p w14:paraId="638AD80A">
            <w:pPr>
              <w:widowControl/>
              <w:rPr>
                <w:rFonts w:ascii="仿宋_GB2312" w:hAnsi="仿宋" w:eastAsia="仿宋_GB2312" w:cs="宋体"/>
                <w:sz w:val="21"/>
                <w:szCs w:val="18"/>
              </w:rPr>
            </w:pPr>
            <w:r>
              <w:rPr>
                <w:rFonts w:hint="eastAsia" w:ascii="仿宋_GB2312" w:hAnsi="仿宋" w:eastAsia="仿宋_GB2312" w:cs="宋体"/>
                <w:sz w:val="21"/>
                <w:szCs w:val="18"/>
              </w:rPr>
              <w:t>Y＜100</w:t>
            </w:r>
          </w:p>
        </w:tc>
      </w:tr>
      <w:tr w14:paraId="6D2CB6F8">
        <w:tblPrEx>
          <w:tblCellMar>
            <w:top w:w="0" w:type="dxa"/>
            <w:left w:w="108" w:type="dxa"/>
            <w:bottom w:w="0" w:type="dxa"/>
            <w:right w:w="108" w:type="dxa"/>
          </w:tblCellMar>
        </w:tblPrEx>
        <w:trPr>
          <w:trHeight w:val="225" w:hRule="atLeast"/>
        </w:trPr>
        <w:tc>
          <w:tcPr>
            <w:tcW w:w="2021" w:type="dxa"/>
            <w:vMerge w:val="restart"/>
            <w:tcBorders>
              <w:top w:val="nil"/>
              <w:left w:val="single" w:color="auto" w:sz="4" w:space="0"/>
              <w:bottom w:val="single" w:color="auto" w:sz="4" w:space="0"/>
              <w:right w:val="single" w:color="auto" w:sz="4" w:space="0"/>
            </w:tcBorders>
            <w:vAlign w:val="bottom"/>
          </w:tcPr>
          <w:p w14:paraId="566EB239">
            <w:pPr>
              <w:widowControl/>
              <w:jc w:val="center"/>
              <w:rPr>
                <w:rFonts w:ascii="仿宋_GB2312" w:hAnsi="仿宋" w:eastAsia="仿宋_GB2312" w:cs="宋体"/>
                <w:b/>
                <w:bCs/>
                <w:sz w:val="21"/>
                <w:szCs w:val="18"/>
              </w:rPr>
            </w:pPr>
            <w:r>
              <w:rPr>
                <w:rFonts w:hint="eastAsia" w:ascii="仿宋_GB2312" w:hAnsi="仿宋" w:eastAsia="仿宋_GB2312" w:cs="宋体"/>
                <w:b/>
                <w:bCs/>
                <w:sz w:val="21"/>
                <w:szCs w:val="18"/>
              </w:rPr>
              <w:t>邮政业</w:t>
            </w:r>
          </w:p>
        </w:tc>
        <w:tc>
          <w:tcPr>
            <w:tcW w:w="1504" w:type="dxa"/>
            <w:tcBorders>
              <w:top w:val="nil"/>
              <w:left w:val="nil"/>
              <w:bottom w:val="single" w:color="auto" w:sz="4" w:space="0"/>
              <w:right w:val="single" w:color="auto" w:sz="4" w:space="0"/>
            </w:tcBorders>
            <w:vAlign w:val="center"/>
          </w:tcPr>
          <w:p w14:paraId="360A4AF4">
            <w:pPr>
              <w:widowControl/>
              <w:rPr>
                <w:rFonts w:ascii="仿宋_GB2312" w:hAnsi="仿宋" w:eastAsia="仿宋_GB2312" w:cs="宋体"/>
                <w:sz w:val="21"/>
                <w:szCs w:val="18"/>
              </w:rPr>
            </w:pPr>
            <w:r>
              <w:rPr>
                <w:rFonts w:hint="eastAsia" w:ascii="仿宋_GB2312" w:hAnsi="仿宋" w:eastAsia="仿宋_GB2312" w:cs="宋体"/>
                <w:sz w:val="21"/>
                <w:szCs w:val="18"/>
              </w:rPr>
              <w:t>从业人员（X）</w:t>
            </w:r>
          </w:p>
        </w:tc>
        <w:tc>
          <w:tcPr>
            <w:tcW w:w="1200" w:type="dxa"/>
            <w:tcBorders>
              <w:top w:val="nil"/>
              <w:left w:val="nil"/>
              <w:bottom w:val="single" w:color="auto" w:sz="4" w:space="0"/>
              <w:right w:val="single" w:color="auto" w:sz="4" w:space="0"/>
            </w:tcBorders>
            <w:vAlign w:val="center"/>
          </w:tcPr>
          <w:p w14:paraId="1A3156CD">
            <w:pPr>
              <w:widowControl/>
              <w:rPr>
                <w:rFonts w:ascii="仿宋_GB2312" w:hAnsi="仿宋" w:eastAsia="仿宋_GB2312" w:cs="宋体"/>
                <w:sz w:val="21"/>
                <w:szCs w:val="18"/>
              </w:rPr>
            </w:pPr>
            <w:r>
              <w:rPr>
                <w:rFonts w:hint="eastAsia" w:ascii="仿宋_GB2312" w:hAnsi="仿宋" w:eastAsia="仿宋_GB2312" w:cs="宋体"/>
                <w:sz w:val="21"/>
                <w:szCs w:val="18"/>
              </w:rPr>
              <w:t>人</w:t>
            </w:r>
          </w:p>
        </w:tc>
        <w:tc>
          <w:tcPr>
            <w:tcW w:w="1995" w:type="dxa"/>
            <w:tcBorders>
              <w:top w:val="nil"/>
              <w:left w:val="nil"/>
              <w:bottom w:val="single" w:color="auto" w:sz="4" w:space="0"/>
              <w:right w:val="single" w:color="auto" w:sz="4" w:space="0"/>
            </w:tcBorders>
            <w:vAlign w:val="center"/>
          </w:tcPr>
          <w:p w14:paraId="57025A32">
            <w:pPr>
              <w:widowControl/>
              <w:rPr>
                <w:rFonts w:ascii="仿宋_GB2312" w:hAnsi="仿宋" w:eastAsia="仿宋_GB2312" w:cs="宋体"/>
                <w:sz w:val="21"/>
                <w:szCs w:val="18"/>
              </w:rPr>
            </w:pPr>
            <w:r>
              <w:rPr>
                <w:rFonts w:hint="eastAsia" w:ascii="仿宋_GB2312" w:hAnsi="仿宋" w:eastAsia="仿宋_GB2312" w:cs="宋体"/>
                <w:sz w:val="21"/>
                <w:szCs w:val="18"/>
              </w:rPr>
              <w:t>300≤X＜1000</w:t>
            </w:r>
          </w:p>
        </w:tc>
        <w:tc>
          <w:tcPr>
            <w:tcW w:w="1922" w:type="dxa"/>
            <w:tcBorders>
              <w:top w:val="nil"/>
              <w:left w:val="nil"/>
              <w:bottom w:val="single" w:color="auto" w:sz="4" w:space="0"/>
              <w:right w:val="single" w:color="auto" w:sz="4" w:space="0"/>
            </w:tcBorders>
            <w:vAlign w:val="center"/>
          </w:tcPr>
          <w:p w14:paraId="3FB0F9C1">
            <w:pPr>
              <w:widowControl/>
              <w:rPr>
                <w:rFonts w:ascii="仿宋_GB2312" w:hAnsi="仿宋" w:eastAsia="仿宋_GB2312" w:cs="宋体"/>
                <w:sz w:val="21"/>
                <w:szCs w:val="18"/>
              </w:rPr>
            </w:pPr>
            <w:r>
              <w:rPr>
                <w:rFonts w:hint="eastAsia" w:ascii="仿宋_GB2312" w:hAnsi="仿宋" w:eastAsia="仿宋_GB2312" w:cs="宋体"/>
                <w:sz w:val="21"/>
                <w:szCs w:val="18"/>
              </w:rPr>
              <w:t>20≤X＜300</w:t>
            </w:r>
          </w:p>
        </w:tc>
        <w:tc>
          <w:tcPr>
            <w:tcW w:w="1098" w:type="dxa"/>
            <w:tcBorders>
              <w:top w:val="nil"/>
              <w:left w:val="nil"/>
              <w:bottom w:val="single" w:color="auto" w:sz="4" w:space="0"/>
              <w:right w:val="single" w:color="auto" w:sz="4" w:space="0"/>
            </w:tcBorders>
            <w:vAlign w:val="center"/>
          </w:tcPr>
          <w:p w14:paraId="68ABEB24">
            <w:pPr>
              <w:widowControl/>
              <w:rPr>
                <w:rFonts w:ascii="仿宋_GB2312" w:hAnsi="仿宋" w:eastAsia="仿宋_GB2312" w:cs="宋体"/>
                <w:sz w:val="21"/>
                <w:szCs w:val="18"/>
              </w:rPr>
            </w:pPr>
            <w:r>
              <w:rPr>
                <w:rFonts w:hint="eastAsia" w:ascii="仿宋_GB2312" w:hAnsi="仿宋" w:eastAsia="仿宋_GB2312" w:cs="宋体"/>
                <w:sz w:val="21"/>
                <w:szCs w:val="18"/>
              </w:rPr>
              <w:t>X＜20</w:t>
            </w:r>
          </w:p>
        </w:tc>
      </w:tr>
      <w:tr w14:paraId="1A29D45B">
        <w:tblPrEx>
          <w:tblCellMar>
            <w:top w:w="0" w:type="dxa"/>
            <w:left w:w="108" w:type="dxa"/>
            <w:bottom w:w="0" w:type="dxa"/>
            <w:right w:w="108" w:type="dxa"/>
          </w:tblCellMar>
        </w:tblPrEx>
        <w:trPr>
          <w:trHeight w:val="225" w:hRule="atLeast"/>
        </w:trPr>
        <w:tc>
          <w:tcPr>
            <w:tcW w:w="2021" w:type="dxa"/>
            <w:vMerge w:val="continue"/>
            <w:tcBorders>
              <w:top w:val="nil"/>
              <w:left w:val="single" w:color="auto" w:sz="4" w:space="0"/>
              <w:bottom w:val="single" w:color="auto" w:sz="4" w:space="0"/>
              <w:right w:val="single" w:color="auto" w:sz="4" w:space="0"/>
            </w:tcBorders>
            <w:vAlign w:val="center"/>
          </w:tcPr>
          <w:p w14:paraId="57908E37">
            <w:pPr>
              <w:widowControl/>
              <w:rPr>
                <w:rFonts w:ascii="仿宋_GB2312" w:hAnsi="仿宋" w:eastAsia="仿宋_GB2312" w:cs="宋体"/>
                <w:b/>
                <w:bCs/>
                <w:sz w:val="21"/>
                <w:szCs w:val="18"/>
              </w:rPr>
            </w:pPr>
          </w:p>
        </w:tc>
        <w:tc>
          <w:tcPr>
            <w:tcW w:w="1504" w:type="dxa"/>
            <w:tcBorders>
              <w:top w:val="nil"/>
              <w:left w:val="nil"/>
              <w:bottom w:val="single" w:color="auto" w:sz="4" w:space="0"/>
              <w:right w:val="single" w:color="auto" w:sz="4" w:space="0"/>
            </w:tcBorders>
            <w:vAlign w:val="center"/>
          </w:tcPr>
          <w:p w14:paraId="60003035">
            <w:pPr>
              <w:widowControl/>
              <w:rPr>
                <w:rFonts w:ascii="仿宋_GB2312" w:hAnsi="仿宋" w:eastAsia="仿宋_GB2312" w:cs="宋体"/>
                <w:sz w:val="21"/>
                <w:szCs w:val="18"/>
              </w:rPr>
            </w:pPr>
            <w:r>
              <w:rPr>
                <w:rFonts w:hint="eastAsia" w:ascii="仿宋_GB2312" w:hAnsi="仿宋" w:eastAsia="仿宋_GB2312" w:cs="宋体"/>
                <w:sz w:val="21"/>
                <w:szCs w:val="18"/>
              </w:rPr>
              <w:t>营业收入（Y）</w:t>
            </w:r>
          </w:p>
        </w:tc>
        <w:tc>
          <w:tcPr>
            <w:tcW w:w="1200" w:type="dxa"/>
            <w:tcBorders>
              <w:top w:val="nil"/>
              <w:left w:val="nil"/>
              <w:bottom w:val="single" w:color="auto" w:sz="4" w:space="0"/>
              <w:right w:val="single" w:color="auto" w:sz="4" w:space="0"/>
            </w:tcBorders>
            <w:vAlign w:val="center"/>
          </w:tcPr>
          <w:p w14:paraId="1717CFDB">
            <w:pPr>
              <w:widowControl/>
              <w:rPr>
                <w:rFonts w:ascii="仿宋_GB2312" w:hAnsi="仿宋" w:eastAsia="仿宋_GB2312" w:cs="宋体"/>
                <w:sz w:val="21"/>
                <w:szCs w:val="18"/>
              </w:rPr>
            </w:pPr>
            <w:r>
              <w:rPr>
                <w:rFonts w:hint="eastAsia" w:ascii="仿宋_GB2312" w:hAnsi="仿宋" w:eastAsia="仿宋_GB2312" w:cs="宋体"/>
                <w:sz w:val="21"/>
                <w:szCs w:val="18"/>
              </w:rPr>
              <w:t>万元</w:t>
            </w:r>
          </w:p>
        </w:tc>
        <w:tc>
          <w:tcPr>
            <w:tcW w:w="1995" w:type="dxa"/>
            <w:tcBorders>
              <w:top w:val="nil"/>
              <w:left w:val="nil"/>
              <w:bottom w:val="single" w:color="auto" w:sz="4" w:space="0"/>
              <w:right w:val="single" w:color="auto" w:sz="4" w:space="0"/>
            </w:tcBorders>
            <w:vAlign w:val="center"/>
          </w:tcPr>
          <w:p w14:paraId="10D54D21">
            <w:pPr>
              <w:widowControl/>
              <w:rPr>
                <w:rFonts w:ascii="仿宋_GB2312" w:hAnsi="仿宋" w:eastAsia="仿宋_GB2312" w:cs="宋体"/>
                <w:sz w:val="21"/>
                <w:szCs w:val="18"/>
              </w:rPr>
            </w:pPr>
            <w:r>
              <w:rPr>
                <w:rFonts w:hint="eastAsia" w:ascii="仿宋_GB2312" w:hAnsi="仿宋" w:eastAsia="仿宋_GB2312" w:cs="宋体"/>
                <w:sz w:val="21"/>
                <w:szCs w:val="18"/>
              </w:rPr>
              <w:t>2000≤Y＜30000</w:t>
            </w:r>
          </w:p>
        </w:tc>
        <w:tc>
          <w:tcPr>
            <w:tcW w:w="1922" w:type="dxa"/>
            <w:tcBorders>
              <w:top w:val="nil"/>
              <w:left w:val="nil"/>
              <w:bottom w:val="single" w:color="auto" w:sz="4" w:space="0"/>
              <w:right w:val="single" w:color="auto" w:sz="4" w:space="0"/>
            </w:tcBorders>
            <w:vAlign w:val="center"/>
          </w:tcPr>
          <w:p w14:paraId="0360198E">
            <w:pPr>
              <w:widowControl/>
              <w:rPr>
                <w:rFonts w:ascii="仿宋_GB2312" w:hAnsi="仿宋" w:eastAsia="仿宋_GB2312" w:cs="宋体"/>
                <w:sz w:val="21"/>
                <w:szCs w:val="18"/>
              </w:rPr>
            </w:pPr>
            <w:r>
              <w:rPr>
                <w:rFonts w:hint="eastAsia" w:ascii="仿宋_GB2312" w:hAnsi="仿宋" w:eastAsia="仿宋_GB2312" w:cs="宋体"/>
                <w:sz w:val="21"/>
                <w:szCs w:val="18"/>
              </w:rPr>
              <w:t>100≤Y＜2000</w:t>
            </w:r>
          </w:p>
        </w:tc>
        <w:tc>
          <w:tcPr>
            <w:tcW w:w="1098" w:type="dxa"/>
            <w:tcBorders>
              <w:top w:val="nil"/>
              <w:left w:val="nil"/>
              <w:bottom w:val="single" w:color="auto" w:sz="4" w:space="0"/>
              <w:right w:val="single" w:color="auto" w:sz="4" w:space="0"/>
            </w:tcBorders>
            <w:vAlign w:val="center"/>
          </w:tcPr>
          <w:p w14:paraId="0D978530">
            <w:pPr>
              <w:widowControl/>
              <w:rPr>
                <w:rFonts w:ascii="仿宋_GB2312" w:hAnsi="仿宋" w:eastAsia="仿宋_GB2312" w:cs="宋体"/>
                <w:sz w:val="21"/>
                <w:szCs w:val="18"/>
              </w:rPr>
            </w:pPr>
            <w:r>
              <w:rPr>
                <w:rFonts w:hint="eastAsia" w:ascii="仿宋_GB2312" w:hAnsi="仿宋" w:eastAsia="仿宋_GB2312" w:cs="宋体"/>
                <w:sz w:val="21"/>
                <w:szCs w:val="18"/>
              </w:rPr>
              <w:t>Y＜100</w:t>
            </w:r>
          </w:p>
        </w:tc>
      </w:tr>
      <w:tr w14:paraId="1980A72A">
        <w:tblPrEx>
          <w:tblCellMar>
            <w:top w:w="0" w:type="dxa"/>
            <w:left w:w="108" w:type="dxa"/>
            <w:bottom w:w="0" w:type="dxa"/>
            <w:right w:w="108" w:type="dxa"/>
          </w:tblCellMar>
        </w:tblPrEx>
        <w:trPr>
          <w:trHeight w:val="225" w:hRule="atLeast"/>
        </w:trPr>
        <w:tc>
          <w:tcPr>
            <w:tcW w:w="2021" w:type="dxa"/>
            <w:vMerge w:val="restart"/>
            <w:tcBorders>
              <w:top w:val="nil"/>
              <w:left w:val="single" w:color="auto" w:sz="4" w:space="0"/>
              <w:bottom w:val="single" w:color="auto" w:sz="4" w:space="0"/>
              <w:right w:val="single" w:color="auto" w:sz="4" w:space="0"/>
            </w:tcBorders>
            <w:vAlign w:val="bottom"/>
          </w:tcPr>
          <w:p w14:paraId="369451E2">
            <w:pPr>
              <w:widowControl/>
              <w:jc w:val="center"/>
              <w:rPr>
                <w:rFonts w:ascii="仿宋_GB2312" w:hAnsi="仿宋" w:eastAsia="仿宋_GB2312" w:cs="宋体"/>
                <w:b/>
                <w:bCs/>
                <w:sz w:val="21"/>
                <w:szCs w:val="18"/>
              </w:rPr>
            </w:pPr>
            <w:r>
              <w:rPr>
                <w:rFonts w:hint="eastAsia" w:ascii="仿宋_GB2312" w:hAnsi="仿宋" w:eastAsia="仿宋_GB2312" w:cs="宋体"/>
                <w:b/>
                <w:bCs/>
                <w:sz w:val="21"/>
                <w:szCs w:val="18"/>
              </w:rPr>
              <w:t>住宿业</w:t>
            </w:r>
          </w:p>
        </w:tc>
        <w:tc>
          <w:tcPr>
            <w:tcW w:w="1504" w:type="dxa"/>
            <w:tcBorders>
              <w:top w:val="nil"/>
              <w:left w:val="nil"/>
              <w:bottom w:val="single" w:color="auto" w:sz="4" w:space="0"/>
              <w:right w:val="single" w:color="auto" w:sz="4" w:space="0"/>
            </w:tcBorders>
            <w:vAlign w:val="center"/>
          </w:tcPr>
          <w:p w14:paraId="780AFBE0">
            <w:pPr>
              <w:widowControl/>
              <w:rPr>
                <w:rFonts w:ascii="仿宋_GB2312" w:hAnsi="仿宋" w:eastAsia="仿宋_GB2312" w:cs="宋体"/>
                <w:sz w:val="21"/>
                <w:szCs w:val="18"/>
              </w:rPr>
            </w:pPr>
            <w:r>
              <w:rPr>
                <w:rFonts w:hint="eastAsia" w:ascii="仿宋_GB2312" w:hAnsi="仿宋" w:eastAsia="仿宋_GB2312" w:cs="宋体"/>
                <w:sz w:val="21"/>
                <w:szCs w:val="18"/>
              </w:rPr>
              <w:t>从业人员（X）</w:t>
            </w:r>
          </w:p>
        </w:tc>
        <w:tc>
          <w:tcPr>
            <w:tcW w:w="1200" w:type="dxa"/>
            <w:tcBorders>
              <w:top w:val="nil"/>
              <w:left w:val="nil"/>
              <w:bottom w:val="single" w:color="auto" w:sz="4" w:space="0"/>
              <w:right w:val="single" w:color="auto" w:sz="4" w:space="0"/>
            </w:tcBorders>
            <w:vAlign w:val="center"/>
          </w:tcPr>
          <w:p w14:paraId="25277C14">
            <w:pPr>
              <w:widowControl/>
              <w:rPr>
                <w:rFonts w:ascii="仿宋_GB2312" w:hAnsi="仿宋" w:eastAsia="仿宋_GB2312" w:cs="宋体"/>
                <w:sz w:val="21"/>
                <w:szCs w:val="18"/>
              </w:rPr>
            </w:pPr>
            <w:r>
              <w:rPr>
                <w:rFonts w:hint="eastAsia" w:ascii="仿宋_GB2312" w:hAnsi="仿宋" w:eastAsia="仿宋_GB2312" w:cs="宋体"/>
                <w:sz w:val="21"/>
                <w:szCs w:val="18"/>
              </w:rPr>
              <w:t>人</w:t>
            </w:r>
          </w:p>
        </w:tc>
        <w:tc>
          <w:tcPr>
            <w:tcW w:w="1995" w:type="dxa"/>
            <w:tcBorders>
              <w:top w:val="nil"/>
              <w:left w:val="nil"/>
              <w:bottom w:val="single" w:color="auto" w:sz="4" w:space="0"/>
              <w:right w:val="single" w:color="auto" w:sz="4" w:space="0"/>
            </w:tcBorders>
            <w:vAlign w:val="center"/>
          </w:tcPr>
          <w:p w14:paraId="01B8992F">
            <w:pPr>
              <w:widowControl/>
              <w:rPr>
                <w:rFonts w:ascii="仿宋_GB2312" w:hAnsi="仿宋" w:eastAsia="仿宋_GB2312" w:cs="宋体"/>
                <w:sz w:val="21"/>
                <w:szCs w:val="18"/>
              </w:rPr>
            </w:pPr>
            <w:r>
              <w:rPr>
                <w:rFonts w:hint="eastAsia" w:ascii="仿宋_GB2312" w:hAnsi="仿宋" w:eastAsia="仿宋_GB2312" w:cs="宋体"/>
                <w:sz w:val="21"/>
                <w:szCs w:val="18"/>
              </w:rPr>
              <w:t>100≤X＜300</w:t>
            </w:r>
          </w:p>
        </w:tc>
        <w:tc>
          <w:tcPr>
            <w:tcW w:w="1922" w:type="dxa"/>
            <w:tcBorders>
              <w:top w:val="nil"/>
              <w:left w:val="nil"/>
              <w:bottom w:val="single" w:color="auto" w:sz="4" w:space="0"/>
              <w:right w:val="single" w:color="auto" w:sz="4" w:space="0"/>
            </w:tcBorders>
            <w:vAlign w:val="center"/>
          </w:tcPr>
          <w:p w14:paraId="5802A0F5">
            <w:pPr>
              <w:widowControl/>
              <w:rPr>
                <w:rFonts w:ascii="仿宋_GB2312" w:hAnsi="仿宋" w:eastAsia="仿宋_GB2312" w:cs="宋体"/>
                <w:sz w:val="21"/>
                <w:szCs w:val="18"/>
              </w:rPr>
            </w:pPr>
            <w:r>
              <w:rPr>
                <w:rFonts w:hint="eastAsia" w:ascii="仿宋_GB2312" w:hAnsi="仿宋" w:eastAsia="仿宋_GB2312" w:cs="宋体"/>
                <w:sz w:val="21"/>
                <w:szCs w:val="18"/>
              </w:rPr>
              <w:t>10≤X＜100</w:t>
            </w:r>
          </w:p>
        </w:tc>
        <w:tc>
          <w:tcPr>
            <w:tcW w:w="1098" w:type="dxa"/>
            <w:tcBorders>
              <w:top w:val="nil"/>
              <w:left w:val="nil"/>
              <w:bottom w:val="single" w:color="auto" w:sz="4" w:space="0"/>
              <w:right w:val="single" w:color="auto" w:sz="4" w:space="0"/>
            </w:tcBorders>
            <w:vAlign w:val="center"/>
          </w:tcPr>
          <w:p w14:paraId="4465B66E">
            <w:pPr>
              <w:widowControl/>
              <w:rPr>
                <w:rFonts w:ascii="仿宋_GB2312" w:hAnsi="仿宋" w:eastAsia="仿宋_GB2312" w:cs="宋体"/>
                <w:sz w:val="21"/>
                <w:szCs w:val="18"/>
              </w:rPr>
            </w:pPr>
            <w:r>
              <w:rPr>
                <w:rFonts w:hint="eastAsia" w:ascii="仿宋_GB2312" w:hAnsi="仿宋" w:eastAsia="仿宋_GB2312" w:cs="宋体"/>
                <w:sz w:val="21"/>
                <w:szCs w:val="18"/>
              </w:rPr>
              <w:t>X＜10</w:t>
            </w:r>
          </w:p>
        </w:tc>
      </w:tr>
      <w:tr w14:paraId="4A9FD479">
        <w:tblPrEx>
          <w:tblCellMar>
            <w:top w:w="0" w:type="dxa"/>
            <w:left w:w="108" w:type="dxa"/>
            <w:bottom w:w="0" w:type="dxa"/>
            <w:right w:w="108" w:type="dxa"/>
          </w:tblCellMar>
        </w:tblPrEx>
        <w:trPr>
          <w:trHeight w:val="225" w:hRule="atLeast"/>
        </w:trPr>
        <w:tc>
          <w:tcPr>
            <w:tcW w:w="2021" w:type="dxa"/>
            <w:vMerge w:val="continue"/>
            <w:tcBorders>
              <w:top w:val="nil"/>
              <w:left w:val="single" w:color="auto" w:sz="4" w:space="0"/>
              <w:bottom w:val="single" w:color="auto" w:sz="4" w:space="0"/>
              <w:right w:val="single" w:color="auto" w:sz="4" w:space="0"/>
            </w:tcBorders>
            <w:vAlign w:val="center"/>
          </w:tcPr>
          <w:p w14:paraId="410CCFF2">
            <w:pPr>
              <w:widowControl/>
              <w:rPr>
                <w:rFonts w:ascii="仿宋_GB2312" w:hAnsi="仿宋" w:eastAsia="仿宋_GB2312" w:cs="宋体"/>
                <w:b/>
                <w:bCs/>
                <w:sz w:val="21"/>
                <w:szCs w:val="18"/>
              </w:rPr>
            </w:pPr>
          </w:p>
        </w:tc>
        <w:tc>
          <w:tcPr>
            <w:tcW w:w="1504" w:type="dxa"/>
            <w:tcBorders>
              <w:top w:val="nil"/>
              <w:left w:val="nil"/>
              <w:bottom w:val="single" w:color="auto" w:sz="4" w:space="0"/>
              <w:right w:val="single" w:color="auto" w:sz="4" w:space="0"/>
            </w:tcBorders>
            <w:vAlign w:val="center"/>
          </w:tcPr>
          <w:p w14:paraId="34B2381B">
            <w:pPr>
              <w:widowControl/>
              <w:rPr>
                <w:rFonts w:ascii="仿宋_GB2312" w:hAnsi="仿宋" w:eastAsia="仿宋_GB2312" w:cs="宋体"/>
                <w:sz w:val="21"/>
                <w:szCs w:val="18"/>
              </w:rPr>
            </w:pPr>
            <w:r>
              <w:rPr>
                <w:rFonts w:hint="eastAsia" w:ascii="仿宋_GB2312" w:hAnsi="仿宋" w:eastAsia="仿宋_GB2312" w:cs="宋体"/>
                <w:sz w:val="21"/>
                <w:szCs w:val="18"/>
              </w:rPr>
              <w:t>营业收入（Y）</w:t>
            </w:r>
          </w:p>
        </w:tc>
        <w:tc>
          <w:tcPr>
            <w:tcW w:w="1200" w:type="dxa"/>
            <w:tcBorders>
              <w:top w:val="nil"/>
              <w:left w:val="nil"/>
              <w:bottom w:val="single" w:color="auto" w:sz="4" w:space="0"/>
              <w:right w:val="single" w:color="auto" w:sz="4" w:space="0"/>
            </w:tcBorders>
            <w:vAlign w:val="center"/>
          </w:tcPr>
          <w:p w14:paraId="7225FB94">
            <w:pPr>
              <w:widowControl/>
              <w:rPr>
                <w:rFonts w:ascii="仿宋_GB2312" w:hAnsi="仿宋" w:eastAsia="仿宋_GB2312" w:cs="宋体"/>
                <w:sz w:val="21"/>
                <w:szCs w:val="18"/>
              </w:rPr>
            </w:pPr>
            <w:r>
              <w:rPr>
                <w:rFonts w:hint="eastAsia" w:ascii="仿宋_GB2312" w:hAnsi="仿宋" w:eastAsia="仿宋_GB2312" w:cs="宋体"/>
                <w:sz w:val="21"/>
                <w:szCs w:val="18"/>
              </w:rPr>
              <w:t>万元</w:t>
            </w:r>
          </w:p>
        </w:tc>
        <w:tc>
          <w:tcPr>
            <w:tcW w:w="1995" w:type="dxa"/>
            <w:tcBorders>
              <w:top w:val="nil"/>
              <w:left w:val="nil"/>
              <w:bottom w:val="single" w:color="auto" w:sz="4" w:space="0"/>
              <w:right w:val="single" w:color="auto" w:sz="4" w:space="0"/>
            </w:tcBorders>
            <w:vAlign w:val="center"/>
          </w:tcPr>
          <w:p w14:paraId="6D6B3525">
            <w:pPr>
              <w:widowControl/>
              <w:rPr>
                <w:rFonts w:ascii="仿宋_GB2312" w:hAnsi="仿宋" w:eastAsia="仿宋_GB2312" w:cs="宋体"/>
                <w:sz w:val="21"/>
                <w:szCs w:val="18"/>
              </w:rPr>
            </w:pPr>
            <w:r>
              <w:rPr>
                <w:rFonts w:hint="eastAsia" w:ascii="仿宋_GB2312" w:hAnsi="仿宋" w:eastAsia="仿宋_GB2312" w:cs="宋体"/>
                <w:sz w:val="21"/>
                <w:szCs w:val="18"/>
              </w:rPr>
              <w:t>2000≤Y＜10000</w:t>
            </w:r>
          </w:p>
        </w:tc>
        <w:tc>
          <w:tcPr>
            <w:tcW w:w="1922" w:type="dxa"/>
            <w:tcBorders>
              <w:top w:val="nil"/>
              <w:left w:val="nil"/>
              <w:bottom w:val="single" w:color="auto" w:sz="4" w:space="0"/>
              <w:right w:val="single" w:color="auto" w:sz="4" w:space="0"/>
            </w:tcBorders>
            <w:vAlign w:val="center"/>
          </w:tcPr>
          <w:p w14:paraId="51D3B37A">
            <w:pPr>
              <w:widowControl/>
              <w:rPr>
                <w:rFonts w:ascii="仿宋_GB2312" w:hAnsi="仿宋" w:eastAsia="仿宋_GB2312" w:cs="宋体"/>
                <w:sz w:val="21"/>
                <w:szCs w:val="18"/>
              </w:rPr>
            </w:pPr>
            <w:r>
              <w:rPr>
                <w:rFonts w:hint="eastAsia" w:ascii="仿宋_GB2312" w:hAnsi="仿宋" w:eastAsia="仿宋_GB2312" w:cs="宋体"/>
                <w:sz w:val="21"/>
                <w:szCs w:val="18"/>
              </w:rPr>
              <w:t>100≤Y＜2000</w:t>
            </w:r>
          </w:p>
        </w:tc>
        <w:tc>
          <w:tcPr>
            <w:tcW w:w="1098" w:type="dxa"/>
            <w:tcBorders>
              <w:top w:val="nil"/>
              <w:left w:val="nil"/>
              <w:bottom w:val="single" w:color="auto" w:sz="4" w:space="0"/>
              <w:right w:val="single" w:color="auto" w:sz="4" w:space="0"/>
            </w:tcBorders>
            <w:vAlign w:val="center"/>
          </w:tcPr>
          <w:p w14:paraId="0EB4192B">
            <w:pPr>
              <w:widowControl/>
              <w:rPr>
                <w:rFonts w:ascii="仿宋_GB2312" w:hAnsi="仿宋" w:eastAsia="仿宋_GB2312" w:cs="宋体"/>
                <w:sz w:val="21"/>
                <w:szCs w:val="18"/>
              </w:rPr>
            </w:pPr>
            <w:r>
              <w:rPr>
                <w:rFonts w:hint="eastAsia" w:ascii="仿宋_GB2312" w:hAnsi="仿宋" w:eastAsia="仿宋_GB2312" w:cs="宋体"/>
                <w:sz w:val="21"/>
                <w:szCs w:val="18"/>
              </w:rPr>
              <w:t>Y＜100</w:t>
            </w:r>
          </w:p>
        </w:tc>
      </w:tr>
      <w:tr w14:paraId="02FF589E">
        <w:tblPrEx>
          <w:tblCellMar>
            <w:top w:w="0" w:type="dxa"/>
            <w:left w:w="108" w:type="dxa"/>
            <w:bottom w:w="0" w:type="dxa"/>
            <w:right w:w="108" w:type="dxa"/>
          </w:tblCellMar>
        </w:tblPrEx>
        <w:trPr>
          <w:trHeight w:val="225" w:hRule="atLeast"/>
        </w:trPr>
        <w:tc>
          <w:tcPr>
            <w:tcW w:w="2021" w:type="dxa"/>
            <w:vMerge w:val="restart"/>
            <w:tcBorders>
              <w:top w:val="nil"/>
              <w:left w:val="single" w:color="auto" w:sz="4" w:space="0"/>
              <w:bottom w:val="single" w:color="auto" w:sz="4" w:space="0"/>
              <w:right w:val="single" w:color="auto" w:sz="4" w:space="0"/>
            </w:tcBorders>
            <w:vAlign w:val="bottom"/>
          </w:tcPr>
          <w:p w14:paraId="701A0F84">
            <w:pPr>
              <w:widowControl/>
              <w:jc w:val="center"/>
              <w:rPr>
                <w:rFonts w:ascii="仿宋_GB2312" w:hAnsi="仿宋" w:eastAsia="仿宋_GB2312" w:cs="宋体"/>
                <w:b/>
                <w:bCs/>
                <w:sz w:val="21"/>
                <w:szCs w:val="18"/>
              </w:rPr>
            </w:pPr>
            <w:r>
              <w:rPr>
                <w:rFonts w:hint="eastAsia" w:ascii="仿宋_GB2312" w:hAnsi="仿宋" w:eastAsia="仿宋_GB2312" w:cs="宋体"/>
                <w:b/>
                <w:bCs/>
                <w:sz w:val="21"/>
                <w:szCs w:val="18"/>
              </w:rPr>
              <w:t>餐饮业</w:t>
            </w:r>
          </w:p>
        </w:tc>
        <w:tc>
          <w:tcPr>
            <w:tcW w:w="1504" w:type="dxa"/>
            <w:tcBorders>
              <w:top w:val="nil"/>
              <w:left w:val="nil"/>
              <w:bottom w:val="single" w:color="auto" w:sz="4" w:space="0"/>
              <w:right w:val="single" w:color="auto" w:sz="4" w:space="0"/>
            </w:tcBorders>
            <w:vAlign w:val="center"/>
          </w:tcPr>
          <w:p w14:paraId="1F05B269">
            <w:pPr>
              <w:widowControl/>
              <w:rPr>
                <w:rFonts w:ascii="仿宋_GB2312" w:hAnsi="仿宋" w:eastAsia="仿宋_GB2312" w:cs="宋体"/>
                <w:sz w:val="21"/>
                <w:szCs w:val="18"/>
              </w:rPr>
            </w:pPr>
            <w:r>
              <w:rPr>
                <w:rFonts w:hint="eastAsia" w:ascii="仿宋_GB2312" w:hAnsi="仿宋" w:eastAsia="仿宋_GB2312" w:cs="宋体"/>
                <w:sz w:val="21"/>
                <w:szCs w:val="18"/>
              </w:rPr>
              <w:t>从业人员（X）</w:t>
            </w:r>
          </w:p>
        </w:tc>
        <w:tc>
          <w:tcPr>
            <w:tcW w:w="1200" w:type="dxa"/>
            <w:tcBorders>
              <w:top w:val="nil"/>
              <w:left w:val="nil"/>
              <w:bottom w:val="single" w:color="auto" w:sz="4" w:space="0"/>
              <w:right w:val="single" w:color="auto" w:sz="4" w:space="0"/>
            </w:tcBorders>
            <w:vAlign w:val="center"/>
          </w:tcPr>
          <w:p w14:paraId="4C43F9C8">
            <w:pPr>
              <w:widowControl/>
              <w:rPr>
                <w:rFonts w:ascii="仿宋_GB2312" w:hAnsi="仿宋" w:eastAsia="仿宋_GB2312" w:cs="宋体"/>
                <w:sz w:val="21"/>
                <w:szCs w:val="18"/>
              </w:rPr>
            </w:pPr>
            <w:r>
              <w:rPr>
                <w:rFonts w:hint="eastAsia" w:ascii="仿宋_GB2312" w:hAnsi="仿宋" w:eastAsia="仿宋_GB2312" w:cs="宋体"/>
                <w:sz w:val="21"/>
                <w:szCs w:val="18"/>
              </w:rPr>
              <w:t>人</w:t>
            </w:r>
          </w:p>
        </w:tc>
        <w:tc>
          <w:tcPr>
            <w:tcW w:w="1995" w:type="dxa"/>
            <w:tcBorders>
              <w:top w:val="nil"/>
              <w:left w:val="nil"/>
              <w:bottom w:val="single" w:color="auto" w:sz="4" w:space="0"/>
              <w:right w:val="single" w:color="auto" w:sz="4" w:space="0"/>
            </w:tcBorders>
            <w:vAlign w:val="center"/>
          </w:tcPr>
          <w:p w14:paraId="050522C5">
            <w:pPr>
              <w:widowControl/>
              <w:rPr>
                <w:rFonts w:ascii="仿宋_GB2312" w:hAnsi="仿宋" w:eastAsia="仿宋_GB2312" w:cs="宋体"/>
                <w:sz w:val="21"/>
                <w:szCs w:val="18"/>
              </w:rPr>
            </w:pPr>
            <w:r>
              <w:rPr>
                <w:rFonts w:hint="eastAsia" w:ascii="仿宋_GB2312" w:hAnsi="仿宋" w:eastAsia="仿宋_GB2312" w:cs="宋体"/>
                <w:sz w:val="21"/>
                <w:szCs w:val="18"/>
              </w:rPr>
              <w:t>100≤X＜300</w:t>
            </w:r>
          </w:p>
        </w:tc>
        <w:tc>
          <w:tcPr>
            <w:tcW w:w="1922" w:type="dxa"/>
            <w:tcBorders>
              <w:top w:val="nil"/>
              <w:left w:val="nil"/>
              <w:bottom w:val="single" w:color="auto" w:sz="4" w:space="0"/>
              <w:right w:val="single" w:color="auto" w:sz="4" w:space="0"/>
            </w:tcBorders>
            <w:vAlign w:val="center"/>
          </w:tcPr>
          <w:p w14:paraId="2C810CE1">
            <w:pPr>
              <w:widowControl/>
              <w:rPr>
                <w:rFonts w:ascii="仿宋_GB2312" w:hAnsi="仿宋" w:eastAsia="仿宋_GB2312" w:cs="宋体"/>
                <w:sz w:val="21"/>
                <w:szCs w:val="18"/>
              </w:rPr>
            </w:pPr>
            <w:r>
              <w:rPr>
                <w:rFonts w:hint="eastAsia" w:ascii="仿宋_GB2312" w:hAnsi="仿宋" w:eastAsia="仿宋_GB2312" w:cs="宋体"/>
                <w:sz w:val="21"/>
                <w:szCs w:val="18"/>
              </w:rPr>
              <w:t>10≤X＜100</w:t>
            </w:r>
          </w:p>
        </w:tc>
        <w:tc>
          <w:tcPr>
            <w:tcW w:w="1098" w:type="dxa"/>
            <w:tcBorders>
              <w:top w:val="nil"/>
              <w:left w:val="nil"/>
              <w:bottom w:val="single" w:color="auto" w:sz="4" w:space="0"/>
              <w:right w:val="single" w:color="auto" w:sz="4" w:space="0"/>
            </w:tcBorders>
            <w:vAlign w:val="center"/>
          </w:tcPr>
          <w:p w14:paraId="53DAF81D">
            <w:pPr>
              <w:widowControl/>
              <w:rPr>
                <w:rFonts w:ascii="仿宋_GB2312" w:hAnsi="仿宋" w:eastAsia="仿宋_GB2312" w:cs="宋体"/>
                <w:sz w:val="21"/>
                <w:szCs w:val="18"/>
              </w:rPr>
            </w:pPr>
            <w:r>
              <w:rPr>
                <w:rFonts w:hint="eastAsia" w:ascii="仿宋_GB2312" w:hAnsi="仿宋" w:eastAsia="仿宋_GB2312" w:cs="宋体"/>
                <w:sz w:val="21"/>
                <w:szCs w:val="18"/>
              </w:rPr>
              <w:t>X＜10</w:t>
            </w:r>
          </w:p>
        </w:tc>
      </w:tr>
      <w:tr w14:paraId="42E16F38">
        <w:tblPrEx>
          <w:tblCellMar>
            <w:top w:w="0" w:type="dxa"/>
            <w:left w:w="108" w:type="dxa"/>
            <w:bottom w:w="0" w:type="dxa"/>
            <w:right w:w="108" w:type="dxa"/>
          </w:tblCellMar>
        </w:tblPrEx>
        <w:trPr>
          <w:trHeight w:val="225" w:hRule="atLeast"/>
        </w:trPr>
        <w:tc>
          <w:tcPr>
            <w:tcW w:w="2021" w:type="dxa"/>
            <w:vMerge w:val="continue"/>
            <w:tcBorders>
              <w:top w:val="nil"/>
              <w:left w:val="single" w:color="auto" w:sz="4" w:space="0"/>
              <w:bottom w:val="single" w:color="auto" w:sz="4" w:space="0"/>
              <w:right w:val="single" w:color="auto" w:sz="4" w:space="0"/>
            </w:tcBorders>
            <w:vAlign w:val="center"/>
          </w:tcPr>
          <w:p w14:paraId="04D76798">
            <w:pPr>
              <w:widowControl/>
              <w:rPr>
                <w:rFonts w:ascii="仿宋_GB2312" w:hAnsi="仿宋" w:eastAsia="仿宋_GB2312" w:cs="宋体"/>
                <w:b/>
                <w:bCs/>
                <w:sz w:val="21"/>
                <w:szCs w:val="18"/>
              </w:rPr>
            </w:pPr>
          </w:p>
        </w:tc>
        <w:tc>
          <w:tcPr>
            <w:tcW w:w="1504" w:type="dxa"/>
            <w:tcBorders>
              <w:top w:val="nil"/>
              <w:left w:val="nil"/>
              <w:bottom w:val="single" w:color="auto" w:sz="4" w:space="0"/>
              <w:right w:val="single" w:color="auto" w:sz="4" w:space="0"/>
            </w:tcBorders>
            <w:vAlign w:val="center"/>
          </w:tcPr>
          <w:p w14:paraId="3C1ADE2D">
            <w:pPr>
              <w:widowControl/>
              <w:rPr>
                <w:rFonts w:ascii="仿宋_GB2312" w:hAnsi="仿宋" w:eastAsia="仿宋_GB2312" w:cs="宋体"/>
                <w:sz w:val="21"/>
                <w:szCs w:val="18"/>
              </w:rPr>
            </w:pPr>
            <w:r>
              <w:rPr>
                <w:rFonts w:hint="eastAsia" w:ascii="仿宋_GB2312" w:hAnsi="仿宋" w:eastAsia="仿宋_GB2312" w:cs="宋体"/>
                <w:sz w:val="21"/>
                <w:szCs w:val="18"/>
              </w:rPr>
              <w:t>营业收入（Y）</w:t>
            </w:r>
          </w:p>
        </w:tc>
        <w:tc>
          <w:tcPr>
            <w:tcW w:w="1200" w:type="dxa"/>
            <w:tcBorders>
              <w:top w:val="nil"/>
              <w:left w:val="nil"/>
              <w:bottom w:val="single" w:color="auto" w:sz="4" w:space="0"/>
              <w:right w:val="single" w:color="auto" w:sz="4" w:space="0"/>
            </w:tcBorders>
            <w:vAlign w:val="center"/>
          </w:tcPr>
          <w:p w14:paraId="1FEA87E2">
            <w:pPr>
              <w:widowControl/>
              <w:rPr>
                <w:rFonts w:ascii="仿宋_GB2312" w:hAnsi="仿宋" w:eastAsia="仿宋_GB2312" w:cs="宋体"/>
                <w:sz w:val="21"/>
                <w:szCs w:val="18"/>
              </w:rPr>
            </w:pPr>
            <w:r>
              <w:rPr>
                <w:rFonts w:hint="eastAsia" w:ascii="仿宋_GB2312" w:hAnsi="仿宋" w:eastAsia="仿宋_GB2312" w:cs="宋体"/>
                <w:sz w:val="21"/>
                <w:szCs w:val="18"/>
              </w:rPr>
              <w:t>万元</w:t>
            </w:r>
          </w:p>
        </w:tc>
        <w:tc>
          <w:tcPr>
            <w:tcW w:w="1995" w:type="dxa"/>
            <w:tcBorders>
              <w:top w:val="nil"/>
              <w:left w:val="nil"/>
              <w:bottom w:val="single" w:color="auto" w:sz="4" w:space="0"/>
              <w:right w:val="single" w:color="auto" w:sz="4" w:space="0"/>
            </w:tcBorders>
            <w:vAlign w:val="center"/>
          </w:tcPr>
          <w:p w14:paraId="551779D6">
            <w:pPr>
              <w:widowControl/>
              <w:rPr>
                <w:rFonts w:ascii="仿宋_GB2312" w:hAnsi="仿宋" w:eastAsia="仿宋_GB2312" w:cs="宋体"/>
                <w:sz w:val="21"/>
                <w:szCs w:val="18"/>
              </w:rPr>
            </w:pPr>
            <w:r>
              <w:rPr>
                <w:rFonts w:hint="eastAsia" w:ascii="仿宋_GB2312" w:hAnsi="仿宋" w:eastAsia="仿宋_GB2312" w:cs="宋体"/>
                <w:sz w:val="21"/>
                <w:szCs w:val="18"/>
              </w:rPr>
              <w:t>2000≤Y＜10000</w:t>
            </w:r>
          </w:p>
        </w:tc>
        <w:tc>
          <w:tcPr>
            <w:tcW w:w="1922" w:type="dxa"/>
            <w:tcBorders>
              <w:top w:val="nil"/>
              <w:left w:val="nil"/>
              <w:bottom w:val="single" w:color="auto" w:sz="4" w:space="0"/>
              <w:right w:val="single" w:color="auto" w:sz="4" w:space="0"/>
            </w:tcBorders>
            <w:vAlign w:val="center"/>
          </w:tcPr>
          <w:p w14:paraId="2B4B1472">
            <w:pPr>
              <w:widowControl/>
              <w:rPr>
                <w:rFonts w:ascii="仿宋_GB2312" w:hAnsi="仿宋" w:eastAsia="仿宋_GB2312" w:cs="宋体"/>
                <w:sz w:val="21"/>
                <w:szCs w:val="18"/>
              </w:rPr>
            </w:pPr>
            <w:r>
              <w:rPr>
                <w:rFonts w:hint="eastAsia" w:ascii="仿宋_GB2312" w:hAnsi="仿宋" w:eastAsia="仿宋_GB2312" w:cs="宋体"/>
                <w:sz w:val="21"/>
                <w:szCs w:val="18"/>
              </w:rPr>
              <w:t>100≤Y＜2000</w:t>
            </w:r>
          </w:p>
        </w:tc>
        <w:tc>
          <w:tcPr>
            <w:tcW w:w="1098" w:type="dxa"/>
            <w:tcBorders>
              <w:top w:val="nil"/>
              <w:left w:val="nil"/>
              <w:bottom w:val="single" w:color="auto" w:sz="4" w:space="0"/>
              <w:right w:val="single" w:color="auto" w:sz="4" w:space="0"/>
            </w:tcBorders>
            <w:vAlign w:val="center"/>
          </w:tcPr>
          <w:p w14:paraId="51223C18">
            <w:pPr>
              <w:widowControl/>
              <w:rPr>
                <w:rFonts w:ascii="仿宋_GB2312" w:hAnsi="仿宋" w:eastAsia="仿宋_GB2312" w:cs="宋体"/>
                <w:sz w:val="21"/>
                <w:szCs w:val="18"/>
              </w:rPr>
            </w:pPr>
            <w:r>
              <w:rPr>
                <w:rFonts w:hint="eastAsia" w:ascii="仿宋_GB2312" w:hAnsi="仿宋" w:eastAsia="仿宋_GB2312" w:cs="宋体"/>
                <w:sz w:val="21"/>
                <w:szCs w:val="18"/>
              </w:rPr>
              <w:t>Y＜100</w:t>
            </w:r>
          </w:p>
        </w:tc>
      </w:tr>
      <w:tr w14:paraId="6C006FC0">
        <w:tblPrEx>
          <w:tblCellMar>
            <w:top w:w="0" w:type="dxa"/>
            <w:left w:w="108" w:type="dxa"/>
            <w:bottom w:w="0" w:type="dxa"/>
            <w:right w:w="108" w:type="dxa"/>
          </w:tblCellMar>
        </w:tblPrEx>
        <w:trPr>
          <w:trHeight w:val="225" w:hRule="atLeast"/>
        </w:trPr>
        <w:tc>
          <w:tcPr>
            <w:tcW w:w="2021" w:type="dxa"/>
            <w:vMerge w:val="restart"/>
            <w:tcBorders>
              <w:top w:val="nil"/>
              <w:left w:val="single" w:color="auto" w:sz="4" w:space="0"/>
              <w:bottom w:val="single" w:color="auto" w:sz="4" w:space="0"/>
              <w:right w:val="single" w:color="auto" w:sz="4" w:space="0"/>
            </w:tcBorders>
            <w:vAlign w:val="bottom"/>
          </w:tcPr>
          <w:p w14:paraId="05F3C891">
            <w:pPr>
              <w:widowControl/>
              <w:jc w:val="center"/>
              <w:rPr>
                <w:rFonts w:ascii="仿宋_GB2312" w:hAnsi="仿宋" w:eastAsia="仿宋_GB2312" w:cs="宋体"/>
                <w:b/>
                <w:bCs/>
                <w:sz w:val="21"/>
                <w:szCs w:val="18"/>
              </w:rPr>
            </w:pPr>
            <w:r>
              <w:rPr>
                <w:rFonts w:hint="eastAsia" w:ascii="仿宋_GB2312" w:hAnsi="仿宋" w:eastAsia="仿宋_GB2312" w:cs="宋体"/>
                <w:b/>
                <w:bCs/>
                <w:sz w:val="21"/>
                <w:szCs w:val="18"/>
              </w:rPr>
              <w:t>信息传输业</w:t>
            </w:r>
          </w:p>
        </w:tc>
        <w:tc>
          <w:tcPr>
            <w:tcW w:w="1504" w:type="dxa"/>
            <w:tcBorders>
              <w:top w:val="nil"/>
              <w:left w:val="nil"/>
              <w:bottom w:val="single" w:color="auto" w:sz="4" w:space="0"/>
              <w:right w:val="single" w:color="auto" w:sz="4" w:space="0"/>
            </w:tcBorders>
            <w:vAlign w:val="center"/>
          </w:tcPr>
          <w:p w14:paraId="14F7EB94">
            <w:pPr>
              <w:widowControl/>
              <w:rPr>
                <w:rFonts w:ascii="仿宋_GB2312" w:hAnsi="仿宋" w:eastAsia="仿宋_GB2312" w:cs="宋体"/>
                <w:sz w:val="21"/>
                <w:szCs w:val="18"/>
              </w:rPr>
            </w:pPr>
            <w:r>
              <w:rPr>
                <w:rFonts w:hint="eastAsia" w:ascii="仿宋_GB2312" w:hAnsi="仿宋" w:eastAsia="仿宋_GB2312" w:cs="宋体"/>
                <w:sz w:val="21"/>
                <w:szCs w:val="18"/>
              </w:rPr>
              <w:t>从业人员（X）</w:t>
            </w:r>
          </w:p>
        </w:tc>
        <w:tc>
          <w:tcPr>
            <w:tcW w:w="1200" w:type="dxa"/>
            <w:tcBorders>
              <w:top w:val="nil"/>
              <w:left w:val="nil"/>
              <w:bottom w:val="single" w:color="auto" w:sz="4" w:space="0"/>
              <w:right w:val="single" w:color="auto" w:sz="4" w:space="0"/>
            </w:tcBorders>
            <w:vAlign w:val="center"/>
          </w:tcPr>
          <w:p w14:paraId="3CD0D97F">
            <w:pPr>
              <w:widowControl/>
              <w:rPr>
                <w:rFonts w:ascii="仿宋_GB2312" w:hAnsi="仿宋" w:eastAsia="仿宋_GB2312" w:cs="宋体"/>
                <w:sz w:val="21"/>
                <w:szCs w:val="18"/>
              </w:rPr>
            </w:pPr>
            <w:r>
              <w:rPr>
                <w:rFonts w:hint="eastAsia" w:ascii="仿宋_GB2312" w:hAnsi="仿宋" w:eastAsia="仿宋_GB2312" w:cs="宋体"/>
                <w:sz w:val="21"/>
                <w:szCs w:val="18"/>
              </w:rPr>
              <w:t>人</w:t>
            </w:r>
          </w:p>
        </w:tc>
        <w:tc>
          <w:tcPr>
            <w:tcW w:w="1995" w:type="dxa"/>
            <w:tcBorders>
              <w:top w:val="nil"/>
              <w:left w:val="nil"/>
              <w:bottom w:val="single" w:color="auto" w:sz="4" w:space="0"/>
              <w:right w:val="single" w:color="auto" w:sz="4" w:space="0"/>
            </w:tcBorders>
            <w:vAlign w:val="center"/>
          </w:tcPr>
          <w:p w14:paraId="2882ABF5">
            <w:pPr>
              <w:widowControl/>
              <w:rPr>
                <w:rFonts w:ascii="仿宋_GB2312" w:hAnsi="仿宋" w:eastAsia="仿宋_GB2312" w:cs="宋体"/>
                <w:sz w:val="21"/>
                <w:szCs w:val="18"/>
              </w:rPr>
            </w:pPr>
            <w:r>
              <w:rPr>
                <w:rFonts w:hint="eastAsia" w:ascii="仿宋_GB2312" w:hAnsi="仿宋" w:eastAsia="仿宋_GB2312" w:cs="宋体"/>
                <w:sz w:val="21"/>
                <w:szCs w:val="18"/>
              </w:rPr>
              <w:t>100≤X＜2000</w:t>
            </w:r>
          </w:p>
        </w:tc>
        <w:tc>
          <w:tcPr>
            <w:tcW w:w="1922" w:type="dxa"/>
            <w:tcBorders>
              <w:top w:val="nil"/>
              <w:left w:val="nil"/>
              <w:bottom w:val="single" w:color="auto" w:sz="4" w:space="0"/>
              <w:right w:val="single" w:color="auto" w:sz="4" w:space="0"/>
            </w:tcBorders>
            <w:vAlign w:val="center"/>
          </w:tcPr>
          <w:p w14:paraId="7A170FB2">
            <w:pPr>
              <w:widowControl/>
              <w:rPr>
                <w:rFonts w:ascii="仿宋_GB2312" w:hAnsi="仿宋" w:eastAsia="仿宋_GB2312" w:cs="宋体"/>
                <w:sz w:val="21"/>
                <w:szCs w:val="18"/>
              </w:rPr>
            </w:pPr>
            <w:r>
              <w:rPr>
                <w:rFonts w:hint="eastAsia" w:ascii="仿宋_GB2312" w:hAnsi="仿宋" w:eastAsia="仿宋_GB2312" w:cs="宋体"/>
                <w:sz w:val="21"/>
                <w:szCs w:val="18"/>
              </w:rPr>
              <w:t>10≤X＜100</w:t>
            </w:r>
          </w:p>
        </w:tc>
        <w:tc>
          <w:tcPr>
            <w:tcW w:w="1098" w:type="dxa"/>
            <w:tcBorders>
              <w:top w:val="nil"/>
              <w:left w:val="nil"/>
              <w:bottom w:val="single" w:color="auto" w:sz="4" w:space="0"/>
              <w:right w:val="single" w:color="auto" w:sz="4" w:space="0"/>
            </w:tcBorders>
            <w:vAlign w:val="center"/>
          </w:tcPr>
          <w:p w14:paraId="7F7A332A">
            <w:pPr>
              <w:widowControl/>
              <w:rPr>
                <w:rFonts w:ascii="仿宋_GB2312" w:hAnsi="仿宋" w:eastAsia="仿宋_GB2312" w:cs="宋体"/>
                <w:sz w:val="21"/>
                <w:szCs w:val="18"/>
              </w:rPr>
            </w:pPr>
            <w:r>
              <w:rPr>
                <w:rFonts w:hint="eastAsia" w:ascii="仿宋_GB2312" w:hAnsi="仿宋" w:eastAsia="仿宋_GB2312" w:cs="宋体"/>
                <w:sz w:val="21"/>
                <w:szCs w:val="18"/>
              </w:rPr>
              <w:t>X＜10</w:t>
            </w:r>
          </w:p>
        </w:tc>
      </w:tr>
      <w:tr w14:paraId="48825627">
        <w:tblPrEx>
          <w:tblCellMar>
            <w:top w:w="0" w:type="dxa"/>
            <w:left w:w="108" w:type="dxa"/>
            <w:bottom w:w="0" w:type="dxa"/>
            <w:right w:w="108" w:type="dxa"/>
          </w:tblCellMar>
        </w:tblPrEx>
        <w:trPr>
          <w:trHeight w:val="225" w:hRule="atLeast"/>
        </w:trPr>
        <w:tc>
          <w:tcPr>
            <w:tcW w:w="2021" w:type="dxa"/>
            <w:vMerge w:val="continue"/>
            <w:tcBorders>
              <w:top w:val="nil"/>
              <w:left w:val="single" w:color="auto" w:sz="4" w:space="0"/>
              <w:bottom w:val="single" w:color="auto" w:sz="4" w:space="0"/>
              <w:right w:val="single" w:color="auto" w:sz="4" w:space="0"/>
            </w:tcBorders>
            <w:vAlign w:val="center"/>
          </w:tcPr>
          <w:p w14:paraId="4A05B3E2">
            <w:pPr>
              <w:widowControl/>
              <w:rPr>
                <w:rFonts w:ascii="仿宋_GB2312" w:hAnsi="仿宋" w:eastAsia="仿宋_GB2312" w:cs="宋体"/>
                <w:b/>
                <w:bCs/>
                <w:sz w:val="21"/>
                <w:szCs w:val="18"/>
              </w:rPr>
            </w:pPr>
          </w:p>
        </w:tc>
        <w:tc>
          <w:tcPr>
            <w:tcW w:w="1504" w:type="dxa"/>
            <w:tcBorders>
              <w:top w:val="nil"/>
              <w:left w:val="nil"/>
              <w:bottom w:val="single" w:color="auto" w:sz="4" w:space="0"/>
              <w:right w:val="single" w:color="auto" w:sz="4" w:space="0"/>
            </w:tcBorders>
            <w:vAlign w:val="center"/>
          </w:tcPr>
          <w:p w14:paraId="616CA50B">
            <w:pPr>
              <w:widowControl/>
              <w:rPr>
                <w:rFonts w:ascii="仿宋_GB2312" w:hAnsi="仿宋" w:eastAsia="仿宋_GB2312" w:cs="宋体"/>
                <w:sz w:val="21"/>
                <w:szCs w:val="18"/>
              </w:rPr>
            </w:pPr>
            <w:r>
              <w:rPr>
                <w:rFonts w:hint="eastAsia" w:ascii="仿宋_GB2312" w:hAnsi="仿宋" w:eastAsia="仿宋_GB2312" w:cs="宋体"/>
                <w:sz w:val="21"/>
                <w:szCs w:val="18"/>
              </w:rPr>
              <w:t>营业收入（Y）</w:t>
            </w:r>
          </w:p>
        </w:tc>
        <w:tc>
          <w:tcPr>
            <w:tcW w:w="1200" w:type="dxa"/>
            <w:tcBorders>
              <w:top w:val="nil"/>
              <w:left w:val="nil"/>
              <w:bottom w:val="single" w:color="auto" w:sz="4" w:space="0"/>
              <w:right w:val="single" w:color="auto" w:sz="4" w:space="0"/>
            </w:tcBorders>
            <w:vAlign w:val="center"/>
          </w:tcPr>
          <w:p w14:paraId="0C284E9E">
            <w:pPr>
              <w:widowControl/>
              <w:rPr>
                <w:rFonts w:ascii="仿宋_GB2312" w:hAnsi="仿宋" w:eastAsia="仿宋_GB2312" w:cs="宋体"/>
                <w:sz w:val="21"/>
                <w:szCs w:val="18"/>
              </w:rPr>
            </w:pPr>
            <w:r>
              <w:rPr>
                <w:rFonts w:hint="eastAsia" w:ascii="仿宋_GB2312" w:hAnsi="仿宋" w:eastAsia="仿宋_GB2312" w:cs="宋体"/>
                <w:sz w:val="21"/>
                <w:szCs w:val="18"/>
              </w:rPr>
              <w:t>万元</w:t>
            </w:r>
          </w:p>
        </w:tc>
        <w:tc>
          <w:tcPr>
            <w:tcW w:w="1995" w:type="dxa"/>
            <w:tcBorders>
              <w:top w:val="nil"/>
              <w:left w:val="nil"/>
              <w:bottom w:val="single" w:color="auto" w:sz="4" w:space="0"/>
              <w:right w:val="single" w:color="auto" w:sz="4" w:space="0"/>
            </w:tcBorders>
            <w:vAlign w:val="center"/>
          </w:tcPr>
          <w:p w14:paraId="38F50BE3">
            <w:pPr>
              <w:widowControl/>
              <w:rPr>
                <w:rFonts w:ascii="仿宋_GB2312" w:hAnsi="仿宋" w:eastAsia="仿宋_GB2312" w:cs="宋体"/>
                <w:sz w:val="21"/>
                <w:szCs w:val="18"/>
              </w:rPr>
            </w:pPr>
            <w:r>
              <w:rPr>
                <w:rFonts w:hint="eastAsia" w:ascii="仿宋_GB2312" w:hAnsi="仿宋" w:eastAsia="仿宋_GB2312" w:cs="宋体"/>
                <w:sz w:val="21"/>
                <w:szCs w:val="18"/>
              </w:rPr>
              <w:t>1000≤Y＜100000</w:t>
            </w:r>
          </w:p>
        </w:tc>
        <w:tc>
          <w:tcPr>
            <w:tcW w:w="1922" w:type="dxa"/>
            <w:tcBorders>
              <w:top w:val="nil"/>
              <w:left w:val="nil"/>
              <w:bottom w:val="single" w:color="auto" w:sz="4" w:space="0"/>
              <w:right w:val="single" w:color="auto" w:sz="4" w:space="0"/>
            </w:tcBorders>
            <w:vAlign w:val="center"/>
          </w:tcPr>
          <w:p w14:paraId="65B452E3">
            <w:pPr>
              <w:widowControl/>
              <w:rPr>
                <w:rFonts w:ascii="仿宋_GB2312" w:hAnsi="仿宋" w:eastAsia="仿宋_GB2312" w:cs="宋体"/>
                <w:sz w:val="21"/>
                <w:szCs w:val="18"/>
              </w:rPr>
            </w:pPr>
            <w:r>
              <w:rPr>
                <w:rFonts w:hint="eastAsia" w:ascii="仿宋_GB2312" w:hAnsi="仿宋" w:eastAsia="仿宋_GB2312" w:cs="宋体"/>
                <w:sz w:val="21"/>
                <w:szCs w:val="18"/>
              </w:rPr>
              <w:t>100≤Y＜1000</w:t>
            </w:r>
          </w:p>
        </w:tc>
        <w:tc>
          <w:tcPr>
            <w:tcW w:w="1098" w:type="dxa"/>
            <w:tcBorders>
              <w:top w:val="nil"/>
              <w:left w:val="nil"/>
              <w:bottom w:val="single" w:color="auto" w:sz="4" w:space="0"/>
              <w:right w:val="single" w:color="auto" w:sz="4" w:space="0"/>
            </w:tcBorders>
            <w:vAlign w:val="center"/>
          </w:tcPr>
          <w:p w14:paraId="099BF54B">
            <w:pPr>
              <w:widowControl/>
              <w:rPr>
                <w:rFonts w:ascii="仿宋_GB2312" w:hAnsi="仿宋" w:eastAsia="仿宋_GB2312" w:cs="宋体"/>
                <w:sz w:val="21"/>
                <w:szCs w:val="18"/>
              </w:rPr>
            </w:pPr>
            <w:r>
              <w:rPr>
                <w:rFonts w:hint="eastAsia" w:ascii="仿宋_GB2312" w:hAnsi="仿宋" w:eastAsia="仿宋_GB2312" w:cs="宋体"/>
                <w:sz w:val="21"/>
                <w:szCs w:val="18"/>
              </w:rPr>
              <w:t>Y＜100</w:t>
            </w:r>
          </w:p>
        </w:tc>
      </w:tr>
      <w:tr w14:paraId="6A96354C">
        <w:tblPrEx>
          <w:tblCellMar>
            <w:top w:w="0" w:type="dxa"/>
            <w:left w:w="108" w:type="dxa"/>
            <w:bottom w:w="0" w:type="dxa"/>
            <w:right w:w="108" w:type="dxa"/>
          </w:tblCellMar>
        </w:tblPrEx>
        <w:trPr>
          <w:trHeight w:val="225" w:hRule="atLeast"/>
        </w:trPr>
        <w:tc>
          <w:tcPr>
            <w:tcW w:w="2021" w:type="dxa"/>
            <w:vMerge w:val="restart"/>
            <w:tcBorders>
              <w:top w:val="nil"/>
              <w:left w:val="single" w:color="auto" w:sz="4" w:space="0"/>
              <w:bottom w:val="single" w:color="auto" w:sz="4" w:space="0"/>
              <w:right w:val="single" w:color="auto" w:sz="4" w:space="0"/>
            </w:tcBorders>
            <w:vAlign w:val="bottom"/>
          </w:tcPr>
          <w:p w14:paraId="2F3C923D">
            <w:pPr>
              <w:widowControl/>
              <w:jc w:val="center"/>
              <w:rPr>
                <w:rFonts w:ascii="仿宋_GB2312" w:hAnsi="仿宋" w:eastAsia="仿宋_GB2312" w:cs="宋体"/>
                <w:b/>
                <w:bCs/>
                <w:sz w:val="21"/>
                <w:szCs w:val="18"/>
                <w:lang w:eastAsia="zh-CN"/>
              </w:rPr>
            </w:pPr>
            <w:r>
              <w:rPr>
                <w:rFonts w:hint="eastAsia" w:ascii="仿宋_GB2312" w:hAnsi="仿宋" w:eastAsia="仿宋_GB2312" w:cs="宋体"/>
                <w:b/>
                <w:bCs/>
                <w:sz w:val="21"/>
                <w:szCs w:val="18"/>
                <w:lang w:eastAsia="zh-CN"/>
              </w:rPr>
              <w:t>软件和信息技术服务业</w:t>
            </w:r>
          </w:p>
        </w:tc>
        <w:tc>
          <w:tcPr>
            <w:tcW w:w="1504" w:type="dxa"/>
            <w:tcBorders>
              <w:top w:val="nil"/>
              <w:left w:val="nil"/>
              <w:bottom w:val="single" w:color="auto" w:sz="4" w:space="0"/>
              <w:right w:val="single" w:color="auto" w:sz="4" w:space="0"/>
            </w:tcBorders>
            <w:vAlign w:val="center"/>
          </w:tcPr>
          <w:p w14:paraId="789D3436">
            <w:pPr>
              <w:widowControl/>
              <w:rPr>
                <w:rFonts w:ascii="仿宋_GB2312" w:hAnsi="仿宋" w:eastAsia="仿宋_GB2312" w:cs="宋体"/>
                <w:sz w:val="21"/>
                <w:szCs w:val="18"/>
              </w:rPr>
            </w:pPr>
            <w:r>
              <w:rPr>
                <w:rFonts w:hint="eastAsia" w:ascii="仿宋_GB2312" w:hAnsi="仿宋" w:eastAsia="仿宋_GB2312" w:cs="宋体"/>
                <w:sz w:val="21"/>
                <w:szCs w:val="18"/>
              </w:rPr>
              <w:t>从业人员（X）</w:t>
            </w:r>
          </w:p>
        </w:tc>
        <w:tc>
          <w:tcPr>
            <w:tcW w:w="1200" w:type="dxa"/>
            <w:tcBorders>
              <w:top w:val="nil"/>
              <w:left w:val="nil"/>
              <w:bottom w:val="single" w:color="auto" w:sz="4" w:space="0"/>
              <w:right w:val="single" w:color="auto" w:sz="4" w:space="0"/>
            </w:tcBorders>
            <w:vAlign w:val="center"/>
          </w:tcPr>
          <w:p w14:paraId="6E306765">
            <w:pPr>
              <w:widowControl/>
              <w:rPr>
                <w:rFonts w:ascii="仿宋_GB2312" w:hAnsi="仿宋" w:eastAsia="仿宋_GB2312" w:cs="宋体"/>
                <w:sz w:val="21"/>
                <w:szCs w:val="18"/>
              </w:rPr>
            </w:pPr>
            <w:r>
              <w:rPr>
                <w:rFonts w:hint="eastAsia" w:ascii="仿宋_GB2312" w:hAnsi="仿宋" w:eastAsia="仿宋_GB2312" w:cs="宋体"/>
                <w:sz w:val="21"/>
                <w:szCs w:val="18"/>
              </w:rPr>
              <w:t>人</w:t>
            </w:r>
          </w:p>
        </w:tc>
        <w:tc>
          <w:tcPr>
            <w:tcW w:w="1995" w:type="dxa"/>
            <w:tcBorders>
              <w:top w:val="nil"/>
              <w:left w:val="nil"/>
              <w:bottom w:val="single" w:color="auto" w:sz="4" w:space="0"/>
              <w:right w:val="single" w:color="auto" w:sz="4" w:space="0"/>
            </w:tcBorders>
            <w:vAlign w:val="center"/>
          </w:tcPr>
          <w:p w14:paraId="1239D85F">
            <w:pPr>
              <w:widowControl/>
              <w:rPr>
                <w:rFonts w:ascii="仿宋_GB2312" w:hAnsi="仿宋" w:eastAsia="仿宋_GB2312" w:cs="宋体"/>
                <w:sz w:val="21"/>
                <w:szCs w:val="18"/>
              </w:rPr>
            </w:pPr>
            <w:r>
              <w:rPr>
                <w:rFonts w:hint="eastAsia" w:ascii="仿宋_GB2312" w:hAnsi="仿宋" w:eastAsia="仿宋_GB2312" w:cs="宋体"/>
                <w:sz w:val="21"/>
                <w:szCs w:val="18"/>
              </w:rPr>
              <w:t>100≤X＜300</w:t>
            </w:r>
          </w:p>
        </w:tc>
        <w:tc>
          <w:tcPr>
            <w:tcW w:w="1922" w:type="dxa"/>
            <w:tcBorders>
              <w:top w:val="nil"/>
              <w:left w:val="nil"/>
              <w:bottom w:val="single" w:color="auto" w:sz="4" w:space="0"/>
              <w:right w:val="single" w:color="auto" w:sz="4" w:space="0"/>
            </w:tcBorders>
            <w:vAlign w:val="center"/>
          </w:tcPr>
          <w:p w14:paraId="3DE3AD8B">
            <w:pPr>
              <w:widowControl/>
              <w:rPr>
                <w:rFonts w:ascii="仿宋_GB2312" w:hAnsi="仿宋" w:eastAsia="仿宋_GB2312" w:cs="宋体"/>
                <w:sz w:val="21"/>
                <w:szCs w:val="18"/>
              </w:rPr>
            </w:pPr>
            <w:r>
              <w:rPr>
                <w:rFonts w:hint="eastAsia" w:ascii="仿宋_GB2312" w:hAnsi="仿宋" w:eastAsia="仿宋_GB2312" w:cs="宋体"/>
                <w:sz w:val="21"/>
                <w:szCs w:val="18"/>
              </w:rPr>
              <w:t>10≤X＜100</w:t>
            </w:r>
          </w:p>
        </w:tc>
        <w:tc>
          <w:tcPr>
            <w:tcW w:w="1098" w:type="dxa"/>
            <w:tcBorders>
              <w:top w:val="nil"/>
              <w:left w:val="nil"/>
              <w:bottom w:val="single" w:color="auto" w:sz="4" w:space="0"/>
              <w:right w:val="single" w:color="auto" w:sz="4" w:space="0"/>
            </w:tcBorders>
            <w:vAlign w:val="center"/>
          </w:tcPr>
          <w:p w14:paraId="15B40251">
            <w:pPr>
              <w:widowControl/>
              <w:rPr>
                <w:rFonts w:ascii="仿宋_GB2312" w:hAnsi="仿宋" w:eastAsia="仿宋_GB2312" w:cs="宋体"/>
                <w:sz w:val="21"/>
                <w:szCs w:val="18"/>
              </w:rPr>
            </w:pPr>
            <w:r>
              <w:rPr>
                <w:rFonts w:hint="eastAsia" w:ascii="仿宋_GB2312" w:hAnsi="仿宋" w:eastAsia="仿宋_GB2312" w:cs="宋体"/>
                <w:sz w:val="21"/>
                <w:szCs w:val="18"/>
              </w:rPr>
              <w:t>X＜10</w:t>
            </w:r>
          </w:p>
        </w:tc>
      </w:tr>
      <w:tr w14:paraId="50D5BD19">
        <w:tblPrEx>
          <w:tblCellMar>
            <w:top w:w="0" w:type="dxa"/>
            <w:left w:w="108" w:type="dxa"/>
            <w:bottom w:w="0" w:type="dxa"/>
            <w:right w:w="108" w:type="dxa"/>
          </w:tblCellMar>
        </w:tblPrEx>
        <w:trPr>
          <w:trHeight w:val="225" w:hRule="atLeast"/>
        </w:trPr>
        <w:tc>
          <w:tcPr>
            <w:tcW w:w="2021" w:type="dxa"/>
            <w:vMerge w:val="continue"/>
            <w:tcBorders>
              <w:top w:val="nil"/>
              <w:left w:val="single" w:color="auto" w:sz="4" w:space="0"/>
              <w:bottom w:val="single" w:color="auto" w:sz="4" w:space="0"/>
              <w:right w:val="single" w:color="auto" w:sz="4" w:space="0"/>
            </w:tcBorders>
            <w:vAlign w:val="center"/>
          </w:tcPr>
          <w:p w14:paraId="75A674B3">
            <w:pPr>
              <w:widowControl/>
              <w:rPr>
                <w:rFonts w:ascii="仿宋_GB2312" w:hAnsi="仿宋" w:eastAsia="仿宋_GB2312" w:cs="宋体"/>
                <w:b/>
                <w:bCs/>
                <w:sz w:val="21"/>
                <w:szCs w:val="18"/>
              </w:rPr>
            </w:pPr>
          </w:p>
        </w:tc>
        <w:tc>
          <w:tcPr>
            <w:tcW w:w="1504" w:type="dxa"/>
            <w:tcBorders>
              <w:top w:val="nil"/>
              <w:left w:val="nil"/>
              <w:bottom w:val="single" w:color="auto" w:sz="4" w:space="0"/>
              <w:right w:val="single" w:color="auto" w:sz="4" w:space="0"/>
            </w:tcBorders>
            <w:vAlign w:val="center"/>
          </w:tcPr>
          <w:p w14:paraId="24B3E44C">
            <w:pPr>
              <w:widowControl/>
              <w:rPr>
                <w:rFonts w:ascii="仿宋_GB2312" w:hAnsi="仿宋" w:eastAsia="仿宋_GB2312" w:cs="宋体"/>
                <w:sz w:val="21"/>
                <w:szCs w:val="18"/>
              </w:rPr>
            </w:pPr>
            <w:r>
              <w:rPr>
                <w:rFonts w:hint="eastAsia" w:ascii="仿宋_GB2312" w:hAnsi="仿宋" w:eastAsia="仿宋_GB2312" w:cs="宋体"/>
                <w:sz w:val="21"/>
                <w:szCs w:val="18"/>
              </w:rPr>
              <w:t>营业收入（Y）</w:t>
            </w:r>
          </w:p>
        </w:tc>
        <w:tc>
          <w:tcPr>
            <w:tcW w:w="1200" w:type="dxa"/>
            <w:tcBorders>
              <w:top w:val="nil"/>
              <w:left w:val="nil"/>
              <w:bottom w:val="single" w:color="auto" w:sz="4" w:space="0"/>
              <w:right w:val="single" w:color="auto" w:sz="4" w:space="0"/>
            </w:tcBorders>
            <w:vAlign w:val="center"/>
          </w:tcPr>
          <w:p w14:paraId="76206134">
            <w:pPr>
              <w:widowControl/>
              <w:rPr>
                <w:rFonts w:ascii="仿宋_GB2312" w:hAnsi="仿宋" w:eastAsia="仿宋_GB2312" w:cs="宋体"/>
                <w:sz w:val="21"/>
                <w:szCs w:val="18"/>
              </w:rPr>
            </w:pPr>
            <w:r>
              <w:rPr>
                <w:rFonts w:hint="eastAsia" w:ascii="仿宋_GB2312" w:hAnsi="仿宋" w:eastAsia="仿宋_GB2312" w:cs="宋体"/>
                <w:sz w:val="21"/>
                <w:szCs w:val="18"/>
              </w:rPr>
              <w:t>万元</w:t>
            </w:r>
          </w:p>
        </w:tc>
        <w:tc>
          <w:tcPr>
            <w:tcW w:w="1995" w:type="dxa"/>
            <w:tcBorders>
              <w:top w:val="nil"/>
              <w:left w:val="nil"/>
              <w:bottom w:val="single" w:color="auto" w:sz="4" w:space="0"/>
              <w:right w:val="single" w:color="auto" w:sz="4" w:space="0"/>
            </w:tcBorders>
            <w:vAlign w:val="center"/>
          </w:tcPr>
          <w:p w14:paraId="39331A07">
            <w:pPr>
              <w:widowControl/>
              <w:rPr>
                <w:rFonts w:ascii="仿宋_GB2312" w:hAnsi="仿宋" w:eastAsia="仿宋_GB2312" w:cs="宋体"/>
                <w:sz w:val="21"/>
                <w:szCs w:val="18"/>
              </w:rPr>
            </w:pPr>
            <w:r>
              <w:rPr>
                <w:rFonts w:hint="eastAsia" w:ascii="仿宋_GB2312" w:hAnsi="仿宋" w:eastAsia="仿宋_GB2312" w:cs="宋体"/>
                <w:sz w:val="21"/>
                <w:szCs w:val="18"/>
              </w:rPr>
              <w:t>1000≤Y＜10000</w:t>
            </w:r>
          </w:p>
        </w:tc>
        <w:tc>
          <w:tcPr>
            <w:tcW w:w="1922" w:type="dxa"/>
            <w:tcBorders>
              <w:top w:val="nil"/>
              <w:left w:val="nil"/>
              <w:bottom w:val="single" w:color="auto" w:sz="4" w:space="0"/>
              <w:right w:val="single" w:color="auto" w:sz="4" w:space="0"/>
            </w:tcBorders>
            <w:vAlign w:val="center"/>
          </w:tcPr>
          <w:p w14:paraId="7B0D2F54">
            <w:pPr>
              <w:widowControl/>
              <w:rPr>
                <w:rFonts w:ascii="仿宋_GB2312" w:hAnsi="仿宋" w:eastAsia="仿宋_GB2312" w:cs="宋体"/>
                <w:sz w:val="21"/>
                <w:szCs w:val="18"/>
              </w:rPr>
            </w:pPr>
            <w:r>
              <w:rPr>
                <w:rFonts w:hint="eastAsia" w:ascii="仿宋_GB2312" w:hAnsi="仿宋" w:eastAsia="仿宋_GB2312" w:cs="宋体"/>
                <w:sz w:val="21"/>
                <w:szCs w:val="18"/>
              </w:rPr>
              <w:t>50≤Y＜1000</w:t>
            </w:r>
          </w:p>
        </w:tc>
        <w:tc>
          <w:tcPr>
            <w:tcW w:w="1098" w:type="dxa"/>
            <w:tcBorders>
              <w:top w:val="nil"/>
              <w:left w:val="nil"/>
              <w:bottom w:val="single" w:color="auto" w:sz="4" w:space="0"/>
              <w:right w:val="single" w:color="auto" w:sz="4" w:space="0"/>
            </w:tcBorders>
            <w:vAlign w:val="center"/>
          </w:tcPr>
          <w:p w14:paraId="16700592">
            <w:pPr>
              <w:widowControl/>
              <w:rPr>
                <w:rFonts w:ascii="仿宋_GB2312" w:hAnsi="仿宋" w:eastAsia="仿宋_GB2312" w:cs="宋体"/>
                <w:sz w:val="21"/>
                <w:szCs w:val="18"/>
              </w:rPr>
            </w:pPr>
            <w:r>
              <w:rPr>
                <w:rFonts w:hint="eastAsia" w:ascii="仿宋_GB2312" w:hAnsi="仿宋" w:eastAsia="仿宋_GB2312" w:cs="宋体"/>
                <w:sz w:val="21"/>
                <w:szCs w:val="18"/>
              </w:rPr>
              <w:t>Y＜50</w:t>
            </w:r>
          </w:p>
        </w:tc>
      </w:tr>
      <w:tr w14:paraId="2970FDE2">
        <w:tblPrEx>
          <w:tblCellMar>
            <w:top w:w="0" w:type="dxa"/>
            <w:left w:w="108" w:type="dxa"/>
            <w:bottom w:w="0" w:type="dxa"/>
            <w:right w:w="108" w:type="dxa"/>
          </w:tblCellMar>
        </w:tblPrEx>
        <w:trPr>
          <w:trHeight w:val="225" w:hRule="atLeast"/>
        </w:trPr>
        <w:tc>
          <w:tcPr>
            <w:tcW w:w="2021" w:type="dxa"/>
            <w:vMerge w:val="restart"/>
            <w:tcBorders>
              <w:top w:val="nil"/>
              <w:left w:val="single" w:color="auto" w:sz="4" w:space="0"/>
              <w:bottom w:val="single" w:color="auto" w:sz="4" w:space="0"/>
              <w:right w:val="single" w:color="auto" w:sz="4" w:space="0"/>
            </w:tcBorders>
            <w:vAlign w:val="bottom"/>
          </w:tcPr>
          <w:p w14:paraId="25A175B3">
            <w:pPr>
              <w:widowControl/>
              <w:jc w:val="center"/>
              <w:rPr>
                <w:rFonts w:ascii="仿宋_GB2312" w:hAnsi="仿宋" w:eastAsia="仿宋_GB2312" w:cs="宋体"/>
                <w:b/>
                <w:bCs/>
                <w:sz w:val="21"/>
                <w:szCs w:val="18"/>
              </w:rPr>
            </w:pPr>
            <w:r>
              <w:rPr>
                <w:rFonts w:hint="eastAsia" w:ascii="仿宋_GB2312" w:hAnsi="仿宋" w:eastAsia="仿宋_GB2312" w:cs="宋体"/>
                <w:b/>
                <w:bCs/>
                <w:sz w:val="21"/>
                <w:szCs w:val="18"/>
              </w:rPr>
              <w:t>房地产开发经营</w:t>
            </w:r>
          </w:p>
        </w:tc>
        <w:tc>
          <w:tcPr>
            <w:tcW w:w="1504" w:type="dxa"/>
            <w:tcBorders>
              <w:top w:val="nil"/>
              <w:left w:val="nil"/>
              <w:bottom w:val="single" w:color="auto" w:sz="4" w:space="0"/>
              <w:right w:val="single" w:color="auto" w:sz="4" w:space="0"/>
            </w:tcBorders>
            <w:vAlign w:val="center"/>
          </w:tcPr>
          <w:p w14:paraId="51AE9108">
            <w:pPr>
              <w:widowControl/>
              <w:rPr>
                <w:rFonts w:ascii="仿宋_GB2312" w:hAnsi="仿宋" w:eastAsia="仿宋_GB2312" w:cs="宋体"/>
                <w:sz w:val="21"/>
                <w:szCs w:val="18"/>
              </w:rPr>
            </w:pPr>
            <w:r>
              <w:rPr>
                <w:rFonts w:hint="eastAsia" w:ascii="仿宋_GB2312" w:hAnsi="仿宋" w:eastAsia="仿宋_GB2312" w:cs="宋体"/>
                <w:sz w:val="21"/>
                <w:szCs w:val="18"/>
              </w:rPr>
              <w:t>营业收入（Y）</w:t>
            </w:r>
          </w:p>
        </w:tc>
        <w:tc>
          <w:tcPr>
            <w:tcW w:w="1200" w:type="dxa"/>
            <w:tcBorders>
              <w:top w:val="nil"/>
              <w:left w:val="nil"/>
              <w:bottom w:val="single" w:color="auto" w:sz="4" w:space="0"/>
              <w:right w:val="single" w:color="auto" w:sz="4" w:space="0"/>
            </w:tcBorders>
            <w:vAlign w:val="center"/>
          </w:tcPr>
          <w:p w14:paraId="5006C60D">
            <w:pPr>
              <w:widowControl/>
              <w:rPr>
                <w:rFonts w:ascii="仿宋_GB2312" w:hAnsi="仿宋" w:eastAsia="仿宋_GB2312" w:cs="宋体"/>
                <w:sz w:val="21"/>
                <w:szCs w:val="18"/>
              </w:rPr>
            </w:pPr>
            <w:r>
              <w:rPr>
                <w:rFonts w:hint="eastAsia" w:ascii="仿宋_GB2312" w:hAnsi="仿宋" w:eastAsia="仿宋_GB2312" w:cs="宋体"/>
                <w:sz w:val="21"/>
                <w:szCs w:val="18"/>
              </w:rPr>
              <w:t>万元</w:t>
            </w:r>
          </w:p>
        </w:tc>
        <w:tc>
          <w:tcPr>
            <w:tcW w:w="1995" w:type="dxa"/>
            <w:tcBorders>
              <w:top w:val="nil"/>
              <w:left w:val="nil"/>
              <w:bottom w:val="single" w:color="auto" w:sz="4" w:space="0"/>
              <w:right w:val="single" w:color="auto" w:sz="4" w:space="0"/>
            </w:tcBorders>
            <w:vAlign w:val="center"/>
          </w:tcPr>
          <w:p w14:paraId="7BB30A62">
            <w:pPr>
              <w:widowControl/>
              <w:rPr>
                <w:rFonts w:ascii="仿宋_GB2312" w:hAnsi="仿宋" w:eastAsia="仿宋_GB2312" w:cs="宋体"/>
                <w:sz w:val="21"/>
                <w:szCs w:val="18"/>
              </w:rPr>
            </w:pPr>
            <w:r>
              <w:rPr>
                <w:rFonts w:hint="eastAsia" w:ascii="仿宋_GB2312" w:hAnsi="仿宋" w:eastAsia="仿宋_GB2312" w:cs="宋体"/>
                <w:sz w:val="21"/>
                <w:szCs w:val="18"/>
              </w:rPr>
              <w:t>1000≤Y＜200000</w:t>
            </w:r>
          </w:p>
        </w:tc>
        <w:tc>
          <w:tcPr>
            <w:tcW w:w="1922" w:type="dxa"/>
            <w:tcBorders>
              <w:top w:val="nil"/>
              <w:left w:val="nil"/>
              <w:bottom w:val="single" w:color="auto" w:sz="4" w:space="0"/>
              <w:right w:val="single" w:color="auto" w:sz="4" w:space="0"/>
            </w:tcBorders>
            <w:vAlign w:val="center"/>
          </w:tcPr>
          <w:p w14:paraId="6887959A">
            <w:pPr>
              <w:widowControl/>
              <w:rPr>
                <w:rFonts w:ascii="仿宋_GB2312" w:hAnsi="仿宋" w:eastAsia="仿宋_GB2312" w:cs="宋体"/>
                <w:sz w:val="21"/>
                <w:szCs w:val="18"/>
              </w:rPr>
            </w:pPr>
            <w:r>
              <w:rPr>
                <w:rFonts w:hint="eastAsia" w:ascii="仿宋_GB2312" w:hAnsi="仿宋" w:eastAsia="仿宋_GB2312" w:cs="宋体"/>
                <w:sz w:val="21"/>
                <w:szCs w:val="18"/>
              </w:rPr>
              <w:t>100≤X＜1000</w:t>
            </w:r>
          </w:p>
        </w:tc>
        <w:tc>
          <w:tcPr>
            <w:tcW w:w="1098" w:type="dxa"/>
            <w:tcBorders>
              <w:top w:val="nil"/>
              <w:left w:val="nil"/>
              <w:bottom w:val="single" w:color="auto" w:sz="4" w:space="0"/>
              <w:right w:val="single" w:color="auto" w:sz="4" w:space="0"/>
            </w:tcBorders>
            <w:vAlign w:val="center"/>
          </w:tcPr>
          <w:p w14:paraId="5F70F155">
            <w:pPr>
              <w:widowControl/>
              <w:rPr>
                <w:rFonts w:ascii="仿宋_GB2312" w:hAnsi="仿宋" w:eastAsia="仿宋_GB2312" w:cs="宋体"/>
                <w:sz w:val="21"/>
                <w:szCs w:val="18"/>
              </w:rPr>
            </w:pPr>
            <w:r>
              <w:rPr>
                <w:rFonts w:hint="eastAsia" w:ascii="仿宋_GB2312" w:hAnsi="仿宋" w:eastAsia="仿宋_GB2312" w:cs="宋体"/>
                <w:sz w:val="21"/>
                <w:szCs w:val="18"/>
              </w:rPr>
              <w:t>X＜100</w:t>
            </w:r>
          </w:p>
        </w:tc>
      </w:tr>
      <w:tr w14:paraId="5F2D4BC2">
        <w:tblPrEx>
          <w:tblCellMar>
            <w:top w:w="0" w:type="dxa"/>
            <w:left w:w="108" w:type="dxa"/>
            <w:bottom w:w="0" w:type="dxa"/>
            <w:right w:w="108" w:type="dxa"/>
          </w:tblCellMar>
        </w:tblPrEx>
        <w:trPr>
          <w:trHeight w:val="225" w:hRule="atLeast"/>
        </w:trPr>
        <w:tc>
          <w:tcPr>
            <w:tcW w:w="2021" w:type="dxa"/>
            <w:vMerge w:val="continue"/>
            <w:tcBorders>
              <w:top w:val="nil"/>
              <w:left w:val="single" w:color="auto" w:sz="4" w:space="0"/>
              <w:bottom w:val="single" w:color="auto" w:sz="4" w:space="0"/>
              <w:right w:val="single" w:color="auto" w:sz="4" w:space="0"/>
            </w:tcBorders>
            <w:vAlign w:val="center"/>
          </w:tcPr>
          <w:p w14:paraId="3D21E851">
            <w:pPr>
              <w:widowControl/>
              <w:rPr>
                <w:rFonts w:ascii="仿宋_GB2312" w:hAnsi="仿宋" w:eastAsia="仿宋_GB2312" w:cs="宋体"/>
                <w:b/>
                <w:bCs/>
                <w:sz w:val="21"/>
                <w:szCs w:val="18"/>
              </w:rPr>
            </w:pPr>
          </w:p>
        </w:tc>
        <w:tc>
          <w:tcPr>
            <w:tcW w:w="1504" w:type="dxa"/>
            <w:tcBorders>
              <w:top w:val="nil"/>
              <w:left w:val="nil"/>
              <w:bottom w:val="single" w:color="auto" w:sz="4" w:space="0"/>
              <w:right w:val="single" w:color="auto" w:sz="4" w:space="0"/>
            </w:tcBorders>
            <w:vAlign w:val="center"/>
          </w:tcPr>
          <w:p w14:paraId="6012B0DC">
            <w:pPr>
              <w:widowControl/>
              <w:rPr>
                <w:rFonts w:ascii="仿宋_GB2312" w:hAnsi="仿宋" w:eastAsia="仿宋_GB2312" w:cs="宋体"/>
                <w:sz w:val="21"/>
                <w:szCs w:val="18"/>
              </w:rPr>
            </w:pPr>
            <w:r>
              <w:rPr>
                <w:rFonts w:hint="eastAsia" w:ascii="仿宋_GB2312" w:hAnsi="仿宋" w:eastAsia="仿宋_GB2312" w:cs="宋体"/>
                <w:sz w:val="21"/>
                <w:szCs w:val="18"/>
              </w:rPr>
              <w:t>资产总额（Z）</w:t>
            </w:r>
          </w:p>
        </w:tc>
        <w:tc>
          <w:tcPr>
            <w:tcW w:w="1200" w:type="dxa"/>
            <w:tcBorders>
              <w:top w:val="nil"/>
              <w:left w:val="nil"/>
              <w:bottom w:val="single" w:color="auto" w:sz="4" w:space="0"/>
              <w:right w:val="single" w:color="auto" w:sz="4" w:space="0"/>
            </w:tcBorders>
            <w:vAlign w:val="center"/>
          </w:tcPr>
          <w:p w14:paraId="574D955F">
            <w:pPr>
              <w:widowControl/>
              <w:rPr>
                <w:rFonts w:ascii="仿宋_GB2312" w:hAnsi="仿宋" w:eastAsia="仿宋_GB2312" w:cs="宋体"/>
                <w:sz w:val="21"/>
                <w:szCs w:val="18"/>
              </w:rPr>
            </w:pPr>
            <w:r>
              <w:rPr>
                <w:rFonts w:hint="eastAsia" w:ascii="仿宋_GB2312" w:hAnsi="仿宋" w:eastAsia="仿宋_GB2312" w:cs="宋体"/>
                <w:sz w:val="21"/>
                <w:szCs w:val="18"/>
              </w:rPr>
              <w:t>万元</w:t>
            </w:r>
          </w:p>
        </w:tc>
        <w:tc>
          <w:tcPr>
            <w:tcW w:w="1995" w:type="dxa"/>
            <w:tcBorders>
              <w:top w:val="nil"/>
              <w:left w:val="nil"/>
              <w:bottom w:val="single" w:color="auto" w:sz="4" w:space="0"/>
              <w:right w:val="single" w:color="auto" w:sz="4" w:space="0"/>
            </w:tcBorders>
            <w:vAlign w:val="center"/>
          </w:tcPr>
          <w:p w14:paraId="4E8A5A1B">
            <w:pPr>
              <w:widowControl/>
              <w:rPr>
                <w:rFonts w:ascii="仿宋_GB2312" w:hAnsi="仿宋" w:eastAsia="仿宋_GB2312" w:cs="宋体"/>
                <w:sz w:val="21"/>
                <w:szCs w:val="18"/>
              </w:rPr>
            </w:pPr>
            <w:r>
              <w:rPr>
                <w:rFonts w:hint="eastAsia" w:ascii="仿宋_GB2312" w:hAnsi="仿宋" w:eastAsia="仿宋_GB2312" w:cs="宋体"/>
                <w:sz w:val="21"/>
                <w:szCs w:val="18"/>
              </w:rPr>
              <w:t>5000≤Z＜10000</w:t>
            </w:r>
          </w:p>
        </w:tc>
        <w:tc>
          <w:tcPr>
            <w:tcW w:w="1922" w:type="dxa"/>
            <w:tcBorders>
              <w:top w:val="nil"/>
              <w:left w:val="nil"/>
              <w:bottom w:val="single" w:color="auto" w:sz="4" w:space="0"/>
              <w:right w:val="single" w:color="auto" w:sz="4" w:space="0"/>
            </w:tcBorders>
            <w:vAlign w:val="center"/>
          </w:tcPr>
          <w:p w14:paraId="1C7E5212">
            <w:pPr>
              <w:widowControl/>
              <w:rPr>
                <w:rFonts w:ascii="仿宋_GB2312" w:hAnsi="仿宋" w:eastAsia="仿宋_GB2312" w:cs="宋体"/>
                <w:sz w:val="21"/>
                <w:szCs w:val="18"/>
              </w:rPr>
            </w:pPr>
            <w:r>
              <w:rPr>
                <w:rFonts w:hint="eastAsia" w:ascii="仿宋_GB2312" w:hAnsi="仿宋" w:eastAsia="仿宋_GB2312" w:cs="宋体"/>
                <w:sz w:val="21"/>
                <w:szCs w:val="18"/>
              </w:rPr>
              <w:t>2000≤Y＜5000</w:t>
            </w:r>
          </w:p>
        </w:tc>
        <w:tc>
          <w:tcPr>
            <w:tcW w:w="1098" w:type="dxa"/>
            <w:tcBorders>
              <w:top w:val="nil"/>
              <w:left w:val="nil"/>
              <w:bottom w:val="single" w:color="auto" w:sz="4" w:space="0"/>
              <w:right w:val="single" w:color="auto" w:sz="4" w:space="0"/>
            </w:tcBorders>
            <w:vAlign w:val="center"/>
          </w:tcPr>
          <w:p w14:paraId="27249BA8">
            <w:pPr>
              <w:widowControl/>
              <w:rPr>
                <w:rFonts w:ascii="仿宋_GB2312" w:hAnsi="仿宋" w:eastAsia="仿宋_GB2312" w:cs="宋体"/>
                <w:sz w:val="21"/>
                <w:szCs w:val="18"/>
              </w:rPr>
            </w:pPr>
            <w:r>
              <w:rPr>
                <w:rFonts w:hint="eastAsia" w:ascii="仿宋_GB2312" w:hAnsi="仿宋" w:eastAsia="仿宋_GB2312" w:cs="宋体"/>
                <w:sz w:val="21"/>
                <w:szCs w:val="18"/>
              </w:rPr>
              <w:t>Y＜2000</w:t>
            </w:r>
          </w:p>
        </w:tc>
      </w:tr>
      <w:tr w14:paraId="054254D5">
        <w:tblPrEx>
          <w:tblCellMar>
            <w:top w:w="0" w:type="dxa"/>
            <w:left w:w="108" w:type="dxa"/>
            <w:bottom w:w="0" w:type="dxa"/>
            <w:right w:w="108" w:type="dxa"/>
          </w:tblCellMar>
        </w:tblPrEx>
        <w:trPr>
          <w:trHeight w:val="225" w:hRule="atLeast"/>
        </w:trPr>
        <w:tc>
          <w:tcPr>
            <w:tcW w:w="2021" w:type="dxa"/>
            <w:vMerge w:val="restart"/>
            <w:tcBorders>
              <w:top w:val="nil"/>
              <w:left w:val="single" w:color="auto" w:sz="4" w:space="0"/>
              <w:bottom w:val="single" w:color="auto" w:sz="4" w:space="0"/>
              <w:right w:val="single" w:color="auto" w:sz="4" w:space="0"/>
            </w:tcBorders>
            <w:vAlign w:val="bottom"/>
          </w:tcPr>
          <w:p w14:paraId="09BED4C2">
            <w:pPr>
              <w:widowControl/>
              <w:jc w:val="center"/>
              <w:rPr>
                <w:rFonts w:ascii="仿宋_GB2312" w:hAnsi="仿宋" w:eastAsia="仿宋_GB2312" w:cs="宋体"/>
                <w:b/>
                <w:bCs/>
                <w:sz w:val="21"/>
                <w:szCs w:val="18"/>
              </w:rPr>
            </w:pPr>
            <w:r>
              <w:rPr>
                <w:rFonts w:hint="eastAsia" w:ascii="仿宋_GB2312" w:hAnsi="仿宋" w:eastAsia="仿宋_GB2312" w:cs="宋体"/>
                <w:b/>
                <w:bCs/>
                <w:sz w:val="21"/>
                <w:szCs w:val="18"/>
              </w:rPr>
              <w:t>物业管理</w:t>
            </w:r>
          </w:p>
        </w:tc>
        <w:tc>
          <w:tcPr>
            <w:tcW w:w="1504" w:type="dxa"/>
            <w:tcBorders>
              <w:top w:val="nil"/>
              <w:left w:val="nil"/>
              <w:bottom w:val="single" w:color="auto" w:sz="4" w:space="0"/>
              <w:right w:val="single" w:color="auto" w:sz="4" w:space="0"/>
            </w:tcBorders>
            <w:vAlign w:val="center"/>
          </w:tcPr>
          <w:p w14:paraId="1B98D05D">
            <w:pPr>
              <w:widowControl/>
              <w:rPr>
                <w:rFonts w:ascii="仿宋_GB2312" w:hAnsi="仿宋" w:eastAsia="仿宋_GB2312" w:cs="宋体"/>
                <w:sz w:val="21"/>
                <w:szCs w:val="18"/>
              </w:rPr>
            </w:pPr>
            <w:r>
              <w:rPr>
                <w:rFonts w:hint="eastAsia" w:ascii="仿宋_GB2312" w:hAnsi="仿宋" w:eastAsia="仿宋_GB2312" w:cs="宋体"/>
                <w:sz w:val="21"/>
                <w:szCs w:val="18"/>
              </w:rPr>
              <w:t>从业人员（X）</w:t>
            </w:r>
          </w:p>
        </w:tc>
        <w:tc>
          <w:tcPr>
            <w:tcW w:w="1200" w:type="dxa"/>
            <w:tcBorders>
              <w:top w:val="nil"/>
              <w:left w:val="nil"/>
              <w:bottom w:val="single" w:color="auto" w:sz="4" w:space="0"/>
              <w:right w:val="single" w:color="auto" w:sz="4" w:space="0"/>
            </w:tcBorders>
            <w:vAlign w:val="center"/>
          </w:tcPr>
          <w:p w14:paraId="78007B44">
            <w:pPr>
              <w:widowControl/>
              <w:rPr>
                <w:rFonts w:ascii="仿宋_GB2312" w:hAnsi="仿宋" w:eastAsia="仿宋_GB2312" w:cs="宋体"/>
                <w:sz w:val="21"/>
                <w:szCs w:val="18"/>
              </w:rPr>
            </w:pPr>
            <w:r>
              <w:rPr>
                <w:rFonts w:hint="eastAsia" w:ascii="仿宋_GB2312" w:hAnsi="仿宋" w:eastAsia="仿宋_GB2312" w:cs="宋体"/>
                <w:sz w:val="21"/>
                <w:szCs w:val="18"/>
              </w:rPr>
              <w:t>人</w:t>
            </w:r>
          </w:p>
        </w:tc>
        <w:tc>
          <w:tcPr>
            <w:tcW w:w="1995" w:type="dxa"/>
            <w:tcBorders>
              <w:top w:val="nil"/>
              <w:left w:val="nil"/>
              <w:bottom w:val="single" w:color="auto" w:sz="4" w:space="0"/>
              <w:right w:val="single" w:color="auto" w:sz="4" w:space="0"/>
            </w:tcBorders>
            <w:vAlign w:val="center"/>
          </w:tcPr>
          <w:p w14:paraId="6216B481">
            <w:pPr>
              <w:widowControl/>
              <w:rPr>
                <w:rFonts w:ascii="仿宋_GB2312" w:hAnsi="仿宋" w:eastAsia="仿宋_GB2312" w:cs="宋体"/>
                <w:sz w:val="21"/>
                <w:szCs w:val="18"/>
              </w:rPr>
            </w:pPr>
            <w:r>
              <w:rPr>
                <w:rFonts w:hint="eastAsia" w:ascii="仿宋_GB2312" w:hAnsi="仿宋" w:eastAsia="仿宋_GB2312" w:cs="宋体"/>
                <w:sz w:val="21"/>
                <w:szCs w:val="18"/>
              </w:rPr>
              <w:t>300≤X＜1000</w:t>
            </w:r>
          </w:p>
        </w:tc>
        <w:tc>
          <w:tcPr>
            <w:tcW w:w="1922" w:type="dxa"/>
            <w:tcBorders>
              <w:top w:val="nil"/>
              <w:left w:val="nil"/>
              <w:bottom w:val="single" w:color="auto" w:sz="4" w:space="0"/>
              <w:right w:val="single" w:color="auto" w:sz="4" w:space="0"/>
            </w:tcBorders>
            <w:vAlign w:val="center"/>
          </w:tcPr>
          <w:p w14:paraId="69A0F5D0">
            <w:pPr>
              <w:widowControl/>
              <w:rPr>
                <w:rFonts w:ascii="仿宋_GB2312" w:hAnsi="仿宋" w:eastAsia="仿宋_GB2312" w:cs="宋体"/>
                <w:sz w:val="21"/>
                <w:szCs w:val="18"/>
              </w:rPr>
            </w:pPr>
            <w:r>
              <w:rPr>
                <w:rFonts w:hint="eastAsia" w:ascii="仿宋_GB2312" w:hAnsi="仿宋" w:eastAsia="仿宋_GB2312" w:cs="宋体"/>
                <w:sz w:val="21"/>
                <w:szCs w:val="18"/>
              </w:rPr>
              <w:t>100≤X＜300</w:t>
            </w:r>
          </w:p>
        </w:tc>
        <w:tc>
          <w:tcPr>
            <w:tcW w:w="1098" w:type="dxa"/>
            <w:tcBorders>
              <w:top w:val="nil"/>
              <w:left w:val="nil"/>
              <w:bottom w:val="single" w:color="auto" w:sz="4" w:space="0"/>
              <w:right w:val="single" w:color="auto" w:sz="4" w:space="0"/>
            </w:tcBorders>
            <w:vAlign w:val="center"/>
          </w:tcPr>
          <w:p w14:paraId="3416FA7E">
            <w:pPr>
              <w:widowControl/>
              <w:rPr>
                <w:rFonts w:ascii="仿宋_GB2312" w:hAnsi="仿宋" w:eastAsia="仿宋_GB2312" w:cs="宋体"/>
                <w:sz w:val="21"/>
                <w:szCs w:val="18"/>
              </w:rPr>
            </w:pPr>
            <w:r>
              <w:rPr>
                <w:rFonts w:hint="eastAsia" w:ascii="仿宋_GB2312" w:hAnsi="仿宋" w:eastAsia="仿宋_GB2312" w:cs="宋体"/>
                <w:sz w:val="21"/>
                <w:szCs w:val="18"/>
              </w:rPr>
              <w:t>X＜100</w:t>
            </w:r>
          </w:p>
        </w:tc>
      </w:tr>
      <w:tr w14:paraId="6D0D3F15">
        <w:tblPrEx>
          <w:tblCellMar>
            <w:top w:w="0" w:type="dxa"/>
            <w:left w:w="108" w:type="dxa"/>
            <w:bottom w:w="0" w:type="dxa"/>
            <w:right w:w="108" w:type="dxa"/>
          </w:tblCellMar>
        </w:tblPrEx>
        <w:trPr>
          <w:trHeight w:val="225" w:hRule="atLeast"/>
        </w:trPr>
        <w:tc>
          <w:tcPr>
            <w:tcW w:w="2021" w:type="dxa"/>
            <w:vMerge w:val="continue"/>
            <w:tcBorders>
              <w:top w:val="nil"/>
              <w:left w:val="single" w:color="auto" w:sz="4" w:space="0"/>
              <w:bottom w:val="single" w:color="auto" w:sz="4" w:space="0"/>
              <w:right w:val="single" w:color="auto" w:sz="4" w:space="0"/>
            </w:tcBorders>
            <w:vAlign w:val="center"/>
          </w:tcPr>
          <w:p w14:paraId="3A1890C1">
            <w:pPr>
              <w:widowControl/>
              <w:rPr>
                <w:rFonts w:ascii="仿宋_GB2312" w:hAnsi="仿宋" w:eastAsia="仿宋_GB2312" w:cs="宋体"/>
                <w:b/>
                <w:bCs/>
                <w:sz w:val="21"/>
                <w:szCs w:val="18"/>
              </w:rPr>
            </w:pPr>
          </w:p>
        </w:tc>
        <w:tc>
          <w:tcPr>
            <w:tcW w:w="1504" w:type="dxa"/>
            <w:tcBorders>
              <w:top w:val="nil"/>
              <w:left w:val="nil"/>
              <w:bottom w:val="single" w:color="auto" w:sz="4" w:space="0"/>
              <w:right w:val="single" w:color="auto" w:sz="4" w:space="0"/>
            </w:tcBorders>
            <w:vAlign w:val="center"/>
          </w:tcPr>
          <w:p w14:paraId="58BCA9C6">
            <w:pPr>
              <w:widowControl/>
              <w:rPr>
                <w:rFonts w:ascii="仿宋_GB2312" w:hAnsi="仿宋" w:eastAsia="仿宋_GB2312" w:cs="宋体"/>
                <w:sz w:val="21"/>
                <w:szCs w:val="18"/>
              </w:rPr>
            </w:pPr>
            <w:r>
              <w:rPr>
                <w:rFonts w:hint="eastAsia" w:ascii="仿宋_GB2312" w:hAnsi="仿宋" w:eastAsia="仿宋_GB2312" w:cs="宋体"/>
                <w:sz w:val="21"/>
                <w:szCs w:val="18"/>
              </w:rPr>
              <w:t>营业收入（Y）</w:t>
            </w:r>
          </w:p>
        </w:tc>
        <w:tc>
          <w:tcPr>
            <w:tcW w:w="1200" w:type="dxa"/>
            <w:tcBorders>
              <w:top w:val="nil"/>
              <w:left w:val="nil"/>
              <w:bottom w:val="single" w:color="auto" w:sz="4" w:space="0"/>
              <w:right w:val="single" w:color="auto" w:sz="4" w:space="0"/>
            </w:tcBorders>
            <w:vAlign w:val="center"/>
          </w:tcPr>
          <w:p w14:paraId="26DA0473">
            <w:pPr>
              <w:widowControl/>
              <w:rPr>
                <w:rFonts w:ascii="仿宋_GB2312" w:hAnsi="仿宋" w:eastAsia="仿宋_GB2312" w:cs="宋体"/>
                <w:sz w:val="21"/>
                <w:szCs w:val="18"/>
              </w:rPr>
            </w:pPr>
            <w:r>
              <w:rPr>
                <w:rFonts w:hint="eastAsia" w:ascii="仿宋_GB2312" w:hAnsi="仿宋" w:eastAsia="仿宋_GB2312" w:cs="宋体"/>
                <w:sz w:val="21"/>
                <w:szCs w:val="18"/>
              </w:rPr>
              <w:t>万元</w:t>
            </w:r>
          </w:p>
        </w:tc>
        <w:tc>
          <w:tcPr>
            <w:tcW w:w="1995" w:type="dxa"/>
            <w:tcBorders>
              <w:top w:val="nil"/>
              <w:left w:val="nil"/>
              <w:bottom w:val="single" w:color="auto" w:sz="4" w:space="0"/>
              <w:right w:val="single" w:color="auto" w:sz="4" w:space="0"/>
            </w:tcBorders>
            <w:vAlign w:val="center"/>
          </w:tcPr>
          <w:p w14:paraId="4A56EBC4">
            <w:pPr>
              <w:widowControl/>
              <w:rPr>
                <w:rFonts w:ascii="仿宋_GB2312" w:hAnsi="仿宋" w:eastAsia="仿宋_GB2312" w:cs="宋体"/>
                <w:sz w:val="21"/>
                <w:szCs w:val="18"/>
              </w:rPr>
            </w:pPr>
            <w:r>
              <w:rPr>
                <w:rFonts w:hint="eastAsia" w:ascii="仿宋_GB2312" w:hAnsi="仿宋" w:eastAsia="仿宋_GB2312" w:cs="宋体"/>
                <w:sz w:val="21"/>
                <w:szCs w:val="18"/>
              </w:rPr>
              <w:t>1000≤Y＜5000</w:t>
            </w:r>
          </w:p>
        </w:tc>
        <w:tc>
          <w:tcPr>
            <w:tcW w:w="1922" w:type="dxa"/>
            <w:tcBorders>
              <w:top w:val="nil"/>
              <w:left w:val="nil"/>
              <w:bottom w:val="single" w:color="auto" w:sz="4" w:space="0"/>
              <w:right w:val="single" w:color="auto" w:sz="4" w:space="0"/>
            </w:tcBorders>
            <w:vAlign w:val="center"/>
          </w:tcPr>
          <w:p w14:paraId="5EAB56AE">
            <w:pPr>
              <w:widowControl/>
              <w:rPr>
                <w:rFonts w:ascii="仿宋_GB2312" w:hAnsi="仿宋" w:eastAsia="仿宋_GB2312" w:cs="宋体"/>
                <w:sz w:val="21"/>
                <w:szCs w:val="18"/>
              </w:rPr>
            </w:pPr>
            <w:r>
              <w:rPr>
                <w:rFonts w:hint="eastAsia" w:ascii="仿宋_GB2312" w:hAnsi="仿宋" w:eastAsia="仿宋_GB2312" w:cs="宋体"/>
                <w:sz w:val="21"/>
                <w:szCs w:val="18"/>
              </w:rPr>
              <w:t>500≤Y＜1000</w:t>
            </w:r>
          </w:p>
        </w:tc>
        <w:tc>
          <w:tcPr>
            <w:tcW w:w="1098" w:type="dxa"/>
            <w:tcBorders>
              <w:top w:val="nil"/>
              <w:left w:val="nil"/>
              <w:bottom w:val="single" w:color="auto" w:sz="4" w:space="0"/>
              <w:right w:val="single" w:color="auto" w:sz="4" w:space="0"/>
            </w:tcBorders>
            <w:vAlign w:val="center"/>
          </w:tcPr>
          <w:p w14:paraId="1C9AE948">
            <w:pPr>
              <w:widowControl/>
              <w:rPr>
                <w:rFonts w:ascii="仿宋_GB2312" w:hAnsi="仿宋" w:eastAsia="仿宋_GB2312" w:cs="宋体"/>
                <w:sz w:val="21"/>
                <w:szCs w:val="18"/>
              </w:rPr>
            </w:pPr>
            <w:r>
              <w:rPr>
                <w:rFonts w:hint="eastAsia" w:ascii="仿宋_GB2312" w:hAnsi="仿宋" w:eastAsia="仿宋_GB2312" w:cs="宋体"/>
                <w:sz w:val="21"/>
                <w:szCs w:val="18"/>
              </w:rPr>
              <w:t>Y＜500</w:t>
            </w:r>
          </w:p>
        </w:tc>
      </w:tr>
      <w:tr w14:paraId="4CF03543">
        <w:tblPrEx>
          <w:tblCellMar>
            <w:top w:w="0" w:type="dxa"/>
            <w:left w:w="108" w:type="dxa"/>
            <w:bottom w:w="0" w:type="dxa"/>
            <w:right w:w="108" w:type="dxa"/>
          </w:tblCellMar>
        </w:tblPrEx>
        <w:trPr>
          <w:trHeight w:val="225" w:hRule="atLeast"/>
        </w:trPr>
        <w:tc>
          <w:tcPr>
            <w:tcW w:w="2021" w:type="dxa"/>
            <w:vMerge w:val="restart"/>
            <w:tcBorders>
              <w:top w:val="nil"/>
              <w:left w:val="single" w:color="auto" w:sz="4" w:space="0"/>
              <w:bottom w:val="single" w:color="auto" w:sz="4" w:space="0"/>
              <w:right w:val="single" w:color="auto" w:sz="4" w:space="0"/>
            </w:tcBorders>
            <w:vAlign w:val="bottom"/>
          </w:tcPr>
          <w:p w14:paraId="18096A85">
            <w:pPr>
              <w:widowControl/>
              <w:jc w:val="center"/>
              <w:rPr>
                <w:rFonts w:ascii="仿宋_GB2312" w:hAnsi="仿宋" w:eastAsia="仿宋_GB2312" w:cs="宋体"/>
                <w:b/>
                <w:bCs/>
                <w:sz w:val="21"/>
                <w:szCs w:val="18"/>
              </w:rPr>
            </w:pPr>
            <w:r>
              <w:rPr>
                <w:rFonts w:hint="eastAsia" w:ascii="仿宋_GB2312" w:hAnsi="仿宋" w:eastAsia="仿宋_GB2312" w:cs="宋体"/>
                <w:b/>
                <w:bCs/>
                <w:sz w:val="21"/>
                <w:szCs w:val="18"/>
              </w:rPr>
              <w:t>租赁和商务服务业</w:t>
            </w:r>
          </w:p>
        </w:tc>
        <w:tc>
          <w:tcPr>
            <w:tcW w:w="1504" w:type="dxa"/>
            <w:tcBorders>
              <w:top w:val="nil"/>
              <w:left w:val="nil"/>
              <w:bottom w:val="single" w:color="auto" w:sz="4" w:space="0"/>
              <w:right w:val="single" w:color="auto" w:sz="4" w:space="0"/>
            </w:tcBorders>
            <w:vAlign w:val="center"/>
          </w:tcPr>
          <w:p w14:paraId="07946B36">
            <w:pPr>
              <w:widowControl/>
              <w:rPr>
                <w:rFonts w:ascii="仿宋_GB2312" w:hAnsi="仿宋" w:eastAsia="仿宋_GB2312" w:cs="宋体"/>
                <w:sz w:val="21"/>
                <w:szCs w:val="18"/>
              </w:rPr>
            </w:pPr>
            <w:r>
              <w:rPr>
                <w:rFonts w:hint="eastAsia" w:ascii="仿宋_GB2312" w:hAnsi="仿宋" w:eastAsia="仿宋_GB2312" w:cs="宋体"/>
                <w:sz w:val="21"/>
                <w:szCs w:val="18"/>
              </w:rPr>
              <w:t>从业人员（X）</w:t>
            </w:r>
          </w:p>
        </w:tc>
        <w:tc>
          <w:tcPr>
            <w:tcW w:w="1200" w:type="dxa"/>
            <w:tcBorders>
              <w:top w:val="nil"/>
              <w:left w:val="nil"/>
              <w:bottom w:val="single" w:color="auto" w:sz="4" w:space="0"/>
              <w:right w:val="single" w:color="auto" w:sz="4" w:space="0"/>
            </w:tcBorders>
            <w:vAlign w:val="center"/>
          </w:tcPr>
          <w:p w14:paraId="6340B11C">
            <w:pPr>
              <w:widowControl/>
              <w:rPr>
                <w:rFonts w:ascii="仿宋_GB2312" w:hAnsi="仿宋" w:eastAsia="仿宋_GB2312" w:cs="宋体"/>
                <w:sz w:val="21"/>
                <w:szCs w:val="18"/>
              </w:rPr>
            </w:pPr>
            <w:r>
              <w:rPr>
                <w:rFonts w:hint="eastAsia" w:ascii="仿宋_GB2312" w:hAnsi="仿宋" w:eastAsia="仿宋_GB2312" w:cs="宋体"/>
                <w:sz w:val="21"/>
                <w:szCs w:val="18"/>
              </w:rPr>
              <w:t>人</w:t>
            </w:r>
          </w:p>
        </w:tc>
        <w:tc>
          <w:tcPr>
            <w:tcW w:w="1995" w:type="dxa"/>
            <w:tcBorders>
              <w:top w:val="nil"/>
              <w:left w:val="nil"/>
              <w:bottom w:val="single" w:color="auto" w:sz="4" w:space="0"/>
              <w:right w:val="single" w:color="auto" w:sz="4" w:space="0"/>
            </w:tcBorders>
            <w:vAlign w:val="center"/>
          </w:tcPr>
          <w:p w14:paraId="79E5E160">
            <w:pPr>
              <w:widowControl/>
              <w:rPr>
                <w:rFonts w:ascii="仿宋_GB2312" w:hAnsi="仿宋" w:eastAsia="仿宋_GB2312" w:cs="宋体"/>
                <w:sz w:val="21"/>
                <w:szCs w:val="18"/>
              </w:rPr>
            </w:pPr>
            <w:r>
              <w:rPr>
                <w:rFonts w:hint="eastAsia" w:ascii="仿宋_GB2312" w:hAnsi="仿宋" w:eastAsia="仿宋_GB2312" w:cs="宋体"/>
                <w:sz w:val="21"/>
                <w:szCs w:val="18"/>
              </w:rPr>
              <w:t>100≤X＜300</w:t>
            </w:r>
          </w:p>
        </w:tc>
        <w:tc>
          <w:tcPr>
            <w:tcW w:w="1922" w:type="dxa"/>
            <w:tcBorders>
              <w:top w:val="nil"/>
              <w:left w:val="nil"/>
              <w:bottom w:val="single" w:color="auto" w:sz="4" w:space="0"/>
              <w:right w:val="single" w:color="auto" w:sz="4" w:space="0"/>
            </w:tcBorders>
            <w:vAlign w:val="center"/>
          </w:tcPr>
          <w:p w14:paraId="66A917D2">
            <w:pPr>
              <w:widowControl/>
              <w:rPr>
                <w:rFonts w:ascii="仿宋_GB2312" w:hAnsi="仿宋" w:eastAsia="仿宋_GB2312" w:cs="宋体"/>
                <w:sz w:val="21"/>
                <w:szCs w:val="18"/>
              </w:rPr>
            </w:pPr>
            <w:r>
              <w:rPr>
                <w:rFonts w:hint="eastAsia" w:ascii="仿宋_GB2312" w:hAnsi="仿宋" w:eastAsia="仿宋_GB2312" w:cs="宋体"/>
                <w:sz w:val="21"/>
                <w:szCs w:val="18"/>
              </w:rPr>
              <w:t>10≤X＜100</w:t>
            </w:r>
          </w:p>
        </w:tc>
        <w:tc>
          <w:tcPr>
            <w:tcW w:w="1098" w:type="dxa"/>
            <w:tcBorders>
              <w:top w:val="nil"/>
              <w:left w:val="nil"/>
              <w:bottom w:val="single" w:color="auto" w:sz="4" w:space="0"/>
              <w:right w:val="single" w:color="auto" w:sz="4" w:space="0"/>
            </w:tcBorders>
            <w:vAlign w:val="center"/>
          </w:tcPr>
          <w:p w14:paraId="16A6F44F">
            <w:pPr>
              <w:widowControl/>
              <w:rPr>
                <w:rFonts w:ascii="仿宋_GB2312" w:hAnsi="仿宋" w:eastAsia="仿宋_GB2312" w:cs="宋体"/>
                <w:sz w:val="21"/>
                <w:szCs w:val="18"/>
              </w:rPr>
            </w:pPr>
            <w:r>
              <w:rPr>
                <w:rFonts w:hint="eastAsia" w:ascii="仿宋_GB2312" w:hAnsi="仿宋" w:eastAsia="仿宋_GB2312" w:cs="宋体"/>
                <w:sz w:val="21"/>
                <w:szCs w:val="18"/>
              </w:rPr>
              <w:t>X＜10</w:t>
            </w:r>
          </w:p>
        </w:tc>
      </w:tr>
      <w:tr w14:paraId="5361AA7C">
        <w:tblPrEx>
          <w:tblCellMar>
            <w:top w:w="0" w:type="dxa"/>
            <w:left w:w="108" w:type="dxa"/>
            <w:bottom w:w="0" w:type="dxa"/>
            <w:right w:w="108" w:type="dxa"/>
          </w:tblCellMar>
        </w:tblPrEx>
        <w:trPr>
          <w:trHeight w:val="225" w:hRule="atLeast"/>
        </w:trPr>
        <w:tc>
          <w:tcPr>
            <w:tcW w:w="2021" w:type="dxa"/>
            <w:vMerge w:val="continue"/>
            <w:tcBorders>
              <w:top w:val="nil"/>
              <w:left w:val="single" w:color="auto" w:sz="4" w:space="0"/>
              <w:bottom w:val="single" w:color="auto" w:sz="4" w:space="0"/>
              <w:right w:val="single" w:color="auto" w:sz="4" w:space="0"/>
            </w:tcBorders>
            <w:vAlign w:val="center"/>
          </w:tcPr>
          <w:p w14:paraId="55B082E5">
            <w:pPr>
              <w:widowControl/>
              <w:rPr>
                <w:rFonts w:ascii="仿宋_GB2312" w:hAnsi="仿宋" w:eastAsia="仿宋_GB2312" w:cs="宋体"/>
                <w:b/>
                <w:bCs/>
                <w:sz w:val="21"/>
                <w:szCs w:val="18"/>
              </w:rPr>
            </w:pPr>
          </w:p>
        </w:tc>
        <w:tc>
          <w:tcPr>
            <w:tcW w:w="1504" w:type="dxa"/>
            <w:tcBorders>
              <w:top w:val="nil"/>
              <w:left w:val="nil"/>
              <w:bottom w:val="single" w:color="auto" w:sz="4" w:space="0"/>
              <w:right w:val="single" w:color="auto" w:sz="4" w:space="0"/>
            </w:tcBorders>
            <w:vAlign w:val="center"/>
          </w:tcPr>
          <w:p w14:paraId="7B290A5A">
            <w:pPr>
              <w:widowControl/>
              <w:rPr>
                <w:rFonts w:ascii="仿宋_GB2312" w:hAnsi="仿宋" w:eastAsia="仿宋_GB2312" w:cs="宋体"/>
                <w:sz w:val="21"/>
                <w:szCs w:val="18"/>
              </w:rPr>
            </w:pPr>
            <w:r>
              <w:rPr>
                <w:rFonts w:hint="eastAsia" w:ascii="仿宋_GB2312" w:hAnsi="仿宋" w:eastAsia="仿宋_GB2312" w:cs="宋体"/>
                <w:sz w:val="21"/>
                <w:szCs w:val="18"/>
              </w:rPr>
              <w:t>资产总额（Z）</w:t>
            </w:r>
          </w:p>
        </w:tc>
        <w:tc>
          <w:tcPr>
            <w:tcW w:w="1200" w:type="dxa"/>
            <w:tcBorders>
              <w:top w:val="nil"/>
              <w:left w:val="nil"/>
              <w:bottom w:val="single" w:color="auto" w:sz="4" w:space="0"/>
              <w:right w:val="single" w:color="auto" w:sz="4" w:space="0"/>
            </w:tcBorders>
            <w:vAlign w:val="center"/>
          </w:tcPr>
          <w:p w14:paraId="7652448E">
            <w:pPr>
              <w:widowControl/>
              <w:rPr>
                <w:rFonts w:ascii="仿宋_GB2312" w:hAnsi="仿宋" w:eastAsia="仿宋_GB2312" w:cs="宋体"/>
                <w:sz w:val="21"/>
                <w:szCs w:val="18"/>
              </w:rPr>
            </w:pPr>
            <w:r>
              <w:rPr>
                <w:rFonts w:hint="eastAsia" w:ascii="仿宋_GB2312" w:hAnsi="仿宋" w:eastAsia="仿宋_GB2312" w:cs="宋体"/>
                <w:sz w:val="21"/>
                <w:szCs w:val="18"/>
              </w:rPr>
              <w:t>万元</w:t>
            </w:r>
          </w:p>
        </w:tc>
        <w:tc>
          <w:tcPr>
            <w:tcW w:w="1995" w:type="dxa"/>
            <w:tcBorders>
              <w:top w:val="nil"/>
              <w:left w:val="nil"/>
              <w:bottom w:val="single" w:color="auto" w:sz="4" w:space="0"/>
              <w:right w:val="single" w:color="auto" w:sz="4" w:space="0"/>
            </w:tcBorders>
            <w:vAlign w:val="center"/>
          </w:tcPr>
          <w:p w14:paraId="3DEE2245">
            <w:pPr>
              <w:widowControl/>
              <w:rPr>
                <w:rFonts w:ascii="仿宋_GB2312" w:hAnsi="仿宋" w:eastAsia="仿宋_GB2312" w:cs="宋体"/>
                <w:sz w:val="21"/>
                <w:szCs w:val="18"/>
              </w:rPr>
            </w:pPr>
            <w:r>
              <w:rPr>
                <w:rFonts w:hint="eastAsia" w:ascii="仿宋_GB2312" w:hAnsi="仿宋" w:eastAsia="仿宋_GB2312" w:cs="宋体"/>
                <w:sz w:val="21"/>
                <w:szCs w:val="18"/>
              </w:rPr>
              <w:t>8000≤Z＜120000</w:t>
            </w:r>
          </w:p>
        </w:tc>
        <w:tc>
          <w:tcPr>
            <w:tcW w:w="1922" w:type="dxa"/>
            <w:tcBorders>
              <w:top w:val="nil"/>
              <w:left w:val="nil"/>
              <w:bottom w:val="single" w:color="auto" w:sz="4" w:space="0"/>
              <w:right w:val="single" w:color="auto" w:sz="4" w:space="0"/>
            </w:tcBorders>
            <w:vAlign w:val="center"/>
          </w:tcPr>
          <w:p w14:paraId="6AD9A2C9">
            <w:pPr>
              <w:widowControl/>
              <w:rPr>
                <w:rFonts w:ascii="仿宋_GB2312" w:hAnsi="仿宋" w:eastAsia="仿宋_GB2312" w:cs="宋体"/>
                <w:sz w:val="21"/>
                <w:szCs w:val="18"/>
              </w:rPr>
            </w:pPr>
            <w:r>
              <w:rPr>
                <w:rFonts w:hint="eastAsia" w:ascii="仿宋_GB2312" w:hAnsi="仿宋" w:eastAsia="仿宋_GB2312" w:cs="宋体"/>
                <w:sz w:val="21"/>
                <w:szCs w:val="18"/>
              </w:rPr>
              <w:t>100≤Z＜8000</w:t>
            </w:r>
          </w:p>
        </w:tc>
        <w:tc>
          <w:tcPr>
            <w:tcW w:w="1098" w:type="dxa"/>
            <w:tcBorders>
              <w:top w:val="nil"/>
              <w:left w:val="nil"/>
              <w:bottom w:val="single" w:color="auto" w:sz="4" w:space="0"/>
              <w:right w:val="single" w:color="auto" w:sz="4" w:space="0"/>
            </w:tcBorders>
            <w:vAlign w:val="center"/>
          </w:tcPr>
          <w:p w14:paraId="0E66949D">
            <w:pPr>
              <w:widowControl/>
              <w:rPr>
                <w:rFonts w:ascii="仿宋_GB2312" w:hAnsi="仿宋" w:eastAsia="仿宋_GB2312" w:cs="宋体"/>
                <w:sz w:val="21"/>
                <w:szCs w:val="18"/>
              </w:rPr>
            </w:pPr>
            <w:r>
              <w:rPr>
                <w:rFonts w:hint="eastAsia" w:ascii="仿宋_GB2312" w:hAnsi="仿宋" w:eastAsia="仿宋_GB2312" w:cs="宋体"/>
                <w:sz w:val="21"/>
                <w:szCs w:val="18"/>
              </w:rPr>
              <w:t>Y＜100</w:t>
            </w:r>
          </w:p>
        </w:tc>
      </w:tr>
      <w:tr w14:paraId="1903055C">
        <w:tblPrEx>
          <w:tblCellMar>
            <w:top w:w="0" w:type="dxa"/>
            <w:left w:w="108" w:type="dxa"/>
            <w:bottom w:w="0" w:type="dxa"/>
            <w:right w:w="108" w:type="dxa"/>
          </w:tblCellMar>
        </w:tblPrEx>
        <w:trPr>
          <w:trHeight w:val="225" w:hRule="atLeast"/>
        </w:trPr>
        <w:tc>
          <w:tcPr>
            <w:tcW w:w="2021" w:type="dxa"/>
            <w:tcBorders>
              <w:top w:val="nil"/>
              <w:left w:val="single" w:color="auto" w:sz="4" w:space="0"/>
              <w:bottom w:val="single" w:color="auto" w:sz="4" w:space="0"/>
              <w:right w:val="single" w:color="auto" w:sz="4" w:space="0"/>
            </w:tcBorders>
            <w:vAlign w:val="bottom"/>
          </w:tcPr>
          <w:p w14:paraId="044909A6">
            <w:pPr>
              <w:widowControl/>
              <w:jc w:val="center"/>
              <w:rPr>
                <w:rFonts w:ascii="仿宋_GB2312" w:hAnsi="仿宋" w:eastAsia="仿宋_GB2312" w:cs="宋体"/>
                <w:b/>
                <w:bCs/>
                <w:sz w:val="21"/>
                <w:szCs w:val="18"/>
              </w:rPr>
            </w:pPr>
            <w:r>
              <w:rPr>
                <w:rFonts w:hint="eastAsia" w:ascii="仿宋_GB2312" w:hAnsi="仿宋" w:eastAsia="仿宋_GB2312" w:cs="宋体"/>
                <w:b/>
                <w:bCs/>
                <w:sz w:val="21"/>
                <w:szCs w:val="18"/>
              </w:rPr>
              <w:t>其他未列明行业</w:t>
            </w:r>
          </w:p>
        </w:tc>
        <w:tc>
          <w:tcPr>
            <w:tcW w:w="1504" w:type="dxa"/>
            <w:tcBorders>
              <w:top w:val="nil"/>
              <w:left w:val="nil"/>
              <w:bottom w:val="single" w:color="auto" w:sz="4" w:space="0"/>
              <w:right w:val="single" w:color="auto" w:sz="4" w:space="0"/>
            </w:tcBorders>
            <w:vAlign w:val="center"/>
          </w:tcPr>
          <w:p w14:paraId="31BEC78D">
            <w:pPr>
              <w:widowControl/>
              <w:rPr>
                <w:rFonts w:ascii="仿宋_GB2312" w:hAnsi="仿宋" w:eastAsia="仿宋_GB2312" w:cs="宋体"/>
                <w:sz w:val="21"/>
                <w:szCs w:val="18"/>
              </w:rPr>
            </w:pPr>
            <w:r>
              <w:rPr>
                <w:rFonts w:hint="eastAsia" w:ascii="仿宋_GB2312" w:hAnsi="仿宋" w:eastAsia="仿宋_GB2312" w:cs="宋体"/>
                <w:sz w:val="21"/>
                <w:szCs w:val="18"/>
              </w:rPr>
              <w:t>从业人员（X）</w:t>
            </w:r>
          </w:p>
        </w:tc>
        <w:tc>
          <w:tcPr>
            <w:tcW w:w="1200" w:type="dxa"/>
            <w:tcBorders>
              <w:top w:val="nil"/>
              <w:left w:val="nil"/>
              <w:bottom w:val="single" w:color="auto" w:sz="4" w:space="0"/>
              <w:right w:val="single" w:color="auto" w:sz="4" w:space="0"/>
            </w:tcBorders>
            <w:vAlign w:val="center"/>
          </w:tcPr>
          <w:p w14:paraId="7216C325">
            <w:pPr>
              <w:widowControl/>
              <w:rPr>
                <w:rFonts w:ascii="仿宋_GB2312" w:hAnsi="仿宋" w:eastAsia="仿宋_GB2312" w:cs="宋体"/>
                <w:sz w:val="21"/>
                <w:szCs w:val="18"/>
              </w:rPr>
            </w:pPr>
            <w:r>
              <w:rPr>
                <w:rFonts w:hint="eastAsia" w:ascii="仿宋_GB2312" w:hAnsi="仿宋" w:eastAsia="仿宋_GB2312" w:cs="宋体"/>
                <w:sz w:val="21"/>
                <w:szCs w:val="18"/>
              </w:rPr>
              <w:t>人</w:t>
            </w:r>
          </w:p>
        </w:tc>
        <w:tc>
          <w:tcPr>
            <w:tcW w:w="1995" w:type="dxa"/>
            <w:tcBorders>
              <w:top w:val="nil"/>
              <w:left w:val="nil"/>
              <w:bottom w:val="single" w:color="auto" w:sz="4" w:space="0"/>
              <w:right w:val="single" w:color="auto" w:sz="4" w:space="0"/>
            </w:tcBorders>
            <w:vAlign w:val="center"/>
          </w:tcPr>
          <w:p w14:paraId="4AB72AB7">
            <w:pPr>
              <w:widowControl/>
              <w:rPr>
                <w:rFonts w:ascii="仿宋_GB2312" w:hAnsi="仿宋" w:eastAsia="仿宋_GB2312" w:cs="宋体"/>
                <w:sz w:val="21"/>
                <w:szCs w:val="18"/>
              </w:rPr>
            </w:pPr>
            <w:r>
              <w:rPr>
                <w:rFonts w:hint="eastAsia" w:ascii="仿宋_GB2312" w:hAnsi="仿宋" w:eastAsia="仿宋_GB2312" w:cs="宋体"/>
                <w:sz w:val="21"/>
                <w:szCs w:val="18"/>
              </w:rPr>
              <w:t>100≤X＜300</w:t>
            </w:r>
          </w:p>
        </w:tc>
        <w:tc>
          <w:tcPr>
            <w:tcW w:w="1922" w:type="dxa"/>
            <w:tcBorders>
              <w:top w:val="nil"/>
              <w:left w:val="nil"/>
              <w:bottom w:val="single" w:color="auto" w:sz="4" w:space="0"/>
              <w:right w:val="single" w:color="auto" w:sz="4" w:space="0"/>
            </w:tcBorders>
            <w:vAlign w:val="center"/>
          </w:tcPr>
          <w:p w14:paraId="34E2C1DD">
            <w:pPr>
              <w:widowControl/>
              <w:rPr>
                <w:rFonts w:ascii="仿宋_GB2312" w:hAnsi="仿宋" w:eastAsia="仿宋_GB2312" w:cs="宋体"/>
                <w:sz w:val="21"/>
                <w:szCs w:val="18"/>
              </w:rPr>
            </w:pPr>
            <w:r>
              <w:rPr>
                <w:rFonts w:hint="eastAsia" w:ascii="仿宋_GB2312" w:hAnsi="仿宋" w:eastAsia="仿宋_GB2312" w:cs="宋体"/>
                <w:sz w:val="21"/>
                <w:szCs w:val="18"/>
              </w:rPr>
              <w:t>10≤X＜100</w:t>
            </w:r>
          </w:p>
        </w:tc>
        <w:tc>
          <w:tcPr>
            <w:tcW w:w="1098" w:type="dxa"/>
            <w:tcBorders>
              <w:top w:val="nil"/>
              <w:left w:val="nil"/>
              <w:bottom w:val="single" w:color="auto" w:sz="4" w:space="0"/>
              <w:right w:val="single" w:color="auto" w:sz="4" w:space="0"/>
            </w:tcBorders>
            <w:vAlign w:val="center"/>
          </w:tcPr>
          <w:p w14:paraId="26ED5093">
            <w:pPr>
              <w:widowControl/>
              <w:rPr>
                <w:rFonts w:ascii="仿宋_GB2312" w:hAnsi="仿宋" w:eastAsia="仿宋_GB2312" w:cs="宋体"/>
                <w:sz w:val="21"/>
                <w:szCs w:val="18"/>
              </w:rPr>
            </w:pPr>
            <w:r>
              <w:rPr>
                <w:rFonts w:hint="eastAsia" w:ascii="仿宋_GB2312" w:hAnsi="仿宋" w:eastAsia="仿宋_GB2312" w:cs="宋体"/>
                <w:sz w:val="21"/>
                <w:szCs w:val="18"/>
              </w:rPr>
              <w:t>X＜10</w:t>
            </w:r>
          </w:p>
        </w:tc>
      </w:tr>
    </w:tbl>
    <w:p w14:paraId="2663D9DD">
      <w:pPr>
        <w:spacing w:line="360" w:lineRule="auto"/>
        <w:ind w:firstLine="480" w:firstLineChars="200"/>
        <w:rPr>
          <w:rFonts w:ascii="仿宋_GB2312" w:hAnsi="仿宋" w:eastAsia="仿宋_GB2312"/>
          <w:szCs w:val="21"/>
          <w:lang w:eastAsia="zh-CN"/>
        </w:rPr>
      </w:pPr>
      <w:r>
        <w:rPr>
          <w:rFonts w:hint="eastAsia" w:ascii="仿宋_GB2312" w:hAnsi="仿宋" w:eastAsia="仿宋_GB2312"/>
          <w:szCs w:val="21"/>
          <w:lang w:eastAsia="zh-CN"/>
        </w:rPr>
        <w:t>说明：上述标准参照《关于印发中小企业划型标准规定的通知》（工信部联企业[2011]300号），大型、中型和小型企业须同时满足所列指标的下限，否则下划一档；微型企业只须满足所列指标中的一项即可。</w:t>
      </w:r>
    </w:p>
    <w:p w14:paraId="09EA42D6">
      <w:pPr>
        <w:pStyle w:val="7"/>
        <w:jc w:val="center"/>
        <w:outlineLvl w:val="0"/>
        <w:rPr>
          <w:rFonts w:hAnsi="宋体"/>
          <w:lang w:eastAsia="zh-CN"/>
        </w:rPr>
        <w:sectPr>
          <w:footerReference r:id="rId24" w:type="default"/>
          <w:pgSz w:w="11906" w:h="16838"/>
          <w:pgMar w:top="1134" w:right="1134" w:bottom="1134" w:left="1134" w:header="720" w:footer="720" w:gutter="0"/>
          <w:cols w:space="720" w:num="1"/>
          <w:docGrid w:type="lines" w:linePitch="331" w:charSpace="0"/>
        </w:sectPr>
      </w:pPr>
    </w:p>
    <w:p w14:paraId="32FD09D6">
      <w:pPr>
        <w:pStyle w:val="27"/>
        <w:keepNext/>
        <w:keepLines/>
        <w:spacing w:after="360"/>
        <w:ind w:left="0" w:firstLine="880" w:firstLineChars="200"/>
        <w:rPr>
          <w:sz w:val="44"/>
          <w:szCs w:val="44"/>
        </w:rPr>
      </w:pPr>
      <w:bookmarkStart w:id="233" w:name="bookmark323"/>
      <w:bookmarkStart w:id="234" w:name="bookmark324"/>
      <w:bookmarkStart w:id="235" w:name="bookmark322"/>
      <w:r>
        <w:rPr>
          <w:sz w:val="44"/>
          <w:szCs w:val="44"/>
        </w:rPr>
        <w:t>残疾人福利性单位声明函</w:t>
      </w:r>
      <w:bookmarkEnd w:id="233"/>
      <w:bookmarkEnd w:id="234"/>
      <w:bookmarkEnd w:id="235"/>
    </w:p>
    <w:p w14:paraId="15F24368">
      <w:pPr>
        <w:pStyle w:val="37"/>
        <w:tabs>
          <w:tab w:val="left" w:pos="2485"/>
          <w:tab w:val="left" w:pos="4165"/>
        </w:tabs>
        <w:spacing w:line="435" w:lineRule="exact"/>
        <w:ind w:left="220" w:firstLine="420" w:firstLineChars="200"/>
        <w:rPr>
          <w:sz w:val="21"/>
          <w:szCs w:val="21"/>
        </w:rPr>
      </w:pPr>
      <w:r>
        <w:rPr>
          <w:sz w:val="21"/>
          <w:szCs w:val="21"/>
        </w:rPr>
        <w:t>本单位郑重声明，根据《财政部民政部中国残疾人联合会关于促进残疾人就业政府釆 购政策的通知》（财库（2017） 141号）的规定，本单位为符合条件的残疾人福利性单位， 且本单位参加</w:t>
      </w:r>
      <w:r>
        <w:rPr>
          <w:sz w:val="21"/>
          <w:szCs w:val="21"/>
          <w:u w:val="single"/>
        </w:rPr>
        <w:t xml:space="preserve"> </w:t>
      </w:r>
      <w:r>
        <w:rPr>
          <w:sz w:val="21"/>
          <w:szCs w:val="21"/>
          <w:u w:val="single"/>
        </w:rPr>
        <w:tab/>
      </w:r>
      <w:r>
        <w:rPr>
          <w:sz w:val="21"/>
          <w:szCs w:val="21"/>
        </w:rPr>
        <w:t>单位的</w:t>
      </w:r>
      <w:r>
        <w:rPr>
          <w:sz w:val="21"/>
          <w:szCs w:val="21"/>
          <w:u w:val="single"/>
        </w:rPr>
        <w:t xml:space="preserve"> </w:t>
      </w:r>
      <w:r>
        <w:rPr>
          <w:sz w:val="21"/>
          <w:szCs w:val="21"/>
          <w:u w:val="single"/>
        </w:rPr>
        <w:tab/>
      </w:r>
      <w:r>
        <w:rPr>
          <w:sz w:val="21"/>
          <w:szCs w:val="21"/>
        </w:rPr>
        <w:t>项目釆购活动由本单位提供服务。</w:t>
      </w:r>
    </w:p>
    <w:p w14:paraId="1AF2595A">
      <w:pPr>
        <w:pStyle w:val="37"/>
        <w:spacing w:after="1620" w:line="435" w:lineRule="exact"/>
        <w:ind w:left="220" w:firstLine="420" w:firstLineChars="200"/>
        <w:rPr>
          <w:sz w:val="21"/>
          <w:szCs w:val="21"/>
        </w:rPr>
      </w:pPr>
      <w:r>
        <w:rPr>
          <w:sz w:val="21"/>
          <w:szCs w:val="21"/>
        </w:rPr>
        <w:t>本单位对上述声明的真实性负责。如有虚假，将依法承担相应责任。</w:t>
      </w:r>
    </w:p>
    <w:p w14:paraId="61919D26">
      <w:pPr>
        <w:pStyle w:val="37"/>
        <w:spacing w:after="200" w:line="240" w:lineRule="auto"/>
        <w:ind w:left="2620" w:firstLine="420" w:firstLineChars="200"/>
        <w:rPr>
          <w:sz w:val="21"/>
          <w:szCs w:val="21"/>
        </w:rPr>
      </w:pPr>
      <w:r>
        <w:rPr>
          <w:sz w:val="21"/>
          <w:szCs w:val="21"/>
        </w:rPr>
        <w:t>供应商名称（电子签章）：</w:t>
      </w:r>
    </w:p>
    <w:p w14:paraId="63E804A4">
      <w:pPr>
        <w:pStyle w:val="37"/>
        <w:spacing w:after="1360" w:line="240" w:lineRule="auto"/>
        <w:ind w:left="4580" w:firstLine="420" w:firstLineChars="200"/>
        <w:rPr>
          <w:sz w:val="21"/>
          <w:szCs w:val="21"/>
        </w:rPr>
      </w:pPr>
      <w:r>
        <w:rPr>
          <w:sz w:val="21"/>
          <w:szCs w:val="21"/>
        </w:rPr>
        <w:t>日期： 年 月 日</w:t>
      </w:r>
    </w:p>
    <w:p w14:paraId="1D6E3594">
      <w:pPr>
        <w:pStyle w:val="37"/>
        <w:spacing w:after="360" w:line="472" w:lineRule="exact"/>
        <w:ind w:left="220" w:firstLine="420" w:firstLineChars="200"/>
        <w:rPr>
          <w:sz w:val="21"/>
          <w:szCs w:val="21"/>
        </w:rPr>
        <w:sectPr>
          <w:footerReference r:id="rId25" w:type="default"/>
          <w:footerReference r:id="rId26" w:type="even"/>
          <w:pgSz w:w="11900" w:h="16840"/>
          <w:pgMar w:top="1700" w:right="865" w:bottom="1700" w:left="880" w:header="1272" w:footer="1020" w:gutter="0"/>
          <w:cols w:space="720" w:num="1"/>
          <w:docGrid w:linePitch="360" w:charSpace="0"/>
        </w:sectPr>
      </w:pPr>
      <w:r>
        <w:rPr>
          <w:sz w:val="21"/>
          <w:szCs w:val="21"/>
        </w:rPr>
        <w:t>注：请根据自己的真实情况岀具《残疾人福利性单位声明函》。依法享受中小企业优惠政策 的，釆购入或者釆购代理机构在公告中标结果时，同时公告其《残疾人福利性单位声明函》， 接受社会监督。</w:t>
      </w:r>
    </w:p>
    <w:p w14:paraId="2A05C05D">
      <w:pPr>
        <w:spacing w:line="320" w:lineRule="exact"/>
        <w:jc w:val="center"/>
        <w:rPr>
          <w:rFonts w:ascii="宋体"/>
          <w:b/>
          <w:color w:val="000000" w:themeColor="text1"/>
          <w:sz w:val="32"/>
          <w:szCs w:val="32"/>
          <w:lang w:eastAsia="zh-CN"/>
          <w14:textFill>
            <w14:solidFill>
              <w14:schemeClr w14:val="tx1"/>
            </w14:solidFill>
          </w14:textFill>
        </w:rPr>
      </w:pPr>
    </w:p>
    <w:p w14:paraId="164B4B3E">
      <w:pPr>
        <w:snapToGrid w:val="0"/>
        <w:spacing w:before="120" w:beforeLines="50" w:after="50" w:line="360" w:lineRule="auto"/>
        <w:jc w:val="center"/>
        <w:rPr>
          <w:rFonts w:ascii="宋体"/>
          <w:b/>
          <w:color w:val="000000" w:themeColor="text1"/>
          <w:lang w:eastAsia="zh-CN"/>
          <w14:textFill>
            <w14:solidFill>
              <w14:schemeClr w14:val="tx1"/>
            </w14:solidFill>
          </w14:textFill>
        </w:rPr>
      </w:pPr>
    </w:p>
    <w:p w14:paraId="4271A4FE">
      <w:pPr>
        <w:spacing w:line="360" w:lineRule="auto"/>
        <w:contextualSpacing/>
        <w:jc w:val="center"/>
        <w:rPr>
          <w:rFonts w:ascii="宋体"/>
          <w:b/>
          <w:color w:val="000000" w:themeColor="text1"/>
          <w:sz w:val="32"/>
          <w:szCs w:val="32"/>
          <w:lang w:eastAsia="zh-CN"/>
          <w14:textFill>
            <w14:solidFill>
              <w14:schemeClr w14:val="tx1"/>
            </w14:solidFill>
          </w14:textFill>
        </w:rPr>
      </w:pPr>
      <w:r>
        <w:rPr>
          <w:rFonts w:hint="eastAsia" w:ascii="宋体" w:hAnsi="宋体" w:eastAsia="宋体"/>
          <w:b/>
          <w:color w:val="000000" w:themeColor="text1"/>
          <w:sz w:val="32"/>
          <w:szCs w:val="32"/>
          <w:lang w:eastAsia="zh-CN"/>
          <w14:textFill>
            <w14:solidFill>
              <w14:schemeClr w14:val="tx1"/>
            </w14:solidFill>
          </w14:textFill>
        </w:rPr>
        <w:t>3.</w:t>
      </w:r>
      <w:r>
        <w:rPr>
          <w:rFonts w:hint="eastAsia" w:ascii="宋体" w:hAnsi="宋体"/>
          <w:b/>
          <w:color w:val="000000" w:themeColor="text1"/>
          <w:sz w:val="32"/>
          <w:szCs w:val="32"/>
          <w:lang w:eastAsia="zh-CN"/>
          <w14:textFill>
            <w14:solidFill>
              <w14:schemeClr w14:val="tx1"/>
            </w14:solidFill>
          </w14:textFill>
        </w:rPr>
        <w:t>供应商直接控股股东信息表</w:t>
      </w:r>
    </w:p>
    <w:p w14:paraId="2BE245B0">
      <w:pPr>
        <w:spacing w:line="360" w:lineRule="auto"/>
        <w:contextualSpacing/>
        <w:jc w:val="center"/>
        <w:rPr>
          <w:rFonts w:ascii="宋体"/>
          <w:b/>
          <w:color w:val="000000" w:themeColor="text1"/>
          <w:lang w:eastAsia="zh-CN"/>
          <w14:textFill>
            <w14:solidFill>
              <w14:schemeClr w14:val="tx1"/>
            </w14:solidFill>
          </w14:textFill>
        </w:rPr>
      </w:pPr>
    </w:p>
    <w:tbl>
      <w:tblPr>
        <w:tblStyle w:val="14"/>
        <w:tblW w:w="0" w:type="auto"/>
        <w:jc w:val="center"/>
        <w:tblLayout w:type="fixed"/>
        <w:tblCellMar>
          <w:top w:w="0" w:type="dxa"/>
          <w:left w:w="0" w:type="dxa"/>
          <w:bottom w:w="0" w:type="dxa"/>
          <w:right w:w="0" w:type="dxa"/>
        </w:tblCellMar>
      </w:tblPr>
      <w:tblGrid>
        <w:gridCol w:w="880"/>
        <w:gridCol w:w="2655"/>
        <w:gridCol w:w="1455"/>
        <w:gridCol w:w="4287"/>
        <w:gridCol w:w="870"/>
      </w:tblGrid>
      <w:tr w14:paraId="4ABF32BE">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88A68DF">
            <w:pPr>
              <w:widowControl/>
              <w:spacing w:line="360" w:lineRule="auto"/>
              <w:contextualSpacing/>
              <w:jc w:val="center"/>
              <w:rPr>
                <w:rFonts w:asci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7D2AF5">
            <w:pPr>
              <w:widowControl/>
              <w:spacing w:line="360" w:lineRule="auto"/>
              <w:contextualSpacing/>
              <w:jc w:val="center"/>
              <w:rPr>
                <w:rFonts w:asci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3D554EC">
            <w:pPr>
              <w:widowControl/>
              <w:spacing w:line="360" w:lineRule="auto"/>
              <w:contextualSpacing/>
              <w:jc w:val="center"/>
              <w:rPr>
                <w:rFonts w:asci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773DD2">
            <w:pPr>
              <w:widowControl/>
              <w:spacing w:line="360" w:lineRule="auto"/>
              <w:contextualSpacing/>
              <w:jc w:val="center"/>
              <w:rPr>
                <w:rFonts w:ascii="宋体" w:cs="宋体"/>
                <w:b/>
                <w:bCs/>
                <w:color w:val="000000" w:themeColor="text1"/>
                <w:lang w:eastAsia="zh-CN"/>
                <w14:textFill>
                  <w14:solidFill>
                    <w14:schemeClr w14:val="tx1"/>
                  </w14:solidFill>
                </w14:textFill>
              </w:rPr>
            </w:pPr>
            <w:r>
              <w:rPr>
                <w:rFonts w:hint="eastAsia" w:ascii="宋体" w:hAnsi="宋体" w:cs="宋体"/>
                <w:b/>
                <w:bCs/>
                <w:color w:val="000000" w:themeColor="text1"/>
                <w:lang w:eastAsia="zh-CN"/>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8C59705">
            <w:pPr>
              <w:widowControl/>
              <w:spacing w:line="360" w:lineRule="auto"/>
              <w:contextualSpacing/>
              <w:jc w:val="center"/>
              <w:rPr>
                <w:rFonts w:asci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备注</w:t>
            </w:r>
          </w:p>
        </w:tc>
      </w:tr>
      <w:tr w14:paraId="6DABB76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210DC4">
            <w:pPr>
              <w:widowControl/>
              <w:spacing w:line="360" w:lineRule="auto"/>
              <w:contextualSpacing/>
              <w:jc w:val="cente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64509F4">
            <w:pPr>
              <w:widowControl/>
              <w:spacing w:line="360" w:lineRule="auto"/>
              <w:contextualSpacing/>
              <w:jc w:val="center"/>
              <w:rPr>
                <w:rFonts w:ascii="宋体" w:cs="宋体"/>
                <w:color w:val="000000" w:themeColor="text1"/>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555FC99">
            <w:pPr>
              <w:widowControl/>
              <w:spacing w:line="360" w:lineRule="auto"/>
              <w:contextualSpacing/>
              <w:jc w:val="center"/>
              <w:rPr>
                <w:rFonts w:ascii="宋体" w:cs="宋体"/>
                <w:color w:val="000000" w:themeColor="text1"/>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6F2825">
            <w:pPr>
              <w:widowControl/>
              <w:spacing w:line="360" w:lineRule="auto"/>
              <w:contextualSpacing/>
              <w:jc w:val="center"/>
              <w:rPr>
                <w:rFonts w:ascii="宋体" w:cs="宋体"/>
                <w:color w:val="000000" w:themeColor="text1"/>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88384B6">
            <w:pPr>
              <w:widowControl/>
              <w:spacing w:line="360" w:lineRule="auto"/>
              <w:contextualSpacing/>
              <w:jc w:val="center"/>
              <w:rPr>
                <w:rFonts w:ascii="宋体" w:cs="宋体"/>
                <w:color w:val="000000" w:themeColor="text1"/>
                <w14:textFill>
                  <w14:solidFill>
                    <w14:schemeClr w14:val="tx1"/>
                  </w14:solidFill>
                </w14:textFill>
              </w:rPr>
            </w:pPr>
          </w:p>
        </w:tc>
      </w:tr>
      <w:tr w14:paraId="127A86F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CC298C7">
            <w:pPr>
              <w:widowControl/>
              <w:spacing w:line="360" w:lineRule="auto"/>
              <w:contextualSpacing/>
              <w:jc w:val="cente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6C9DC8">
            <w:pPr>
              <w:widowControl/>
              <w:spacing w:line="360" w:lineRule="auto"/>
              <w:contextualSpacing/>
              <w:jc w:val="center"/>
              <w:rPr>
                <w:rFonts w:ascii="宋体" w:cs="宋体"/>
                <w:color w:val="000000" w:themeColor="text1"/>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B2CFBD">
            <w:pPr>
              <w:widowControl/>
              <w:spacing w:line="360" w:lineRule="auto"/>
              <w:contextualSpacing/>
              <w:jc w:val="center"/>
              <w:rPr>
                <w:rFonts w:ascii="宋体" w:cs="宋体"/>
                <w:color w:val="000000" w:themeColor="text1"/>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E73FEF">
            <w:pPr>
              <w:widowControl/>
              <w:spacing w:line="360" w:lineRule="auto"/>
              <w:contextualSpacing/>
              <w:jc w:val="center"/>
              <w:rPr>
                <w:rFonts w:ascii="宋体" w:cs="宋体"/>
                <w:color w:val="000000" w:themeColor="text1"/>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13AB6E">
            <w:pPr>
              <w:widowControl/>
              <w:spacing w:line="360" w:lineRule="auto"/>
              <w:contextualSpacing/>
              <w:jc w:val="center"/>
              <w:rPr>
                <w:rFonts w:ascii="宋体" w:cs="宋体"/>
                <w:color w:val="000000" w:themeColor="text1"/>
                <w14:textFill>
                  <w14:solidFill>
                    <w14:schemeClr w14:val="tx1"/>
                  </w14:solidFill>
                </w14:textFill>
              </w:rPr>
            </w:pPr>
          </w:p>
        </w:tc>
      </w:tr>
      <w:tr w14:paraId="35612BF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338B44">
            <w:pPr>
              <w:widowControl/>
              <w:spacing w:line="360" w:lineRule="auto"/>
              <w:contextualSpacing/>
              <w:jc w:val="cente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F1D42E7">
            <w:pPr>
              <w:widowControl/>
              <w:spacing w:line="360" w:lineRule="auto"/>
              <w:contextualSpacing/>
              <w:jc w:val="center"/>
              <w:rPr>
                <w:rFonts w:ascii="宋体" w:cs="宋体"/>
                <w:color w:val="000000" w:themeColor="text1"/>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69987BD">
            <w:pPr>
              <w:widowControl/>
              <w:spacing w:line="360" w:lineRule="auto"/>
              <w:contextualSpacing/>
              <w:jc w:val="center"/>
              <w:rPr>
                <w:rFonts w:ascii="宋体" w:cs="宋体"/>
                <w:color w:val="000000" w:themeColor="text1"/>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0C8949">
            <w:pPr>
              <w:widowControl/>
              <w:spacing w:line="360" w:lineRule="auto"/>
              <w:contextualSpacing/>
              <w:jc w:val="center"/>
              <w:rPr>
                <w:rFonts w:ascii="宋体" w:cs="宋体"/>
                <w:color w:val="000000" w:themeColor="text1"/>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8378B98">
            <w:pPr>
              <w:widowControl/>
              <w:spacing w:line="360" w:lineRule="auto"/>
              <w:contextualSpacing/>
              <w:jc w:val="center"/>
              <w:rPr>
                <w:rFonts w:ascii="宋体" w:cs="宋体"/>
                <w:color w:val="000000" w:themeColor="text1"/>
                <w14:textFill>
                  <w14:solidFill>
                    <w14:schemeClr w14:val="tx1"/>
                  </w14:solidFill>
                </w14:textFill>
              </w:rPr>
            </w:pPr>
          </w:p>
        </w:tc>
      </w:tr>
      <w:tr w14:paraId="2F8FD00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FD1555C">
            <w:pPr>
              <w:widowControl/>
              <w:spacing w:line="360" w:lineRule="auto"/>
              <w:contextualSpacing/>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7F23E7">
            <w:pPr>
              <w:widowControl/>
              <w:spacing w:line="360" w:lineRule="auto"/>
              <w:contextualSpacing/>
              <w:jc w:val="center"/>
              <w:rPr>
                <w:rFonts w:ascii="宋体" w:cs="宋体"/>
                <w:color w:val="000000" w:themeColor="text1"/>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536D442">
            <w:pPr>
              <w:widowControl/>
              <w:spacing w:line="360" w:lineRule="auto"/>
              <w:contextualSpacing/>
              <w:jc w:val="center"/>
              <w:rPr>
                <w:rFonts w:ascii="宋体" w:cs="宋体"/>
                <w:color w:val="000000" w:themeColor="text1"/>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42478C1">
            <w:pPr>
              <w:widowControl/>
              <w:spacing w:line="360" w:lineRule="auto"/>
              <w:contextualSpacing/>
              <w:jc w:val="center"/>
              <w:rPr>
                <w:rFonts w:ascii="宋体" w:cs="宋体"/>
                <w:color w:val="000000" w:themeColor="text1"/>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7114EF">
            <w:pPr>
              <w:widowControl/>
              <w:spacing w:line="360" w:lineRule="auto"/>
              <w:contextualSpacing/>
              <w:jc w:val="center"/>
              <w:rPr>
                <w:rFonts w:ascii="宋体" w:cs="宋体"/>
                <w:color w:val="000000" w:themeColor="text1"/>
                <w14:textFill>
                  <w14:solidFill>
                    <w14:schemeClr w14:val="tx1"/>
                  </w14:solidFill>
                </w14:textFill>
              </w:rPr>
            </w:pPr>
          </w:p>
        </w:tc>
      </w:tr>
    </w:tbl>
    <w:p w14:paraId="609A19F5">
      <w:pPr>
        <w:spacing w:line="360" w:lineRule="auto"/>
        <w:contextualSpacing/>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p>
    <w:p w14:paraId="3B7DABE6">
      <w:pPr>
        <w:spacing w:line="360" w:lineRule="auto"/>
        <w:ind w:firstLine="480" w:firstLineChars="200"/>
        <w:contextualSpacing/>
        <w:rPr>
          <w:rFonts w:ascii="宋体" w:cs="宋体"/>
          <w:color w:val="000000" w:themeColor="text1"/>
          <w:lang w:eastAsia="zh-CN"/>
          <w14:textFill>
            <w14:solidFill>
              <w14:schemeClr w14:val="tx1"/>
            </w14:solidFill>
          </w14:textFill>
        </w:rPr>
      </w:pPr>
      <w:r>
        <w:rPr>
          <w:rFonts w:ascii="宋体" w:hAnsi="宋体" w:cs="宋体"/>
          <w:color w:val="000000" w:themeColor="text1"/>
          <w:lang w:eastAsia="zh-CN"/>
          <w14:textFill>
            <w14:solidFill>
              <w14:schemeClr w14:val="tx1"/>
            </w14:solidFill>
          </w14:textFill>
        </w:rPr>
        <w:t>1.</w:t>
      </w:r>
      <w:r>
        <w:rPr>
          <w:rFonts w:hint="eastAsia" w:ascii="宋体" w:hAnsi="宋体" w:cs="宋体"/>
          <w:color w:val="000000" w:themeColor="text1"/>
          <w:lang w:eastAsia="zh-CN"/>
          <w14:textFill>
            <w14:solidFill>
              <w14:schemeClr w14:val="tx1"/>
            </w14:solidFill>
          </w14:textFill>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419FC15">
      <w:pPr>
        <w:spacing w:line="360" w:lineRule="auto"/>
        <w:ind w:firstLine="480" w:firstLineChars="200"/>
        <w:contextualSpacing/>
        <w:rPr>
          <w:rFonts w:ascii="宋体" w:cs="宋体"/>
          <w:color w:val="000000" w:themeColor="text1"/>
          <w:lang w:eastAsia="zh-CN"/>
          <w14:textFill>
            <w14:solidFill>
              <w14:schemeClr w14:val="tx1"/>
            </w14:solidFill>
          </w14:textFill>
        </w:rPr>
      </w:pPr>
      <w:r>
        <w:rPr>
          <w:rFonts w:ascii="宋体" w:hAnsi="宋体" w:cs="宋体"/>
          <w:color w:val="000000" w:themeColor="text1"/>
          <w:lang w:eastAsia="zh-CN"/>
          <w14:textFill>
            <w14:solidFill>
              <w14:schemeClr w14:val="tx1"/>
            </w14:solidFill>
          </w14:textFill>
        </w:rPr>
        <w:t>2.</w:t>
      </w:r>
      <w:r>
        <w:rPr>
          <w:rFonts w:hint="eastAsia" w:ascii="宋体" w:hAnsi="宋体" w:cs="宋体"/>
          <w:color w:val="000000" w:themeColor="text1"/>
          <w:lang w:eastAsia="zh-CN"/>
          <w14:textFill>
            <w14:solidFill>
              <w14:schemeClr w14:val="tx1"/>
            </w14:solidFill>
          </w14:textFill>
        </w:rPr>
        <w:t>本表所指的控股关系仅限于直接控股关系，不包括间接的控股关系。公司实际控制人与公司之间的关系不属于本表所指的直接控股关系。</w:t>
      </w:r>
    </w:p>
    <w:p w14:paraId="20296AB5">
      <w:pPr>
        <w:spacing w:line="360" w:lineRule="auto"/>
        <w:ind w:firstLine="480" w:firstLineChars="200"/>
        <w:contextualSpacing/>
        <w:rPr>
          <w:rFonts w:ascii="宋体" w:cs="宋体"/>
          <w:color w:val="000000" w:themeColor="text1"/>
          <w:lang w:eastAsia="zh-CN"/>
          <w14:textFill>
            <w14:solidFill>
              <w14:schemeClr w14:val="tx1"/>
            </w14:solidFill>
          </w14:textFill>
        </w:rPr>
      </w:pPr>
      <w:r>
        <w:rPr>
          <w:rFonts w:ascii="宋体" w:hAnsi="宋体" w:cs="宋体"/>
          <w:color w:val="000000" w:themeColor="text1"/>
          <w:lang w:eastAsia="zh-CN"/>
          <w14:textFill>
            <w14:solidFill>
              <w14:schemeClr w14:val="tx1"/>
            </w14:solidFill>
          </w14:textFill>
        </w:rPr>
        <w:t>3.</w:t>
      </w:r>
      <w:r>
        <w:rPr>
          <w:rFonts w:hint="eastAsia" w:ascii="宋体" w:hAnsi="宋体" w:cs="宋体"/>
          <w:color w:val="000000" w:themeColor="text1"/>
          <w:lang w:eastAsia="zh-CN"/>
          <w14:textFill>
            <w14:solidFill>
              <w14:schemeClr w14:val="tx1"/>
            </w14:solidFill>
          </w14:textFill>
        </w:rPr>
        <w:t>供应商不存在直接控股股东的，</w:t>
      </w:r>
      <w:r>
        <w:rPr>
          <w:rFonts w:hint="eastAsia" w:ascii="宋体" w:hAnsi="宋体"/>
          <w:color w:val="000000" w:themeColor="text1"/>
          <w:lang w:eastAsia="zh-CN"/>
          <w14:textFill>
            <w14:solidFill>
              <w14:schemeClr w14:val="tx1"/>
            </w14:solidFill>
          </w14:textFill>
        </w:rPr>
        <w:t>则在“直接控股股东名称”填“无”</w:t>
      </w:r>
      <w:r>
        <w:rPr>
          <w:rFonts w:hint="eastAsia" w:ascii="宋体" w:hAnsi="宋体" w:cs="宋体"/>
          <w:color w:val="000000" w:themeColor="text1"/>
          <w:lang w:eastAsia="zh-CN"/>
          <w14:textFill>
            <w14:solidFill>
              <w14:schemeClr w14:val="tx1"/>
            </w14:solidFill>
          </w14:textFill>
        </w:rPr>
        <w:t>。</w:t>
      </w:r>
    </w:p>
    <w:p w14:paraId="351F8B18">
      <w:pPr>
        <w:spacing w:line="360" w:lineRule="auto"/>
        <w:ind w:firstLine="480" w:firstLineChars="200"/>
        <w:contextualSpacing/>
        <w:rPr>
          <w:rFonts w:ascii="宋体" w:cs="宋体"/>
          <w:color w:val="000000" w:themeColor="text1"/>
          <w:szCs w:val="21"/>
          <w:lang w:eastAsia="zh-CN"/>
          <w14:textFill>
            <w14:solidFill>
              <w14:schemeClr w14:val="tx1"/>
            </w14:solidFill>
          </w14:textFill>
        </w:rPr>
      </w:pPr>
    </w:p>
    <w:p w14:paraId="5F1BF7DF">
      <w:pPr>
        <w:spacing w:line="360" w:lineRule="auto"/>
        <w:ind w:firstLine="560" w:firstLineChars="200"/>
        <w:contextualSpacing/>
        <w:rPr>
          <w:rFonts w:ascii="宋体" w:cs="宋体"/>
          <w:color w:val="000000" w:themeColor="text1"/>
          <w:sz w:val="28"/>
          <w:szCs w:val="28"/>
          <w:lang w:eastAsia="zh-CN"/>
          <w14:textFill>
            <w14:solidFill>
              <w14:schemeClr w14:val="tx1"/>
            </w14:solidFill>
          </w14:textFill>
        </w:rPr>
      </w:pPr>
    </w:p>
    <w:p w14:paraId="7FEE6D24">
      <w:pPr>
        <w:spacing w:line="360" w:lineRule="auto"/>
        <w:ind w:right="480"/>
        <w:contextualSpacing/>
        <w:jc w:val="center"/>
        <w:rPr>
          <w:rFonts w:ascii="宋体" w:cs="宋体"/>
          <w:color w:val="000000" w:themeColor="text1"/>
          <w:u w:val="single"/>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法定代表人或者委托代理人</w:t>
      </w:r>
      <w:r>
        <w:rPr>
          <w:rFonts w:hint="eastAsia" w:ascii="宋体" w:hAnsi="宋体"/>
          <w:color w:val="000000" w:themeColor="text1"/>
          <w:lang w:eastAsia="zh-CN"/>
          <w14:textFill>
            <w14:solidFill>
              <w14:schemeClr w14:val="tx1"/>
            </w14:solidFill>
          </w14:textFill>
        </w:rPr>
        <w:t>（签字或者电子签名）</w:t>
      </w:r>
      <w:r>
        <w:rPr>
          <w:rFonts w:hint="eastAsia" w:ascii="宋体" w:hAnsi="宋体" w:cs="宋体"/>
          <w:color w:val="000000" w:themeColor="text1"/>
          <w:lang w:eastAsia="zh-CN"/>
          <w14:textFill>
            <w14:solidFill>
              <w14:schemeClr w14:val="tx1"/>
            </w14:solidFill>
          </w14:textFill>
        </w:rPr>
        <w:t>：</w:t>
      </w:r>
    </w:p>
    <w:p w14:paraId="16B5D9F7">
      <w:pPr>
        <w:spacing w:line="360" w:lineRule="auto"/>
        <w:ind w:right="480" w:firstLine="3000" w:firstLineChars="1250"/>
        <w:contextualSpacing/>
        <w:rPr>
          <w:rFonts w:ascii="宋体" w:cs="宋体"/>
          <w:color w:val="000000" w:themeColor="text1"/>
          <w:u w:val="single"/>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供应商</w:t>
      </w:r>
      <w:r>
        <w:rPr>
          <w:rFonts w:hint="eastAsia" w:ascii="宋体" w:hAnsi="宋体"/>
          <w:color w:val="000000" w:themeColor="text1"/>
          <w:lang w:eastAsia="zh-CN"/>
          <w14:textFill>
            <w14:solidFill>
              <w14:schemeClr w14:val="tx1"/>
            </w14:solidFill>
          </w14:textFill>
        </w:rPr>
        <w:t>（电子签章）</w:t>
      </w:r>
      <w:r>
        <w:rPr>
          <w:rFonts w:hint="eastAsia" w:ascii="宋体" w:hAnsi="宋体" w:cs="宋体"/>
          <w:color w:val="000000" w:themeColor="text1"/>
          <w:lang w:eastAsia="zh-CN"/>
          <w14:textFill>
            <w14:solidFill>
              <w14:schemeClr w14:val="tx1"/>
            </w14:solidFill>
          </w14:textFill>
        </w:rPr>
        <w:t>：</w:t>
      </w:r>
    </w:p>
    <w:p w14:paraId="51FA6736">
      <w:pPr>
        <w:spacing w:line="360" w:lineRule="auto"/>
        <w:ind w:firstLine="480" w:firstLineChars="200"/>
        <w:contextualSpacing/>
        <w:jc w:val="right"/>
        <w:rPr>
          <w:rFonts w:asci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年月日</w:t>
      </w:r>
    </w:p>
    <w:p w14:paraId="683A16F8">
      <w:pPr>
        <w:spacing w:line="320" w:lineRule="exact"/>
        <w:jc w:val="center"/>
        <w:rPr>
          <w:rFonts w:ascii="宋体" w:hAnsi="宋体"/>
          <w:b/>
          <w:color w:val="000000" w:themeColor="text1"/>
          <w:sz w:val="32"/>
          <w:szCs w:val="32"/>
          <w:lang w:eastAsia="zh-CN"/>
          <w14:textFill>
            <w14:solidFill>
              <w14:schemeClr w14:val="tx1"/>
            </w14:solidFill>
          </w14:textFill>
        </w:rPr>
      </w:pPr>
    </w:p>
    <w:p w14:paraId="5135361A">
      <w:pPr>
        <w:spacing w:line="320" w:lineRule="exact"/>
        <w:jc w:val="center"/>
        <w:rPr>
          <w:rFonts w:ascii="宋体" w:hAnsi="宋体"/>
          <w:b/>
          <w:color w:val="000000" w:themeColor="text1"/>
          <w:sz w:val="32"/>
          <w:szCs w:val="32"/>
          <w:lang w:eastAsia="zh-CN"/>
          <w14:textFill>
            <w14:solidFill>
              <w14:schemeClr w14:val="tx1"/>
            </w14:solidFill>
          </w14:textFill>
        </w:rPr>
      </w:pPr>
    </w:p>
    <w:p w14:paraId="71910FA6">
      <w:pPr>
        <w:spacing w:line="320" w:lineRule="exact"/>
        <w:jc w:val="center"/>
        <w:rPr>
          <w:rFonts w:ascii="宋体" w:hAnsi="宋体"/>
          <w:b/>
          <w:color w:val="000000" w:themeColor="text1"/>
          <w:sz w:val="32"/>
          <w:szCs w:val="32"/>
          <w:lang w:eastAsia="zh-CN"/>
          <w14:textFill>
            <w14:solidFill>
              <w14:schemeClr w14:val="tx1"/>
            </w14:solidFill>
          </w14:textFill>
        </w:rPr>
      </w:pPr>
    </w:p>
    <w:p w14:paraId="6EB27AFA">
      <w:pPr>
        <w:spacing w:line="320" w:lineRule="exact"/>
        <w:jc w:val="center"/>
        <w:rPr>
          <w:rFonts w:ascii="宋体" w:hAnsi="宋体"/>
          <w:b/>
          <w:color w:val="000000" w:themeColor="text1"/>
          <w:sz w:val="32"/>
          <w:szCs w:val="32"/>
          <w:lang w:eastAsia="zh-CN"/>
          <w14:textFill>
            <w14:solidFill>
              <w14:schemeClr w14:val="tx1"/>
            </w14:solidFill>
          </w14:textFill>
        </w:rPr>
      </w:pPr>
    </w:p>
    <w:p w14:paraId="69FD5DA8">
      <w:pPr>
        <w:spacing w:line="320" w:lineRule="exact"/>
        <w:jc w:val="center"/>
        <w:rPr>
          <w:rFonts w:ascii="宋体" w:hAnsi="宋体"/>
          <w:b/>
          <w:color w:val="000000" w:themeColor="text1"/>
          <w:sz w:val="32"/>
          <w:szCs w:val="32"/>
          <w:lang w:eastAsia="zh-CN"/>
          <w14:textFill>
            <w14:solidFill>
              <w14:schemeClr w14:val="tx1"/>
            </w14:solidFill>
          </w14:textFill>
        </w:rPr>
      </w:pPr>
    </w:p>
    <w:p w14:paraId="02CE816E">
      <w:pPr>
        <w:spacing w:line="320" w:lineRule="exact"/>
        <w:jc w:val="center"/>
        <w:rPr>
          <w:rFonts w:ascii="宋体" w:hAnsi="宋体"/>
          <w:b/>
          <w:color w:val="000000" w:themeColor="text1"/>
          <w:sz w:val="32"/>
          <w:szCs w:val="32"/>
          <w:lang w:eastAsia="zh-CN"/>
          <w14:textFill>
            <w14:solidFill>
              <w14:schemeClr w14:val="tx1"/>
            </w14:solidFill>
          </w14:textFill>
        </w:rPr>
      </w:pPr>
    </w:p>
    <w:p w14:paraId="6F9229F3">
      <w:pPr>
        <w:spacing w:line="320" w:lineRule="exact"/>
        <w:jc w:val="center"/>
        <w:rPr>
          <w:rFonts w:ascii="宋体" w:hAnsi="宋体"/>
          <w:b/>
          <w:color w:val="000000" w:themeColor="text1"/>
          <w:sz w:val="32"/>
          <w:szCs w:val="32"/>
          <w:lang w:eastAsia="zh-CN"/>
          <w14:textFill>
            <w14:solidFill>
              <w14:schemeClr w14:val="tx1"/>
            </w14:solidFill>
          </w14:textFill>
        </w:rPr>
      </w:pPr>
    </w:p>
    <w:p w14:paraId="17D66864">
      <w:pPr>
        <w:spacing w:line="320" w:lineRule="exact"/>
        <w:jc w:val="center"/>
        <w:rPr>
          <w:rFonts w:ascii="宋体" w:hAnsi="宋体"/>
          <w:b/>
          <w:color w:val="000000" w:themeColor="text1"/>
          <w:sz w:val="32"/>
          <w:szCs w:val="32"/>
          <w:lang w:eastAsia="zh-CN"/>
          <w14:textFill>
            <w14:solidFill>
              <w14:schemeClr w14:val="tx1"/>
            </w14:solidFill>
          </w14:textFill>
        </w:rPr>
      </w:pPr>
    </w:p>
    <w:p w14:paraId="6E5E4751">
      <w:pPr>
        <w:spacing w:line="320" w:lineRule="exact"/>
        <w:jc w:val="center"/>
        <w:rPr>
          <w:rFonts w:ascii="宋体"/>
          <w:b/>
          <w:color w:val="000000" w:themeColor="text1"/>
          <w:sz w:val="32"/>
          <w:szCs w:val="32"/>
          <w:lang w:eastAsia="zh-CN"/>
          <w14:textFill>
            <w14:solidFill>
              <w14:schemeClr w14:val="tx1"/>
            </w14:solidFill>
          </w14:textFill>
        </w:rPr>
      </w:pPr>
      <w:r>
        <w:rPr>
          <w:rFonts w:hint="eastAsia" w:ascii="宋体" w:hAnsi="宋体" w:eastAsia="宋体"/>
          <w:b/>
          <w:color w:val="000000" w:themeColor="text1"/>
          <w:sz w:val="32"/>
          <w:szCs w:val="32"/>
          <w:lang w:eastAsia="zh-CN"/>
          <w14:textFill>
            <w14:solidFill>
              <w14:schemeClr w14:val="tx1"/>
            </w14:solidFill>
          </w14:textFill>
        </w:rPr>
        <w:t>3.1</w:t>
      </w:r>
      <w:r>
        <w:rPr>
          <w:rFonts w:hint="eastAsia" w:ascii="宋体" w:hAnsi="宋体"/>
          <w:b/>
          <w:color w:val="000000" w:themeColor="text1"/>
          <w:sz w:val="32"/>
          <w:szCs w:val="32"/>
          <w:lang w:eastAsia="zh-CN"/>
          <w14:textFill>
            <w14:solidFill>
              <w14:schemeClr w14:val="tx1"/>
            </w14:solidFill>
          </w14:textFill>
        </w:rPr>
        <w:t>供应商直接管理关系信息表</w:t>
      </w:r>
    </w:p>
    <w:p w14:paraId="7AA2BB91">
      <w:pPr>
        <w:snapToGrid w:val="0"/>
        <w:spacing w:line="360" w:lineRule="auto"/>
        <w:jc w:val="center"/>
        <w:rPr>
          <w:rFonts w:ascii="宋体"/>
          <w:b/>
          <w:color w:val="000000" w:themeColor="text1"/>
          <w:lang w:eastAsia="zh-CN"/>
          <w14:textFill>
            <w14:solidFill>
              <w14:schemeClr w14:val="tx1"/>
            </w14:solidFill>
          </w14:textFill>
        </w:rPr>
      </w:pPr>
    </w:p>
    <w:tbl>
      <w:tblPr>
        <w:tblStyle w:val="14"/>
        <w:tblW w:w="0" w:type="auto"/>
        <w:jc w:val="center"/>
        <w:tblLayout w:type="fixed"/>
        <w:tblCellMar>
          <w:top w:w="0" w:type="dxa"/>
          <w:left w:w="0" w:type="dxa"/>
          <w:bottom w:w="0" w:type="dxa"/>
          <w:right w:w="0" w:type="dxa"/>
        </w:tblCellMar>
      </w:tblPr>
      <w:tblGrid>
        <w:gridCol w:w="808"/>
        <w:gridCol w:w="3600"/>
        <w:gridCol w:w="3555"/>
        <w:gridCol w:w="1689"/>
      </w:tblGrid>
      <w:tr w14:paraId="391838A7">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C06F4C">
            <w:pPr>
              <w:widowControl/>
              <w:spacing w:line="360" w:lineRule="auto"/>
              <w:contextualSpacing/>
              <w:jc w:val="center"/>
              <w:rPr>
                <w:rFonts w:asci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3A50B6">
            <w:pPr>
              <w:widowControl/>
              <w:spacing w:line="360" w:lineRule="auto"/>
              <w:contextualSpacing/>
              <w:jc w:val="center"/>
              <w:rPr>
                <w:rFonts w:ascii="宋体" w:cs="宋体"/>
                <w:b/>
                <w:bCs/>
                <w:color w:val="000000" w:themeColor="text1"/>
                <w:lang w:eastAsia="zh-CN"/>
                <w14:textFill>
                  <w14:solidFill>
                    <w14:schemeClr w14:val="tx1"/>
                  </w14:solidFill>
                </w14:textFill>
              </w:rPr>
            </w:pPr>
            <w:r>
              <w:rPr>
                <w:rFonts w:hint="eastAsia" w:ascii="宋体" w:hAnsi="宋体" w:cs="宋体"/>
                <w:b/>
                <w:bCs/>
                <w:color w:val="000000" w:themeColor="text1"/>
                <w:lang w:eastAsia="zh-CN"/>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07FC602">
            <w:pPr>
              <w:widowControl/>
              <w:spacing w:line="360" w:lineRule="auto"/>
              <w:contextualSpacing/>
              <w:jc w:val="center"/>
              <w:rPr>
                <w:rFonts w:asci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80B975">
            <w:pPr>
              <w:widowControl/>
              <w:spacing w:line="360" w:lineRule="auto"/>
              <w:contextualSpacing/>
              <w:jc w:val="center"/>
              <w:rPr>
                <w:rFonts w:asci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相互关系</w:t>
            </w:r>
          </w:p>
        </w:tc>
      </w:tr>
      <w:tr w14:paraId="35F26D6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682BEA">
            <w:pPr>
              <w:widowControl/>
              <w:spacing w:line="360" w:lineRule="auto"/>
              <w:contextualSpacing/>
              <w:jc w:val="cente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3A2D662">
            <w:pPr>
              <w:widowControl/>
              <w:spacing w:line="360" w:lineRule="auto"/>
              <w:contextualSpacing/>
              <w:jc w:val="center"/>
              <w:rPr>
                <w:rFonts w:ascii="宋体" w:cs="宋体"/>
                <w:color w:val="000000" w:themeColor="text1"/>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29C4AB">
            <w:pPr>
              <w:widowControl/>
              <w:spacing w:line="360" w:lineRule="auto"/>
              <w:contextualSpacing/>
              <w:jc w:val="center"/>
              <w:rPr>
                <w:rFonts w:ascii="宋体" w:cs="宋体"/>
                <w:color w:val="000000" w:themeColor="text1"/>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1F2AA2">
            <w:pPr>
              <w:widowControl/>
              <w:spacing w:line="360" w:lineRule="auto"/>
              <w:contextualSpacing/>
              <w:jc w:val="center"/>
              <w:rPr>
                <w:rFonts w:ascii="宋体" w:cs="宋体"/>
                <w:color w:val="000000" w:themeColor="text1"/>
                <w14:textFill>
                  <w14:solidFill>
                    <w14:schemeClr w14:val="tx1"/>
                  </w14:solidFill>
                </w14:textFill>
              </w:rPr>
            </w:pPr>
          </w:p>
        </w:tc>
      </w:tr>
      <w:tr w14:paraId="4316E47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760681">
            <w:pPr>
              <w:widowControl/>
              <w:spacing w:line="360" w:lineRule="auto"/>
              <w:contextualSpacing/>
              <w:jc w:val="cente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59E1B1E">
            <w:pPr>
              <w:widowControl/>
              <w:spacing w:line="360" w:lineRule="auto"/>
              <w:contextualSpacing/>
              <w:jc w:val="center"/>
              <w:rPr>
                <w:rFonts w:ascii="宋体" w:cs="宋体"/>
                <w:color w:val="000000" w:themeColor="text1"/>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7F2E180">
            <w:pPr>
              <w:widowControl/>
              <w:spacing w:line="360" w:lineRule="auto"/>
              <w:contextualSpacing/>
              <w:jc w:val="center"/>
              <w:rPr>
                <w:rFonts w:ascii="宋体" w:cs="宋体"/>
                <w:color w:val="000000" w:themeColor="text1"/>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5F0925D">
            <w:pPr>
              <w:widowControl/>
              <w:spacing w:line="360" w:lineRule="auto"/>
              <w:contextualSpacing/>
              <w:jc w:val="center"/>
              <w:rPr>
                <w:rFonts w:ascii="宋体" w:cs="宋体"/>
                <w:color w:val="000000" w:themeColor="text1"/>
                <w14:textFill>
                  <w14:solidFill>
                    <w14:schemeClr w14:val="tx1"/>
                  </w14:solidFill>
                </w14:textFill>
              </w:rPr>
            </w:pPr>
          </w:p>
        </w:tc>
      </w:tr>
      <w:tr w14:paraId="48548C2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811290">
            <w:pPr>
              <w:widowControl/>
              <w:spacing w:line="360" w:lineRule="auto"/>
              <w:contextualSpacing/>
              <w:jc w:val="cente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38F299">
            <w:pPr>
              <w:widowControl/>
              <w:spacing w:line="360" w:lineRule="auto"/>
              <w:contextualSpacing/>
              <w:jc w:val="center"/>
              <w:rPr>
                <w:rFonts w:ascii="宋体" w:cs="宋体"/>
                <w:color w:val="000000" w:themeColor="text1"/>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F9D8F10">
            <w:pPr>
              <w:widowControl/>
              <w:spacing w:line="360" w:lineRule="auto"/>
              <w:contextualSpacing/>
              <w:jc w:val="center"/>
              <w:rPr>
                <w:rFonts w:ascii="宋体" w:cs="宋体"/>
                <w:color w:val="000000" w:themeColor="text1"/>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E94882">
            <w:pPr>
              <w:widowControl/>
              <w:spacing w:line="360" w:lineRule="auto"/>
              <w:contextualSpacing/>
              <w:jc w:val="center"/>
              <w:rPr>
                <w:rFonts w:ascii="宋体" w:cs="宋体"/>
                <w:color w:val="000000" w:themeColor="text1"/>
                <w14:textFill>
                  <w14:solidFill>
                    <w14:schemeClr w14:val="tx1"/>
                  </w14:solidFill>
                </w14:textFill>
              </w:rPr>
            </w:pPr>
          </w:p>
        </w:tc>
      </w:tr>
      <w:tr w14:paraId="288553C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D10F23">
            <w:pPr>
              <w:widowControl/>
              <w:spacing w:line="360" w:lineRule="auto"/>
              <w:contextualSpacing/>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82833E">
            <w:pPr>
              <w:widowControl/>
              <w:spacing w:line="360" w:lineRule="auto"/>
              <w:contextualSpacing/>
              <w:jc w:val="center"/>
              <w:rPr>
                <w:rFonts w:ascii="宋体" w:cs="宋体"/>
                <w:color w:val="000000" w:themeColor="text1"/>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2EA209F">
            <w:pPr>
              <w:widowControl/>
              <w:spacing w:line="360" w:lineRule="auto"/>
              <w:contextualSpacing/>
              <w:jc w:val="center"/>
              <w:rPr>
                <w:rFonts w:ascii="宋体" w:cs="宋体"/>
                <w:color w:val="000000" w:themeColor="text1"/>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9ED1872">
            <w:pPr>
              <w:widowControl/>
              <w:spacing w:line="360" w:lineRule="auto"/>
              <w:contextualSpacing/>
              <w:jc w:val="center"/>
              <w:rPr>
                <w:rFonts w:ascii="宋体" w:cs="宋体"/>
                <w:color w:val="000000" w:themeColor="text1"/>
                <w14:textFill>
                  <w14:solidFill>
                    <w14:schemeClr w14:val="tx1"/>
                  </w14:solidFill>
                </w14:textFill>
              </w:rPr>
            </w:pPr>
          </w:p>
        </w:tc>
      </w:tr>
    </w:tbl>
    <w:p w14:paraId="743BBCE6">
      <w:pPr>
        <w:spacing w:line="360" w:lineRule="auto"/>
        <w:contextualSpacing/>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14:paraId="1F4266BB">
      <w:pPr>
        <w:spacing w:line="360" w:lineRule="auto"/>
        <w:ind w:firstLine="480" w:firstLineChars="200"/>
        <w:contextualSpacing/>
        <w:rPr>
          <w:rFonts w:asci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1.</w:t>
      </w:r>
      <w:r>
        <w:rPr>
          <w:rFonts w:hint="eastAsia" w:ascii="宋体" w:hAnsi="宋体"/>
          <w:color w:val="000000" w:themeColor="text1"/>
          <w:lang w:eastAsia="zh-CN"/>
          <w14:textFill>
            <w14:solidFill>
              <w14:schemeClr w14:val="tx1"/>
            </w14:solidFill>
          </w14:textFill>
        </w:rPr>
        <w:t>管理关系：是指不具有出资持股关系的其他单位之间存在的管理与被管理关系，如一些上下级关系的事业单位和团体组织。</w:t>
      </w:r>
    </w:p>
    <w:p w14:paraId="5D90D65B">
      <w:pPr>
        <w:spacing w:line="360" w:lineRule="auto"/>
        <w:ind w:firstLine="480" w:firstLineChars="200"/>
        <w:contextualSpacing/>
        <w:rPr>
          <w:rFonts w:asci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2.</w:t>
      </w:r>
      <w:r>
        <w:rPr>
          <w:rFonts w:hint="eastAsia" w:ascii="宋体" w:hAnsi="宋体"/>
          <w:color w:val="000000" w:themeColor="text1"/>
          <w:spacing w:val="-6"/>
          <w:lang w:eastAsia="zh-CN"/>
          <w14:textFill>
            <w14:solidFill>
              <w14:schemeClr w14:val="tx1"/>
            </w14:solidFill>
          </w14:textFill>
        </w:rPr>
        <w:t>本表所指的管理关系仅限于直接管理关系，不包括间接的管理关系。</w:t>
      </w:r>
    </w:p>
    <w:p w14:paraId="64F8E373">
      <w:pPr>
        <w:spacing w:line="360" w:lineRule="auto"/>
        <w:ind w:firstLine="480" w:firstLineChars="200"/>
        <w:contextualSpacing/>
        <w:rPr>
          <w:rFonts w:asci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3.</w:t>
      </w:r>
      <w:r>
        <w:rPr>
          <w:rFonts w:hint="eastAsia" w:ascii="宋体" w:hAnsi="宋体"/>
          <w:color w:val="000000" w:themeColor="text1"/>
          <w:lang w:eastAsia="zh-CN"/>
          <w14:textFill>
            <w14:solidFill>
              <w14:schemeClr w14:val="tx1"/>
            </w14:solidFill>
          </w14:textFill>
        </w:rPr>
        <w:t>供应商不存在直接管理关系的，则在“直接管理关系单位名称”填“无”。</w:t>
      </w:r>
    </w:p>
    <w:p w14:paraId="6A4BF1DC">
      <w:pPr>
        <w:spacing w:line="360" w:lineRule="auto"/>
        <w:contextualSpacing/>
        <w:rPr>
          <w:rFonts w:ascii="宋体"/>
          <w:color w:val="000000" w:themeColor="text1"/>
          <w:sz w:val="28"/>
          <w:szCs w:val="28"/>
          <w:lang w:eastAsia="zh-CN"/>
          <w14:textFill>
            <w14:solidFill>
              <w14:schemeClr w14:val="tx1"/>
            </w14:solidFill>
          </w14:textFill>
        </w:rPr>
      </w:pPr>
    </w:p>
    <w:p w14:paraId="5EA2CFB6">
      <w:pPr>
        <w:spacing w:line="360" w:lineRule="auto"/>
        <w:contextualSpacing/>
        <w:rPr>
          <w:rFonts w:ascii="宋体"/>
          <w:color w:val="000000" w:themeColor="text1"/>
          <w:sz w:val="28"/>
          <w:szCs w:val="28"/>
          <w:lang w:eastAsia="zh-CN"/>
          <w14:textFill>
            <w14:solidFill>
              <w14:schemeClr w14:val="tx1"/>
            </w14:solidFill>
          </w14:textFill>
        </w:rPr>
      </w:pPr>
    </w:p>
    <w:p w14:paraId="78EA6721">
      <w:pPr>
        <w:spacing w:line="360" w:lineRule="auto"/>
        <w:contextualSpacing/>
        <w:rPr>
          <w:color w:val="000000" w:themeColor="text1"/>
          <w:sz w:val="28"/>
          <w:szCs w:val="28"/>
          <w:lang w:eastAsia="zh-CN"/>
          <w14:textFill>
            <w14:solidFill>
              <w14:schemeClr w14:val="tx1"/>
            </w14:solidFill>
          </w14:textFill>
        </w:rPr>
      </w:pPr>
    </w:p>
    <w:p w14:paraId="1392032E">
      <w:pPr>
        <w:spacing w:line="360" w:lineRule="auto"/>
        <w:contextualSpacing/>
        <w:rPr>
          <w:color w:val="000000" w:themeColor="text1"/>
          <w:sz w:val="28"/>
          <w:szCs w:val="28"/>
          <w:lang w:eastAsia="zh-CN"/>
          <w14:textFill>
            <w14:solidFill>
              <w14:schemeClr w14:val="tx1"/>
            </w14:solidFill>
          </w14:textFill>
        </w:rPr>
      </w:pPr>
    </w:p>
    <w:p w14:paraId="5C6C5D0C">
      <w:pPr>
        <w:spacing w:line="360" w:lineRule="auto"/>
        <w:contextualSpacing/>
        <w:rPr>
          <w:color w:val="000000" w:themeColor="text1"/>
          <w:sz w:val="28"/>
          <w:szCs w:val="28"/>
          <w:lang w:eastAsia="zh-CN"/>
          <w14:textFill>
            <w14:solidFill>
              <w14:schemeClr w14:val="tx1"/>
            </w14:solidFill>
          </w14:textFill>
        </w:rPr>
      </w:pPr>
    </w:p>
    <w:p w14:paraId="7D805A92">
      <w:pPr>
        <w:spacing w:line="360" w:lineRule="auto"/>
        <w:contextualSpacing/>
        <w:rPr>
          <w:rFonts w:ascii="宋体"/>
          <w:color w:val="000000" w:themeColor="text1"/>
          <w:sz w:val="28"/>
          <w:szCs w:val="28"/>
          <w:lang w:eastAsia="zh-CN"/>
          <w14:textFill>
            <w14:solidFill>
              <w14:schemeClr w14:val="tx1"/>
            </w14:solidFill>
          </w14:textFill>
        </w:rPr>
      </w:pPr>
    </w:p>
    <w:p w14:paraId="63B489B9">
      <w:pPr>
        <w:spacing w:line="360" w:lineRule="auto"/>
        <w:ind w:right="480"/>
        <w:contextualSpacing/>
        <w:jc w:val="center"/>
        <w:rPr>
          <w:rFonts w:ascii="宋体"/>
          <w:color w:val="000000" w:themeColor="text1"/>
          <w:u w:val="single"/>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法定代表人或者委托代理人（签字或者电子签名）：</w:t>
      </w:r>
    </w:p>
    <w:p w14:paraId="3A6D81F0">
      <w:pPr>
        <w:spacing w:line="360" w:lineRule="auto"/>
        <w:ind w:right="480" w:firstLine="3360" w:firstLineChars="1400"/>
        <w:contextualSpacing/>
        <w:rPr>
          <w:rFonts w:asci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供应商（电子签章）：</w:t>
      </w:r>
    </w:p>
    <w:p w14:paraId="4027E595">
      <w:pPr>
        <w:spacing w:line="360" w:lineRule="auto"/>
        <w:ind w:firstLine="480" w:firstLineChars="200"/>
        <w:contextualSpacing/>
        <w:rPr>
          <w:rFonts w:ascii="宋体"/>
          <w:color w:val="000000" w:themeColor="text1"/>
          <w:sz w:val="28"/>
          <w:szCs w:val="28"/>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年月日</w:t>
      </w:r>
    </w:p>
    <w:p w14:paraId="38747CF2">
      <w:pPr>
        <w:pStyle w:val="41"/>
        <w:keepNext/>
        <w:keepLines/>
        <w:spacing w:after="300"/>
        <w:ind w:firstLine="560" w:firstLineChars="200"/>
        <w:jc w:val="both"/>
        <w:rPr>
          <w:sz w:val="32"/>
          <w:szCs w:val="32"/>
        </w:rPr>
      </w:pPr>
      <w:r>
        <w:rPr>
          <w:color w:val="000000" w:themeColor="text1"/>
          <w:sz w:val="28"/>
          <w:szCs w:val="28"/>
          <w14:textFill>
            <w14:solidFill>
              <w14:schemeClr w14:val="tx1"/>
            </w14:solidFill>
          </w14:textFill>
        </w:rPr>
        <w:br w:type="page"/>
      </w:r>
      <w:r>
        <w:rPr>
          <w:rFonts w:hint="eastAsia" w:eastAsia="Times New Roman" w:cs="Times New Roman"/>
          <w:b/>
          <w:color w:val="000000" w:themeColor="text1"/>
          <w:sz w:val="32"/>
          <w:szCs w:val="32"/>
          <w:lang w:val="en-US" w:eastAsia="zh-CN"/>
          <w14:textFill>
            <w14:solidFill>
              <w14:schemeClr w14:val="tx1"/>
            </w14:solidFill>
          </w14:textFill>
        </w:rPr>
        <w:t>4.</w:t>
      </w:r>
      <w:r>
        <w:rPr>
          <w:sz w:val="32"/>
          <w:szCs w:val="32"/>
        </w:rPr>
        <w:t>资格格明函</w:t>
      </w:r>
    </w:p>
    <w:p w14:paraId="40FF9482">
      <w:pPr>
        <w:pStyle w:val="41"/>
        <w:keepNext/>
        <w:keepLines/>
        <w:spacing w:after="120"/>
        <w:ind w:firstLine="640" w:firstLineChars="200"/>
        <w:rPr>
          <w:sz w:val="32"/>
          <w:szCs w:val="32"/>
        </w:rPr>
      </w:pPr>
      <w:r>
        <w:rPr>
          <w:sz w:val="32"/>
          <w:szCs w:val="32"/>
        </w:rPr>
        <w:t>资格声明函</w:t>
      </w:r>
    </w:p>
    <w:p w14:paraId="42DC8767">
      <w:pPr>
        <w:pStyle w:val="37"/>
        <w:spacing w:line="465" w:lineRule="exact"/>
        <w:ind w:firstLine="420" w:firstLineChars="200"/>
        <w:jc w:val="both"/>
        <w:rPr>
          <w:sz w:val="21"/>
          <w:szCs w:val="21"/>
        </w:rPr>
      </w:pPr>
      <w:r>
        <w:rPr>
          <w:sz w:val="21"/>
          <w:szCs w:val="21"/>
        </w:rPr>
        <w:t>致：</w:t>
      </w:r>
      <w:r>
        <w:rPr>
          <w:sz w:val="21"/>
          <w:szCs w:val="21"/>
          <w:u w:val="single"/>
        </w:rPr>
        <w:t>（釆购代理机构名称）</w:t>
      </w:r>
      <w:r>
        <w:rPr>
          <w:sz w:val="21"/>
          <w:szCs w:val="21"/>
        </w:rPr>
        <w:t>：</w:t>
      </w:r>
    </w:p>
    <w:p w14:paraId="1D3B1192">
      <w:pPr>
        <w:pStyle w:val="37"/>
        <w:tabs>
          <w:tab w:val="left" w:leader="underscore" w:pos="565"/>
          <w:tab w:val="left" w:pos="9835"/>
        </w:tabs>
        <w:spacing w:line="465" w:lineRule="exact"/>
        <w:ind w:left="220" w:firstLine="420" w:firstLineChars="200"/>
        <w:jc w:val="both"/>
        <w:rPr>
          <w:sz w:val="21"/>
          <w:szCs w:val="21"/>
        </w:rPr>
      </w:pPr>
      <w:r>
        <w:rPr>
          <w:sz w:val="21"/>
          <w:szCs w:val="21"/>
          <w:u w:val="single"/>
        </w:rPr>
        <w:t>（供应商名称）</w:t>
      </w:r>
      <w:r>
        <w:rPr>
          <w:sz w:val="21"/>
          <w:szCs w:val="21"/>
        </w:rPr>
        <w:t>系中华人民共和国合法供应商,经营地址</w:t>
      </w:r>
      <w:r>
        <w:rPr>
          <w:sz w:val="21"/>
          <w:szCs w:val="21"/>
          <w:u w:val="single"/>
        </w:rPr>
        <w:t xml:space="preserve"> </w:t>
      </w:r>
      <w:r>
        <w:rPr>
          <w:sz w:val="21"/>
          <w:szCs w:val="21"/>
          <w:u w:val="single"/>
        </w:rPr>
        <w:tab/>
      </w:r>
      <w:r>
        <w:rPr>
          <w:sz w:val="21"/>
          <w:szCs w:val="21"/>
        </w:rPr>
        <w:t xml:space="preserve"> </w:t>
      </w:r>
      <w:r>
        <w:rPr>
          <w:i/>
          <w:iCs/>
          <w:sz w:val="21"/>
          <w:szCs w:val="21"/>
        </w:rPr>
        <w:tab/>
      </w:r>
      <w:r>
        <w:rPr>
          <w:i/>
          <w:iCs/>
          <w:sz w:val="21"/>
          <w:szCs w:val="21"/>
        </w:rPr>
        <w:t>。</w:t>
      </w:r>
    </w:p>
    <w:p w14:paraId="04142DFD">
      <w:pPr>
        <w:pStyle w:val="37"/>
        <w:spacing w:line="465" w:lineRule="exact"/>
        <w:ind w:left="220" w:firstLine="420" w:firstLineChars="200"/>
        <w:jc w:val="both"/>
        <w:rPr>
          <w:sz w:val="21"/>
          <w:szCs w:val="21"/>
        </w:rPr>
      </w:pPr>
      <w:r>
        <w:rPr>
          <w:sz w:val="21"/>
          <w:szCs w:val="21"/>
        </w:rPr>
        <w:t>我方愿意参加贵方组织的</w:t>
      </w:r>
      <w:r>
        <w:rPr>
          <w:sz w:val="21"/>
          <w:szCs w:val="21"/>
          <w:u w:val="single"/>
        </w:rPr>
        <w:t>（项目名称）项</w:t>
      </w:r>
      <w:r>
        <w:rPr>
          <w:sz w:val="21"/>
          <w:szCs w:val="21"/>
        </w:rPr>
        <w:t>目的竞标,为便于贵方公正、择优地确定成交供应商及其竞标产品和服务，我方就本次竞标有关事项郑重声明如下：</w:t>
      </w:r>
    </w:p>
    <w:p w14:paraId="3C28193C">
      <w:pPr>
        <w:pStyle w:val="37"/>
        <w:numPr>
          <w:ilvl w:val="0"/>
          <w:numId w:val="27"/>
        </w:numPr>
        <w:tabs>
          <w:tab w:val="left" w:pos="1020"/>
        </w:tabs>
        <w:spacing w:line="465" w:lineRule="exact"/>
        <w:ind w:left="220" w:firstLine="420" w:firstLineChars="200"/>
        <w:jc w:val="both"/>
        <w:rPr>
          <w:sz w:val="21"/>
          <w:szCs w:val="21"/>
        </w:rPr>
      </w:pPr>
      <w:r>
        <w:rPr>
          <w:sz w:val="21"/>
          <w:szCs w:val="21"/>
        </w:rPr>
        <w:t>我方向贵方提交的所有响应文件、资料都是准确的和真实的。</w:t>
      </w:r>
    </w:p>
    <w:p w14:paraId="5F328586">
      <w:pPr>
        <w:pStyle w:val="37"/>
        <w:numPr>
          <w:ilvl w:val="0"/>
          <w:numId w:val="27"/>
        </w:numPr>
        <w:tabs>
          <w:tab w:val="left" w:pos="1050"/>
        </w:tabs>
        <w:spacing w:line="465" w:lineRule="exact"/>
        <w:ind w:left="220" w:firstLine="420" w:firstLineChars="200"/>
        <w:jc w:val="both"/>
        <w:rPr>
          <w:sz w:val="21"/>
          <w:szCs w:val="21"/>
        </w:rPr>
      </w:pPr>
      <w:r>
        <w:rPr>
          <w:sz w:val="21"/>
          <w:szCs w:val="21"/>
        </w:rPr>
        <w:t>我方不是釆购人的附属机构；不是为本次釆购项目提供整体设计、规范编制或者项目 管理、监理、检测等服务的供应商；在获知本项目釆购信息后，与釆购人聘请的为此项目提供咨询服务的公司及其附属机构没有任何联系。</w:t>
      </w:r>
    </w:p>
    <w:p w14:paraId="214EBF72">
      <w:pPr>
        <w:pStyle w:val="37"/>
        <w:numPr>
          <w:ilvl w:val="0"/>
          <w:numId w:val="27"/>
        </w:numPr>
        <w:tabs>
          <w:tab w:val="left" w:pos="1050"/>
        </w:tabs>
        <w:spacing w:line="465" w:lineRule="exact"/>
        <w:ind w:left="220" w:firstLine="420" w:firstLineChars="200"/>
        <w:jc w:val="both"/>
        <w:rPr>
          <w:sz w:val="21"/>
          <w:szCs w:val="21"/>
        </w:rPr>
      </w:pPr>
      <w:r>
        <w:rPr>
          <w:sz w:val="21"/>
          <w:szCs w:val="21"/>
        </w:rPr>
        <w:t>在此，我方宣布同意如下：</w:t>
      </w:r>
    </w:p>
    <w:p w14:paraId="303FEBD0">
      <w:pPr>
        <w:pStyle w:val="37"/>
        <w:tabs>
          <w:tab w:val="left" w:pos="1255"/>
        </w:tabs>
        <w:spacing w:line="465" w:lineRule="exact"/>
        <w:ind w:firstLine="420" w:firstLineChars="200"/>
        <w:jc w:val="both"/>
        <w:rPr>
          <w:sz w:val="21"/>
          <w:szCs w:val="21"/>
        </w:rPr>
      </w:pPr>
      <w:r>
        <w:rPr>
          <w:sz w:val="21"/>
          <w:szCs w:val="21"/>
        </w:rPr>
        <w:t>（1）将按磋商文件的约定履行合同责任和义务；</w:t>
      </w:r>
    </w:p>
    <w:p w14:paraId="725E3607">
      <w:pPr>
        <w:pStyle w:val="37"/>
        <w:tabs>
          <w:tab w:val="left" w:pos="1255"/>
        </w:tabs>
        <w:spacing w:line="465" w:lineRule="exact"/>
        <w:ind w:firstLine="420" w:firstLineChars="200"/>
        <w:jc w:val="both"/>
        <w:rPr>
          <w:sz w:val="21"/>
          <w:szCs w:val="21"/>
        </w:rPr>
      </w:pPr>
      <w:r>
        <w:rPr>
          <w:sz w:val="21"/>
          <w:szCs w:val="21"/>
        </w:rPr>
        <w:t>（2）已详细审查全部磋商文件，包括澄清或者更正公告（如有）；</w:t>
      </w:r>
    </w:p>
    <w:p w14:paraId="640A597F">
      <w:pPr>
        <w:pStyle w:val="37"/>
        <w:tabs>
          <w:tab w:val="left" w:pos="1255"/>
        </w:tabs>
        <w:spacing w:line="465" w:lineRule="exact"/>
        <w:ind w:firstLine="420" w:firstLineChars="200"/>
        <w:jc w:val="both"/>
        <w:rPr>
          <w:sz w:val="21"/>
          <w:szCs w:val="21"/>
        </w:rPr>
      </w:pPr>
      <w:r>
        <w:rPr>
          <w:sz w:val="21"/>
          <w:szCs w:val="21"/>
        </w:rPr>
        <w:t>（3）同意提供按照贵方可能要求的与磋商有关的一切数据或者资料；</w:t>
      </w:r>
    </w:p>
    <w:p w14:paraId="0BF1F004">
      <w:pPr>
        <w:pStyle w:val="37"/>
        <w:tabs>
          <w:tab w:val="left" w:pos="1255"/>
        </w:tabs>
        <w:spacing w:line="465" w:lineRule="exact"/>
        <w:ind w:firstLine="420" w:firstLineChars="200"/>
        <w:jc w:val="both"/>
        <w:rPr>
          <w:sz w:val="21"/>
          <w:szCs w:val="21"/>
        </w:rPr>
      </w:pPr>
      <w:r>
        <w:rPr>
          <w:sz w:val="21"/>
          <w:szCs w:val="21"/>
        </w:rPr>
        <w:t>（4）响应磋商文件规定的竞标有效期。</w:t>
      </w:r>
    </w:p>
    <w:p w14:paraId="6AB88C45">
      <w:pPr>
        <w:pStyle w:val="37"/>
        <w:tabs>
          <w:tab w:val="left" w:pos="1050"/>
        </w:tabs>
        <w:spacing w:line="465" w:lineRule="exact"/>
        <w:ind w:left="480" w:leftChars="200" w:firstLine="210" w:firstLineChars="100"/>
        <w:jc w:val="both"/>
        <w:rPr>
          <w:sz w:val="21"/>
          <w:szCs w:val="21"/>
        </w:rPr>
      </w:pPr>
      <w:r>
        <w:rPr>
          <w:rFonts w:hint="eastAsia"/>
          <w:sz w:val="21"/>
          <w:szCs w:val="21"/>
          <w:lang w:val="en-US" w:eastAsia="zh-CN"/>
        </w:rPr>
        <w:t>4.</w:t>
      </w:r>
      <w:r>
        <w:rPr>
          <w:sz w:val="21"/>
          <w:szCs w:val="21"/>
        </w:rPr>
        <w:t>我方承诺符合《中华人民共和国政府釆购法》第二十二条规定：</w:t>
      </w:r>
    </w:p>
    <w:p w14:paraId="4B169422">
      <w:pPr>
        <w:pStyle w:val="37"/>
        <w:tabs>
          <w:tab w:val="left" w:pos="1255"/>
        </w:tabs>
        <w:spacing w:line="465" w:lineRule="exact"/>
        <w:ind w:firstLine="420" w:firstLineChars="200"/>
        <w:jc w:val="both"/>
        <w:rPr>
          <w:sz w:val="21"/>
          <w:szCs w:val="21"/>
        </w:rPr>
      </w:pPr>
      <w:r>
        <w:rPr>
          <w:sz w:val="21"/>
          <w:szCs w:val="21"/>
        </w:rPr>
        <w:t>（1）具有独立承担民事责任的能力；</w:t>
      </w:r>
    </w:p>
    <w:p w14:paraId="4D4EAAE1">
      <w:pPr>
        <w:pStyle w:val="37"/>
        <w:tabs>
          <w:tab w:val="left" w:pos="1255"/>
        </w:tabs>
        <w:spacing w:line="461" w:lineRule="exact"/>
        <w:ind w:firstLine="420" w:firstLineChars="200"/>
        <w:jc w:val="both"/>
        <w:rPr>
          <w:sz w:val="21"/>
          <w:szCs w:val="21"/>
        </w:rPr>
      </w:pPr>
      <w:r>
        <w:rPr>
          <w:sz w:val="21"/>
          <w:szCs w:val="21"/>
        </w:rPr>
        <w:t>（2）具有良好的商业信誉和健全的财务会计制度；</w:t>
      </w:r>
    </w:p>
    <w:p w14:paraId="073A7262">
      <w:pPr>
        <w:pStyle w:val="37"/>
        <w:tabs>
          <w:tab w:val="left" w:pos="1255"/>
        </w:tabs>
        <w:spacing w:line="461" w:lineRule="exact"/>
        <w:ind w:firstLine="420" w:firstLineChars="200"/>
        <w:jc w:val="both"/>
        <w:rPr>
          <w:sz w:val="21"/>
          <w:szCs w:val="21"/>
        </w:rPr>
      </w:pPr>
      <w:r>
        <w:rPr>
          <w:sz w:val="21"/>
          <w:szCs w:val="21"/>
        </w:rPr>
        <w:t>（3）具有履行合同所必需的设备和专业技术能力；</w:t>
      </w:r>
    </w:p>
    <w:p w14:paraId="66F98651">
      <w:pPr>
        <w:pStyle w:val="37"/>
        <w:tabs>
          <w:tab w:val="left" w:pos="1255"/>
        </w:tabs>
        <w:spacing w:line="461" w:lineRule="exact"/>
        <w:ind w:firstLine="420" w:firstLineChars="200"/>
        <w:jc w:val="both"/>
        <w:rPr>
          <w:sz w:val="21"/>
          <w:szCs w:val="21"/>
        </w:rPr>
      </w:pPr>
      <w:r>
        <w:rPr>
          <w:sz w:val="21"/>
          <w:szCs w:val="21"/>
        </w:rPr>
        <w:t>（4）有依法缴纳税收和社会保障资金的良好记录；</w:t>
      </w:r>
    </w:p>
    <w:p w14:paraId="4BA688BB">
      <w:pPr>
        <w:pStyle w:val="37"/>
        <w:tabs>
          <w:tab w:val="left" w:pos="1255"/>
        </w:tabs>
        <w:spacing w:line="461" w:lineRule="exact"/>
        <w:ind w:firstLine="420" w:firstLineChars="200"/>
        <w:jc w:val="both"/>
        <w:rPr>
          <w:sz w:val="21"/>
          <w:szCs w:val="21"/>
        </w:rPr>
      </w:pPr>
      <w:r>
        <w:rPr>
          <w:sz w:val="21"/>
          <w:szCs w:val="21"/>
        </w:rPr>
        <w:t>（5）参加政府釆购活动前三年内，在经营活动中没有重大违法记录；</w:t>
      </w:r>
    </w:p>
    <w:p w14:paraId="614DCFE3">
      <w:pPr>
        <w:pStyle w:val="37"/>
        <w:tabs>
          <w:tab w:val="left" w:pos="1255"/>
        </w:tabs>
        <w:spacing w:line="461" w:lineRule="exact"/>
        <w:ind w:firstLine="420" w:firstLineChars="200"/>
        <w:jc w:val="both"/>
        <w:rPr>
          <w:sz w:val="21"/>
          <w:szCs w:val="21"/>
        </w:rPr>
      </w:pPr>
      <w:r>
        <w:rPr>
          <w:sz w:val="21"/>
          <w:szCs w:val="21"/>
        </w:rPr>
        <w:t>（6）法律、行政法规规定的其他条件。</w:t>
      </w:r>
    </w:p>
    <w:p w14:paraId="51D70AA5">
      <w:pPr>
        <w:pStyle w:val="37"/>
        <w:tabs>
          <w:tab w:val="left" w:pos="1065"/>
        </w:tabs>
        <w:spacing w:line="461" w:lineRule="exact"/>
        <w:ind w:left="480" w:leftChars="200" w:firstLine="210" w:firstLineChars="100"/>
        <w:jc w:val="both"/>
        <w:rPr>
          <w:sz w:val="21"/>
          <w:szCs w:val="21"/>
        </w:rPr>
      </w:pPr>
      <w:r>
        <w:rPr>
          <w:rFonts w:hint="eastAsia"/>
          <w:sz w:val="21"/>
          <w:szCs w:val="21"/>
          <w:lang w:val="en-US" w:eastAsia="zh-CN"/>
        </w:rPr>
        <w:t>5.</w:t>
      </w:r>
      <w:r>
        <w:rPr>
          <w:sz w:val="21"/>
          <w:szCs w:val="21"/>
        </w:rPr>
        <w:t>我方在此声明，我方在参加本项目的政府釆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釆购严重违法失信行为记录名单，完全符合《中华人民共和国政府釆购法》第 二十二条规定的供应商资格条件，我方对此声明负全部法律责任。</w:t>
      </w:r>
    </w:p>
    <w:p w14:paraId="542C1BE8">
      <w:pPr>
        <w:pStyle w:val="37"/>
        <w:tabs>
          <w:tab w:val="left" w:pos="1050"/>
        </w:tabs>
        <w:spacing w:line="465" w:lineRule="exact"/>
        <w:ind w:left="480" w:leftChars="200" w:firstLine="210" w:firstLineChars="100"/>
        <w:jc w:val="both"/>
        <w:rPr>
          <w:sz w:val="21"/>
          <w:szCs w:val="21"/>
        </w:rPr>
      </w:pPr>
      <w:r>
        <w:rPr>
          <w:rFonts w:hint="eastAsia"/>
          <w:sz w:val="21"/>
          <w:szCs w:val="21"/>
          <w:lang w:val="en-US" w:eastAsia="zh-CN"/>
        </w:rPr>
        <w:t>6.</w:t>
      </w:r>
      <w:r>
        <w:rPr>
          <w:sz w:val="21"/>
          <w:szCs w:val="21"/>
        </w:rPr>
        <w:t>根据《中华人民共和国政府釆购法实施条例》第五十条要求对政府釆购合同进行公告, 但政府釆购合同中涉及国家秘密、商业秘密的内容除外。我方就对本次响应文件进行注明如下：（两项内容中必须选择一项）</w:t>
      </w:r>
    </w:p>
    <w:p w14:paraId="3EB7AD6D">
      <w:pPr>
        <w:pStyle w:val="37"/>
        <w:spacing w:after="180" w:line="465" w:lineRule="exact"/>
        <w:ind w:firstLine="420" w:firstLineChars="200"/>
        <w:rPr>
          <w:sz w:val="21"/>
          <w:szCs w:val="21"/>
        </w:rPr>
      </w:pPr>
      <w:r>
        <w:rPr>
          <w:sz w:val="21"/>
          <w:szCs w:val="21"/>
        </w:rPr>
        <w:t>□我方本次响应文件内容中未涉及商业秘密；</w:t>
      </w:r>
    </w:p>
    <w:p w14:paraId="6B981C3C">
      <w:pPr>
        <w:pStyle w:val="37"/>
        <w:tabs>
          <w:tab w:val="left" w:pos="8470"/>
        </w:tabs>
        <w:spacing w:line="240" w:lineRule="auto"/>
        <w:ind w:firstLine="420" w:firstLineChars="200"/>
        <w:rPr>
          <w:sz w:val="21"/>
          <w:szCs w:val="21"/>
        </w:rPr>
      </w:pPr>
      <w:r>
        <w:rPr>
          <w:sz w:val="21"/>
          <w:szCs w:val="21"/>
        </w:rPr>
        <w:t>□我方本次响应文件涉及商业秘密的内容有：</w:t>
      </w:r>
      <w:r>
        <w:rPr>
          <w:sz w:val="21"/>
          <w:szCs w:val="21"/>
          <w:u w:val="single"/>
        </w:rPr>
        <w:t xml:space="preserve"> </w:t>
      </w:r>
      <w:r>
        <w:rPr>
          <w:sz w:val="21"/>
          <w:szCs w:val="21"/>
          <w:u w:val="single"/>
        </w:rPr>
        <w:tab/>
      </w:r>
      <w:r>
        <w:rPr>
          <w:sz w:val="21"/>
          <w:szCs w:val="21"/>
        </w:rPr>
        <w:t>;</w:t>
      </w:r>
    </w:p>
    <w:p w14:paraId="2F04FC8A">
      <w:pPr>
        <w:pStyle w:val="37"/>
        <w:tabs>
          <w:tab w:val="left" w:pos="1035"/>
          <w:tab w:val="left" w:pos="4870"/>
          <w:tab w:val="left" w:pos="4885"/>
          <w:tab w:val="left" w:pos="7390"/>
          <w:tab w:val="left" w:pos="9550"/>
          <w:tab w:val="left" w:pos="9565"/>
        </w:tabs>
        <w:spacing w:line="502" w:lineRule="exact"/>
        <w:ind w:left="480" w:leftChars="200" w:firstLine="0"/>
        <w:jc w:val="both"/>
        <w:rPr>
          <w:sz w:val="21"/>
          <w:szCs w:val="21"/>
        </w:rPr>
      </w:pPr>
      <w:r>
        <w:rPr>
          <w:rFonts w:hint="eastAsia"/>
          <w:sz w:val="21"/>
          <w:szCs w:val="21"/>
          <w:lang w:val="en-US" w:eastAsia="zh-CN"/>
        </w:rPr>
        <w:t>7.</w:t>
      </w:r>
      <w:r>
        <w:rPr>
          <w:sz w:val="21"/>
          <w:szCs w:val="21"/>
        </w:rPr>
        <w:t>与本磋商有关的一切正式往来信函请寄：</w:t>
      </w:r>
      <w:r>
        <w:rPr>
          <w:sz w:val="21"/>
          <w:szCs w:val="21"/>
          <w:u w:val="single"/>
        </w:rPr>
        <w:t xml:space="preserve"> </w:t>
      </w:r>
      <w:r>
        <w:rPr>
          <w:sz w:val="21"/>
          <w:szCs w:val="21"/>
          <w:u w:val="single"/>
        </w:rPr>
        <w:tab/>
      </w:r>
      <w:r>
        <w:rPr>
          <w:sz w:val="21"/>
          <w:szCs w:val="21"/>
        </w:rPr>
        <w:t>邮政编号：</w:t>
      </w:r>
      <w:r>
        <w:rPr>
          <w:sz w:val="21"/>
          <w:szCs w:val="21"/>
          <w:u w:val="single"/>
        </w:rPr>
        <w:t xml:space="preserve"> </w:t>
      </w:r>
      <w:r>
        <w:rPr>
          <w:sz w:val="21"/>
          <w:szCs w:val="21"/>
          <w:u w:val="single"/>
        </w:rPr>
        <w:tab/>
      </w:r>
      <w:r>
        <w:rPr>
          <w:sz w:val="21"/>
          <w:szCs w:val="21"/>
        </w:rPr>
        <w:t xml:space="preserve"> </w:t>
      </w:r>
    </w:p>
    <w:p w14:paraId="172C0DF4">
      <w:pPr>
        <w:pStyle w:val="37"/>
        <w:tabs>
          <w:tab w:val="left" w:pos="1035"/>
          <w:tab w:val="left" w:pos="4870"/>
          <w:tab w:val="left" w:pos="4885"/>
          <w:tab w:val="left" w:pos="7390"/>
          <w:tab w:val="left" w:pos="9550"/>
          <w:tab w:val="left" w:pos="9565"/>
        </w:tabs>
        <w:spacing w:line="502" w:lineRule="exact"/>
        <w:ind w:left="720" w:firstLine="420" w:firstLineChars="200"/>
        <w:jc w:val="both"/>
        <w:rPr>
          <w:sz w:val="21"/>
          <w:szCs w:val="21"/>
        </w:rPr>
      </w:pPr>
      <w:r>
        <w:rPr>
          <w:sz w:val="21"/>
          <w:szCs w:val="21"/>
        </w:rPr>
        <w:t>电话/传真：</w:t>
      </w:r>
      <w:r>
        <w:rPr>
          <w:sz w:val="21"/>
          <w:szCs w:val="21"/>
          <w:u w:val="single"/>
        </w:rPr>
        <w:t xml:space="preserve"> </w:t>
      </w:r>
      <w:r>
        <w:rPr>
          <w:sz w:val="21"/>
          <w:szCs w:val="21"/>
          <w:u w:val="single"/>
        </w:rPr>
        <w:tab/>
      </w:r>
      <w:r>
        <w:rPr>
          <w:sz w:val="21"/>
          <w:szCs w:val="21"/>
        </w:rPr>
        <w:t>电子函件：</w:t>
      </w:r>
      <w:r>
        <w:rPr>
          <w:sz w:val="21"/>
          <w:szCs w:val="21"/>
          <w:u w:val="single"/>
        </w:rPr>
        <w:t xml:space="preserve"> </w:t>
      </w:r>
      <w:r>
        <w:rPr>
          <w:sz w:val="21"/>
          <w:szCs w:val="21"/>
          <w:u w:val="single"/>
        </w:rPr>
        <w:tab/>
      </w:r>
      <w:r>
        <w:rPr>
          <w:sz w:val="21"/>
          <w:szCs w:val="21"/>
        </w:rPr>
        <w:t xml:space="preserve"> </w:t>
      </w:r>
    </w:p>
    <w:p w14:paraId="580A8F8F">
      <w:pPr>
        <w:pStyle w:val="37"/>
        <w:tabs>
          <w:tab w:val="left" w:pos="1035"/>
          <w:tab w:val="left" w:pos="4870"/>
          <w:tab w:val="left" w:pos="4885"/>
          <w:tab w:val="left" w:pos="7390"/>
          <w:tab w:val="left" w:pos="9550"/>
          <w:tab w:val="left" w:pos="9565"/>
        </w:tabs>
        <w:spacing w:line="502" w:lineRule="exact"/>
        <w:ind w:left="720" w:firstLine="420" w:firstLineChars="200"/>
        <w:jc w:val="both"/>
        <w:rPr>
          <w:sz w:val="21"/>
          <w:szCs w:val="21"/>
        </w:rPr>
      </w:pPr>
      <w:r>
        <w:rPr>
          <w:sz w:val="21"/>
          <w:szCs w:val="21"/>
        </w:rPr>
        <w:t>开户银行：</w:t>
      </w:r>
      <w:r>
        <w:rPr>
          <w:sz w:val="21"/>
          <w:szCs w:val="21"/>
          <w:u w:val="single"/>
        </w:rPr>
        <w:t xml:space="preserve"> </w:t>
      </w:r>
      <w:r>
        <w:rPr>
          <w:sz w:val="21"/>
          <w:szCs w:val="21"/>
          <w:u w:val="single"/>
        </w:rPr>
        <w:tab/>
      </w:r>
      <w:r>
        <w:rPr>
          <w:sz w:val="21"/>
          <w:szCs w:val="21"/>
        </w:rPr>
        <w:t>帐号：</w:t>
      </w:r>
      <w:r>
        <w:rPr>
          <w:sz w:val="21"/>
          <w:szCs w:val="21"/>
          <w:u w:val="single"/>
        </w:rPr>
        <w:t xml:space="preserve"> </w:t>
      </w:r>
      <w:r>
        <w:rPr>
          <w:sz w:val="21"/>
          <w:szCs w:val="21"/>
          <w:u w:val="single"/>
        </w:rPr>
        <w:tab/>
      </w:r>
    </w:p>
    <w:p w14:paraId="184E0C48">
      <w:pPr>
        <w:pStyle w:val="37"/>
        <w:tabs>
          <w:tab w:val="left" w:pos="1050"/>
        </w:tabs>
        <w:spacing w:line="465" w:lineRule="exact"/>
        <w:ind w:left="480" w:leftChars="200" w:firstLine="210" w:firstLineChars="100"/>
        <w:rPr>
          <w:sz w:val="21"/>
          <w:szCs w:val="21"/>
        </w:rPr>
      </w:pPr>
      <w:r>
        <w:rPr>
          <w:rFonts w:hint="eastAsia"/>
          <w:sz w:val="21"/>
          <w:szCs w:val="21"/>
          <w:lang w:val="en-US" w:eastAsia="zh-CN"/>
        </w:rPr>
        <w:t>8.</w:t>
      </w:r>
      <w:r>
        <w:rPr>
          <w:sz w:val="21"/>
          <w:szCs w:val="21"/>
        </w:rPr>
        <w:t>以上事项如有虚假或者隐瞒，我方愿意承担一切后果，并不再寻求任何旨在减轻或者免除法律责任的辩解。</w:t>
      </w:r>
    </w:p>
    <w:p w14:paraId="7E3A76F9">
      <w:pPr>
        <w:pStyle w:val="37"/>
        <w:spacing w:line="465" w:lineRule="exact"/>
        <w:ind w:firstLine="420" w:firstLineChars="200"/>
        <w:rPr>
          <w:sz w:val="21"/>
          <w:szCs w:val="21"/>
        </w:rPr>
      </w:pPr>
      <w:r>
        <w:rPr>
          <w:sz w:val="21"/>
          <w:szCs w:val="21"/>
        </w:rPr>
        <w:t>特此承诺。</w:t>
      </w:r>
    </w:p>
    <w:p w14:paraId="6D0A41F8">
      <w:pPr>
        <w:pStyle w:val="37"/>
        <w:spacing w:after="440" w:line="465" w:lineRule="exact"/>
        <w:ind w:left="220" w:firstLine="420" w:firstLineChars="200"/>
        <w:rPr>
          <w:sz w:val="21"/>
          <w:szCs w:val="21"/>
        </w:rPr>
      </w:pPr>
      <w:r>
        <w:rPr>
          <w:sz w:val="21"/>
          <w:szCs w:val="21"/>
        </w:rPr>
        <w:t>注：如为联合体竞标，盖章处须加盖联合体各方公章并由联合体各方法定代表人签署，否则其响应文件按无效响应处理。</w:t>
      </w:r>
    </w:p>
    <w:p w14:paraId="61E9DE98">
      <w:pPr>
        <w:pStyle w:val="37"/>
        <w:spacing w:line="465" w:lineRule="exact"/>
        <w:ind w:firstLine="420" w:firstLineChars="200"/>
        <w:jc w:val="center"/>
        <w:rPr>
          <w:sz w:val="21"/>
          <w:szCs w:val="21"/>
        </w:rPr>
      </w:pPr>
      <w:r>
        <w:rPr>
          <w:sz w:val="21"/>
          <w:szCs w:val="21"/>
        </w:rPr>
        <w:t>供应商名称（电子签章）：</w:t>
      </w:r>
    </w:p>
    <w:p w14:paraId="67EDAA40">
      <w:pPr>
        <w:pStyle w:val="37"/>
        <w:spacing w:after="100" w:line="465" w:lineRule="exact"/>
        <w:ind w:right="1540" w:firstLine="420" w:firstLineChars="200"/>
        <w:jc w:val="right"/>
        <w:rPr>
          <w:sz w:val="21"/>
          <w:szCs w:val="21"/>
        </w:rPr>
        <w:sectPr>
          <w:footerReference r:id="rId27" w:type="default"/>
          <w:pgSz w:w="11900" w:h="16840"/>
          <w:pgMar w:top="1055" w:right="865" w:bottom="1365" w:left="880" w:header="627" w:footer="1304" w:gutter="0"/>
          <w:cols w:space="720" w:num="1"/>
          <w:docGrid w:linePitch="360" w:charSpace="0"/>
        </w:sectPr>
      </w:pPr>
      <w:r>
        <w:rPr>
          <w:sz w:val="21"/>
          <w:szCs w:val="21"/>
        </w:rPr>
        <w:t>日期：年 月 日</w:t>
      </w:r>
    </w:p>
    <w:p w14:paraId="2023F402">
      <w:pPr>
        <w:pStyle w:val="43"/>
        <w:numPr>
          <w:ilvl w:val="0"/>
          <w:numId w:val="0"/>
        </w:numPr>
        <w:tabs>
          <w:tab w:val="left" w:pos="210"/>
        </w:tabs>
        <w:spacing w:line="405" w:lineRule="exact"/>
        <w:ind w:leftChars="200"/>
        <w:rPr>
          <w:rFonts w:hint="eastAsia"/>
          <w:color w:val="auto"/>
          <w:sz w:val="21"/>
          <w:szCs w:val="21"/>
          <w:lang w:val="en-US" w:eastAsia="zh-CN"/>
        </w:rPr>
      </w:pPr>
      <w:r>
        <w:rPr>
          <w:rFonts w:hint="eastAsia"/>
          <w:color w:val="auto"/>
          <w:sz w:val="21"/>
          <w:szCs w:val="21"/>
          <w:lang w:val="en-US" w:eastAsia="zh-CN"/>
        </w:rPr>
        <w:t>5.本项目的特定资格要求证明；</w:t>
      </w:r>
      <w:r>
        <w:rPr>
          <w:rFonts w:hint="eastAsia" w:ascii="宋体" w:hAnsi="宋体" w:eastAsia="宋体" w:cs="宋体"/>
          <w:b/>
          <w:bCs/>
          <w:color w:val="auto"/>
          <w:kern w:val="2"/>
          <w:sz w:val="21"/>
          <w:szCs w:val="21"/>
          <w:highlight w:val="none"/>
          <w:lang w:val="en-US" w:eastAsia="zh-CN" w:bidi="ar-SA"/>
        </w:rPr>
        <w:t>（必须提供）</w:t>
      </w:r>
    </w:p>
    <w:p w14:paraId="07EE800F">
      <w:pPr>
        <w:pStyle w:val="43"/>
        <w:numPr>
          <w:ilvl w:val="0"/>
          <w:numId w:val="0"/>
        </w:numPr>
        <w:tabs>
          <w:tab w:val="left" w:pos="210"/>
        </w:tabs>
        <w:spacing w:line="405" w:lineRule="exact"/>
        <w:ind w:leftChars="200"/>
        <w:rPr>
          <w:sz w:val="32"/>
          <w:szCs w:val="32"/>
        </w:rPr>
      </w:pPr>
      <w:r>
        <w:rPr>
          <w:rFonts w:hint="eastAsia"/>
          <w:sz w:val="21"/>
          <w:szCs w:val="21"/>
          <w:lang w:val="en-US" w:eastAsia="zh-CN"/>
        </w:rPr>
        <w:t>6.</w:t>
      </w:r>
      <w:r>
        <w:rPr>
          <w:sz w:val="21"/>
          <w:szCs w:val="21"/>
        </w:rPr>
        <w:t>磋商保证金缴纳凭证；</w:t>
      </w:r>
      <w:r>
        <w:rPr>
          <w:b/>
          <w:bCs/>
          <w:sz w:val="21"/>
          <w:szCs w:val="21"/>
        </w:rPr>
        <w:t>（如有请提供）</w:t>
      </w:r>
      <w:r>
        <w:rPr>
          <w:b/>
          <w:bCs/>
          <w:sz w:val="21"/>
          <w:szCs w:val="21"/>
        </w:rPr>
        <w:br w:type="textWrapping"/>
      </w:r>
      <w:r>
        <w:rPr>
          <w:rFonts w:hint="eastAsia"/>
          <w:sz w:val="21"/>
          <w:szCs w:val="21"/>
          <w:lang w:val="en-US" w:eastAsia="zh-CN"/>
        </w:rPr>
        <w:t>7.</w:t>
      </w:r>
      <w:r>
        <w:rPr>
          <w:sz w:val="21"/>
          <w:szCs w:val="21"/>
        </w:rPr>
        <w:t>除磋商文件规定必须提供以外，供应商认为需要提供的其他证明材料；</w:t>
      </w:r>
      <w:bookmarkEnd w:id="226"/>
      <w:bookmarkEnd w:id="227"/>
      <w:bookmarkEnd w:id="228"/>
      <w:r>
        <w:rPr>
          <w:b/>
          <w:bCs/>
          <w:sz w:val="21"/>
          <w:szCs w:val="21"/>
        </w:rPr>
        <w:t>（如有请提供）</w:t>
      </w:r>
    </w:p>
    <w:p w14:paraId="39893A30">
      <w:pPr>
        <w:pStyle w:val="29"/>
        <w:spacing w:after="660"/>
        <w:ind w:firstLine="640" w:firstLineChars="200"/>
        <w:jc w:val="center"/>
        <w:rPr>
          <w:sz w:val="32"/>
          <w:szCs w:val="32"/>
        </w:rPr>
      </w:pPr>
    </w:p>
    <w:p w14:paraId="3266A57A">
      <w:pPr>
        <w:pStyle w:val="29"/>
        <w:spacing w:after="660"/>
        <w:ind w:firstLine="640" w:firstLineChars="200"/>
        <w:jc w:val="center"/>
        <w:rPr>
          <w:sz w:val="32"/>
          <w:szCs w:val="32"/>
        </w:rPr>
      </w:pPr>
    </w:p>
    <w:p w14:paraId="37DB2888">
      <w:pPr>
        <w:pStyle w:val="29"/>
        <w:spacing w:after="660"/>
        <w:ind w:firstLine="640" w:firstLineChars="200"/>
        <w:jc w:val="center"/>
        <w:rPr>
          <w:sz w:val="32"/>
          <w:szCs w:val="32"/>
        </w:rPr>
      </w:pPr>
    </w:p>
    <w:p w14:paraId="4E619AA3">
      <w:pPr>
        <w:pStyle w:val="29"/>
        <w:spacing w:after="660"/>
        <w:ind w:firstLine="640" w:firstLineChars="200"/>
        <w:jc w:val="center"/>
        <w:rPr>
          <w:sz w:val="32"/>
          <w:szCs w:val="32"/>
        </w:rPr>
      </w:pPr>
    </w:p>
    <w:p w14:paraId="7AA24B77">
      <w:pPr>
        <w:pStyle w:val="29"/>
        <w:spacing w:after="660"/>
        <w:ind w:firstLine="640" w:firstLineChars="200"/>
        <w:jc w:val="center"/>
        <w:rPr>
          <w:sz w:val="32"/>
          <w:szCs w:val="32"/>
        </w:rPr>
      </w:pPr>
    </w:p>
    <w:p w14:paraId="403554EB">
      <w:pPr>
        <w:pStyle w:val="29"/>
        <w:spacing w:after="660"/>
        <w:ind w:firstLine="640" w:firstLineChars="200"/>
        <w:jc w:val="center"/>
        <w:rPr>
          <w:sz w:val="32"/>
          <w:szCs w:val="32"/>
        </w:rPr>
      </w:pPr>
    </w:p>
    <w:p w14:paraId="36851F54">
      <w:pPr>
        <w:pStyle w:val="29"/>
        <w:spacing w:after="660"/>
        <w:ind w:firstLine="640" w:firstLineChars="200"/>
        <w:jc w:val="center"/>
        <w:rPr>
          <w:sz w:val="32"/>
          <w:szCs w:val="32"/>
        </w:rPr>
      </w:pPr>
    </w:p>
    <w:p w14:paraId="04C3139E">
      <w:pPr>
        <w:pStyle w:val="29"/>
        <w:spacing w:after="660"/>
        <w:ind w:firstLine="640" w:firstLineChars="200"/>
        <w:jc w:val="center"/>
        <w:rPr>
          <w:sz w:val="32"/>
          <w:szCs w:val="32"/>
        </w:rPr>
      </w:pPr>
    </w:p>
    <w:p w14:paraId="47D4D406">
      <w:pPr>
        <w:pStyle w:val="29"/>
        <w:spacing w:after="660"/>
        <w:ind w:firstLine="640" w:firstLineChars="200"/>
        <w:jc w:val="center"/>
        <w:rPr>
          <w:sz w:val="32"/>
          <w:szCs w:val="32"/>
        </w:rPr>
      </w:pPr>
    </w:p>
    <w:p w14:paraId="48874654">
      <w:pPr>
        <w:pStyle w:val="29"/>
        <w:spacing w:after="660"/>
        <w:ind w:firstLine="640" w:firstLineChars="200"/>
        <w:jc w:val="center"/>
        <w:rPr>
          <w:sz w:val="32"/>
          <w:szCs w:val="32"/>
        </w:rPr>
      </w:pPr>
    </w:p>
    <w:p w14:paraId="496E1693">
      <w:pPr>
        <w:pStyle w:val="29"/>
        <w:spacing w:after="660"/>
        <w:ind w:firstLine="640" w:firstLineChars="200"/>
        <w:jc w:val="center"/>
        <w:rPr>
          <w:sz w:val="32"/>
          <w:szCs w:val="32"/>
        </w:rPr>
      </w:pPr>
    </w:p>
    <w:p w14:paraId="61A9F882">
      <w:pPr>
        <w:pStyle w:val="29"/>
        <w:spacing w:after="660"/>
        <w:ind w:firstLine="640" w:firstLineChars="200"/>
        <w:jc w:val="center"/>
        <w:rPr>
          <w:sz w:val="32"/>
          <w:szCs w:val="32"/>
        </w:rPr>
      </w:pPr>
    </w:p>
    <w:p w14:paraId="5CD3D2BD">
      <w:pPr>
        <w:pStyle w:val="29"/>
        <w:spacing w:after="660"/>
        <w:ind w:firstLine="640" w:firstLineChars="200"/>
        <w:jc w:val="center"/>
        <w:rPr>
          <w:sz w:val="32"/>
          <w:szCs w:val="32"/>
        </w:rPr>
      </w:pPr>
      <w:r>
        <w:rPr>
          <w:sz w:val="32"/>
          <w:szCs w:val="32"/>
        </w:rPr>
        <w:t>第二节商务技术文件格式</w:t>
      </w:r>
    </w:p>
    <w:p w14:paraId="72BD6E05">
      <w:pPr>
        <w:pStyle w:val="37"/>
        <w:spacing w:after="1460" w:line="240" w:lineRule="auto"/>
        <w:ind w:firstLine="420" w:firstLineChars="200"/>
        <w:jc w:val="center"/>
        <w:rPr>
          <w:sz w:val="21"/>
          <w:szCs w:val="21"/>
        </w:rPr>
      </w:pPr>
      <w:r>
        <w:rPr>
          <w:sz w:val="21"/>
          <w:szCs w:val="21"/>
        </w:rPr>
        <w:t>全流程电子文件</w:t>
      </w:r>
    </w:p>
    <w:p w14:paraId="39ED6D58">
      <w:pPr>
        <w:pStyle w:val="27"/>
        <w:keepNext/>
        <w:keepLines/>
        <w:spacing w:after="2340"/>
        <w:ind w:left="0" w:firstLine="880" w:firstLineChars="200"/>
        <w:rPr>
          <w:sz w:val="44"/>
          <w:szCs w:val="44"/>
        </w:rPr>
      </w:pPr>
      <w:bookmarkStart w:id="236" w:name="bookmark373"/>
      <w:bookmarkStart w:id="237" w:name="bookmark372"/>
      <w:bookmarkStart w:id="238" w:name="bookmark374"/>
      <w:r>
        <w:rPr>
          <w:sz w:val="44"/>
          <w:szCs w:val="44"/>
        </w:rPr>
        <w:t>商务技术文件（封面）</w:t>
      </w:r>
      <w:bookmarkEnd w:id="236"/>
      <w:bookmarkEnd w:id="237"/>
      <w:bookmarkEnd w:id="238"/>
    </w:p>
    <w:p w14:paraId="3DD654BD">
      <w:pPr>
        <w:pStyle w:val="29"/>
        <w:spacing w:after="720"/>
        <w:ind w:firstLine="640" w:firstLineChars="200"/>
        <w:rPr>
          <w:sz w:val="32"/>
          <w:szCs w:val="32"/>
        </w:rPr>
      </w:pPr>
      <w:r>
        <w:rPr>
          <w:sz w:val="32"/>
          <w:szCs w:val="32"/>
        </w:rPr>
        <w:t>项</w:t>
      </w:r>
      <w:r>
        <w:rPr>
          <w:rFonts w:hint="eastAsia"/>
          <w:sz w:val="32"/>
          <w:szCs w:val="32"/>
          <w:lang w:eastAsia="zh-CN"/>
        </w:rPr>
        <w:t>目</w:t>
      </w:r>
      <w:r>
        <w:rPr>
          <w:sz w:val="32"/>
          <w:szCs w:val="32"/>
        </w:rPr>
        <w:t>名称：</w:t>
      </w:r>
    </w:p>
    <w:p w14:paraId="34E2F421">
      <w:pPr>
        <w:pStyle w:val="29"/>
        <w:spacing w:after="660"/>
        <w:ind w:firstLine="640" w:firstLineChars="200"/>
        <w:rPr>
          <w:sz w:val="32"/>
          <w:szCs w:val="32"/>
        </w:rPr>
      </w:pPr>
      <w:r>
        <w:rPr>
          <w:sz w:val="32"/>
          <w:szCs w:val="32"/>
        </w:rPr>
        <w:t>项</w:t>
      </w:r>
      <w:r>
        <w:rPr>
          <w:rFonts w:hint="eastAsia"/>
          <w:sz w:val="32"/>
          <w:szCs w:val="32"/>
          <w:lang w:eastAsia="zh-CN"/>
        </w:rPr>
        <w:t>目</w:t>
      </w:r>
      <w:r>
        <w:rPr>
          <w:sz w:val="32"/>
          <w:szCs w:val="32"/>
        </w:rPr>
        <w:t>编号：</w:t>
      </w:r>
    </w:p>
    <w:p w14:paraId="5536CF75">
      <w:pPr>
        <w:pStyle w:val="29"/>
        <w:spacing w:after="660"/>
        <w:ind w:firstLine="640" w:firstLineChars="200"/>
        <w:rPr>
          <w:sz w:val="32"/>
          <w:szCs w:val="32"/>
        </w:rPr>
      </w:pPr>
      <w:r>
        <w:rPr>
          <w:sz w:val="32"/>
          <w:szCs w:val="32"/>
        </w:rPr>
        <w:t>所竞分标（如有则填写，无分标时填写</w:t>
      </w:r>
      <w:r>
        <w:rPr>
          <w:sz w:val="32"/>
          <w:szCs w:val="32"/>
          <w:lang w:val="zh-CN" w:eastAsia="zh-CN" w:bidi="zh-CN"/>
        </w:rPr>
        <w:t>“无”</w:t>
      </w:r>
      <w:r>
        <w:rPr>
          <w:sz w:val="32"/>
          <w:szCs w:val="32"/>
        </w:rPr>
        <w:t>或者留空）：</w:t>
      </w:r>
    </w:p>
    <w:p w14:paraId="7E5EBD4E">
      <w:pPr>
        <w:pStyle w:val="29"/>
        <w:spacing w:after="1560"/>
        <w:ind w:firstLine="640" w:firstLineChars="200"/>
        <w:rPr>
          <w:sz w:val="32"/>
          <w:szCs w:val="32"/>
        </w:rPr>
      </w:pPr>
      <w:r>
        <w:rPr>
          <w:sz w:val="32"/>
          <w:szCs w:val="32"/>
        </w:rPr>
        <w:t>供应商名称：</w:t>
      </w:r>
    </w:p>
    <w:p w14:paraId="771E2869">
      <w:pPr>
        <w:pStyle w:val="29"/>
        <w:spacing w:after="0"/>
        <w:ind w:firstLine="640" w:firstLineChars="200"/>
        <w:jc w:val="center"/>
        <w:rPr>
          <w:sz w:val="32"/>
          <w:szCs w:val="32"/>
          <w:lang w:eastAsia="zh-CN"/>
        </w:rPr>
        <w:sectPr>
          <w:footerReference r:id="rId28" w:type="default"/>
          <w:footerReference r:id="rId29" w:type="even"/>
          <w:pgSz w:w="11900" w:h="16840"/>
          <w:pgMar w:top="1415" w:right="865" w:bottom="1415" w:left="880" w:header="987" w:footer="1361" w:gutter="0"/>
          <w:cols w:space="720" w:num="1"/>
          <w:docGrid w:linePitch="360" w:charSpace="0"/>
        </w:sectPr>
      </w:pPr>
      <w:r>
        <w:rPr>
          <w:sz w:val="32"/>
          <w:szCs w:val="32"/>
        </w:rPr>
        <w:t xml:space="preserve">年 月 </w:t>
      </w:r>
      <w:r>
        <w:rPr>
          <w:rFonts w:hint="eastAsia"/>
          <w:sz w:val="32"/>
          <w:szCs w:val="32"/>
          <w:lang w:eastAsia="zh-CN"/>
        </w:rPr>
        <w:t>日</w:t>
      </w:r>
    </w:p>
    <w:p w14:paraId="1C6AC638">
      <w:pPr>
        <w:pStyle w:val="29"/>
        <w:spacing w:after="180" w:line="480" w:lineRule="exact"/>
        <w:ind w:firstLine="643" w:firstLineChars="200"/>
        <w:jc w:val="center"/>
        <w:rPr>
          <w:b/>
          <w:bCs/>
          <w:sz w:val="32"/>
          <w:szCs w:val="32"/>
        </w:rPr>
      </w:pPr>
      <w:r>
        <w:rPr>
          <w:b/>
          <w:bCs/>
          <w:color w:val="031A42"/>
          <w:sz w:val="32"/>
          <w:szCs w:val="32"/>
        </w:rPr>
        <w:t>商务</w:t>
      </w:r>
      <w:r>
        <w:rPr>
          <w:b/>
          <w:bCs/>
          <w:sz w:val="32"/>
          <w:szCs w:val="32"/>
        </w:rPr>
        <w:t>技术文</w:t>
      </w:r>
      <w:r>
        <w:rPr>
          <w:b/>
          <w:bCs/>
          <w:color w:val="031A42"/>
          <w:sz w:val="32"/>
          <w:szCs w:val="32"/>
        </w:rPr>
        <w:t>件目录</w:t>
      </w:r>
    </w:p>
    <w:p w14:paraId="17768C46">
      <w:pPr>
        <w:pStyle w:val="29"/>
        <w:spacing w:after="0" w:line="480" w:lineRule="exact"/>
        <w:ind w:left="220" w:firstLine="562" w:firstLineChars="200"/>
        <w:jc w:val="both"/>
        <w:rPr>
          <w:b/>
          <w:bCs/>
          <w:sz w:val="28"/>
          <w:szCs w:val="28"/>
          <w:lang w:eastAsia="zh-CN"/>
        </w:rPr>
        <w:sectPr>
          <w:footerReference r:id="rId30" w:type="default"/>
          <w:footerReference r:id="rId31" w:type="even"/>
          <w:pgSz w:w="11900" w:h="16840"/>
          <w:pgMar w:top="1025" w:right="865" w:bottom="1115" w:left="880" w:header="597" w:footer="1077" w:gutter="0"/>
          <w:cols w:space="720" w:num="1"/>
          <w:docGrid w:linePitch="360" w:charSpace="0"/>
        </w:sectPr>
      </w:pPr>
      <w:r>
        <w:rPr>
          <w:b/>
          <w:bCs/>
          <w:sz w:val="28"/>
          <w:szCs w:val="28"/>
        </w:rPr>
        <w:t>注：各供应商请根据《第三章供应商</w:t>
      </w:r>
      <w:r>
        <w:rPr>
          <w:rFonts w:hint="eastAsia"/>
          <w:b/>
          <w:bCs/>
          <w:sz w:val="28"/>
          <w:szCs w:val="28"/>
          <w:lang w:eastAsia="zh-CN"/>
        </w:rPr>
        <w:t>须知</w:t>
      </w:r>
      <w:r>
        <w:rPr>
          <w:b/>
          <w:bCs/>
          <w:sz w:val="28"/>
          <w:szCs w:val="28"/>
        </w:rPr>
        <w:t>》商务技术</w:t>
      </w:r>
      <w:r>
        <w:rPr>
          <w:rFonts w:hint="eastAsia"/>
          <w:b/>
          <w:bCs/>
          <w:sz w:val="28"/>
          <w:szCs w:val="28"/>
          <w:lang w:eastAsia="zh-CN"/>
        </w:rPr>
        <w:t>文件组</w:t>
      </w:r>
      <w:r>
        <w:rPr>
          <w:b/>
          <w:bCs/>
          <w:sz w:val="28"/>
          <w:szCs w:val="28"/>
        </w:rPr>
        <w:t>成的要求及评标</w:t>
      </w:r>
      <w:r>
        <w:rPr>
          <w:rFonts w:hint="eastAsia"/>
          <w:b/>
          <w:bCs/>
          <w:sz w:val="28"/>
          <w:szCs w:val="28"/>
          <w:lang w:eastAsia="zh-CN"/>
        </w:rPr>
        <w:t>办法要求编制</w:t>
      </w:r>
      <w:r>
        <w:rPr>
          <w:b/>
          <w:bCs/>
          <w:sz w:val="28"/>
          <w:szCs w:val="28"/>
        </w:rPr>
        <w:t>目录及内容。提供有格式的按格式，没有格式要求的格式自拟。（要求</w:t>
      </w:r>
      <w:r>
        <w:rPr>
          <w:rFonts w:hint="eastAsia"/>
          <w:b/>
          <w:bCs/>
          <w:sz w:val="28"/>
          <w:szCs w:val="28"/>
          <w:lang w:eastAsia="zh-CN"/>
        </w:rPr>
        <w:t>必须</w:t>
      </w:r>
      <w:r>
        <w:rPr>
          <w:b/>
          <w:bCs/>
          <w:sz w:val="28"/>
          <w:szCs w:val="28"/>
        </w:rPr>
        <w:t>提供的，如不提供作无</w:t>
      </w:r>
      <w:r>
        <w:rPr>
          <w:rFonts w:hint="eastAsia"/>
          <w:b/>
          <w:bCs/>
          <w:sz w:val="28"/>
          <w:szCs w:val="28"/>
          <w:lang w:eastAsia="zh-CN"/>
        </w:rPr>
        <w:t>效竞标处理）</w:t>
      </w:r>
    </w:p>
    <w:p w14:paraId="1445459E">
      <w:pPr>
        <w:pStyle w:val="37"/>
        <w:spacing w:after="580" w:line="465" w:lineRule="exact"/>
        <w:ind w:left="1140" w:firstLine="442" w:firstLineChars="200"/>
        <w:rPr>
          <w:b/>
          <w:bCs/>
          <w:sz w:val="22"/>
          <w:szCs w:val="22"/>
        </w:rPr>
      </w:pPr>
      <w:r>
        <w:rPr>
          <w:b/>
          <w:bCs/>
          <w:sz w:val="22"/>
          <w:szCs w:val="22"/>
        </w:rPr>
        <w:t>一、无</w:t>
      </w:r>
      <w:r>
        <w:rPr>
          <w:rFonts w:hint="eastAsia"/>
          <w:b/>
          <w:bCs/>
          <w:sz w:val="22"/>
          <w:szCs w:val="22"/>
          <w:lang w:eastAsia="zh-CN"/>
        </w:rPr>
        <w:t>串</w:t>
      </w:r>
      <w:r>
        <w:rPr>
          <w:b/>
          <w:bCs/>
          <w:sz w:val="22"/>
          <w:szCs w:val="22"/>
        </w:rPr>
        <w:t>标行为承诺函</w:t>
      </w:r>
    </w:p>
    <w:p w14:paraId="49573B87">
      <w:pPr>
        <w:pStyle w:val="27"/>
        <w:keepNext/>
        <w:keepLines/>
        <w:spacing w:after="360"/>
        <w:ind w:left="0" w:firstLine="883" w:firstLineChars="200"/>
        <w:rPr>
          <w:b/>
          <w:bCs/>
          <w:sz w:val="44"/>
          <w:szCs w:val="44"/>
        </w:rPr>
      </w:pPr>
      <w:bookmarkStart w:id="239" w:name="bookmark376"/>
      <w:bookmarkStart w:id="240" w:name="bookmark377"/>
      <w:bookmarkStart w:id="241" w:name="bookmark375"/>
      <w:r>
        <w:rPr>
          <w:b/>
          <w:bCs/>
          <w:sz w:val="44"/>
          <w:szCs w:val="44"/>
        </w:rPr>
        <w:t>无串通竞标行为的承诺函</w:t>
      </w:r>
      <w:bookmarkEnd w:id="239"/>
      <w:bookmarkEnd w:id="240"/>
      <w:bookmarkEnd w:id="241"/>
    </w:p>
    <w:p w14:paraId="0B0F5903">
      <w:pPr>
        <w:pStyle w:val="41"/>
        <w:keepNext/>
        <w:keepLines/>
        <w:tabs>
          <w:tab w:val="left" w:pos="1230"/>
        </w:tabs>
        <w:spacing w:after="0" w:line="480" w:lineRule="exact"/>
        <w:ind w:firstLine="562" w:firstLineChars="200"/>
        <w:jc w:val="left"/>
        <w:rPr>
          <w:b/>
          <w:bCs/>
          <w:sz w:val="28"/>
          <w:szCs w:val="28"/>
          <w:lang w:eastAsia="zh-CN"/>
        </w:rPr>
      </w:pPr>
      <w:bookmarkStart w:id="242" w:name="bookmark380"/>
      <w:bookmarkStart w:id="243" w:name="bookmark381"/>
      <w:bookmarkStart w:id="244" w:name="bookmark378"/>
      <w:bookmarkStart w:id="245" w:name="bookmark379"/>
      <w:r>
        <w:rPr>
          <w:b/>
          <w:bCs/>
          <w:sz w:val="28"/>
          <w:szCs w:val="28"/>
          <w:lang w:val="en-US" w:eastAsia="zh-CN" w:bidi="en-US"/>
        </w:rPr>
        <w:t>一</w:t>
      </w:r>
      <w:bookmarkEnd w:id="242"/>
      <w:r>
        <w:rPr>
          <w:b/>
          <w:bCs/>
          <w:sz w:val="28"/>
          <w:szCs w:val="28"/>
        </w:rPr>
        <w:t>、我方承诺无下列相互串通竞标的</w:t>
      </w:r>
      <w:bookmarkEnd w:id="243"/>
      <w:bookmarkEnd w:id="244"/>
      <w:bookmarkEnd w:id="245"/>
      <w:r>
        <w:rPr>
          <w:rFonts w:hint="eastAsia"/>
          <w:b/>
          <w:bCs/>
          <w:sz w:val="28"/>
          <w:szCs w:val="28"/>
          <w:lang w:eastAsia="zh-CN"/>
        </w:rPr>
        <w:t>情形：</w:t>
      </w:r>
    </w:p>
    <w:p w14:paraId="4BC473A6">
      <w:pPr>
        <w:pStyle w:val="37"/>
        <w:tabs>
          <w:tab w:val="left" w:pos="1020"/>
        </w:tabs>
        <w:spacing w:line="465" w:lineRule="exact"/>
        <w:ind w:left="480" w:leftChars="200" w:firstLine="210" w:firstLineChars="100"/>
        <w:rPr>
          <w:sz w:val="21"/>
          <w:szCs w:val="21"/>
        </w:rPr>
      </w:pPr>
      <w:bookmarkStart w:id="246" w:name="bookmark382"/>
      <w:bookmarkEnd w:id="246"/>
      <w:r>
        <w:rPr>
          <w:rFonts w:hint="eastAsia"/>
          <w:sz w:val="21"/>
          <w:szCs w:val="21"/>
          <w:lang w:val="en-US" w:eastAsia="zh-CN"/>
        </w:rPr>
        <w:t>1.</w:t>
      </w:r>
      <w:r>
        <w:rPr>
          <w:sz w:val="21"/>
          <w:szCs w:val="21"/>
        </w:rPr>
        <w:t>不同供应商的响应文件由同一单位或者个人编制；</w:t>
      </w:r>
    </w:p>
    <w:p w14:paraId="3DF9E6F8">
      <w:pPr>
        <w:pStyle w:val="37"/>
        <w:tabs>
          <w:tab w:val="left" w:pos="1050"/>
        </w:tabs>
        <w:spacing w:line="465" w:lineRule="exact"/>
        <w:ind w:left="480" w:leftChars="200" w:firstLine="210" w:firstLineChars="100"/>
        <w:rPr>
          <w:sz w:val="21"/>
          <w:szCs w:val="21"/>
        </w:rPr>
      </w:pPr>
      <w:bookmarkStart w:id="247" w:name="bookmark383"/>
      <w:bookmarkEnd w:id="247"/>
      <w:r>
        <w:rPr>
          <w:rFonts w:hint="eastAsia"/>
          <w:sz w:val="21"/>
          <w:szCs w:val="21"/>
          <w:lang w:val="en-US" w:eastAsia="zh-CN"/>
        </w:rPr>
        <w:t>2.</w:t>
      </w:r>
      <w:r>
        <w:rPr>
          <w:sz w:val="21"/>
          <w:szCs w:val="21"/>
        </w:rPr>
        <w:t>不同供应商委托同一单位或者个人办理竞标事宜；</w:t>
      </w:r>
    </w:p>
    <w:p w14:paraId="7A58C3F9">
      <w:pPr>
        <w:pStyle w:val="37"/>
        <w:tabs>
          <w:tab w:val="left" w:pos="1050"/>
        </w:tabs>
        <w:spacing w:line="465" w:lineRule="exact"/>
        <w:ind w:left="480" w:leftChars="200" w:firstLine="210" w:firstLineChars="100"/>
        <w:rPr>
          <w:sz w:val="21"/>
          <w:szCs w:val="21"/>
        </w:rPr>
      </w:pPr>
      <w:bookmarkStart w:id="248" w:name="bookmark384"/>
      <w:bookmarkEnd w:id="248"/>
      <w:r>
        <w:rPr>
          <w:rFonts w:hint="eastAsia"/>
          <w:sz w:val="21"/>
          <w:szCs w:val="21"/>
          <w:lang w:val="en-US" w:eastAsia="zh-CN"/>
        </w:rPr>
        <w:t>3.</w:t>
      </w:r>
      <w:r>
        <w:rPr>
          <w:sz w:val="21"/>
          <w:szCs w:val="21"/>
        </w:rPr>
        <w:t>不同供应商的响应文件载明的项目管理员为同一个人；</w:t>
      </w:r>
    </w:p>
    <w:p w14:paraId="0ABA1CED">
      <w:pPr>
        <w:pStyle w:val="37"/>
        <w:tabs>
          <w:tab w:val="left" w:pos="1050"/>
        </w:tabs>
        <w:spacing w:line="465" w:lineRule="exact"/>
        <w:ind w:firstLine="630" w:firstLineChars="300"/>
        <w:rPr>
          <w:sz w:val="21"/>
          <w:szCs w:val="21"/>
        </w:rPr>
      </w:pPr>
      <w:bookmarkStart w:id="249" w:name="bookmark385"/>
      <w:bookmarkEnd w:id="249"/>
      <w:r>
        <w:rPr>
          <w:rFonts w:hint="eastAsia"/>
          <w:sz w:val="21"/>
          <w:szCs w:val="21"/>
          <w:lang w:val="en-US" w:eastAsia="zh-CN"/>
        </w:rPr>
        <w:t>4.</w:t>
      </w:r>
      <w:r>
        <w:rPr>
          <w:sz w:val="21"/>
          <w:szCs w:val="21"/>
        </w:rPr>
        <w:t>不同供应商的响应文件异常或者响应报价呈规律性差异；</w:t>
      </w:r>
    </w:p>
    <w:p w14:paraId="07048A3F">
      <w:pPr>
        <w:pStyle w:val="37"/>
        <w:tabs>
          <w:tab w:val="left" w:pos="1050"/>
        </w:tabs>
        <w:spacing w:line="465" w:lineRule="exact"/>
        <w:ind w:left="480" w:leftChars="200" w:firstLine="210" w:firstLineChars="100"/>
        <w:rPr>
          <w:sz w:val="21"/>
          <w:szCs w:val="21"/>
        </w:rPr>
      </w:pPr>
      <w:bookmarkStart w:id="250" w:name="bookmark386"/>
      <w:bookmarkEnd w:id="250"/>
      <w:r>
        <w:rPr>
          <w:rFonts w:hint="eastAsia"/>
          <w:sz w:val="21"/>
          <w:szCs w:val="21"/>
          <w:lang w:val="en-US" w:eastAsia="zh-CN"/>
        </w:rPr>
        <w:t>5.</w:t>
      </w:r>
      <w:r>
        <w:rPr>
          <w:sz w:val="21"/>
          <w:szCs w:val="21"/>
        </w:rPr>
        <w:t>不同供应商的响应文件相互混装；</w:t>
      </w:r>
    </w:p>
    <w:p w14:paraId="22A62EA4">
      <w:pPr>
        <w:pStyle w:val="37"/>
        <w:tabs>
          <w:tab w:val="left" w:pos="1050"/>
        </w:tabs>
        <w:spacing w:line="465" w:lineRule="exact"/>
        <w:ind w:left="480" w:leftChars="200" w:firstLine="210" w:firstLineChars="100"/>
        <w:rPr>
          <w:sz w:val="21"/>
          <w:szCs w:val="21"/>
        </w:rPr>
      </w:pPr>
      <w:bookmarkStart w:id="251" w:name="bookmark387"/>
      <w:bookmarkEnd w:id="251"/>
      <w:r>
        <w:rPr>
          <w:rFonts w:hint="eastAsia"/>
          <w:sz w:val="21"/>
          <w:szCs w:val="21"/>
          <w:lang w:val="en-US" w:eastAsia="zh-CN"/>
        </w:rPr>
        <w:t>6.</w:t>
      </w:r>
      <w:r>
        <w:rPr>
          <w:sz w:val="21"/>
          <w:szCs w:val="21"/>
        </w:rPr>
        <w:t>不同供应商的磋商保证金从同一单位或者个人账户转岀。</w:t>
      </w:r>
    </w:p>
    <w:p w14:paraId="628747DE">
      <w:pPr>
        <w:pStyle w:val="41"/>
        <w:keepNext/>
        <w:keepLines/>
        <w:tabs>
          <w:tab w:val="left" w:pos="1230"/>
        </w:tabs>
        <w:spacing w:after="0" w:line="480" w:lineRule="exact"/>
        <w:ind w:firstLine="402" w:firstLineChars="200"/>
        <w:jc w:val="left"/>
        <w:rPr>
          <w:b/>
          <w:bCs/>
          <w:sz w:val="28"/>
          <w:szCs w:val="28"/>
          <w:lang w:eastAsia="zh-CN"/>
        </w:rPr>
      </w:pPr>
      <w:bookmarkStart w:id="252" w:name="bookmark390"/>
      <w:bookmarkStart w:id="253" w:name="bookmark391"/>
      <w:bookmarkStart w:id="254" w:name="bookmark388"/>
      <w:bookmarkStart w:id="255" w:name="bookmark389"/>
      <w:r>
        <w:rPr>
          <w:b/>
          <w:bCs/>
          <w:sz w:val="20"/>
          <w:szCs w:val="20"/>
        </w:rPr>
        <w:t>二</w:t>
      </w:r>
      <w:bookmarkEnd w:id="252"/>
      <w:r>
        <w:rPr>
          <w:b/>
          <w:bCs/>
          <w:sz w:val="20"/>
          <w:szCs w:val="20"/>
        </w:rPr>
        <w:t>、</w:t>
      </w:r>
      <w:r>
        <w:rPr>
          <w:b/>
          <w:bCs/>
          <w:sz w:val="28"/>
          <w:szCs w:val="28"/>
        </w:rPr>
        <w:t>我方承诺无下列</w:t>
      </w:r>
      <w:bookmarkEnd w:id="253"/>
      <w:bookmarkEnd w:id="254"/>
      <w:bookmarkEnd w:id="255"/>
      <w:r>
        <w:rPr>
          <w:rFonts w:hint="eastAsia"/>
          <w:b/>
          <w:bCs/>
          <w:sz w:val="28"/>
          <w:szCs w:val="28"/>
          <w:lang w:eastAsia="zh-CN"/>
        </w:rPr>
        <w:t>恶意串通的情形：</w:t>
      </w:r>
    </w:p>
    <w:p w14:paraId="2815C74A">
      <w:pPr>
        <w:pStyle w:val="37"/>
        <w:tabs>
          <w:tab w:val="left" w:pos="1030"/>
        </w:tabs>
        <w:spacing w:line="465" w:lineRule="exact"/>
        <w:ind w:left="480" w:leftChars="200" w:firstLine="210" w:firstLineChars="100"/>
        <w:rPr>
          <w:sz w:val="21"/>
          <w:szCs w:val="21"/>
        </w:rPr>
      </w:pPr>
      <w:bookmarkStart w:id="256" w:name="bookmark392"/>
      <w:bookmarkEnd w:id="256"/>
      <w:r>
        <w:rPr>
          <w:rFonts w:hint="eastAsia"/>
          <w:sz w:val="21"/>
          <w:szCs w:val="21"/>
          <w:lang w:val="en-US" w:eastAsia="zh-CN"/>
        </w:rPr>
        <w:t>1.</w:t>
      </w:r>
      <w:r>
        <w:rPr>
          <w:sz w:val="21"/>
          <w:szCs w:val="21"/>
        </w:rPr>
        <w:t>供应商直接或者间接从釆购人或者釆购代理机构处获得其他供应商的相关信息并修改其响应文件；</w:t>
      </w:r>
    </w:p>
    <w:p w14:paraId="0B11D5E9">
      <w:pPr>
        <w:pStyle w:val="37"/>
        <w:tabs>
          <w:tab w:val="left" w:pos="1050"/>
        </w:tabs>
        <w:spacing w:line="465" w:lineRule="exact"/>
        <w:ind w:left="480" w:leftChars="200" w:firstLine="210" w:firstLineChars="100"/>
        <w:rPr>
          <w:sz w:val="21"/>
          <w:szCs w:val="21"/>
        </w:rPr>
      </w:pPr>
      <w:bookmarkStart w:id="257" w:name="bookmark393"/>
      <w:bookmarkEnd w:id="257"/>
      <w:r>
        <w:rPr>
          <w:rFonts w:hint="eastAsia"/>
          <w:sz w:val="21"/>
          <w:szCs w:val="21"/>
          <w:lang w:val="en-US" w:eastAsia="zh-CN"/>
        </w:rPr>
        <w:t>2.</w:t>
      </w:r>
      <w:r>
        <w:rPr>
          <w:sz w:val="21"/>
          <w:szCs w:val="21"/>
        </w:rPr>
        <w:t>供应商按照釆购入或者釆购代理机构的授意撤换、修改响应文件；</w:t>
      </w:r>
    </w:p>
    <w:p w14:paraId="2BBD5412">
      <w:pPr>
        <w:pStyle w:val="37"/>
        <w:tabs>
          <w:tab w:val="left" w:pos="1050"/>
        </w:tabs>
        <w:spacing w:line="465" w:lineRule="exact"/>
        <w:ind w:left="480" w:leftChars="200" w:firstLine="210" w:firstLineChars="100"/>
        <w:rPr>
          <w:sz w:val="21"/>
          <w:szCs w:val="21"/>
        </w:rPr>
      </w:pPr>
      <w:bookmarkStart w:id="258" w:name="bookmark394"/>
      <w:bookmarkEnd w:id="258"/>
      <w:r>
        <w:rPr>
          <w:rFonts w:hint="eastAsia"/>
          <w:sz w:val="21"/>
          <w:szCs w:val="21"/>
          <w:lang w:val="en-US" w:eastAsia="zh-CN"/>
        </w:rPr>
        <w:t>3.</w:t>
      </w:r>
      <w:r>
        <w:rPr>
          <w:sz w:val="21"/>
          <w:szCs w:val="21"/>
        </w:rPr>
        <w:t>供应商之间协商报价、技术</w:t>
      </w:r>
      <w:r>
        <w:rPr>
          <w:rFonts w:hint="eastAsia"/>
          <w:sz w:val="21"/>
          <w:szCs w:val="21"/>
          <w:lang w:eastAsia="zh-CN"/>
        </w:rPr>
        <w:t>方案</w:t>
      </w:r>
      <w:r>
        <w:rPr>
          <w:sz w:val="21"/>
          <w:szCs w:val="21"/>
        </w:rPr>
        <w:t>等响应文件的实质性内容；</w:t>
      </w:r>
    </w:p>
    <w:p w14:paraId="7B0BCB59">
      <w:pPr>
        <w:pStyle w:val="37"/>
        <w:tabs>
          <w:tab w:val="left" w:pos="1030"/>
        </w:tabs>
        <w:spacing w:line="525" w:lineRule="exact"/>
        <w:ind w:left="480" w:leftChars="200" w:firstLine="210" w:firstLineChars="100"/>
        <w:rPr>
          <w:sz w:val="21"/>
          <w:szCs w:val="21"/>
        </w:rPr>
      </w:pPr>
      <w:bookmarkStart w:id="259" w:name="bookmark395"/>
      <w:bookmarkEnd w:id="259"/>
      <w:r>
        <w:rPr>
          <w:rFonts w:hint="eastAsia"/>
          <w:sz w:val="21"/>
          <w:szCs w:val="21"/>
          <w:lang w:val="en-US" w:eastAsia="zh-CN"/>
        </w:rPr>
        <w:t>4.</w:t>
      </w:r>
      <w:r>
        <w:rPr>
          <w:sz w:val="21"/>
          <w:szCs w:val="21"/>
        </w:rPr>
        <w:t>属于同一集团、协会、商会等组织成员的供应商按照该组织要求协同参加政府釆购活动；</w:t>
      </w:r>
    </w:p>
    <w:p w14:paraId="4E8095E3">
      <w:pPr>
        <w:pStyle w:val="37"/>
        <w:tabs>
          <w:tab w:val="left" w:pos="1060"/>
        </w:tabs>
        <w:spacing w:line="495" w:lineRule="exact"/>
        <w:ind w:left="480" w:leftChars="200" w:firstLine="210" w:firstLineChars="100"/>
        <w:rPr>
          <w:sz w:val="21"/>
          <w:szCs w:val="21"/>
        </w:rPr>
      </w:pPr>
      <w:bookmarkStart w:id="260" w:name="bookmark396"/>
      <w:bookmarkEnd w:id="260"/>
      <w:r>
        <w:rPr>
          <w:rFonts w:hint="eastAsia"/>
          <w:sz w:val="21"/>
          <w:szCs w:val="21"/>
          <w:lang w:val="en-US" w:eastAsia="zh-CN"/>
        </w:rPr>
        <w:t>5.</w:t>
      </w:r>
      <w:r>
        <w:rPr>
          <w:sz w:val="21"/>
          <w:szCs w:val="21"/>
        </w:rPr>
        <w:t>供应商之间事先约定一致抬高或者压低响应报价，或者在竞争性磋商项目中事先约定 轮流以高价位或者低价位成交，或者事先约定由某一特定供应商成交，然后再参加竞标；</w:t>
      </w:r>
    </w:p>
    <w:p w14:paraId="238431B7">
      <w:pPr>
        <w:pStyle w:val="37"/>
        <w:tabs>
          <w:tab w:val="left" w:pos="1050"/>
        </w:tabs>
        <w:spacing w:after="60" w:line="465" w:lineRule="exact"/>
        <w:ind w:left="480" w:leftChars="200" w:firstLine="210" w:firstLineChars="100"/>
        <w:rPr>
          <w:sz w:val="21"/>
          <w:szCs w:val="21"/>
        </w:rPr>
      </w:pPr>
      <w:bookmarkStart w:id="261" w:name="bookmark397"/>
      <w:bookmarkEnd w:id="261"/>
      <w:r>
        <w:rPr>
          <w:rFonts w:hint="eastAsia"/>
          <w:sz w:val="21"/>
          <w:szCs w:val="21"/>
          <w:lang w:val="en-US" w:eastAsia="zh-CN"/>
        </w:rPr>
        <w:t>6.</w:t>
      </w:r>
      <w:r>
        <w:rPr>
          <w:sz w:val="21"/>
          <w:szCs w:val="21"/>
        </w:rPr>
        <w:t>供应商之间商定部分供应商放弃参加政府釆购活动或者放弃成交；</w:t>
      </w:r>
    </w:p>
    <w:p w14:paraId="01983933">
      <w:pPr>
        <w:pStyle w:val="37"/>
        <w:tabs>
          <w:tab w:val="left" w:pos="1045"/>
        </w:tabs>
        <w:spacing w:after="480" w:line="420" w:lineRule="exact"/>
        <w:ind w:left="480" w:leftChars="200" w:firstLine="210" w:firstLineChars="100"/>
        <w:jc w:val="both"/>
        <w:rPr>
          <w:sz w:val="21"/>
          <w:szCs w:val="21"/>
        </w:rPr>
      </w:pPr>
      <w:bookmarkStart w:id="262" w:name="bookmark398"/>
      <w:bookmarkEnd w:id="262"/>
      <w:r>
        <w:rPr>
          <w:rFonts w:hint="eastAsia"/>
          <w:sz w:val="21"/>
          <w:szCs w:val="21"/>
          <w:lang w:val="en-US" w:eastAsia="zh-CN"/>
        </w:rPr>
        <w:t>7.</w:t>
      </w:r>
      <w:r>
        <w:rPr>
          <w:sz w:val="21"/>
          <w:szCs w:val="21"/>
        </w:rPr>
        <w:t>供应商与釆购人或者釆购代理机构之间、供应商相互之间，为谋求特定供应商成交或者排斥其他供应商的其他串通行为。</w:t>
      </w:r>
    </w:p>
    <w:p w14:paraId="4819F368">
      <w:pPr>
        <w:pStyle w:val="37"/>
        <w:spacing w:after="180" w:line="465" w:lineRule="exact"/>
        <w:ind w:firstLine="422" w:firstLineChars="200"/>
        <w:rPr>
          <w:b/>
          <w:bCs/>
          <w:sz w:val="21"/>
          <w:szCs w:val="21"/>
          <w:lang w:eastAsia="zh-CN"/>
        </w:rPr>
      </w:pPr>
      <w:r>
        <w:rPr>
          <w:rFonts w:hint="eastAsia"/>
          <w:b/>
          <w:bCs/>
          <w:sz w:val="21"/>
          <w:szCs w:val="21"/>
          <w:lang w:eastAsia="zh-CN"/>
        </w:rPr>
        <w:t>以上情形一经核查属实，我方愿意承担一切后果，并不再寻求任何旨在减轻或者免除法律责任的辩解。</w:t>
      </w:r>
    </w:p>
    <w:p w14:paraId="1260E26E">
      <w:pPr>
        <w:pStyle w:val="37"/>
        <w:spacing w:after="180" w:line="465" w:lineRule="exact"/>
        <w:ind w:left="4320" w:firstLine="420" w:firstLineChars="200"/>
        <w:rPr>
          <w:sz w:val="21"/>
          <w:szCs w:val="21"/>
        </w:rPr>
      </w:pPr>
      <w:r>
        <w:rPr>
          <w:sz w:val="21"/>
          <w:szCs w:val="21"/>
        </w:rPr>
        <w:t>供应商名称（电子签章）：</w:t>
      </w:r>
    </w:p>
    <w:p w14:paraId="71E27D45">
      <w:pPr>
        <w:pStyle w:val="37"/>
        <w:spacing w:after="260" w:line="465" w:lineRule="exact"/>
        <w:ind w:right="1300" w:firstLine="420" w:firstLineChars="200"/>
        <w:jc w:val="right"/>
        <w:rPr>
          <w:sz w:val="21"/>
          <w:szCs w:val="21"/>
        </w:rPr>
      </w:pPr>
      <w:r>
        <w:rPr>
          <w:sz w:val="21"/>
          <w:szCs w:val="21"/>
        </w:rPr>
        <w:t>日期：年 月 日</w:t>
      </w:r>
    </w:p>
    <w:p w14:paraId="79B9D2AF">
      <w:pPr>
        <w:pStyle w:val="41"/>
        <w:keepNext/>
        <w:keepLines/>
        <w:spacing w:after="0" w:line="525" w:lineRule="exact"/>
        <w:ind w:firstLine="643" w:firstLineChars="200"/>
        <w:rPr>
          <w:b/>
          <w:bCs/>
          <w:sz w:val="32"/>
          <w:szCs w:val="32"/>
        </w:rPr>
      </w:pPr>
      <w:bookmarkStart w:id="263" w:name="bookmark404"/>
      <w:bookmarkStart w:id="264" w:name="bookmark402"/>
      <w:bookmarkStart w:id="265" w:name="bookmark403"/>
      <w:r>
        <w:rPr>
          <w:b/>
          <w:bCs/>
          <w:sz w:val="32"/>
          <w:szCs w:val="32"/>
          <w:shd w:val="clear" w:color="auto" w:fill="FFFFFF"/>
        </w:rPr>
        <w:t>二、法定代表人身份证明及法定代表人有效身份证正反面复印件</w:t>
      </w:r>
      <w:bookmarkEnd w:id="263"/>
      <w:bookmarkEnd w:id="264"/>
      <w:bookmarkEnd w:id="265"/>
    </w:p>
    <w:p w14:paraId="53BC79A4">
      <w:pPr>
        <w:pStyle w:val="27"/>
        <w:keepNext/>
        <w:keepLines/>
        <w:spacing w:after="460" w:line="525" w:lineRule="exact"/>
        <w:ind w:left="0" w:firstLine="880" w:firstLineChars="200"/>
        <w:rPr>
          <w:sz w:val="44"/>
          <w:szCs w:val="44"/>
        </w:rPr>
      </w:pPr>
      <w:bookmarkStart w:id="266" w:name="bookmark405"/>
      <w:bookmarkStart w:id="267" w:name="bookmark406"/>
      <w:bookmarkStart w:id="268" w:name="bookmark407"/>
      <w:r>
        <w:rPr>
          <w:sz w:val="44"/>
          <w:szCs w:val="44"/>
        </w:rPr>
        <w:t>法定代表人证明书</w:t>
      </w:r>
      <w:bookmarkEnd w:id="266"/>
      <w:bookmarkEnd w:id="267"/>
      <w:bookmarkEnd w:id="268"/>
    </w:p>
    <w:p w14:paraId="7119BB23">
      <w:pPr>
        <w:pStyle w:val="37"/>
        <w:tabs>
          <w:tab w:val="left" w:pos="3805"/>
          <w:tab w:val="left" w:pos="4560"/>
          <w:tab w:val="left" w:pos="7045"/>
          <w:tab w:val="left" w:pos="8605"/>
          <w:tab w:val="left" w:pos="8845"/>
        </w:tabs>
        <w:spacing w:line="465" w:lineRule="exact"/>
        <w:ind w:left="700" w:firstLine="420" w:firstLineChars="200"/>
        <w:rPr>
          <w:sz w:val="21"/>
          <w:szCs w:val="21"/>
          <w:u w:val="single"/>
        </w:rPr>
      </w:pPr>
      <w:r>
        <w:rPr>
          <w:sz w:val="21"/>
          <w:szCs w:val="21"/>
        </w:rPr>
        <w:t>供应商名称：</w:t>
      </w:r>
      <w:r>
        <w:rPr>
          <w:sz w:val="21"/>
          <w:szCs w:val="21"/>
          <w:u w:val="single"/>
        </w:rPr>
        <w:t xml:space="preserve"> </w:t>
      </w:r>
      <w:r>
        <w:rPr>
          <w:sz w:val="21"/>
          <w:szCs w:val="21"/>
          <w:u w:val="single"/>
        </w:rPr>
        <w:tab/>
      </w:r>
      <w:r>
        <w:rPr>
          <w:sz w:val="21"/>
          <w:szCs w:val="21"/>
        </w:rPr>
        <w:t xml:space="preserve"> 地 址：</w:t>
      </w:r>
      <w:r>
        <w:rPr>
          <w:sz w:val="21"/>
          <w:szCs w:val="21"/>
          <w:u w:val="single"/>
        </w:rPr>
        <w:t xml:space="preserve"> </w:t>
      </w:r>
      <w:r>
        <w:rPr>
          <w:sz w:val="21"/>
          <w:szCs w:val="21"/>
          <w:u w:val="single"/>
        </w:rPr>
        <w:tab/>
      </w:r>
    </w:p>
    <w:p w14:paraId="60CBEC90">
      <w:pPr>
        <w:pStyle w:val="37"/>
        <w:tabs>
          <w:tab w:val="left" w:pos="3805"/>
          <w:tab w:val="left" w:pos="4560"/>
          <w:tab w:val="left" w:pos="7045"/>
          <w:tab w:val="left" w:pos="8605"/>
          <w:tab w:val="left" w:pos="8845"/>
        </w:tabs>
        <w:spacing w:line="465" w:lineRule="exact"/>
        <w:ind w:left="700" w:firstLine="420" w:firstLineChars="200"/>
        <w:rPr>
          <w:sz w:val="21"/>
          <w:szCs w:val="21"/>
        </w:rPr>
      </w:pPr>
      <w:r>
        <w:rPr>
          <w:sz w:val="21"/>
          <w:szCs w:val="21"/>
        </w:rPr>
        <w:t>姓 名：</w:t>
      </w:r>
      <w:r>
        <w:rPr>
          <w:sz w:val="21"/>
          <w:szCs w:val="21"/>
          <w:u w:val="single"/>
        </w:rPr>
        <w:t xml:space="preserve"> </w:t>
      </w:r>
      <w:r>
        <w:rPr>
          <w:sz w:val="21"/>
          <w:szCs w:val="21"/>
          <w:u w:val="single"/>
        </w:rPr>
        <w:tab/>
      </w:r>
      <w:r>
        <w:rPr>
          <w:sz w:val="21"/>
          <w:szCs w:val="21"/>
        </w:rPr>
        <w:t>性</w:t>
      </w:r>
      <w:r>
        <w:rPr>
          <w:sz w:val="21"/>
          <w:szCs w:val="21"/>
        </w:rPr>
        <w:tab/>
      </w:r>
      <w:r>
        <w:rPr>
          <w:sz w:val="21"/>
          <w:szCs w:val="21"/>
        </w:rPr>
        <w:t>别：</w:t>
      </w:r>
      <w:r>
        <w:rPr>
          <w:sz w:val="21"/>
          <w:szCs w:val="21"/>
          <w:u w:val="single"/>
        </w:rPr>
        <w:t xml:space="preserve"> </w:t>
      </w:r>
      <w:r>
        <w:rPr>
          <w:sz w:val="21"/>
          <w:szCs w:val="21"/>
          <w:u w:val="single"/>
        </w:rPr>
        <w:tab/>
      </w:r>
    </w:p>
    <w:p w14:paraId="0F587DC7">
      <w:pPr>
        <w:pStyle w:val="37"/>
        <w:tabs>
          <w:tab w:val="left" w:pos="3845"/>
          <w:tab w:val="left" w:pos="4560"/>
          <w:tab w:val="left" w:pos="7085"/>
        </w:tabs>
        <w:spacing w:line="465" w:lineRule="exact"/>
        <w:ind w:left="700" w:firstLine="420" w:firstLineChars="200"/>
        <w:rPr>
          <w:sz w:val="21"/>
          <w:szCs w:val="21"/>
        </w:rPr>
      </w:pPr>
      <w:r>
        <w:rPr>
          <w:sz w:val="21"/>
          <w:szCs w:val="21"/>
        </w:rPr>
        <w:t>年 龄：</w:t>
      </w:r>
      <w:r>
        <w:rPr>
          <w:sz w:val="21"/>
          <w:szCs w:val="21"/>
          <w:u w:val="single"/>
        </w:rPr>
        <w:t xml:space="preserve"> </w:t>
      </w:r>
      <w:r>
        <w:rPr>
          <w:sz w:val="21"/>
          <w:szCs w:val="21"/>
          <w:u w:val="single"/>
        </w:rPr>
        <w:tab/>
      </w:r>
      <w:r>
        <w:rPr>
          <w:sz w:val="21"/>
          <w:szCs w:val="21"/>
        </w:rPr>
        <w:t>职</w:t>
      </w:r>
      <w:r>
        <w:rPr>
          <w:sz w:val="21"/>
          <w:szCs w:val="21"/>
        </w:rPr>
        <w:tab/>
      </w:r>
      <w:r>
        <w:rPr>
          <w:sz w:val="21"/>
          <w:szCs w:val="21"/>
        </w:rPr>
        <w:t>务：</w:t>
      </w:r>
      <w:r>
        <w:rPr>
          <w:sz w:val="21"/>
          <w:szCs w:val="21"/>
          <w:u w:val="single"/>
        </w:rPr>
        <w:t xml:space="preserve"> </w:t>
      </w:r>
      <w:r>
        <w:rPr>
          <w:sz w:val="21"/>
          <w:szCs w:val="21"/>
          <w:u w:val="single"/>
        </w:rPr>
        <w:tab/>
      </w:r>
    </w:p>
    <w:p w14:paraId="6F6C6784">
      <w:pPr>
        <w:pStyle w:val="37"/>
        <w:tabs>
          <w:tab w:val="left" w:pos="6965"/>
        </w:tabs>
        <w:spacing w:line="465" w:lineRule="exact"/>
        <w:ind w:left="700" w:firstLine="420" w:firstLineChars="200"/>
        <w:rPr>
          <w:sz w:val="21"/>
          <w:szCs w:val="21"/>
        </w:rPr>
      </w:pPr>
      <w:r>
        <w:rPr>
          <w:sz w:val="21"/>
          <w:szCs w:val="21"/>
        </w:rPr>
        <w:t>身份证号码：</w:t>
      </w:r>
      <w:r>
        <w:rPr>
          <w:sz w:val="21"/>
          <w:szCs w:val="21"/>
          <w:u w:val="single"/>
        </w:rPr>
        <w:t xml:space="preserve"> </w:t>
      </w:r>
      <w:r>
        <w:rPr>
          <w:sz w:val="21"/>
          <w:szCs w:val="21"/>
          <w:u w:val="single"/>
        </w:rPr>
        <w:tab/>
      </w:r>
    </w:p>
    <w:p w14:paraId="3DABF238">
      <w:pPr>
        <w:pStyle w:val="37"/>
        <w:spacing w:line="465" w:lineRule="exact"/>
        <w:ind w:firstLine="420" w:firstLineChars="200"/>
        <w:rPr>
          <w:sz w:val="21"/>
          <w:szCs w:val="21"/>
        </w:rPr>
      </w:pPr>
      <w:r>
        <w:rPr>
          <w:sz w:val="21"/>
          <w:szCs w:val="21"/>
        </w:rPr>
        <w:t>系</w:t>
      </w:r>
      <w:r>
        <w:rPr>
          <w:sz w:val="21"/>
          <w:szCs w:val="21"/>
          <w:u w:val="single"/>
        </w:rPr>
        <w:t>（供应商名称）</w:t>
      </w:r>
      <w:r>
        <w:rPr>
          <w:sz w:val="21"/>
          <w:szCs w:val="21"/>
        </w:rPr>
        <w:t>的法定代表人</w:t>
      </w:r>
      <w:r>
        <w:rPr>
          <w:i/>
          <w:iCs/>
          <w:sz w:val="21"/>
          <w:szCs w:val="21"/>
        </w:rPr>
        <w:t>。</w:t>
      </w:r>
    </w:p>
    <w:p w14:paraId="3056BCD4">
      <w:pPr>
        <w:pStyle w:val="37"/>
        <w:spacing w:after="1380" w:line="465" w:lineRule="exact"/>
        <w:ind w:firstLine="420" w:firstLineChars="200"/>
        <w:rPr>
          <w:sz w:val="21"/>
          <w:szCs w:val="21"/>
        </w:rPr>
      </w:pPr>
      <w:r>
        <w:rPr>
          <w:sz w:val="21"/>
          <w:szCs w:val="21"/>
        </w:rPr>
        <w:t>特此证明。</w:t>
      </w:r>
    </w:p>
    <w:p w14:paraId="7F5F5A8E">
      <w:pPr>
        <w:pStyle w:val="37"/>
        <w:spacing w:after="460" w:line="465" w:lineRule="exact"/>
        <w:ind w:firstLine="420" w:firstLineChars="200"/>
        <w:rPr>
          <w:sz w:val="21"/>
          <w:szCs w:val="21"/>
        </w:rPr>
      </w:pPr>
      <w:r>
        <w:rPr>
          <w:sz w:val="21"/>
          <w:szCs w:val="21"/>
        </w:rPr>
        <w:t>附件：法定代表人有效身份证正反面复印件</w:t>
      </w:r>
    </w:p>
    <w:p w14:paraId="02C4FC6A">
      <w:pPr>
        <w:pStyle w:val="37"/>
        <w:spacing w:line="465" w:lineRule="exact"/>
        <w:ind w:left="4320" w:firstLine="420" w:firstLineChars="200"/>
        <w:rPr>
          <w:sz w:val="21"/>
          <w:szCs w:val="21"/>
        </w:rPr>
      </w:pPr>
      <w:r>
        <w:rPr>
          <w:sz w:val="21"/>
          <w:szCs w:val="21"/>
        </w:rPr>
        <w:t>供应商名称（电子签章）：</w:t>
      </w:r>
    </w:p>
    <w:p w14:paraId="6409FDDD">
      <w:pPr>
        <w:pStyle w:val="37"/>
        <w:spacing w:after="460" w:line="465" w:lineRule="exact"/>
        <w:ind w:right="920" w:firstLine="420" w:firstLineChars="200"/>
        <w:jc w:val="right"/>
        <w:rPr>
          <w:sz w:val="21"/>
          <w:szCs w:val="21"/>
        </w:rPr>
      </w:pPr>
      <w:r>
        <w:rPr>
          <w:sz w:val="21"/>
          <w:szCs w:val="21"/>
        </w:rPr>
        <w:t>日期：年 月 日</w:t>
      </w:r>
    </w:p>
    <w:p w14:paraId="1CE265BD">
      <w:pPr>
        <w:pStyle w:val="37"/>
        <w:spacing w:line="465" w:lineRule="exact"/>
        <w:ind w:firstLine="420" w:firstLineChars="200"/>
        <w:rPr>
          <w:sz w:val="21"/>
          <w:szCs w:val="21"/>
        </w:rPr>
      </w:pPr>
      <w:r>
        <w:rPr>
          <w:sz w:val="21"/>
          <w:szCs w:val="21"/>
        </w:rPr>
        <w:t>注：1.自然人竞标的无需提供，联合体竞标的只需牵头人岀具。</w:t>
      </w:r>
    </w:p>
    <w:p w14:paraId="382B1C45">
      <w:pPr>
        <w:pStyle w:val="37"/>
        <w:spacing w:after="460" w:line="465" w:lineRule="exact"/>
        <w:ind w:left="220" w:firstLine="420" w:firstLineChars="200"/>
        <w:jc w:val="both"/>
        <w:rPr>
          <w:sz w:val="21"/>
          <w:szCs w:val="21"/>
        </w:rPr>
        <w:sectPr>
          <w:pgSz w:w="11900" w:h="16840"/>
          <w:pgMar w:top="1138" w:right="865" w:bottom="2213" w:left="880" w:header="710" w:footer="1077" w:gutter="0"/>
          <w:cols w:space="720" w:num="1"/>
          <w:docGrid w:linePitch="360" w:charSpace="0"/>
        </w:sectPr>
      </w:pPr>
      <w:r>
        <w:rPr>
          <w:sz w:val="21"/>
          <w:szCs w:val="21"/>
          <w:lang w:val="en-US" w:eastAsia="zh-CN" w:bidi="en-US"/>
        </w:rPr>
        <w:t>2.</w:t>
      </w:r>
      <w:r>
        <w:rPr>
          <w:sz w:val="21"/>
          <w:szCs w:val="21"/>
        </w:rPr>
        <w:t>供应商为其他组织或者自然人时，本磋商文件规定的法定代表人指负责人或者自然人。 本磋商文件所称负责人是指参加竞标的其他组织营业执照上的负责人，本磋商文件所称自然 人指参与竞标的自然人本人。</w:t>
      </w:r>
    </w:p>
    <w:p w14:paraId="5457D10D">
      <w:pPr>
        <w:pStyle w:val="29"/>
        <w:spacing w:after="1300"/>
        <w:ind w:firstLine="640" w:firstLineChars="200"/>
        <w:rPr>
          <w:sz w:val="32"/>
          <w:szCs w:val="32"/>
        </w:rPr>
      </w:pPr>
      <w:r>
        <w:rPr>
          <w:sz w:val="32"/>
          <w:szCs w:val="32"/>
        </w:rPr>
        <w:t>附件:</w:t>
      </w:r>
    </w:p>
    <w:p w14:paraId="6B014976">
      <w:pPr>
        <w:pStyle w:val="29"/>
        <w:spacing w:after="0"/>
        <w:ind w:firstLine="640" w:firstLineChars="200"/>
        <w:rPr>
          <w:sz w:val="32"/>
          <w:szCs w:val="32"/>
        </w:rPr>
        <w:sectPr>
          <w:footerReference r:id="rId32" w:type="default"/>
          <w:footerReference r:id="rId33" w:type="even"/>
          <w:pgSz w:w="11900" w:h="16840"/>
          <w:pgMar w:top="1115" w:right="865" w:bottom="1115" w:left="880" w:header="687" w:footer="1077" w:gutter="0"/>
          <w:cols w:space="720" w:num="1"/>
          <w:docGrid w:linePitch="360" w:charSpace="0"/>
        </w:sectPr>
      </w:pPr>
      <w:r>
        <w:rPr>
          <w:sz w:val="32"/>
          <w:szCs w:val="32"/>
        </w:rPr>
        <w:t>法定代表身份证复印件粘帖处（正、反面）</w:t>
      </w:r>
    </w:p>
    <w:p w14:paraId="71D1542E">
      <w:pPr>
        <w:pStyle w:val="41"/>
        <w:keepNext/>
        <w:keepLines/>
        <w:spacing w:after="540"/>
        <w:jc w:val="left"/>
        <w:rPr>
          <w:b/>
          <w:bCs/>
          <w:sz w:val="40"/>
          <w:szCs w:val="40"/>
        </w:rPr>
      </w:pPr>
      <w:bookmarkStart w:id="269" w:name="bookmark410"/>
      <w:bookmarkStart w:id="270" w:name="bookmark409"/>
      <w:bookmarkStart w:id="271" w:name="bookmark408"/>
      <w:r>
        <w:rPr>
          <w:b/>
          <w:bCs/>
          <w:sz w:val="32"/>
          <w:szCs w:val="32"/>
        </w:rPr>
        <w:t>三、法定代表人授权委托</w:t>
      </w:r>
      <w:bookmarkEnd w:id="269"/>
      <w:bookmarkEnd w:id="270"/>
      <w:bookmarkEnd w:id="271"/>
    </w:p>
    <w:p w14:paraId="2CE16233">
      <w:pPr>
        <w:pStyle w:val="27"/>
        <w:keepNext/>
        <w:keepLines/>
        <w:ind w:left="0" w:firstLine="880" w:firstLineChars="200"/>
        <w:rPr>
          <w:sz w:val="44"/>
          <w:szCs w:val="44"/>
        </w:rPr>
      </w:pPr>
      <w:bookmarkStart w:id="272" w:name="bookmark413"/>
      <w:bookmarkStart w:id="273" w:name="bookmark411"/>
      <w:bookmarkStart w:id="274" w:name="bookmark412"/>
      <w:r>
        <w:rPr>
          <w:sz w:val="44"/>
          <w:szCs w:val="44"/>
        </w:rPr>
        <w:t>授权委托书</w:t>
      </w:r>
      <w:r>
        <w:rPr>
          <w:color w:val="3D5165"/>
          <w:sz w:val="44"/>
          <w:szCs w:val="44"/>
        </w:rPr>
        <w:t>（非</w:t>
      </w:r>
      <w:r>
        <w:rPr>
          <w:sz w:val="44"/>
          <w:szCs w:val="44"/>
        </w:rPr>
        <w:t>联合体竞标格式）</w:t>
      </w:r>
      <w:bookmarkEnd w:id="272"/>
    </w:p>
    <w:p w14:paraId="023989FC">
      <w:pPr>
        <w:pStyle w:val="27"/>
        <w:keepNext/>
        <w:keepLines/>
        <w:spacing w:after="340"/>
        <w:ind w:left="0" w:firstLine="880" w:firstLineChars="200"/>
        <w:rPr>
          <w:sz w:val="44"/>
          <w:szCs w:val="44"/>
        </w:rPr>
      </w:pPr>
      <w:bookmarkStart w:id="275" w:name="bookmark414"/>
      <w:r>
        <w:rPr>
          <w:sz w:val="44"/>
          <w:szCs w:val="44"/>
        </w:rPr>
        <w:t>（如有委托时）</w:t>
      </w:r>
      <w:bookmarkEnd w:id="273"/>
      <w:bookmarkEnd w:id="274"/>
      <w:bookmarkEnd w:id="275"/>
    </w:p>
    <w:p w14:paraId="1FF30D3B">
      <w:pPr>
        <w:pStyle w:val="37"/>
        <w:spacing w:line="465" w:lineRule="exact"/>
        <w:ind w:firstLine="420" w:firstLineChars="200"/>
        <w:jc w:val="both"/>
        <w:rPr>
          <w:sz w:val="21"/>
          <w:szCs w:val="21"/>
        </w:rPr>
      </w:pPr>
      <w:r>
        <w:rPr>
          <w:sz w:val="21"/>
          <w:szCs w:val="21"/>
        </w:rPr>
        <w:t>致：</w:t>
      </w:r>
      <w:r>
        <w:rPr>
          <w:sz w:val="21"/>
          <w:szCs w:val="21"/>
          <w:u w:val="single"/>
        </w:rPr>
        <w:t>（釆购人名称）</w:t>
      </w:r>
      <w:r>
        <w:rPr>
          <w:sz w:val="21"/>
          <w:szCs w:val="21"/>
        </w:rPr>
        <w:t>：</w:t>
      </w:r>
    </w:p>
    <w:p w14:paraId="5E43F885">
      <w:pPr>
        <w:pStyle w:val="37"/>
        <w:tabs>
          <w:tab w:val="left" w:pos="5740"/>
        </w:tabs>
        <w:spacing w:line="465" w:lineRule="exact"/>
        <w:ind w:left="220" w:firstLine="420" w:firstLineChars="200"/>
        <w:jc w:val="both"/>
        <w:rPr>
          <w:sz w:val="21"/>
          <w:szCs w:val="21"/>
        </w:rPr>
      </w:pPr>
      <w:r>
        <w:rPr>
          <w:sz w:val="21"/>
          <w:szCs w:val="21"/>
        </w:rPr>
        <w:t>我</w:t>
      </w:r>
      <w:r>
        <w:rPr>
          <w:sz w:val="21"/>
          <w:szCs w:val="21"/>
          <w:u w:val="single"/>
        </w:rPr>
        <w:t>（姓名）</w:t>
      </w:r>
      <w:r>
        <w:rPr>
          <w:sz w:val="21"/>
          <w:szCs w:val="21"/>
        </w:rPr>
        <w:t>系</w:t>
      </w:r>
      <w:r>
        <w:rPr>
          <w:sz w:val="21"/>
          <w:szCs w:val="21"/>
          <w:u w:val="single"/>
        </w:rPr>
        <w:t>（供应商名称）</w:t>
      </w:r>
      <w:r>
        <w:rPr>
          <w:sz w:val="21"/>
          <w:szCs w:val="21"/>
        </w:rPr>
        <w:t>的（</w:t>
      </w:r>
      <w:r>
        <w:rPr>
          <w:sz w:val="21"/>
          <w:szCs w:val="21"/>
          <w:u w:val="single"/>
        </w:rPr>
        <w:t>□法定代表人/□负责人/□自然人本人</w:t>
      </w:r>
      <w:r>
        <w:rPr>
          <w:sz w:val="21"/>
          <w:szCs w:val="21"/>
        </w:rPr>
        <w:t>）, 现授权</w:t>
      </w:r>
      <w:r>
        <w:rPr>
          <w:sz w:val="21"/>
          <w:szCs w:val="21"/>
          <w:u w:val="single"/>
        </w:rPr>
        <w:t>（姓名）</w:t>
      </w:r>
      <w:r>
        <w:rPr>
          <w:sz w:val="21"/>
          <w:szCs w:val="21"/>
        </w:rPr>
        <w:t>以我方的名义参加</w:t>
      </w:r>
      <w:r>
        <w:rPr>
          <w:sz w:val="21"/>
          <w:szCs w:val="21"/>
          <w:u w:val="single"/>
        </w:rPr>
        <w:t xml:space="preserve"> </w:t>
      </w:r>
      <w:r>
        <w:rPr>
          <w:rFonts w:hint="eastAsia"/>
          <w:sz w:val="21"/>
          <w:szCs w:val="21"/>
          <w:u w:val="single"/>
          <w:lang w:val="en-US" w:eastAsia="zh-CN"/>
        </w:rPr>
        <w:t xml:space="preserve">                       </w:t>
      </w:r>
      <w:r>
        <w:rPr>
          <w:sz w:val="21"/>
          <w:szCs w:val="21"/>
        </w:rPr>
        <w:t>项目的竞标活动，并代表我方全权办理针对上述项目的所有釆购程序和环节的具体事务和签署相关文件。</w:t>
      </w:r>
    </w:p>
    <w:p w14:paraId="234DA171">
      <w:pPr>
        <w:pStyle w:val="37"/>
        <w:spacing w:line="465" w:lineRule="exact"/>
        <w:ind w:left="220" w:firstLine="420" w:firstLineChars="200"/>
        <w:jc w:val="both"/>
        <w:rPr>
          <w:sz w:val="21"/>
          <w:szCs w:val="21"/>
        </w:rPr>
      </w:pPr>
      <w:r>
        <w:rPr>
          <w:sz w:val="21"/>
          <w:szCs w:val="21"/>
        </w:rPr>
        <w:t>我方对委托代理人的签字事项负全部责任。</w:t>
      </w:r>
    </w:p>
    <w:p w14:paraId="26EC6870">
      <w:pPr>
        <w:pStyle w:val="37"/>
        <w:spacing w:line="465" w:lineRule="exact"/>
        <w:ind w:left="220" w:firstLine="420" w:firstLineChars="200"/>
        <w:jc w:val="both"/>
        <w:rPr>
          <w:sz w:val="21"/>
          <w:szCs w:val="21"/>
        </w:rPr>
      </w:pPr>
      <w:r>
        <w:rPr>
          <w:sz w:val="21"/>
          <w:szCs w:val="21"/>
        </w:rPr>
        <w:t>本授权书自签署之日起生效，在撤销授权的书面通知以前，本授权书一直有效。委托代理人在授权书有效期内签署的所有文件不因授权的撤销而失效。</w:t>
      </w:r>
    </w:p>
    <w:p w14:paraId="4F19D950">
      <w:pPr>
        <w:pStyle w:val="37"/>
        <w:spacing w:line="465" w:lineRule="exact"/>
        <w:ind w:firstLine="420" w:firstLineChars="200"/>
        <w:jc w:val="both"/>
        <w:rPr>
          <w:sz w:val="21"/>
          <w:szCs w:val="21"/>
        </w:rPr>
      </w:pPr>
      <w:r>
        <w:rPr>
          <w:sz w:val="21"/>
          <w:szCs w:val="21"/>
        </w:rPr>
        <w:t>委托代理人无转委托权，特此委托。</w:t>
      </w:r>
    </w:p>
    <w:p w14:paraId="360A30BA">
      <w:pPr>
        <w:pStyle w:val="37"/>
        <w:spacing w:after="460" w:line="465" w:lineRule="exact"/>
        <w:ind w:firstLine="420" w:firstLineChars="200"/>
        <w:jc w:val="both"/>
        <w:rPr>
          <w:sz w:val="21"/>
          <w:szCs w:val="21"/>
        </w:rPr>
      </w:pPr>
      <w:r>
        <w:rPr>
          <w:sz w:val="21"/>
          <w:szCs w:val="21"/>
        </w:rPr>
        <w:t>附：法定代表人身份证明书及委托代理人有效身份证正反面复印件</w:t>
      </w:r>
    </w:p>
    <w:p w14:paraId="1389F3A2">
      <w:pPr>
        <w:pStyle w:val="37"/>
        <w:tabs>
          <w:tab w:val="left" w:pos="3550"/>
        </w:tabs>
        <w:spacing w:line="465" w:lineRule="exact"/>
        <w:ind w:firstLine="420" w:firstLineChars="200"/>
        <w:jc w:val="both"/>
        <w:rPr>
          <w:sz w:val="21"/>
          <w:szCs w:val="21"/>
        </w:rPr>
      </w:pPr>
      <w:r>
        <w:rPr>
          <w:sz w:val="21"/>
          <w:szCs w:val="21"/>
        </w:rPr>
        <w:t>委托代理人（签字）：</w:t>
      </w:r>
      <w:r>
        <w:rPr>
          <w:sz w:val="21"/>
          <w:szCs w:val="21"/>
        </w:rPr>
        <w:tab/>
      </w:r>
      <w:r>
        <w:rPr>
          <w:sz w:val="21"/>
          <w:szCs w:val="21"/>
        </w:rPr>
        <w:t>法定代表人（签字或盖章）：</w:t>
      </w:r>
    </w:p>
    <w:p w14:paraId="276786E3">
      <w:pPr>
        <w:pStyle w:val="37"/>
        <w:spacing w:after="460" w:line="465" w:lineRule="exact"/>
        <w:ind w:firstLine="420" w:firstLineChars="200"/>
        <w:jc w:val="both"/>
        <w:rPr>
          <w:sz w:val="21"/>
          <w:szCs w:val="21"/>
        </w:rPr>
      </w:pPr>
      <w:r>
        <w:rPr>
          <w:sz w:val="21"/>
          <w:szCs w:val="21"/>
        </w:rPr>
        <w:t>委托代理人身份证号码：</w:t>
      </w:r>
    </w:p>
    <w:p w14:paraId="0FFF5313">
      <w:pPr>
        <w:pStyle w:val="37"/>
        <w:spacing w:line="465" w:lineRule="exact"/>
        <w:ind w:left="3220" w:firstLine="420" w:firstLineChars="200"/>
        <w:rPr>
          <w:sz w:val="21"/>
          <w:szCs w:val="21"/>
        </w:rPr>
      </w:pPr>
      <w:r>
        <w:rPr>
          <w:sz w:val="21"/>
          <w:szCs w:val="21"/>
        </w:rPr>
        <w:t>供应商名称（电子签章）：</w:t>
      </w:r>
    </w:p>
    <w:p w14:paraId="0D9F7F9E">
      <w:pPr>
        <w:pStyle w:val="37"/>
        <w:spacing w:after="460" w:line="465" w:lineRule="exact"/>
        <w:ind w:right="920" w:firstLine="420" w:firstLineChars="200"/>
        <w:jc w:val="right"/>
        <w:rPr>
          <w:sz w:val="21"/>
          <w:szCs w:val="21"/>
        </w:rPr>
      </w:pPr>
      <w:r>
        <w:rPr>
          <w:sz w:val="21"/>
          <w:szCs w:val="21"/>
        </w:rPr>
        <w:t>日期：年 月 日</w:t>
      </w:r>
    </w:p>
    <w:p w14:paraId="4E2E47E1">
      <w:pPr>
        <w:pStyle w:val="37"/>
        <w:spacing w:line="465" w:lineRule="exact"/>
        <w:ind w:left="220" w:firstLine="420" w:firstLineChars="200"/>
        <w:jc w:val="both"/>
        <w:rPr>
          <w:b/>
          <w:bCs/>
          <w:sz w:val="22"/>
          <w:szCs w:val="22"/>
        </w:rPr>
      </w:pPr>
      <w:r>
        <w:rPr>
          <w:sz w:val="21"/>
          <w:szCs w:val="21"/>
        </w:rPr>
        <w:t>注：</w:t>
      </w:r>
      <w:r>
        <w:rPr>
          <w:sz w:val="21"/>
          <w:szCs w:val="21"/>
          <w:lang w:val="en-US" w:eastAsia="zh-CN" w:bidi="en-US"/>
        </w:rPr>
        <w:t>1.</w:t>
      </w:r>
      <w:r>
        <w:rPr>
          <w:sz w:val="21"/>
          <w:szCs w:val="21"/>
        </w:rPr>
        <w:t>法定代表人必须在授权委托书上亲笔签字或盖章，委托代理人必须在授权委托书上亲笔签字，</w:t>
      </w:r>
      <w:r>
        <w:rPr>
          <w:b/>
          <w:bCs/>
          <w:sz w:val="22"/>
          <w:szCs w:val="22"/>
        </w:rPr>
        <w:t>否则其响应文件按无效响应处理。</w:t>
      </w:r>
    </w:p>
    <w:p w14:paraId="5E774903">
      <w:pPr>
        <w:pStyle w:val="37"/>
        <w:tabs>
          <w:tab w:val="left" w:pos="1050"/>
        </w:tabs>
        <w:spacing w:line="465" w:lineRule="exact"/>
        <w:ind w:left="480" w:leftChars="200" w:firstLine="420" w:firstLineChars="200"/>
        <w:jc w:val="both"/>
        <w:rPr>
          <w:sz w:val="21"/>
          <w:szCs w:val="21"/>
        </w:rPr>
      </w:pPr>
      <w:bookmarkStart w:id="276" w:name="bookmark415"/>
      <w:bookmarkEnd w:id="276"/>
      <w:r>
        <w:rPr>
          <w:rFonts w:hint="eastAsia"/>
          <w:sz w:val="21"/>
          <w:szCs w:val="21"/>
          <w:lang w:val="en-US" w:eastAsia="zh-CN"/>
        </w:rPr>
        <w:t>2.</w:t>
      </w:r>
      <w:r>
        <w:rPr>
          <w:sz w:val="21"/>
          <w:szCs w:val="21"/>
        </w:rPr>
        <w:t>供应商为其他组织或者自然人时，本磋商文件规定的法定代表人指负责人或者自然人。 本磋商文件所称负责人是指参加竞标的其他组织营业执照上的负责人，本磋商文件所称自然人指参与竞标的自然人本人。</w:t>
      </w:r>
    </w:p>
    <w:p w14:paraId="1B3300A5">
      <w:pPr>
        <w:pStyle w:val="37"/>
        <w:tabs>
          <w:tab w:val="left" w:pos="1050"/>
        </w:tabs>
        <w:spacing w:after="180" w:line="465" w:lineRule="exact"/>
        <w:ind w:left="480" w:leftChars="200" w:firstLine="420" w:firstLineChars="200"/>
        <w:jc w:val="both"/>
        <w:rPr>
          <w:sz w:val="21"/>
          <w:szCs w:val="21"/>
        </w:rPr>
      </w:pPr>
      <w:bookmarkStart w:id="277" w:name="bookmark416"/>
      <w:bookmarkEnd w:id="277"/>
      <w:r>
        <w:rPr>
          <w:rFonts w:hint="eastAsia"/>
          <w:sz w:val="21"/>
          <w:szCs w:val="21"/>
          <w:lang w:val="en-US" w:eastAsia="zh-CN"/>
        </w:rPr>
        <w:t>3.</w:t>
      </w:r>
      <w:r>
        <w:rPr>
          <w:sz w:val="21"/>
          <w:szCs w:val="21"/>
        </w:rPr>
        <w:t>法人、其他组织竞标时</w:t>
      </w:r>
      <w:r>
        <w:rPr>
          <w:sz w:val="21"/>
          <w:szCs w:val="21"/>
          <w:lang w:val="zh-CN" w:eastAsia="zh-CN" w:bidi="zh-CN"/>
        </w:rPr>
        <w:t>“我方</w:t>
      </w:r>
      <w:r>
        <w:rPr>
          <w:sz w:val="21"/>
          <w:szCs w:val="21"/>
        </w:rPr>
        <w:t>〃是指</w:t>
      </w:r>
      <w:r>
        <w:rPr>
          <w:sz w:val="21"/>
          <w:szCs w:val="21"/>
          <w:lang w:val="zh-CN" w:eastAsia="zh-CN" w:bidi="zh-CN"/>
        </w:rPr>
        <w:t>“我</w:t>
      </w:r>
      <w:r>
        <w:rPr>
          <w:sz w:val="21"/>
          <w:szCs w:val="21"/>
        </w:rPr>
        <w:t>单位”,自然人竞标时</w:t>
      </w:r>
      <w:r>
        <w:rPr>
          <w:sz w:val="21"/>
          <w:szCs w:val="21"/>
          <w:lang w:val="zh-CN" w:eastAsia="zh-CN" w:bidi="zh-CN"/>
        </w:rPr>
        <w:t>“我方</w:t>
      </w:r>
      <w:r>
        <w:rPr>
          <w:sz w:val="21"/>
          <w:szCs w:val="21"/>
          <w:lang w:val="en-US" w:eastAsia="zh-CN" w:bidi="en-US"/>
        </w:rPr>
        <w:t>"</w:t>
      </w:r>
      <w:r>
        <w:rPr>
          <w:sz w:val="21"/>
          <w:szCs w:val="21"/>
        </w:rPr>
        <w:t>是指</w:t>
      </w:r>
      <w:r>
        <w:rPr>
          <w:sz w:val="21"/>
          <w:szCs w:val="21"/>
          <w:lang w:val="zh-CN" w:eastAsia="zh-CN" w:bidi="zh-CN"/>
        </w:rPr>
        <w:t>“本</w:t>
      </w:r>
      <w:r>
        <w:rPr>
          <w:sz w:val="21"/>
          <w:szCs w:val="21"/>
        </w:rPr>
        <w:t>人”。</w:t>
      </w:r>
    </w:p>
    <w:p w14:paraId="257E3EB7">
      <w:pPr>
        <w:pStyle w:val="27"/>
        <w:keepNext/>
        <w:keepLines/>
        <w:ind w:left="0" w:firstLine="880" w:firstLineChars="200"/>
        <w:rPr>
          <w:sz w:val="44"/>
          <w:szCs w:val="44"/>
        </w:rPr>
      </w:pPr>
      <w:bookmarkStart w:id="278" w:name="bookmark419"/>
      <w:bookmarkStart w:id="279" w:name="bookmark418"/>
      <w:bookmarkStart w:id="280" w:name="bookmark417"/>
      <w:r>
        <w:rPr>
          <w:sz w:val="44"/>
          <w:szCs w:val="44"/>
        </w:rPr>
        <w:t>授权委托书（联合体竞标格式）</w:t>
      </w:r>
      <w:bookmarkEnd w:id="278"/>
    </w:p>
    <w:p w14:paraId="7AE28C38">
      <w:pPr>
        <w:pStyle w:val="27"/>
        <w:keepNext/>
        <w:keepLines/>
        <w:spacing w:after="820"/>
        <w:ind w:left="0" w:firstLine="880" w:firstLineChars="200"/>
        <w:rPr>
          <w:sz w:val="44"/>
          <w:szCs w:val="44"/>
        </w:rPr>
      </w:pPr>
      <w:bookmarkStart w:id="281" w:name="bookmark420"/>
      <w:r>
        <w:rPr>
          <w:sz w:val="44"/>
          <w:szCs w:val="44"/>
        </w:rPr>
        <w:t>（如有委托时）</w:t>
      </w:r>
      <w:bookmarkEnd w:id="279"/>
      <w:bookmarkEnd w:id="280"/>
      <w:bookmarkEnd w:id="281"/>
    </w:p>
    <w:p w14:paraId="26777273">
      <w:pPr>
        <w:pStyle w:val="37"/>
        <w:tabs>
          <w:tab w:val="left" w:pos="2845"/>
          <w:tab w:val="left" w:pos="5245"/>
          <w:tab w:val="left" w:pos="8650"/>
          <w:tab w:val="left" w:pos="8845"/>
        </w:tabs>
        <w:spacing w:line="469" w:lineRule="exact"/>
        <w:ind w:left="220" w:firstLine="420" w:firstLineChars="200"/>
        <w:jc w:val="both"/>
        <w:rPr>
          <w:sz w:val="21"/>
          <w:szCs w:val="21"/>
        </w:rPr>
      </w:pPr>
      <w:r>
        <w:rPr>
          <w:sz w:val="21"/>
          <w:szCs w:val="21"/>
        </w:rPr>
        <w:t>本授权委托书声明：根据</w:t>
      </w:r>
      <w:r>
        <w:rPr>
          <w:sz w:val="21"/>
          <w:szCs w:val="21"/>
          <w:u w:val="single"/>
        </w:rPr>
        <w:t xml:space="preserve"> </w:t>
      </w:r>
      <w:r>
        <w:rPr>
          <w:sz w:val="21"/>
          <w:szCs w:val="21"/>
          <w:u w:val="single"/>
        </w:rPr>
        <w:tab/>
      </w:r>
      <w:r>
        <w:rPr>
          <w:sz w:val="21"/>
          <w:szCs w:val="21"/>
        </w:rPr>
        <w:t>（牵头人名称）与</w:t>
      </w:r>
      <w:r>
        <w:rPr>
          <w:sz w:val="21"/>
          <w:szCs w:val="21"/>
          <w:u w:val="single"/>
        </w:rPr>
        <w:t xml:space="preserve"> </w:t>
      </w:r>
      <w:r>
        <w:rPr>
          <w:sz w:val="21"/>
          <w:szCs w:val="21"/>
          <w:u w:val="single"/>
        </w:rPr>
        <w:tab/>
      </w:r>
      <w:r>
        <w:rPr>
          <w:sz w:val="21"/>
          <w:szCs w:val="21"/>
        </w:rPr>
        <w:t>（联合体 其他成员名称）签订的《联合体竞标协议书》的内容，</w:t>
      </w:r>
      <w:r>
        <w:rPr>
          <w:sz w:val="21"/>
          <w:szCs w:val="21"/>
          <w:u w:val="single"/>
        </w:rPr>
        <w:t xml:space="preserve"> </w:t>
      </w:r>
      <w:r>
        <w:rPr>
          <w:sz w:val="21"/>
          <w:szCs w:val="21"/>
          <w:u w:val="single"/>
        </w:rPr>
        <w:tab/>
      </w:r>
      <w:r>
        <w:rPr>
          <w:sz w:val="21"/>
          <w:szCs w:val="21"/>
        </w:rPr>
        <w:t>（牵头人名称）的法定代表人</w:t>
      </w:r>
      <w:r>
        <w:rPr>
          <w:sz w:val="21"/>
          <w:szCs w:val="21"/>
          <w:u w:val="single"/>
        </w:rPr>
        <w:t xml:space="preserve"> </w:t>
      </w:r>
      <w:r>
        <w:rPr>
          <w:sz w:val="21"/>
          <w:szCs w:val="21"/>
          <w:u w:val="single"/>
        </w:rPr>
        <w:tab/>
      </w:r>
      <w:r>
        <w:rPr>
          <w:sz w:val="21"/>
          <w:szCs w:val="21"/>
        </w:rPr>
        <w:t>（姓名）现授权</w:t>
      </w:r>
      <w:r>
        <w:rPr>
          <w:sz w:val="21"/>
          <w:szCs w:val="21"/>
          <w:u w:val="single"/>
        </w:rPr>
        <w:t xml:space="preserve"> </w:t>
      </w:r>
      <w:r>
        <w:rPr>
          <w:sz w:val="21"/>
          <w:szCs w:val="21"/>
          <w:u w:val="single"/>
        </w:rPr>
        <w:tab/>
      </w:r>
      <w:r>
        <w:rPr>
          <w:sz w:val="21"/>
          <w:szCs w:val="21"/>
        </w:rPr>
        <w:t>（姓名）为联合委托代理人，并代表我方全 权办理针对上述项目的所有釆购程序和环节的具体事务和签署相关文件。</w:t>
      </w:r>
    </w:p>
    <w:p w14:paraId="3A355D6F">
      <w:pPr>
        <w:pStyle w:val="37"/>
        <w:spacing w:line="469" w:lineRule="exact"/>
        <w:ind w:left="220" w:firstLine="420" w:firstLineChars="200"/>
        <w:jc w:val="both"/>
        <w:rPr>
          <w:sz w:val="21"/>
          <w:szCs w:val="21"/>
        </w:rPr>
      </w:pPr>
      <w:r>
        <w:rPr>
          <w:sz w:val="21"/>
          <w:szCs w:val="21"/>
        </w:rPr>
        <w:t>我方对委托代理人的签字事项负全部责任。</w:t>
      </w:r>
    </w:p>
    <w:p w14:paraId="4D901820">
      <w:pPr>
        <w:pStyle w:val="37"/>
        <w:spacing w:line="469" w:lineRule="exact"/>
        <w:ind w:left="220" w:firstLine="420" w:firstLineChars="200"/>
        <w:jc w:val="both"/>
        <w:rPr>
          <w:sz w:val="21"/>
          <w:szCs w:val="21"/>
        </w:rPr>
      </w:pPr>
      <w:r>
        <w:rPr>
          <w:sz w:val="21"/>
          <w:szCs w:val="21"/>
        </w:rPr>
        <w:t>本授权书自签署之日起生效，在撤销授权的书面通知以前，本授权书一直有效。委托代理人在授权书有效期内签署的所有文件不因授权的撤销而失效。</w:t>
      </w:r>
    </w:p>
    <w:p w14:paraId="705AED8A">
      <w:pPr>
        <w:pStyle w:val="37"/>
        <w:spacing w:after="460" w:line="469" w:lineRule="exact"/>
        <w:ind w:firstLine="420" w:firstLineChars="200"/>
        <w:rPr>
          <w:sz w:val="21"/>
          <w:szCs w:val="21"/>
        </w:rPr>
      </w:pPr>
      <w:r>
        <w:rPr>
          <w:sz w:val="21"/>
          <w:szCs w:val="21"/>
        </w:rPr>
        <w:t>委托代理人无转委托权，特此委托。</w:t>
      </w:r>
    </w:p>
    <w:p w14:paraId="03F5ABCE">
      <w:pPr>
        <w:pStyle w:val="37"/>
        <w:spacing w:line="469" w:lineRule="exact"/>
        <w:ind w:left="1780" w:firstLine="420" w:firstLineChars="200"/>
        <w:rPr>
          <w:sz w:val="21"/>
          <w:szCs w:val="21"/>
        </w:rPr>
      </w:pPr>
      <w:r>
        <w:rPr>
          <w:sz w:val="21"/>
          <w:szCs w:val="21"/>
        </w:rPr>
        <w:t>牵头人法定代表人（签字或盖章）：</w:t>
      </w:r>
    </w:p>
    <w:p w14:paraId="77FF139F">
      <w:pPr>
        <w:pStyle w:val="37"/>
        <w:spacing w:line="469" w:lineRule="exact"/>
        <w:ind w:left="3340" w:firstLine="420" w:firstLineChars="200"/>
        <w:rPr>
          <w:sz w:val="21"/>
          <w:szCs w:val="21"/>
        </w:rPr>
      </w:pPr>
      <w:r>
        <w:rPr>
          <w:sz w:val="21"/>
          <w:szCs w:val="21"/>
        </w:rPr>
        <w:t>牵头人（电子签章）：</w:t>
      </w:r>
    </w:p>
    <w:p w14:paraId="008F3489">
      <w:pPr>
        <w:pStyle w:val="37"/>
        <w:tabs>
          <w:tab w:val="left" w:pos="5135"/>
        </w:tabs>
        <w:spacing w:after="460" w:line="469" w:lineRule="exact"/>
        <w:ind w:left="4100" w:firstLine="420" w:firstLineChars="200"/>
        <w:rPr>
          <w:sz w:val="21"/>
          <w:szCs w:val="21"/>
        </w:rPr>
      </w:pPr>
      <w:r>
        <w:rPr>
          <w:sz w:val="21"/>
          <w:szCs w:val="21"/>
        </w:rPr>
        <w:t>日期：</w:t>
      </w:r>
      <w:r>
        <w:rPr>
          <w:sz w:val="21"/>
          <w:szCs w:val="21"/>
        </w:rPr>
        <w:tab/>
      </w:r>
      <w:r>
        <w:rPr>
          <w:sz w:val="21"/>
          <w:szCs w:val="21"/>
        </w:rPr>
        <w:t>年 月 日</w:t>
      </w:r>
    </w:p>
    <w:p w14:paraId="63285F29">
      <w:pPr>
        <w:pStyle w:val="37"/>
        <w:spacing w:line="469" w:lineRule="exact"/>
        <w:ind w:left="3340" w:firstLine="420" w:firstLineChars="200"/>
        <w:rPr>
          <w:sz w:val="21"/>
          <w:szCs w:val="21"/>
        </w:rPr>
      </w:pPr>
      <w:r>
        <w:rPr>
          <w:sz w:val="21"/>
          <w:szCs w:val="21"/>
        </w:rPr>
        <w:t>被授权人（签字）：</w:t>
      </w:r>
    </w:p>
    <w:p w14:paraId="77D6BE75">
      <w:pPr>
        <w:pStyle w:val="37"/>
        <w:tabs>
          <w:tab w:val="left" w:pos="5135"/>
        </w:tabs>
        <w:spacing w:after="460" w:line="469" w:lineRule="exact"/>
        <w:ind w:left="4100" w:firstLine="420" w:firstLineChars="200"/>
        <w:rPr>
          <w:sz w:val="21"/>
          <w:szCs w:val="21"/>
        </w:rPr>
      </w:pPr>
      <w:r>
        <w:rPr>
          <w:sz w:val="21"/>
          <w:szCs w:val="21"/>
        </w:rPr>
        <w:t>日期：</w:t>
      </w:r>
      <w:r>
        <w:rPr>
          <w:sz w:val="21"/>
          <w:szCs w:val="21"/>
        </w:rPr>
        <w:tab/>
      </w:r>
      <w:r>
        <w:rPr>
          <w:sz w:val="21"/>
          <w:szCs w:val="21"/>
        </w:rPr>
        <w:t>年 月 日</w:t>
      </w:r>
    </w:p>
    <w:p w14:paraId="569C71B8">
      <w:pPr>
        <w:pStyle w:val="37"/>
        <w:spacing w:line="465" w:lineRule="exact"/>
        <w:ind w:left="220" w:firstLine="420" w:firstLineChars="200"/>
        <w:jc w:val="both"/>
        <w:rPr>
          <w:b/>
          <w:bCs/>
          <w:sz w:val="22"/>
          <w:szCs w:val="22"/>
        </w:rPr>
      </w:pPr>
      <w:r>
        <w:rPr>
          <w:sz w:val="21"/>
          <w:szCs w:val="21"/>
        </w:rPr>
        <w:t>注：</w:t>
      </w:r>
      <w:r>
        <w:rPr>
          <w:sz w:val="21"/>
          <w:szCs w:val="21"/>
          <w:lang w:val="en-US" w:eastAsia="zh-CN" w:bidi="en-US"/>
        </w:rPr>
        <w:t>1.</w:t>
      </w:r>
      <w:r>
        <w:rPr>
          <w:sz w:val="21"/>
          <w:szCs w:val="21"/>
        </w:rPr>
        <w:t>法定代表人必须在授权委托书上亲笔签字或盖章，委托代理人必须在授权委托书上亲笔签字，</w:t>
      </w:r>
      <w:r>
        <w:rPr>
          <w:b/>
          <w:bCs/>
          <w:sz w:val="22"/>
          <w:szCs w:val="22"/>
        </w:rPr>
        <w:t>否则其响应文件按无效响应处理。</w:t>
      </w:r>
    </w:p>
    <w:p w14:paraId="53064A6A">
      <w:pPr>
        <w:pStyle w:val="37"/>
        <w:tabs>
          <w:tab w:val="left" w:pos="1050"/>
        </w:tabs>
        <w:spacing w:line="465" w:lineRule="exact"/>
        <w:ind w:left="480" w:leftChars="200" w:firstLine="420" w:firstLineChars="200"/>
        <w:rPr>
          <w:sz w:val="21"/>
          <w:szCs w:val="21"/>
        </w:rPr>
      </w:pPr>
      <w:bookmarkStart w:id="282" w:name="bookmark421"/>
      <w:bookmarkEnd w:id="282"/>
      <w:r>
        <w:rPr>
          <w:rFonts w:hint="eastAsia"/>
          <w:sz w:val="21"/>
          <w:szCs w:val="21"/>
          <w:lang w:val="en-US" w:eastAsia="zh-CN"/>
        </w:rPr>
        <w:t>2.</w:t>
      </w:r>
      <w:r>
        <w:rPr>
          <w:sz w:val="21"/>
          <w:szCs w:val="21"/>
        </w:rPr>
        <w:t>本授权委托书应由联合体牵头人的法定代表人按上述规定签署。</w:t>
      </w:r>
    </w:p>
    <w:p w14:paraId="20F72CAE">
      <w:pPr>
        <w:pStyle w:val="37"/>
        <w:tabs>
          <w:tab w:val="left" w:pos="1050"/>
        </w:tabs>
        <w:spacing w:line="465" w:lineRule="exact"/>
        <w:ind w:left="480" w:leftChars="200" w:firstLine="420" w:firstLineChars="200"/>
        <w:jc w:val="both"/>
        <w:rPr>
          <w:sz w:val="21"/>
          <w:szCs w:val="21"/>
        </w:rPr>
      </w:pPr>
      <w:bookmarkStart w:id="283" w:name="bookmark422"/>
      <w:bookmarkEnd w:id="283"/>
      <w:r>
        <w:rPr>
          <w:rFonts w:hint="eastAsia"/>
          <w:sz w:val="21"/>
          <w:szCs w:val="21"/>
          <w:lang w:val="en-US" w:eastAsia="zh-CN"/>
        </w:rPr>
        <w:t>3.</w:t>
      </w:r>
      <w:r>
        <w:rPr>
          <w:sz w:val="21"/>
          <w:szCs w:val="21"/>
        </w:rPr>
        <w:t>供应商为其他组织或者自然人时，本磋商文件规定的法定代表人指负责人或者自然人。 本磋商文件所称负责人是指参加竞标的其他组织营业执照上的负责人，本磋商文件所称自然人指参与竞标的自然人本人。</w:t>
      </w:r>
    </w:p>
    <w:p w14:paraId="1AB18799">
      <w:pPr>
        <w:pStyle w:val="37"/>
        <w:tabs>
          <w:tab w:val="left" w:pos="1050"/>
        </w:tabs>
        <w:spacing w:after="220" w:line="465" w:lineRule="exact"/>
        <w:ind w:left="480" w:leftChars="200" w:firstLine="630" w:firstLineChars="300"/>
        <w:jc w:val="both"/>
        <w:rPr>
          <w:sz w:val="21"/>
          <w:szCs w:val="21"/>
        </w:rPr>
      </w:pPr>
      <w:bookmarkStart w:id="284" w:name="bookmark423"/>
      <w:bookmarkEnd w:id="284"/>
      <w:r>
        <w:rPr>
          <w:rFonts w:hint="eastAsia"/>
          <w:sz w:val="21"/>
          <w:szCs w:val="21"/>
          <w:lang w:val="en-US" w:eastAsia="zh-CN"/>
        </w:rPr>
        <w:t>4.</w:t>
      </w:r>
      <w:r>
        <w:rPr>
          <w:sz w:val="21"/>
          <w:szCs w:val="21"/>
        </w:rPr>
        <w:t>法人、其他组织竞标时</w:t>
      </w:r>
      <w:r>
        <w:rPr>
          <w:sz w:val="21"/>
          <w:szCs w:val="21"/>
          <w:lang w:val="zh-CN" w:eastAsia="zh-CN" w:bidi="zh-CN"/>
        </w:rPr>
        <w:t>“我方</w:t>
      </w:r>
      <w:r>
        <w:rPr>
          <w:sz w:val="21"/>
          <w:szCs w:val="21"/>
        </w:rPr>
        <w:t>"是指</w:t>
      </w:r>
      <w:r>
        <w:rPr>
          <w:sz w:val="21"/>
          <w:szCs w:val="21"/>
          <w:lang w:val="zh-CN" w:eastAsia="zh-CN" w:bidi="zh-CN"/>
        </w:rPr>
        <w:t>“我</w:t>
      </w:r>
      <w:r>
        <w:rPr>
          <w:sz w:val="21"/>
          <w:szCs w:val="21"/>
        </w:rPr>
        <w:t>单位”,自然人竞标时</w:t>
      </w:r>
      <w:r>
        <w:rPr>
          <w:sz w:val="21"/>
          <w:szCs w:val="21"/>
          <w:lang w:val="zh-CN" w:eastAsia="zh-CN" w:bidi="zh-CN"/>
        </w:rPr>
        <w:t>“我方”是指“本</w:t>
      </w:r>
      <w:r>
        <w:rPr>
          <w:sz w:val="21"/>
          <w:szCs w:val="21"/>
        </w:rPr>
        <w:t>人”。</w:t>
      </w:r>
    </w:p>
    <w:p w14:paraId="578E7130">
      <w:pPr>
        <w:pStyle w:val="41"/>
        <w:keepNext/>
        <w:keepLines/>
        <w:spacing w:after="40"/>
        <w:ind w:firstLine="640" w:firstLineChars="200"/>
        <w:jc w:val="both"/>
        <w:rPr>
          <w:sz w:val="32"/>
          <w:szCs w:val="32"/>
        </w:rPr>
      </w:pPr>
      <w:bookmarkStart w:id="285" w:name="bookmark425"/>
      <w:bookmarkStart w:id="286" w:name="bookmark424"/>
      <w:bookmarkStart w:id="287" w:name="bookmark426"/>
      <w:r>
        <w:rPr>
          <w:sz w:val="32"/>
          <w:szCs w:val="32"/>
        </w:rPr>
        <w:t>四、商务条款</w:t>
      </w:r>
      <w:r>
        <w:rPr>
          <w:rFonts w:hint="eastAsia"/>
          <w:sz w:val="32"/>
          <w:szCs w:val="32"/>
          <w:lang w:eastAsia="zh-CN"/>
        </w:rPr>
        <w:t>偏离</w:t>
      </w:r>
      <w:r>
        <w:rPr>
          <w:sz w:val="32"/>
          <w:szCs w:val="32"/>
        </w:rPr>
        <w:t>表</w:t>
      </w:r>
      <w:bookmarkEnd w:id="285"/>
      <w:bookmarkEnd w:id="286"/>
      <w:bookmarkEnd w:id="287"/>
    </w:p>
    <w:p w14:paraId="517C419B">
      <w:pPr>
        <w:pStyle w:val="27"/>
        <w:keepNext/>
        <w:keepLines/>
        <w:spacing w:after="540"/>
        <w:ind w:left="0" w:firstLine="880" w:firstLineChars="200"/>
        <w:rPr>
          <w:sz w:val="44"/>
          <w:szCs w:val="44"/>
        </w:rPr>
      </w:pPr>
      <w:bookmarkStart w:id="288" w:name="bookmark429"/>
      <w:bookmarkStart w:id="289" w:name="bookmark428"/>
      <w:bookmarkStart w:id="290" w:name="bookmark427"/>
      <w:r>
        <w:rPr>
          <w:sz w:val="44"/>
          <w:szCs w:val="44"/>
        </w:rPr>
        <w:t>商务条款偏离表</w:t>
      </w:r>
      <w:bookmarkEnd w:id="288"/>
      <w:bookmarkEnd w:id="289"/>
      <w:bookmarkEnd w:id="290"/>
    </w:p>
    <w:p w14:paraId="23652850">
      <w:pPr>
        <w:pStyle w:val="37"/>
        <w:tabs>
          <w:tab w:val="left" w:pos="3925"/>
        </w:tabs>
        <w:spacing w:after="200" w:line="240" w:lineRule="auto"/>
        <w:ind w:firstLine="420" w:firstLineChars="200"/>
        <w:rPr>
          <w:sz w:val="21"/>
          <w:szCs w:val="21"/>
        </w:rPr>
      </w:pPr>
      <w:r>
        <w:rPr>
          <w:sz w:val="21"/>
          <w:szCs w:val="21"/>
        </w:rPr>
        <w:t>釆购项目编号：</w:t>
      </w:r>
      <w:r>
        <w:rPr>
          <w:sz w:val="21"/>
          <w:szCs w:val="21"/>
          <w:u w:val="single"/>
        </w:rPr>
        <w:t xml:space="preserve"> </w:t>
      </w:r>
      <w:r>
        <w:rPr>
          <w:sz w:val="21"/>
          <w:szCs w:val="21"/>
          <w:u w:val="single"/>
        </w:rPr>
        <w:tab/>
      </w:r>
    </w:p>
    <w:p w14:paraId="76D7E0E1">
      <w:pPr>
        <w:pStyle w:val="37"/>
        <w:tabs>
          <w:tab w:val="left" w:pos="3925"/>
        </w:tabs>
        <w:spacing w:after="200" w:line="240" w:lineRule="auto"/>
        <w:ind w:firstLine="420" w:firstLineChars="200"/>
        <w:rPr>
          <w:sz w:val="21"/>
          <w:szCs w:val="21"/>
        </w:rPr>
      </w:pPr>
      <w:r>
        <w:rPr>
          <w:sz w:val="21"/>
          <w:szCs w:val="21"/>
        </w:rPr>
        <w:t>釆购项目名称：</w:t>
      </w:r>
      <w:r>
        <w:rPr>
          <w:sz w:val="21"/>
          <w:szCs w:val="21"/>
          <w:u w:val="single"/>
        </w:rPr>
        <w:t xml:space="preserve"> </w:t>
      </w:r>
      <w:r>
        <w:rPr>
          <w:sz w:val="21"/>
          <w:szCs w:val="21"/>
          <w:u w:val="single"/>
        </w:rPr>
        <w:tab/>
      </w:r>
    </w:p>
    <w:p w14:paraId="6893D749">
      <w:pPr>
        <w:pStyle w:val="37"/>
        <w:tabs>
          <w:tab w:val="left" w:pos="9175"/>
        </w:tabs>
        <w:spacing w:after="300" w:line="240" w:lineRule="auto"/>
        <w:ind w:firstLine="420" w:firstLineChars="200"/>
        <w:rPr>
          <w:sz w:val="21"/>
          <w:szCs w:val="21"/>
        </w:rPr>
      </w:pPr>
      <w:r>
        <w:rPr>
          <w:sz w:val="21"/>
          <w:szCs w:val="21"/>
        </w:rPr>
        <w:t>分标号（此处有分标时填写具体分标号，无分标时填写</w:t>
      </w:r>
      <w:r>
        <w:rPr>
          <w:sz w:val="21"/>
          <w:szCs w:val="21"/>
          <w:lang w:val="zh-CN" w:eastAsia="zh-CN" w:bidi="zh-CN"/>
        </w:rPr>
        <w:t>“无”</w:t>
      </w:r>
      <w:r>
        <w:rPr>
          <w:sz w:val="21"/>
          <w:szCs w:val="21"/>
        </w:rPr>
        <w:t>）:</w:t>
      </w:r>
      <w:r>
        <w:rPr>
          <w:sz w:val="21"/>
          <w:szCs w:val="21"/>
          <w:u w:val="single"/>
        </w:rPr>
        <w:t xml:space="preserve"> </w:t>
      </w:r>
      <w:r>
        <w:rPr>
          <w:sz w:val="21"/>
          <w:szCs w:val="21"/>
          <w:u w:val="single"/>
        </w:rPr>
        <w:tab/>
      </w:r>
    </w:p>
    <w:tbl>
      <w:tblPr>
        <w:tblStyle w:val="14"/>
        <w:tblW w:w="0" w:type="auto"/>
        <w:jc w:val="center"/>
        <w:tblLayout w:type="fixed"/>
        <w:tblCellMar>
          <w:top w:w="0" w:type="dxa"/>
          <w:left w:w="10" w:type="dxa"/>
          <w:bottom w:w="0" w:type="dxa"/>
          <w:right w:w="10" w:type="dxa"/>
        </w:tblCellMar>
      </w:tblPr>
      <w:tblGrid>
        <w:gridCol w:w="765"/>
        <w:gridCol w:w="3930"/>
        <w:gridCol w:w="3585"/>
        <w:gridCol w:w="1290"/>
      </w:tblGrid>
      <w:tr w14:paraId="4F1AD99F">
        <w:tblPrEx>
          <w:tblCellMar>
            <w:top w:w="0" w:type="dxa"/>
            <w:left w:w="10" w:type="dxa"/>
            <w:bottom w:w="0" w:type="dxa"/>
            <w:right w:w="10" w:type="dxa"/>
          </w:tblCellMar>
        </w:tblPrEx>
        <w:trPr>
          <w:trHeight w:val="345" w:hRule="exact"/>
          <w:jc w:val="center"/>
        </w:trPr>
        <w:tc>
          <w:tcPr>
            <w:tcW w:w="765" w:type="dxa"/>
            <w:tcBorders>
              <w:top w:val="single" w:color="auto" w:sz="4" w:space="0"/>
              <w:left w:val="single" w:color="auto" w:sz="4" w:space="0"/>
            </w:tcBorders>
            <w:shd w:val="clear" w:color="auto" w:fill="FFFFFF"/>
            <w:vAlign w:val="bottom"/>
          </w:tcPr>
          <w:p w14:paraId="3A505C03">
            <w:pPr>
              <w:pStyle w:val="43"/>
              <w:spacing w:line="240" w:lineRule="auto"/>
              <w:ind w:firstLine="160"/>
              <w:rPr>
                <w:sz w:val="21"/>
                <w:szCs w:val="21"/>
              </w:rPr>
            </w:pPr>
            <w:r>
              <w:rPr>
                <w:sz w:val="21"/>
                <w:szCs w:val="21"/>
              </w:rPr>
              <w:t>项号</w:t>
            </w:r>
          </w:p>
        </w:tc>
        <w:tc>
          <w:tcPr>
            <w:tcW w:w="3930" w:type="dxa"/>
            <w:tcBorders>
              <w:top w:val="single" w:color="auto" w:sz="4" w:space="0"/>
              <w:left w:val="single" w:color="auto" w:sz="4" w:space="0"/>
            </w:tcBorders>
            <w:shd w:val="clear" w:color="auto" w:fill="FFFFFF"/>
            <w:vAlign w:val="bottom"/>
          </w:tcPr>
          <w:p w14:paraId="76EA846C">
            <w:pPr>
              <w:pStyle w:val="43"/>
              <w:spacing w:line="240" w:lineRule="auto"/>
              <w:ind w:firstLine="440"/>
              <w:rPr>
                <w:sz w:val="21"/>
                <w:szCs w:val="21"/>
              </w:rPr>
            </w:pPr>
            <w:r>
              <w:rPr>
                <w:sz w:val="21"/>
                <w:szCs w:val="21"/>
              </w:rPr>
              <w:t>竞争性磋商采购文件的商务需求</w:t>
            </w:r>
          </w:p>
        </w:tc>
        <w:tc>
          <w:tcPr>
            <w:tcW w:w="3585" w:type="dxa"/>
            <w:tcBorders>
              <w:top w:val="single" w:color="auto" w:sz="4" w:space="0"/>
              <w:left w:val="single" w:color="auto" w:sz="4" w:space="0"/>
            </w:tcBorders>
            <w:shd w:val="clear" w:color="auto" w:fill="FFFFFF"/>
            <w:vAlign w:val="bottom"/>
          </w:tcPr>
          <w:p w14:paraId="38360F36">
            <w:pPr>
              <w:pStyle w:val="43"/>
              <w:spacing w:line="240" w:lineRule="auto"/>
              <w:ind w:left="60" w:firstLine="0"/>
              <w:jc w:val="center"/>
              <w:rPr>
                <w:sz w:val="21"/>
                <w:szCs w:val="21"/>
              </w:rPr>
            </w:pPr>
            <w:r>
              <w:rPr>
                <w:sz w:val="21"/>
                <w:szCs w:val="21"/>
              </w:rPr>
              <w:t>响应文件承诺的商务条款</w:t>
            </w:r>
          </w:p>
        </w:tc>
        <w:tc>
          <w:tcPr>
            <w:tcW w:w="1290" w:type="dxa"/>
            <w:tcBorders>
              <w:top w:val="single" w:color="auto" w:sz="4" w:space="0"/>
              <w:left w:val="single" w:color="auto" w:sz="4" w:space="0"/>
              <w:right w:val="single" w:color="auto" w:sz="4" w:space="0"/>
            </w:tcBorders>
            <w:shd w:val="clear" w:color="auto" w:fill="FFFFFF"/>
            <w:vAlign w:val="bottom"/>
          </w:tcPr>
          <w:p w14:paraId="3FF388BA">
            <w:pPr>
              <w:pStyle w:val="43"/>
              <w:spacing w:line="240" w:lineRule="auto"/>
              <w:ind w:firstLine="0"/>
              <w:jc w:val="center"/>
              <w:rPr>
                <w:sz w:val="21"/>
                <w:szCs w:val="21"/>
              </w:rPr>
            </w:pPr>
            <w:r>
              <w:rPr>
                <w:sz w:val="21"/>
                <w:szCs w:val="21"/>
              </w:rPr>
              <w:t>偏离说明</w:t>
            </w:r>
          </w:p>
        </w:tc>
      </w:tr>
      <w:tr w14:paraId="0BD3B04C">
        <w:tblPrEx>
          <w:tblCellMar>
            <w:top w:w="0" w:type="dxa"/>
            <w:left w:w="10" w:type="dxa"/>
            <w:bottom w:w="0" w:type="dxa"/>
            <w:right w:w="10" w:type="dxa"/>
          </w:tblCellMar>
        </w:tblPrEx>
        <w:trPr>
          <w:trHeight w:val="1365" w:hRule="exact"/>
          <w:jc w:val="center"/>
        </w:trPr>
        <w:tc>
          <w:tcPr>
            <w:tcW w:w="765" w:type="dxa"/>
            <w:tcBorders>
              <w:top w:val="single" w:color="auto" w:sz="4" w:space="0"/>
              <w:left w:val="single" w:color="auto" w:sz="4" w:space="0"/>
            </w:tcBorders>
            <w:shd w:val="clear" w:color="auto" w:fill="FFFFFF"/>
          </w:tcPr>
          <w:p w14:paraId="613DC1A5">
            <w:pPr>
              <w:ind w:firstLine="210" w:firstLineChars="100"/>
              <w:rPr>
                <w:rFonts w:eastAsia="宋体"/>
                <w:sz w:val="11"/>
                <w:szCs w:val="11"/>
                <w:lang w:eastAsia="zh-CN"/>
              </w:rPr>
            </w:pPr>
            <w:r>
              <w:rPr>
                <w:rFonts w:hint="eastAsia" w:eastAsia="宋体"/>
                <w:sz w:val="21"/>
                <w:szCs w:val="21"/>
                <w:lang w:eastAsia="zh-CN"/>
              </w:rPr>
              <w:t>一</w:t>
            </w:r>
          </w:p>
        </w:tc>
        <w:tc>
          <w:tcPr>
            <w:tcW w:w="3930" w:type="dxa"/>
            <w:tcBorders>
              <w:top w:val="single" w:color="auto" w:sz="4" w:space="0"/>
              <w:left w:val="single" w:color="auto" w:sz="4" w:space="0"/>
            </w:tcBorders>
            <w:shd w:val="clear" w:color="auto" w:fill="FFFFFF"/>
          </w:tcPr>
          <w:p w14:paraId="75385425">
            <w:pPr>
              <w:pStyle w:val="43"/>
              <w:spacing w:after="100" w:line="240" w:lineRule="auto"/>
              <w:ind w:firstLine="420" w:firstLineChars="200"/>
              <w:rPr>
                <w:sz w:val="21"/>
                <w:szCs w:val="21"/>
              </w:rPr>
            </w:pPr>
            <w:r>
              <w:rPr>
                <w:sz w:val="21"/>
                <w:szCs w:val="21"/>
              </w:rPr>
              <w:t>1……</w:t>
            </w:r>
          </w:p>
          <w:p w14:paraId="22899960">
            <w:pPr>
              <w:pStyle w:val="43"/>
              <w:spacing w:after="100" w:line="240" w:lineRule="auto"/>
              <w:ind w:firstLine="420" w:firstLineChars="200"/>
              <w:rPr>
                <w:sz w:val="21"/>
                <w:szCs w:val="21"/>
              </w:rPr>
            </w:pPr>
            <w:r>
              <w:rPr>
                <w:sz w:val="21"/>
                <w:szCs w:val="21"/>
              </w:rPr>
              <w:t>2……</w:t>
            </w:r>
          </w:p>
          <w:p w14:paraId="0B3E836D">
            <w:pPr>
              <w:pStyle w:val="43"/>
              <w:spacing w:after="100" w:line="240" w:lineRule="auto"/>
              <w:ind w:firstLine="420" w:firstLineChars="200"/>
              <w:rPr>
                <w:sz w:val="21"/>
                <w:szCs w:val="21"/>
              </w:rPr>
            </w:pPr>
            <w:r>
              <w:rPr>
                <w:sz w:val="21"/>
                <w:szCs w:val="21"/>
              </w:rPr>
              <w:t>3……</w:t>
            </w:r>
          </w:p>
        </w:tc>
        <w:tc>
          <w:tcPr>
            <w:tcW w:w="3585" w:type="dxa"/>
            <w:tcBorders>
              <w:top w:val="single" w:color="auto" w:sz="4" w:space="0"/>
              <w:left w:val="single" w:color="auto" w:sz="4" w:space="0"/>
            </w:tcBorders>
            <w:shd w:val="clear" w:color="auto" w:fill="FFFFFF"/>
          </w:tcPr>
          <w:p w14:paraId="3FB66A0D">
            <w:pPr>
              <w:pStyle w:val="43"/>
              <w:spacing w:after="100" w:line="240" w:lineRule="auto"/>
              <w:ind w:firstLine="420" w:firstLineChars="200"/>
              <w:rPr>
                <w:sz w:val="21"/>
                <w:szCs w:val="21"/>
              </w:rPr>
            </w:pPr>
            <w:r>
              <w:rPr>
                <w:sz w:val="21"/>
                <w:szCs w:val="21"/>
              </w:rPr>
              <w:t>1……</w:t>
            </w:r>
          </w:p>
          <w:p w14:paraId="3895C2E9">
            <w:pPr>
              <w:pStyle w:val="43"/>
              <w:spacing w:after="100" w:line="240" w:lineRule="auto"/>
              <w:ind w:firstLine="420" w:firstLineChars="200"/>
              <w:rPr>
                <w:sz w:val="21"/>
                <w:szCs w:val="21"/>
              </w:rPr>
            </w:pPr>
            <w:r>
              <w:rPr>
                <w:sz w:val="21"/>
                <w:szCs w:val="21"/>
              </w:rPr>
              <w:t>2……</w:t>
            </w:r>
          </w:p>
          <w:p w14:paraId="540A1924">
            <w:pPr>
              <w:pStyle w:val="43"/>
              <w:spacing w:after="100" w:line="240" w:lineRule="auto"/>
              <w:ind w:firstLine="420" w:firstLineChars="200"/>
              <w:rPr>
                <w:sz w:val="21"/>
                <w:szCs w:val="21"/>
              </w:rPr>
            </w:pPr>
            <w:r>
              <w:rPr>
                <w:sz w:val="21"/>
                <w:szCs w:val="21"/>
              </w:rPr>
              <w:t>3……</w:t>
            </w:r>
          </w:p>
        </w:tc>
        <w:tc>
          <w:tcPr>
            <w:tcW w:w="1290" w:type="dxa"/>
            <w:tcBorders>
              <w:top w:val="single" w:color="auto" w:sz="4" w:space="0"/>
              <w:left w:val="single" w:color="auto" w:sz="4" w:space="0"/>
              <w:right w:val="single" w:color="auto" w:sz="4" w:space="0"/>
            </w:tcBorders>
            <w:shd w:val="clear" w:color="auto" w:fill="FFFFFF"/>
          </w:tcPr>
          <w:p w14:paraId="42764018">
            <w:pPr>
              <w:rPr>
                <w:sz w:val="11"/>
                <w:szCs w:val="11"/>
              </w:rPr>
            </w:pPr>
          </w:p>
        </w:tc>
      </w:tr>
      <w:tr w14:paraId="6934F94E">
        <w:tblPrEx>
          <w:tblCellMar>
            <w:top w:w="0" w:type="dxa"/>
            <w:left w:w="10" w:type="dxa"/>
            <w:bottom w:w="0" w:type="dxa"/>
            <w:right w:w="10" w:type="dxa"/>
          </w:tblCellMar>
        </w:tblPrEx>
        <w:trPr>
          <w:trHeight w:val="1380" w:hRule="exact"/>
          <w:jc w:val="center"/>
        </w:trPr>
        <w:tc>
          <w:tcPr>
            <w:tcW w:w="765" w:type="dxa"/>
            <w:tcBorders>
              <w:top w:val="single" w:color="auto" w:sz="4" w:space="0"/>
              <w:left w:val="single" w:color="auto" w:sz="4" w:space="0"/>
              <w:bottom w:val="single" w:color="auto" w:sz="4" w:space="0"/>
            </w:tcBorders>
            <w:shd w:val="clear" w:color="auto" w:fill="FFFFFF"/>
          </w:tcPr>
          <w:p w14:paraId="43A12FC8">
            <w:pPr>
              <w:pStyle w:val="43"/>
              <w:tabs>
                <w:tab w:val="left" w:leader="underscore" w:pos="355"/>
              </w:tabs>
              <w:spacing w:before="260" w:line="240" w:lineRule="auto"/>
              <w:ind w:firstLine="210" w:firstLineChars="100"/>
              <w:rPr>
                <w:sz w:val="21"/>
                <w:szCs w:val="21"/>
                <w:lang w:eastAsia="zh-CN"/>
              </w:rPr>
            </w:pPr>
            <w:r>
              <w:rPr>
                <w:rFonts w:hint="eastAsia"/>
                <w:sz w:val="21"/>
                <w:szCs w:val="21"/>
                <w:lang w:eastAsia="zh-CN"/>
              </w:rPr>
              <w:t>二</w:t>
            </w:r>
          </w:p>
        </w:tc>
        <w:tc>
          <w:tcPr>
            <w:tcW w:w="3930" w:type="dxa"/>
            <w:tcBorders>
              <w:top w:val="single" w:color="auto" w:sz="4" w:space="0"/>
              <w:left w:val="single" w:color="auto" w:sz="4" w:space="0"/>
              <w:bottom w:val="single" w:color="auto" w:sz="4" w:space="0"/>
            </w:tcBorders>
            <w:shd w:val="clear" w:color="auto" w:fill="FFFFFF"/>
          </w:tcPr>
          <w:p w14:paraId="18EBE53B">
            <w:pPr>
              <w:pStyle w:val="43"/>
              <w:spacing w:before="80" w:after="100" w:line="240" w:lineRule="auto"/>
              <w:ind w:firstLine="420" w:firstLineChars="200"/>
              <w:rPr>
                <w:sz w:val="21"/>
                <w:szCs w:val="21"/>
              </w:rPr>
            </w:pPr>
            <w:r>
              <w:rPr>
                <w:sz w:val="21"/>
                <w:szCs w:val="21"/>
              </w:rPr>
              <w:t>1……</w:t>
            </w:r>
          </w:p>
          <w:p w14:paraId="0261AE62">
            <w:pPr>
              <w:pStyle w:val="43"/>
              <w:spacing w:after="100" w:line="240" w:lineRule="auto"/>
              <w:ind w:firstLine="420" w:firstLineChars="200"/>
              <w:rPr>
                <w:sz w:val="21"/>
                <w:szCs w:val="21"/>
              </w:rPr>
            </w:pPr>
            <w:r>
              <w:rPr>
                <w:sz w:val="21"/>
                <w:szCs w:val="21"/>
              </w:rPr>
              <w:t>2……</w:t>
            </w:r>
          </w:p>
          <w:p w14:paraId="443EC11A">
            <w:pPr>
              <w:pStyle w:val="43"/>
              <w:spacing w:after="100" w:line="240" w:lineRule="auto"/>
              <w:ind w:firstLine="420" w:firstLineChars="200"/>
              <w:rPr>
                <w:sz w:val="21"/>
                <w:szCs w:val="21"/>
              </w:rPr>
            </w:pPr>
            <w:r>
              <w:rPr>
                <w:sz w:val="21"/>
                <w:szCs w:val="21"/>
              </w:rPr>
              <w:t>3……</w:t>
            </w:r>
          </w:p>
        </w:tc>
        <w:tc>
          <w:tcPr>
            <w:tcW w:w="3585" w:type="dxa"/>
            <w:tcBorders>
              <w:top w:val="single" w:color="auto" w:sz="4" w:space="0"/>
              <w:left w:val="single" w:color="auto" w:sz="4" w:space="0"/>
              <w:bottom w:val="single" w:color="auto" w:sz="4" w:space="0"/>
            </w:tcBorders>
            <w:shd w:val="clear" w:color="auto" w:fill="FFFFFF"/>
          </w:tcPr>
          <w:p w14:paraId="0C9CEE9F">
            <w:pPr>
              <w:pStyle w:val="43"/>
              <w:spacing w:before="80" w:after="100" w:line="240" w:lineRule="auto"/>
              <w:ind w:firstLine="420" w:firstLineChars="200"/>
              <w:rPr>
                <w:sz w:val="21"/>
                <w:szCs w:val="21"/>
              </w:rPr>
            </w:pPr>
            <w:r>
              <w:rPr>
                <w:sz w:val="21"/>
                <w:szCs w:val="21"/>
              </w:rPr>
              <w:t>1……</w:t>
            </w:r>
          </w:p>
          <w:p w14:paraId="752F4A62">
            <w:pPr>
              <w:pStyle w:val="43"/>
              <w:spacing w:after="100" w:line="240" w:lineRule="auto"/>
              <w:ind w:firstLine="420" w:firstLineChars="200"/>
              <w:rPr>
                <w:sz w:val="21"/>
                <w:szCs w:val="21"/>
              </w:rPr>
            </w:pPr>
            <w:r>
              <w:rPr>
                <w:sz w:val="21"/>
                <w:szCs w:val="21"/>
              </w:rPr>
              <w:t>2……</w:t>
            </w:r>
          </w:p>
          <w:p w14:paraId="2F87FAB0">
            <w:pPr>
              <w:pStyle w:val="43"/>
              <w:spacing w:after="100" w:line="240" w:lineRule="auto"/>
              <w:ind w:firstLine="420" w:firstLineChars="200"/>
              <w:rPr>
                <w:sz w:val="21"/>
                <w:szCs w:val="21"/>
              </w:rPr>
            </w:pPr>
            <w:r>
              <w:rPr>
                <w:sz w:val="21"/>
                <w:szCs w:val="21"/>
              </w:rPr>
              <w:t>3……</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14:paraId="7A627D79">
            <w:pPr>
              <w:rPr>
                <w:sz w:val="11"/>
                <w:szCs w:val="11"/>
              </w:rPr>
            </w:pPr>
          </w:p>
        </w:tc>
      </w:tr>
      <w:tr w14:paraId="3300014C">
        <w:tblPrEx>
          <w:tblCellMar>
            <w:top w:w="0" w:type="dxa"/>
            <w:left w:w="10" w:type="dxa"/>
            <w:bottom w:w="0" w:type="dxa"/>
            <w:right w:w="10" w:type="dxa"/>
          </w:tblCellMar>
        </w:tblPrEx>
        <w:trPr>
          <w:trHeight w:val="1665" w:hRule="exact"/>
          <w:jc w:val="center"/>
        </w:trPr>
        <w:tc>
          <w:tcPr>
            <w:tcW w:w="765" w:type="dxa"/>
            <w:tcBorders>
              <w:top w:val="single" w:color="auto" w:sz="4" w:space="0"/>
              <w:left w:val="single" w:color="auto" w:sz="4" w:space="0"/>
              <w:bottom w:val="single" w:color="auto" w:sz="4" w:space="0"/>
            </w:tcBorders>
            <w:shd w:val="clear" w:color="auto" w:fill="FFFFFF"/>
          </w:tcPr>
          <w:p w14:paraId="4B015CBA">
            <w:pPr>
              <w:pStyle w:val="43"/>
              <w:spacing w:before="220" w:line="240" w:lineRule="auto"/>
              <w:ind w:firstLine="160"/>
              <w:rPr>
                <w:sz w:val="21"/>
                <w:szCs w:val="21"/>
                <w:lang w:val="en-US" w:eastAsia="zh-CN"/>
              </w:rPr>
            </w:pPr>
            <w:r>
              <w:rPr>
                <w:rFonts w:hint="eastAsia"/>
                <w:sz w:val="21"/>
                <w:szCs w:val="21"/>
                <w:lang w:val="en-US" w:eastAsia="zh-CN" w:bidi="en-US"/>
              </w:rPr>
              <w:t>...</w:t>
            </w:r>
          </w:p>
        </w:tc>
        <w:tc>
          <w:tcPr>
            <w:tcW w:w="3930" w:type="dxa"/>
            <w:tcBorders>
              <w:top w:val="single" w:color="auto" w:sz="4" w:space="0"/>
              <w:left w:val="single" w:color="auto" w:sz="4" w:space="0"/>
              <w:bottom w:val="single" w:color="auto" w:sz="4" w:space="0"/>
            </w:tcBorders>
            <w:shd w:val="clear" w:color="auto" w:fill="FFFFFF"/>
          </w:tcPr>
          <w:p w14:paraId="71C4542E">
            <w:pPr>
              <w:pStyle w:val="43"/>
              <w:spacing w:after="100" w:line="240" w:lineRule="auto"/>
              <w:ind w:firstLine="420" w:firstLineChars="200"/>
              <w:rPr>
                <w:sz w:val="21"/>
                <w:szCs w:val="21"/>
              </w:rPr>
            </w:pPr>
            <w:r>
              <w:rPr>
                <w:sz w:val="21"/>
                <w:szCs w:val="21"/>
              </w:rPr>
              <w:t>1……</w:t>
            </w:r>
          </w:p>
          <w:p w14:paraId="26CBE949">
            <w:pPr>
              <w:pStyle w:val="43"/>
              <w:spacing w:after="100" w:line="240" w:lineRule="auto"/>
              <w:ind w:firstLine="420" w:firstLineChars="200"/>
              <w:rPr>
                <w:sz w:val="21"/>
                <w:szCs w:val="21"/>
              </w:rPr>
            </w:pPr>
            <w:r>
              <w:rPr>
                <w:sz w:val="21"/>
                <w:szCs w:val="21"/>
              </w:rPr>
              <w:t>2……</w:t>
            </w:r>
          </w:p>
          <w:p w14:paraId="10DC7524">
            <w:pPr>
              <w:pStyle w:val="43"/>
              <w:spacing w:after="100" w:line="240" w:lineRule="auto"/>
              <w:ind w:firstLine="420" w:firstLineChars="200"/>
              <w:rPr>
                <w:sz w:val="21"/>
                <w:szCs w:val="21"/>
              </w:rPr>
            </w:pPr>
            <w:r>
              <w:rPr>
                <w:sz w:val="21"/>
                <w:szCs w:val="21"/>
              </w:rPr>
              <w:t>3……</w:t>
            </w:r>
          </w:p>
        </w:tc>
        <w:tc>
          <w:tcPr>
            <w:tcW w:w="3585" w:type="dxa"/>
            <w:tcBorders>
              <w:top w:val="single" w:color="auto" w:sz="4" w:space="0"/>
              <w:left w:val="single" w:color="auto" w:sz="4" w:space="0"/>
              <w:bottom w:val="single" w:color="auto" w:sz="4" w:space="0"/>
            </w:tcBorders>
            <w:shd w:val="clear" w:color="auto" w:fill="FFFFFF"/>
          </w:tcPr>
          <w:p w14:paraId="00895D21">
            <w:pPr>
              <w:pStyle w:val="43"/>
              <w:spacing w:after="100" w:line="240" w:lineRule="auto"/>
              <w:ind w:firstLine="420" w:firstLineChars="200"/>
              <w:rPr>
                <w:sz w:val="21"/>
                <w:szCs w:val="21"/>
              </w:rPr>
            </w:pPr>
            <w:r>
              <w:rPr>
                <w:sz w:val="21"/>
                <w:szCs w:val="21"/>
              </w:rPr>
              <w:t>1……</w:t>
            </w:r>
          </w:p>
          <w:p w14:paraId="38A67451">
            <w:pPr>
              <w:pStyle w:val="43"/>
              <w:spacing w:after="100" w:line="240" w:lineRule="auto"/>
              <w:ind w:firstLine="420" w:firstLineChars="200"/>
              <w:rPr>
                <w:sz w:val="21"/>
                <w:szCs w:val="21"/>
              </w:rPr>
            </w:pPr>
            <w:r>
              <w:rPr>
                <w:sz w:val="21"/>
                <w:szCs w:val="21"/>
              </w:rPr>
              <w:t>2……</w:t>
            </w:r>
          </w:p>
          <w:p w14:paraId="5B795723">
            <w:pPr>
              <w:pStyle w:val="43"/>
              <w:spacing w:after="100" w:line="240" w:lineRule="auto"/>
              <w:ind w:firstLine="420" w:firstLineChars="200"/>
              <w:rPr>
                <w:sz w:val="21"/>
                <w:szCs w:val="21"/>
              </w:rPr>
            </w:pPr>
            <w:r>
              <w:rPr>
                <w:sz w:val="21"/>
                <w:szCs w:val="21"/>
              </w:rPr>
              <w:t>3……</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14:paraId="730FEDBC">
            <w:pPr>
              <w:rPr>
                <w:sz w:val="11"/>
                <w:szCs w:val="11"/>
              </w:rPr>
            </w:pPr>
          </w:p>
        </w:tc>
      </w:tr>
    </w:tbl>
    <w:p w14:paraId="6E1E295A">
      <w:pPr>
        <w:pStyle w:val="37"/>
        <w:tabs>
          <w:tab w:val="left" w:pos="570"/>
        </w:tabs>
        <w:spacing w:line="405" w:lineRule="exact"/>
        <w:ind w:left="220" w:firstLine="420" w:firstLineChars="200"/>
        <w:jc w:val="both"/>
        <w:rPr>
          <w:sz w:val="21"/>
          <w:szCs w:val="21"/>
          <w:lang w:eastAsia="zh-CN"/>
        </w:rPr>
      </w:pPr>
      <w:bookmarkStart w:id="291" w:name="bookmark430"/>
      <w:bookmarkEnd w:id="291"/>
      <w:r>
        <w:rPr>
          <w:rFonts w:hint="eastAsia"/>
          <w:sz w:val="21"/>
          <w:szCs w:val="21"/>
          <w:lang w:eastAsia="zh-CN"/>
        </w:rPr>
        <w:t>注：</w:t>
      </w:r>
    </w:p>
    <w:p w14:paraId="66C884F5">
      <w:pPr>
        <w:pStyle w:val="37"/>
        <w:tabs>
          <w:tab w:val="left" w:pos="570"/>
        </w:tabs>
        <w:spacing w:line="405" w:lineRule="exact"/>
        <w:ind w:left="220" w:firstLine="420" w:firstLineChars="200"/>
        <w:jc w:val="both"/>
        <w:rPr>
          <w:sz w:val="21"/>
          <w:szCs w:val="21"/>
        </w:rPr>
      </w:pPr>
      <w:r>
        <w:rPr>
          <w:rFonts w:hint="eastAsia"/>
          <w:sz w:val="21"/>
          <w:szCs w:val="21"/>
          <w:lang w:val="en-US" w:eastAsia="zh-CN"/>
        </w:rPr>
        <w:t>1.</w:t>
      </w:r>
      <w:r>
        <w:rPr>
          <w:sz w:val="21"/>
          <w:szCs w:val="21"/>
        </w:rPr>
        <w:t>说明：应对照磋商文件“第二章</w:t>
      </w:r>
      <w:r>
        <w:rPr>
          <w:rFonts w:hint="eastAsia"/>
          <w:sz w:val="21"/>
          <w:szCs w:val="21"/>
          <w:lang w:val="en-US" w:eastAsia="zh-CN"/>
        </w:rPr>
        <w:t xml:space="preserve"> </w:t>
      </w:r>
      <w:r>
        <w:rPr>
          <w:sz w:val="21"/>
          <w:szCs w:val="21"/>
        </w:rPr>
        <w:t>釆购需求”中的商务条款逐条作岀明确响应，并作岀偏离说明。</w:t>
      </w:r>
    </w:p>
    <w:p w14:paraId="4C708B7B">
      <w:pPr>
        <w:pStyle w:val="37"/>
        <w:tabs>
          <w:tab w:val="left" w:pos="570"/>
        </w:tabs>
        <w:spacing w:line="405" w:lineRule="exact"/>
        <w:ind w:left="220" w:firstLine="420" w:firstLineChars="200"/>
        <w:jc w:val="both"/>
        <w:rPr>
          <w:sz w:val="21"/>
          <w:szCs w:val="21"/>
          <w:lang w:eastAsia="zh-CN"/>
        </w:rPr>
      </w:pPr>
      <w:bookmarkStart w:id="292" w:name="bookmark431"/>
      <w:bookmarkEnd w:id="292"/>
      <w:r>
        <w:rPr>
          <w:rFonts w:hint="eastAsia"/>
          <w:sz w:val="21"/>
          <w:szCs w:val="21"/>
          <w:lang w:val="en-US" w:eastAsia="zh-CN"/>
        </w:rPr>
        <w:t>2.</w:t>
      </w:r>
      <w:r>
        <w:rPr>
          <w:sz w:val="21"/>
          <w:szCs w:val="21"/>
        </w:rPr>
        <w:t>供应商应根据自身的承诺，对照磋商文件要求，在“偏离说明</w:t>
      </w:r>
      <w:r>
        <w:rPr>
          <w:sz w:val="21"/>
          <w:szCs w:val="21"/>
          <w:lang w:val="zh-CN" w:eastAsia="zh-CN" w:bidi="zh-CN"/>
        </w:rPr>
        <w:t>”中注</w:t>
      </w:r>
      <w:r>
        <w:rPr>
          <w:sz w:val="21"/>
          <w:szCs w:val="21"/>
        </w:rPr>
        <w:t>明“正偏离”</w:t>
      </w:r>
      <w:r>
        <w:rPr>
          <w:sz w:val="21"/>
          <w:szCs w:val="21"/>
          <w:lang w:val="zh-CN" w:eastAsia="zh-CN" w:bidi="zh-CN"/>
        </w:rPr>
        <w:t xml:space="preserve">、“负 </w:t>
      </w:r>
      <w:r>
        <w:rPr>
          <w:sz w:val="21"/>
          <w:szCs w:val="21"/>
        </w:rPr>
        <w:t>偏离</w:t>
      </w:r>
      <w:r>
        <w:rPr>
          <w:sz w:val="21"/>
          <w:szCs w:val="21"/>
          <w:lang w:val="zh-CN" w:eastAsia="zh-CN" w:bidi="zh-CN"/>
        </w:rPr>
        <w:t>”或者“无</w:t>
      </w:r>
      <w:r>
        <w:rPr>
          <w:sz w:val="21"/>
          <w:szCs w:val="21"/>
        </w:rPr>
        <w:t xml:space="preserve">偏离〃 </w:t>
      </w:r>
      <w:r>
        <w:rPr>
          <w:rFonts w:hint="eastAsia"/>
          <w:sz w:val="21"/>
          <w:szCs w:val="21"/>
          <w:lang w:eastAsia="zh-CN"/>
        </w:rPr>
        <w:t>。</w:t>
      </w:r>
      <w:r>
        <w:rPr>
          <w:sz w:val="21"/>
          <w:szCs w:val="21"/>
        </w:rPr>
        <w:t>既不属于“正偏离</w:t>
      </w:r>
      <w:r>
        <w:rPr>
          <w:sz w:val="21"/>
          <w:szCs w:val="21"/>
          <w:lang w:val="zh-CN" w:eastAsia="zh-CN" w:bidi="zh-CN"/>
        </w:rPr>
        <w:t>”也不</w:t>
      </w:r>
      <w:r>
        <w:rPr>
          <w:sz w:val="21"/>
          <w:szCs w:val="21"/>
        </w:rPr>
        <w:t>属于“负偏离</w:t>
      </w:r>
      <w:r>
        <w:rPr>
          <w:sz w:val="21"/>
          <w:szCs w:val="21"/>
          <w:lang w:val="zh-CN" w:eastAsia="zh-CN" w:bidi="zh-CN"/>
        </w:rPr>
        <w:t>”即为“无</w:t>
      </w:r>
      <w:r>
        <w:rPr>
          <w:sz w:val="21"/>
          <w:szCs w:val="21"/>
        </w:rPr>
        <w:t>偏离”</w:t>
      </w:r>
      <w:r>
        <w:rPr>
          <w:rFonts w:hint="eastAsia"/>
          <w:sz w:val="21"/>
          <w:szCs w:val="21"/>
          <w:lang w:eastAsia="zh-CN"/>
        </w:rPr>
        <w:t>。</w:t>
      </w:r>
      <w:r>
        <w:rPr>
          <w:sz w:val="21"/>
          <w:szCs w:val="21"/>
        </w:rPr>
        <w:t>当响应文件的商务内容低于竞争性磋商釆购文件要求时，竞标人应当如实写明</w:t>
      </w:r>
      <w:r>
        <w:rPr>
          <w:sz w:val="21"/>
          <w:szCs w:val="21"/>
          <w:lang w:val="zh-CN" w:eastAsia="zh-CN" w:bidi="zh-CN"/>
        </w:rPr>
        <w:t>“负偏</w:t>
      </w:r>
      <w:r>
        <w:rPr>
          <w:sz w:val="21"/>
          <w:szCs w:val="21"/>
        </w:rPr>
        <w:t>离”，否则视为虚假应标</w:t>
      </w:r>
      <w:r>
        <w:rPr>
          <w:rFonts w:hint="eastAsia"/>
          <w:sz w:val="21"/>
          <w:szCs w:val="21"/>
          <w:lang w:eastAsia="zh-CN"/>
        </w:rPr>
        <w:t>。</w:t>
      </w:r>
    </w:p>
    <w:p w14:paraId="6DBC1F08">
      <w:pPr>
        <w:pStyle w:val="37"/>
        <w:tabs>
          <w:tab w:val="left" w:pos="570"/>
        </w:tabs>
        <w:spacing w:line="405" w:lineRule="exact"/>
        <w:ind w:left="220" w:firstLine="420" w:firstLineChars="200"/>
        <w:rPr>
          <w:sz w:val="21"/>
          <w:szCs w:val="21"/>
        </w:rPr>
      </w:pPr>
      <w:bookmarkStart w:id="293" w:name="bookmark432"/>
      <w:bookmarkEnd w:id="293"/>
      <w:r>
        <w:rPr>
          <w:rFonts w:hint="eastAsia"/>
          <w:sz w:val="21"/>
          <w:szCs w:val="21"/>
          <w:lang w:val="en-US" w:eastAsia="zh-CN"/>
        </w:rPr>
        <w:t>3.</w:t>
      </w:r>
      <w:r>
        <w:rPr>
          <w:sz w:val="21"/>
          <w:szCs w:val="21"/>
        </w:rPr>
        <w:t>表格内容均需按要求填写，不得留空，否则按竞标无效处理。</w:t>
      </w:r>
    </w:p>
    <w:p w14:paraId="16AFEEEB">
      <w:pPr>
        <w:pStyle w:val="37"/>
        <w:tabs>
          <w:tab w:val="left" w:pos="570"/>
        </w:tabs>
        <w:spacing w:after="40" w:line="405" w:lineRule="exact"/>
        <w:ind w:left="220" w:firstLine="420" w:firstLineChars="200"/>
        <w:jc w:val="both"/>
        <w:rPr>
          <w:sz w:val="21"/>
          <w:szCs w:val="21"/>
        </w:rPr>
      </w:pPr>
      <w:bookmarkStart w:id="294" w:name="bookmark433"/>
      <w:bookmarkEnd w:id="294"/>
      <w:r>
        <w:rPr>
          <w:rFonts w:hint="eastAsia"/>
          <w:sz w:val="21"/>
          <w:szCs w:val="21"/>
          <w:lang w:val="en-US" w:eastAsia="zh-CN"/>
        </w:rPr>
        <w:t>4.</w:t>
      </w:r>
      <w:r>
        <w:rPr>
          <w:sz w:val="21"/>
          <w:szCs w:val="21"/>
        </w:rPr>
        <w:t>如果釆购需求为小于、小于等于、大于或大于等于某个数值标准时，响应文件承诺不得直接复制釆购需求,响应文件承诺内容应当写明竞标货物具体参数或商务响应承诺的具体数值, 否则按竞标无效处理。如该釆购需求属于不能明确具体数值的，釆购入应在此釆购需求的数值后标注</w:t>
      </w:r>
      <w:r>
        <w:rPr>
          <w:rFonts w:ascii="Times New Roman" w:hAnsi="Times New Roman" w:eastAsia="Times New Roman" w:cs="Times New Roman"/>
          <w:sz w:val="32"/>
          <w:szCs w:val="32"/>
        </w:rPr>
        <w:t>♦</w:t>
      </w:r>
      <w:r>
        <w:rPr>
          <w:sz w:val="21"/>
          <w:szCs w:val="21"/>
        </w:rPr>
        <w:t>号，对标注</w:t>
      </w:r>
      <w:r>
        <w:rPr>
          <w:rFonts w:ascii="Times New Roman" w:hAnsi="Times New Roman" w:eastAsia="Times New Roman" w:cs="Times New Roman"/>
          <w:sz w:val="32"/>
          <w:szCs w:val="32"/>
        </w:rPr>
        <w:t>♦</w:t>
      </w:r>
      <w:r>
        <w:rPr>
          <w:sz w:val="21"/>
          <w:szCs w:val="21"/>
        </w:rPr>
        <w:t>号的釆购需求不适用上述</w:t>
      </w:r>
      <w:r>
        <w:rPr>
          <w:sz w:val="21"/>
          <w:szCs w:val="21"/>
          <w:lang w:val="zh-CN" w:eastAsia="zh-CN" w:bidi="zh-CN"/>
        </w:rPr>
        <w:t>“竞标</w:t>
      </w:r>
      <w:r>
        <w:rPr>
          <w:sz w:val="21"/>
          <w:szCs w:val="21"/>
        </w:rPr>
        <w:t>无效”条款。</w:t>
      </w:r>
    </w:p>
    <w:p w14:paraId="4F9A6F1C">
      <w:pPr>
        <w:pStyle w:val="37"/>
        <w:spacing w:after="40" w:line="240" w:lineRule="auto"/>
        <w:ind w:firstLine="420" w:firstLineChars="200"/>
        <w:jc w:val="center"/>
        <w:rPr>
          <w:sz w:val="21"/>
          <w:szCs w:val="21"/>
        </w:rPr>
      </w:pPr>
      <w:r>
        <w:rPr>
          <w:sz w:val="21"/>
          <w:szCs w:val="21"/>
        </w:rPr>
        <w:t>供应商名称（电子签章）：</w:t>
      </w:r>
    </w:p>
    <w:p w14:paraId="43962BA1">
      <w:pPr>
        <w:pStyle w:val="37"/>
        <w:spacing w:after="200" w:line="405" w:lineRule="exact"/>
        <w:ind w:right="900" w:firstLine="420" w:firstLineChars="200"/>
        <w:jc w:val="right"/>
        <w:rPr>
          <w:sz w:val="21"/>
          <w:szCs w:val="21"/>
        </w:rPr>
      </w:pPr>
      <w:r>
        <w:rPr>
          <w:sz w:val="21"/>
          <w:szCs w:val="21"/>
        </w:rPr>
        <w:t>日期：年 月 日</w:t>
      </w:r>
      <w:r>
        <w:rPr>
          <w:sz w:val="21"/>
          <w:szCs w:val="21"/>
        </w:rPr>
        <w:br w:type="page"/>
      </w:r>
    </w:p>
    <w:p w14:paraId="4B45FAAF">
      <w:pPr>
        <w:pStyle w:val="41"/>
        <w:keepNext/>
        <w:keepLines/>
        <w:spacing w:after="800"/>
        <w:ind w:firstLine="643" w:firstLineChars="200"/>
        <w:jc w:val="left"/>
        <w:rPr>
          <w:b/>
          <w:bCs/>
          <w:sz w:val="32"/>
          <w:szCs w:val="32"/>
        </w:rPr>
      </w:pPr>
      <w:bookmarkStart w:id="295" w:name="bookmark436"/>
      <w:bookmarkStart w:id="296" w:name="bookmark434"/>
      <w:bookmarkStart w:id="297" w:name="bookmark435"/>
      <w:r>
        <w:rPr>
          <w:rFonts w:hint="eastAsia"/>
          <w:b/>
          <w:bCs/>
          <w:color w:val="031A42"/>
          <w:sz w:val="32"/>
          <w:szCs w:val="32"/>
          <w:lang w:eastAsia="zh-CN"/>
        </w:rPr>
        <w:t>五、</w:t>
      </w:r>
      <w:r>
        <w:rPr>
          <w:b/>
          <w:bCs/>
          <w:color w:val="031A42"/>
          <w:sz w:val="32"/>
          <w:szCs w:val="32"/>
        </w:rPr>
        <w:t>供应商类似的</w:t>
      </w:r>
      <w:r>
        <w:rPr>
          <w:b/>
          <w:bCs/>
          <w:sz w:val="32"/>
          <w:szCs w:val="32"/>
        </w:rPr>
        <w:t>业绩证</w:t>
      </w:r>
      <w:r>
        <w:rPr>
          <w:b/>
          <w:bCs/>
          <w:color w:val="031A42"/>
          <w:sz w:val="32"/>
          <w:szCs w:val="32"/>
        </w:rPr>
        <w:t>明文件</w:t>
      </w:r>
      <w:bookmarkEnd w:id="295"/>
      <w:bookmarkEnd w:id="296"/>
      <w:bookmarkEnd w:id="297"/>
    </w:p>
    <w:p w14:paraId="3793DBB1">
      <w:pPr>
        <w:pStyle w:val="45"/>
        <w:spacing w:line="480" w:lineRule="exact"/>
        <w:ind w:left="315" w:firstLine="422" w:firstLineChars="200"/>
        <w:rPr>
          <w:b/>
          <w:bCs/>
          <w:sz w:val="21"/>
          <w:szCs w:val="21"/>
        </w:rPr>
      </w:pPr>
      <w:r>
        <w:rPr>
          <w:rFonts w:ascii="宋体" w:hAnsi="宋体" w:eastAsia="宋体" w:cs="宋体"/>
          <w:b/>
          <w:bCs/>
          <w:sz w:val="21"/>
          <w:szCs w:val="21"/>
        </w:rPr>
        <w:t>附表</w:t>
      </w:r>
      <w:r>
        <w:rPr>
          <w:rFonts w:hint="eastAsia" w:ascii="宋体" w:hAnsi="宋体" w:eastAsia="宋体" w:cs="宋体"/>
          <w:b/>
          <w:bCs/>
          <w:sz w:val="21"/>
          <w:szCs w:val="21"/>
          <w:lang w:eastAsia="zh-CN"/>
        </w:rPr>
        <w:t>：</w:t>
      </w:r>
      <w:r>
        <w:rPr>
          <w:rFonts w:ascii="宋体" w:hAnsi="宋体" w:eastAsia="宋体" w:cs="宋体"/>
          <w:b/>
          <w:bCs/>
          <w:sz w:val="21"/>
          <w:szCs w:val="21"/>
        </w:rPr>
        <w:t xml:space="preserve"> </w:t>
      </w:r>
      <w:r>
        <w:rPr>
          <w:rFonts w:hint="eastAsia" w:ascii="宋体" w:hAnsi="宋体" w:eastAsia="宋体" w:cs="宋体"/>
          <w:b/>
          <w:bCs/>
          <w:sz w:val="21"/>
          <w:szCs w:val="21"/>
          <w:lang w:eastAsia="zh-CN"/>
        </w:rPr>
        <w:t>相关</w:t>
      </w:r>
      <w:r>
        <w:rPr>
          <w:rFonts w:ascii="宋体" w:hAnsi="宋体" w:eastAsia="宋体" w:cs="宋体"/>
          <w:b/>
          <w:bCs/>
          <w:sz w:val="21"/>
          <w:szCs w:val="21"/>
        </w:rPr>
        <w:t>项目业绩一览表（供应商同类项目合同复印件、用户验收报告、用户评价意见格式自拟）</w:t>
      </w:r>
    </w:p>
    <w:p w14:paraId="4A319A21">
      <w:pPr>
        <w:pStyle w:val="45"/>
        <w:spacing w:line="390" w:lineRule="exact"/>
        <w:ind w:left="315" w:firstLine="400" w:firstLineChars="200"/>
        <w:rPr>
          <w:sz w:val="20"/>
          <w:szCs w:val="20"/>
        </w:rPr>
      </w:pPr>
      <w:r>
        <w:rPr>
          <w:rFonts w:ascii="宋体" w:hAnsi="宋体" w:eastAsia="宋体" w:cs="宋体"/>
          <w:sz w:val="20"/>
          <w:szCs w:val="20"/>
        </w:rPr>
        <w:t>注：供应商可按上述的格式自行编制，须随表提交相应的合同复印件和用户单位验收证明并注明所在供应商商 务技术文件页码。</w:t>
      </w:r>
    </w:p>
    <w:tbl>
      <w:tblPr>
        <w:tblStyle w:val="14"/>
        <w:tblW w:w="0" w:type="auto"/>
        <w:jc w:val="center"/>
        <w:tblLayout w:type="fixed"/>
        <w:tblCellMar>
          <w:top w:w="0" w:type="dxa"/>
          <w:left w:w="10" w:type="dxa"/>
          <w:bottom w:w="0" w:type="dxa"/>
          <w:right w:w="10" w:type="dxa"/>
        </w:tblCellMar>
      </w:tblPr>
      <w:tblGrid>
        <w:gridCol w:w="1380"/>
        <w:gridCol w:w="1845"/>
        <w:gridCol w:w="1140"/>
        <w:gridCol w:w="1140"/>
        <w:gridCol w:w="1695"/>
        <w:gridCol w:w="1275"/>
        <w:gridCol w:w="1860"/>
      </w:tblGrid>
      <w:tr w14:paraId="347E1C5D">
        <w:tblPrEx>
          <w:tblCellMar>
            <w:top w:w="0" w:type="dxa"/>
            <w:left w:w="10" w:type="dxa"/>
            <w:bottom w:w="0" w:type="dxa"/>
            <w:right w:w="10" w:type="dxa"/>
          </w:tblCellMar>
        </w:tblPrEx>
        <w:trPr>
          <w:trHeight w:val="495" w:hRule="exact"/>
          <w:jc w:val="center"/>
        </w:trPr>
        <w:tc>
          <w:tcPr>
            <w:tcW w:w="1380" w:type="dxa"/>
            <w:vMerge w:val="restart"/>
            <w:tcBorders>
              <w:top w:val="single" w:color="auto" w:sz="4" w:space="0"/>
              <w:left w:val="single" w:color="auto" w:sz="4" w:space="0"/>
            </w:tcBorders>
            <w:shd w:val="clear" w:color="auto" w:fill="FFFFFF"/>
            <w:vAlign w:val="center"/>
          </w:tcPr>
          <w:p w14:paraId="2B337346">
            <w:pPr>
              <w:pStyle w:val="43"/>
              <w:spacing w:line="240" w:lineRule="auto"/>
              <w:ind w:firstLine="140"/>
              <w:rPr>
                <w:sz w:val="21"/>
                <w:szCs w:val="21"/>
                <w:lang w:eastAsia="zh-CN"/>
              </w:rPr>
            </w:pPr>
            <w:r>
              <w:rPr>
                <w:rFonts w:hint="eastAsia"/>
                <w:sz w:val="21"/>
                <w:szCs w:val="21"/>
                <w:lang w:eastAsia="zh-CN"/>
              </w:rPr>
              <w:t>采购人名称</w:t>
            </w:r>
          </w:p>
        </w:tc>
        <w:tc>
          <w:tcPr>
            <w:tcW w:w="1845" w:type="dxa"/>
            <w:vMerge w:val="restart"/>
            <w:tcBorders>
              <w:top w:val="single" w:color="auto" w:sz="4" w:space="0"/>
              <w:left w:val="single" w:color="auto" w:sz="4" w:space="0"/>
            </w:tcBorders>
            <w:shd w:val="clear" w:color="auto" w:fill="FFFFFF"/>
            <w:vAlign w:val="center"/>
          </w:tcPr>
          <w:p w14:paraId="430C745B">
            <w:pPr>
              <w:pStyle w:val="43"/>
              <w:spacing w:line="240" w:lineRule="auto"/>
              <w:ind w:firstLine="0"/>
              <w:jc w:val="center"/>
              <w:rPr>
                <w:sz w:val="21"/>
                <w:szCs w:val="21"/>
              </w:rPr>
            </w:pPr>
            <w:r>
              <w:rPr>
                <w:sz w:val="21"/>
                <w:szCs w:val="21"/>
              </w:rPr>
              <w:t>项目名称</w:t>
            </w:r>
          </w:p>
        </w:tc>
        <w:tc>
          <w:tcPr>
            <w:tcW w:w="1140" w:type="dxa"/>
            <w:vMerge w:val="restart"/>
            <w:tcBorders>
              <w:top w:val="single" w:color="auto" w:sz="4" w:space="0"/>
              <w:left w:val="single" w:color="auto" w:sz="4" w:space="0"/>
            </w:tcBorders>
            <w:shd w:val="clear" w:color="auto" w:fill="FFFFFF"/>
            <w:vAlign w:val="center"/>
          </w:tcPr>
          <w:p w14:paraId="5C3D8EC4">
            <w:pPr>
              <w:pStyle w:val="43"/>
              <w:spacing w:line="240" w:lineRule="auto"/>
              <w:ind w:firstLine="0"/>
              <w:jc w:val="center"/>
              <w:rPr>
                <w:sz w:val="21"/>
                <w:szCs w:val="21"/>
                <w:lang w:eastAsia="zh-CN"/>
              </w:rPr>
            </w:pPr>
            <w:r>
              <w:rPr>
                <w:rFonts w:hint="eastAsia"/>
                <w:sz w:val="21"/>
                <w:szCs w:val="21"/>
                <w:lang w:eastAsia="zh-CN"/>
              </w:rPr>
              <w:t>合同金额（万元）</w:t>
            </w:r>
          </w:p>
        </w:tc>
        <w:tc>
          <w:tcPr>
            <w:tcW w:w="4110" w:type="dxa"/>
            <w:gridSpan w:val="3"/>
            <w:tcBorders>
              <w:top w:val="single" w:color="auto" w:sz="4" w:space="0"/>
              <w:left w:val="single" w:color="auto" w:sz="4" w:space="0"/>
            </w:tcBorders>
            <w:shd w:val="clear" w:color="auto" w:fill="FFFFFF"/>
          </w:tcPr>
          <w:p w14:paraId="5D3ADCD5">
            <w:pPr>
              <w:pStyle w:val="43"/>
              <w:spacing w:line="240" w:lineRule="auto"/>
              <w:ind w:firstLine="0"/>
              <w:jc w:val="center"/>
              <w:rPr>
                <w:sz w:val="21"/>
                <w:szCs w:val="21"/>
              </w:rPr>
            </w:pPr>
            <w:r>
              <w:rPr>
                <w:sz w:val="21"/>
                <w:szCs w:val="21"/>
              </w:rPr>
              <w:t>附件在响应文件中页码</w:t>
            </w:r>
          </w:p>
        </w:tc>
        <w:tc>
          <w:tcPr>
            <w:tcW w:w="1860" w:type="dxa"/>
            <w:vMerge w:val="restart"/>
            <w:tcBorders>
              <w:top w:val="single" w:color="auto" w:sz="4" w:space="0"/>
              <w:left w:val="single" w:color="auto" w:sz="4" w:space="0"/>
              <w:right w:val="single" w:color="auto" w:sz="4" w:space="0"/>
            </w:tcBorders>
            <w:shd w:val="clear" w:color="auto" w:fill="FFFFFF"/>
          </w:tcPr>
          <w:p w14:paraId="482C50E2">
            <w:pPr>
              <w:pStyle w:val="43"/>
              <w:spacing w:before="100" w:line="240" w:lineRule="auto"/>
              <w:ind w:firstLine="0"/>
              <w:jc w:val="center"/>
              <w:rPr>
                <w:sz w:val="21"/>
                <w:szCs w:val="21"/>
                <w:lang w:eastAsia="zh-CN"/>
              </w:rPr>
            </w:pPr>
          </w:p>
          <w:p w14:paraId="274454FA">
            <w:pPr>
              <w:pStyle w:val="43"/>
              <w:spacing w:before="100" w:line="240" w:lineRule="auto"/>
              <w:ind w:firstLine="0"/>
              <w:jc w:val="center"/>
              <w:rPr>
                <w:sz w:val="21"/>
                <w:szCs w:val="21"/>
                <w:lang w:eastAsia="zh-CN"/>
              </w:rPr>
            </w:pPr>
            <w:r>
              <w:rPr>
                <w:rFonts w:hint="eastAsia"/>
                <w:sz w:val="21"/>
                <w:szCs w:val="21"/>
                <w:lang w:eastAsia="zh-CN"/>
              </w:rPr>
              <w:t>采购人联系人及联系电话</w:t>
            </w:r>
          </w:p>
        </w:tc>
      </w:tr>
      <w:tr w14:paraId="4481C773">
        <w:tblPrEx>
          <w:tblCellMar>
            <w:top w:w="0" w:type="dxa"/>
            <w:left w:w="10" w:type="dxa"/>
            <w:bottom w:w="0" w:type="dxa"/>
            <w:right w:w="10" w:type="dxa"/>
          </w:tblCellMar>
        </w:tblPrEx>
        <w:trPr>
          <w:trHeight w:val="855" w:hRule="exact"/>
          <w:jc w:val="center"/>
        </w:trPr>
        <w:tc>
          <w:tcPr>
            <w:tcW w:w="1380" w:type="dxa"/>
            <w:vMerge w:val="continue"/>
            <w:tcBorders>
              <w:left w:val="single" w:color="auto" w:sz="4" w:space="0"/>
            </w:tcBorders>
            <w:shd w:val="clear" w:color="auto" w:fill="FFFFFF"/>
            <w:vAlign w:val="center"/>
          </w:tcPr>
          <w:p w14:paraId="39EE9713">
            <w:pPr>
              <w:rPr>
                <w:sz w:val="28"/>
                <w:szCs w:val="28"/>
                <w:lang w:eastAsia="zh-CN"/>
              </w:rPr>
            </w:pPr>
          </w:p>
        </w:tc>
        <w:tc>
          <w:tcPr>
            <w:tcW w:w="1845" w:type="dxa"/>
            <w:vMerge w:val="continue"/>
            <w:tcBorders>
              <w:left w:val="single" w:color="auto" w:sz="4" w:space="0"/>
            </w:tcBorders>
            <w:shd w:val="clear" w:color="auto" w:fill="FFFFFF"/>
            <w:vAlign w:val="center"/>
          </w:tcPr>
          <w:p w14:paraId="24941846">
            <w:pPr>
              <w:rPr>
                <w:sz w:val="28"/>
                <w:szCs w:val="28"/>
                <w:lang w:eastAsia="zh-CN"/>
              </w:rPr>
            </w:pPr>
          </w:p>
        </w:tc>
        <w:tc>
          <w:tcPr>
            <w:tcW w:w="1140" w:type="dxa"/>
            <w:vMerge w:val="continue"/>
            <w:tcBorders>
              <w:left w:val="single" w:color="auto" w:sz="4" w:space="0"/>
            </w:tcBorders>
            <w:shd w:val="clear" w:color="auto" w:fill="FFFFFF"/>
            <w:vAlign w:val="center"/>
          </w:tcPr>
          <w:p w14:paraId="7E28E564">
            <w:pPr>
              <w:rPr>
                <w:rFonts w:ascii="宋体" w:hAnsi="宋体" w:eastAsia="宋体" w:cs="宋体"/>
                <w:sz w:val="21"/>
                <w:szCs w:val="21"/>
                <w:lang w:val="zh-TW" w:eastAsia="zh-TW" w:bidi="zh-TW"/>
              </w:rPr>
            </w:pPr>
          </w:p>
        </w:tc>
        <w:tc>
          <w:tcPr>
            <w:tcW w:w="1140" w:type="dxa"/>
            <w:tcBorders>
              <w:top w:val="single" w:color="auto" w:sz="4" w:space="0"/>
              <w:left w:val="single" w:color="auto" w:sz="4" w:space="0"/>
            </w:tcBorders>
            <w:shd w:val="clear" w:color="auto" w:fill="FFFFFF"/>
            <w:vAlign w:val="center"/>
          </w:tcPr>
          <w:p w14:paraId="1305FE5F">
            <w:pPr>
              <w:pStyle w:val="43"/>
              <w:spacing w:line="240" w:lineRule="auto"/>
              <w:ind w:left="60" w:firstLine="0"/>
              <w:jc w:val="center"/>
              <w:rPr>
                <w:sz w:val="21"/>
                <w:szCs w:val="21"/>
              </w:rPr>
            </w:pPr>
            <w:r>
              <w:rPr>
                <w:sz w:val="21"/>
                <w:szCs w:val="21"/>
              </w:rPr>
              <w:t>合同</w:t>
            </w:r>
          </w:p>
        </w:tc>
        <w:tc>
          <w:tcPr>
            <w:tcW w:w="1695" w:type="dxa"/>
            <w:tcBorders>
              <w:top w:val="single" w:color="auto" w:sz="4" w:space="0"/>
              <w:left w:val="single" w:color="auto" w:sz="4" w:space="0"/>
            </w:tcBorders>
            <w:shd w:val="clear" w:color="auto" w:fill="FFFFFF"/>
            <w:vAlign w:val="center"/>
          </w:tcPr>
          <w:p w14:paraId="168C2FB6">
            <w:pPr>
              <w:pStyle w:val="43"/>
              <w:spacing w:line="240" w:lineRule="auto"/>
              <w:ind w:firstLine="0"/>
              <w:jc w:val="center"/>
              <w:rPr>
                <w:sz w:val="21"/>
                <w:szCs w:val="21"/>
              </w:rPr>
            </w:pPr>
            <w:r>
              <w:rPr>
                <w:sz w:val="21"/>
                <w:szCs w:val="21"/>
              </w:rPr>
              <w:t>验收报告</w:t>
            </w:r>
          </w:p>
        </w:tc>
        <w:tc>
          <w:tcPr>
            <w:tcW w:w="1275" w:type="dxa"/>
            <w:tcBorders>
              <w:top w:val="single" w:color="auto" w:sz="4" w:space="0"/>
              <w:left w:val="single" w:color="auto" w:sz="4" w:space="0"/>
            </w:tcBorders>
            <w:shd w:val="clear" w:color="auto" w:fill="FFFFFF"/>
            <w:vAlign w:val="center"/>
          </w:tcPr>
          <w:p w14:paraId="54E3A89C">
            <w:pPr>
              <w:pStyle w:val="43"/>
              <w:spacing w:line="240" w:lineRule="auto"/>
              <w:ind w:firstLine="0"/>
              <w:jc w:val="center"/>
              <w:rPr>
                <w:sz w:val="21"/>
                <w:szCs w:val="21"/>
              </w:rPr>
            </w:pPr>
            <w:r>
              <w:rPr>
                <w:sz w:val="21"/>
                <w:szCs w:val="21"/>
              </w:rPr>
              <w:t>用户评价</w:t>
            </w:r>
          </w:p>
        </w:tc>
        <w:tc>
          <w:tcPr>
            <w:tcW w:w="1860" w:type="dxa"/>
            <w:vMerge w:val="continue"/>
            <w:tcBorders>
              <w:left w:val="single" w:color="auto" w:sz="4" w:space="0"/>
              <w:right w:val="single" w:color="auto" w:sz="4" w:space="0"/>
            </w:tcBorders>
            <w:shd w:val="clear" w:color="auto" w:fill="FFFFFF"/>
          </w:tcPr>
          <w:p w14:paraId="210055CC">
            <w:pPr>
              <w:rPr>
                <w:sz w:val="28"/>
                <w:szCs w:val="28"/>
              </w:rPr>
            </w:pPr>
          </w:p>
        </w:tc>
      </w:tr>
      <w:tr w14:paraId="5CE105FC">
        <w:tblPrEx>
          <w:tblCellMar>
            <w:top w:w="0" w:type="dxa"/>
            <w:left w:w="10" w:type="dxa"/>
            <w:bottom w:w="0" w:type="dxa"/>
            <w:right w:w="10" w:type="dxa"/>
          </w:tblCellMar>
        </w:tblPrEx>
        <w:trPr>
          <w:trHeight w:val="660" w:hRule="exact"/>
          <w:jc w:val="center"/>
        </w:trPr>
        <w:tc>
          <w:tcPr>
            <w:tcW w:w="1380" w:type="dxa"/>
            <w:tcBorders>
              <w:top w:val="single" w:color="auto" w:sz="4" w:space="0"/>
              <w:left w:val="single" w:color="auto" w:sz="4" w:space="0"/>
            </w:tcBorders>
            <w:shd w:val="clear" w:color="auto" w:fill="FFFFFF"/>
          </w:tcPr>
          <w:p w14:paraId="4EDBD3E8">
            <w:pPr>
              <w:rPr>
                <w:sz w:val="11"/>
                <w:szCs w:val="11"/>
              </w:rPr>
            </w:pPr>
          </w:p>
        </w:tc>
        <w:tc>
          <w:tcPr>
            <w:tcW w:w="1845" w:type="dxa"/>
            <w:tcBorders>
              <w:top w:val="single" w:color="auto" w:sz="4" w:space="0"/>
              <w:left w:val="single" w:color="auto" w:sz="4" w:space="0"/>
            </w:tcBorders>
            <w:shd w:val="clear" w:color="auto" w:fill="FFFFFF"/>
          </w:tcPr>
          <w:p w14:paraId="07252D38">
            <w:pPr>
              <w:rPr>
                <w:sz w:val="11"/>
                <w:szCs w:val="11"/>
              </w:rPr>
            </w:pPr>
          </w:p>
        </w:tc>
        <w:tc>
          <w:tcPr>
            <w:tcW w:w="1140" w:type="dxa"/>
            <w:tcBorders>
              <w:top w:val="single" w:color="auto" w:sz="4" w:space="0"/>
              <w:left w:val="single" w:color="auto" w:sz="4" w:space="0"/>
            </w:tcBorders>
            <w:shd w:val="clear" w:color="auto" w:fill="FFFFFF"/>
          </w:tcPr>
          <w:p w14:paraId="6E7D1886">
            <w:pPr>
              <w:rPr>
                <w:rFonts w:ascii="宋体" w:hAnsi="宋体" w:eastAsia="宋体" w:cs="宋体"/>
                <w:sz w:val="21"/>
                <w:szCs w:val="21"/>
                <w:lang w:val="zh-TW" w:eastAsia="zh-TW" w:bidi="zh-TW"/>
              </w:rPr>
            </w:pPr>
          </w:p>
        </w:tc>
        <w:tc>
          <w:tcPr>
            <w:tcW w:w="1140" w:type="dxa"/>
            <w:tcBorders>
              <w:top w:val="single" w:color="auto" w:sz="4" w:space="0"/>
              <w:left w:val="single" w:color="auto" w:sz="4" w:space="0"/>
            </w:tcBorders>
            <w:shd w:val="clear" w:color="auto" w:fill="FFFFFF"/>
          </w:tcPr>
          <w:p w14:paraId="0EBCA13C">
            <w:pPr>
              <w:rPr>
                <w:rFonts w:ascii="宋体" w:hAnsi="宋体" w:eastAsia="宋体" w:cs="宋体"/>
                <w:sz w:val="21"/>
                <w:szCs w:val="21"/>
                <w:lang w:val="zh-TW" w:eastAsia="zh-TW" w:bidi="zh-TW"/>
              </w:rPr>
            </w:pPr>
          </w:p>
        </w:tc>
        <w:tc>
          <w:tcPr>
            <w:tcW w:w="1695" w:type="dxa"/>
            <w:tcBorders>
              <w:top w:val="single" w:color="auto" w:sz="4" w:space="0"/>
              <w:left w:val="single" w:color="auto" w:sz="4" w:space="0"/>
            </w:tcBorders>
            <w:shd w:val="clear" w:color="auto" w:fill="FFFFFF"/>
          </w:tcPr>
          <w:p w14:paraId="2742EBD5">
            <w:pPr>
              <w:rPr>
                <w:sz w:val="11"/>
                <w:szCs w:val="11"/>
              </w:rPr>
            </w:pPr>
          </w:p>
        </w:tc>
        <w:tc>
          <w:tcPr>
            <w:tcW w:w="1275" w:type="dxa"/>
            <w:tcBorders>
              <w:top w:val="single" w:color="auto" w:sz="4" w:space="0"/>
              <w:left w:val="single" w:color="auto" w:sz="4" w:space="0"/>
            </w:tcBorders>
            <w:shd w:val="clear" w:color="auto" w:fill="FFFFFF"/>
          </w:tcPr>
          <w:p w14:paraId="397761B3">
            <w:pPr>
              <w:rPr>
                <w:sz w:val="11"/>
                <w:szCs w:val="11"/>
              </w:rPr>
            </w:pPr>
          </w:p>
        </w:tc>
        <w:tc>
          <w:tcPr>
            <w:tcW w:w="1860" w:type="dxa"/>
            <w:tcBorders>
              <w:top w:val="single" w:color="auto" w:sz="4" w:space="0"/>
              <w:left w:val="single" w:color="auto" w:sz="4" w:space="0"/>
              <w:right w:val="single" w:color="auto" w:sz="4" w:space="0"/>
            </w:tcBorders>
            <w:shd w:val="clear" w:color="auto" w:fill="FFFFFF"/>
          </w:tcPr>
          <w:p w14:paraId="17798DE8">
            <w:pPr>
              <w:rPr>
                <w:sz w:val="11"/>
                <w:szCs w:val="11"/>
              </w:rPr>
            </w:pPr>
          </w:p>
        </w:tc>
      </w:tr>
      <w:tr w14:paraId="54849292">
        <w:tblPrEx>
          <w:tblCellMar>
            <w:top w:w="0" w:type="dxa"/>
            <w:left w:w="10" w:type="dxa"/>
            <w:bottom w:w="0" w:type="dxa"/>
            <w:right w:w="10" w:type="dxa"/>
          </w:tblCellMar>
        </w:tblPrEx>
        <w:trPr>
          <w:trHeight w:val="570" w:hRule="exact"/>
          <w:jc w:val="center"/>
        </w:trPr>
        <w:tc>
          <w:tcPr>
            <w:tcW w:w="1380" w:type="dxa"/>
            <w:tcBorders>
              <w:top w:val="single" w:color="auto" w:sz="4" w:space="0"/>
              <w:left w:val="single" w:color="auto" w:sz="4" w:space="0"/>
            </w:tcBorders>
            <w:shd w:val="clear" w:color="auto" w:fill="FFFFFF"/>
          </w:tcPr>
          <w:p w14:paraId="329FE080">
            <w:pPr>
              <w:rPr>
                <w:sz w:val="11"/>
                <w:szCs w:val="11"/>
              </w:rPr>
            </w:pPr>
          </w:p>
        </w:tc>
        <w:tc>
          <w:tcPr>
            <w:tcW w:w="1845" w:type="dxa"/>
            <w:tcBorders>
              <w:top w:val="single" w:color="auto" w:sz="4" w:space="0"/>
              <w:left w:val="single" w:color="auto" w:sz="4" w:space="0"/>
            </w:tcBorders>
            <w:shd w:val="clear" w:color="auto" w:fill="FFFFFF"/>
          </w:tcPr>
          <w:p w14:paraId="0B3C4AA5">
            <w:pPr>
              <w:rPr>
                <w:sz w:val="11"/>
                <w:szCs w:val="11"/>
              </w:rPr>
            </w:pPr>
          </w:p>
        </w:tc>
        <w:tc>
          <w:tcPr>
            <w:tcW w:w="1140" w:type="dxa"/>
            <w:tcBorders>
              <w:top w:val="single" w:color="auto" w:sz="4" w:space="0"/>
              <w:left w:val="single" w:color="auto" w:sz="4" w:space="0"/>
            </w:tcBorders>
            <w:shd w:val="clear" w:color="auto" w:fill="FFFFFF"/>
          </w:tcPr>
          <w:p w14:paraId="01EAB8B1">
            <w:pPr>
              <w:rPr>
                <w:sz w:val="11"/>
                <w:szCs w:val="11"/>
              </w:rPr>
            </w:pPr>
          </w:p>
        </w:tc>
        <w:tc>
          <w:tcPr>
            <w:tcW w:w="1140" w:type="dxa"/>
            <w:tcBorders>
              <w:top w:val="single" w:color="auto" w:sz="4" w:space="0"/>
              <w:left w:val="single" w:color="auto" w:sz="4" w:space="0"/>
            </w:tcBorders>
            <w:shd w:val="clear" w:color="auto" w:fill="FFFFFF"/>
          </w:tcPr>
          <w:p w14:paraId="0DF02179">
            <w:pPr>
              <w:rPr>
                <w:sz w:val="11"/>
                <w:szCs w:val="11"/>
              </w:rPr>
            </w:pPr>
          </w:p>
        </w:tc>
        <w:tc>
          <w:tcPr>
            <w:tcW w:w="1695" w:type="dxa"/>
            <w:tcBorders>
              <w:top w:val="single" w:color="auto" w:sz="4" w:space="0"/>
              <w:left w:val="single" w:color="auto" w:sz="4" w:space="0"/>
            </w:tcBorders>
            <w:shd w:val="clear" w:color="auto" w:fill="FFFFFF"/>
          </w:tcPr>
          <w:p w14:paraId="7A140190">
            <w:pPr>
              <w:rPr>
                <w:sz w:val="11"/>
                <w:szCs w:val="11"/>
              </w:rPr>
            </w:pPr>
          </w:p>
        </w:tc>
        <w:tc>
          <w:tcPr>
            <w:tcW w:w="1275" w:type="dxa"/>
            <w:tcBorders>
              <w:top w:val="single" w:color="auto" w:sz="4" w:space="0"/>
              <w:left w:val="single" w:color="auto" w:sz="4" w:space="0"/>
            </w:tcBorders>
            <w:shd w:val="clear" w:color="auto" w:fill="FFFFFF"/>
          </w:tcPr>
          <w:p w14:paraId="7773E382">
            <w:pPr>
              <w:rPr>
                <w:sz w:val="11"/>
                <w:szCs w:val="11"/>
              </w:rPr>
            </w:pPr>
          </w:p>
        </w:tc>
        <w:tc>
          <w:tcPr>
            <w:tcW w:w="1860" w:type="dxa"/>
            <w:tcBorders>
              <w:top w:val="single" w:color="auto" w:sz="4" w:space="0"/>
              <w:left w:val="single" w:color="auto" w:sz="4" w:space="0"/>
              <w:right w:val="single" w:color="auto" w:sz="4" w:space="0"/>
            </w:tcBorders>
            <w:shd w:val="clear" w:color="auto" w:fill="FFFFFF"/>
          </w:tcPr>
          <w:p w14:paraId="2EA82C3F">
            <w:pPr>
              <w:rPr>
                <w:sz w:val="11"/>
                <w:szCs w:val="11"/>
              </w:rPr>
            </w:pPr>
          </w:p>
        </w:tc>
      </w:tr>
      <w:tr w14:paraId="7BE0B946">
        <w:tblPrEx>
          <w:tblCellMar>
            <w:top w:w="0" w:type="dxa"/>
            <w:left w:w="10" w:type="dxa"/>
            <w:bottom w:w="0" w:type="dxa"/>
            <w:right w:w="10" w:type="dxa"/>
          </w:tblCellMar>
        </w:tblPrEx>
        <w:trPr>
          <w:trHeight w:val="720" w:hRule="exact"/>
          <w:jc w:val="center"/>
        </w:trPr>
        <w:tc>
          <w:tcPr>
            <w:tcW w:w="1380" w:type="dxa"/>
            <w:tcBorders>
              <w:top w:val="single" w:color="auto" w:sz="4" w:space="0"/>
              <w:left w:val="single" w:color="auto" w:sz="4" w:space="0"/>
            </w:tcBorders>
            <w:shd w:val="clear" w:color="auto" w:fill="FFFFFF"/>
          </w:tcPr>
          <w:p w14:paraId="248AAC88">
            <w:pPr>
              <w:rPr>
                <w:sz w:val="11"/>
                <w:szCs w:val="11"/>
              </w:rPr>
            </w:pPr>
          </w:p>
        </w:tc>
        <w:tc>
          <w:tcPr>
            <w:tcW w:w="1845" w:type="dxa"/>
            <w:tcBorders>
              <w:top w:val="single" w:color="auto" w:sz="4" w:space="0"/>
              <w:left w:val="single" w:color="auto" w:sz="4" w:space="0"/>
            </w:tcBorders>
            <w:shd w:val="clear" w:color="auto" w:fill="FFFFFF"/>
          </w:tcPr>
          <w:p w14:paraId="2BAE9B00">
            <w:pPr>
              <w:rPr>
                <w:sz w:val="11"/>
                <w:szCs w:val="11"/>
              </w:rPr>
            </w:pPr>
          </w:p>
        </w:tc>
        <w:tc>
          <w:tcPr>
            <w:tcW w:w="1140" w:type="dxa"/>
            <w:tcBorders>
              <w:top w:val="single" w:color="auto" w:sz="4" w:space="0"/>
              <w:left w:val="single" w:color="auto" w:sz="4" w:space="0"/>
            </w:tcBorders>
            <w:shd w:val="clear" w:color="auto" w:fill="FFFFFF"/>
          </w:tcPr>
          <w:p w14:paraId="61036AD4">
            <w:pPr>
              <w:rPr>
                <w:sz w:val="11"/>
                <w:szCs w:val="11"/>
              </w:rPr>
            </w:pPr>
          </w:p>
        </w:tc>
        <w:tc>
          <w:tcPr>
            <w:tcW w:w="1140" w:type="dxa"/>
            <w:tcBorders>
              <w:top w:val="single" w:color="auto" w:sz="4" w:space="0"/>
              <w:left w:val="single" w:color="auto" w:sz="4" w:space="0"/>
            </w:tcBorders>
            <w:shd w:val="clear" w:color="auto" w:fill="FFFFFF"/>
          </w:tcPr>
          <w:p w14:paraId="7690614F">
            <w:pPr>
              <w:rPr>
                <w:sz w:val="11"/>
                <w:szCs w:val="11"/>
              </w:rPr>
            </w:pPr>
          </w:p>
        </w:tc>
        <w:tc>
          <w:tcPr>
            <w:tcW w:w="1695" w:type="dxa"/>
            <w:tcBorders>
              <w:top w:val="single" w:color="auto" w:sz="4" w:space="0"/>
              <w:left w:val="single" w:color="auto" w:sz="4" w:space="0"/>
            </w:tcBorders>
            <w:shd w:val="clear" w:color="auto" w:fill="FFFFFF"/>
          </w:tcPr>
          <w:p w14:paraId="3E5C8577">
            <w:pPr>
              <w:rPr>
                <w:sz w:val="11"/>
                <w:szCs w:val="11"/>
              </w:rPr>
            </w:pPr>
          </w:p>
        </w:tc>
        <w:tc>
          <w:tcPr>
            <w:tcW w:w="1275" w:type="dxa"/>
            <w:tcBorders>
              <w:top w:val="single" w:color="auto" w:sz="4" w:space="0"/>
              <w:left w:val="single" w:color="auto" w:sz="4" w:space="0"/>
            </w:tcBorders>
            <w:shd w:val="clear" w:color="auto" w:fill="FFFFFF"/>
          </w:tcPr>
          <w:p w14:paraId="08374E06">
            <w:pPr>
              <w:rPr>
                <w:sz w:val="11"/>
                <w:szCs w:val="11"/>
              </w:rPr>
            </w:pPr>
          </w:p>
        </w:tc>
        <w:tc>
          <w:tcPr>
            <w:tcW w:w="1860" w:type="dxa"/>
            <w:tcBorders>
              <w:top w:val="single" w:color="auto" w:sz="4" w:space="0"/>
              <w:left w:val="single" w:color="auto" w:sz="4" w:space="0"/>
              <w:right w:val="single" w:color="auto" w:sz="4" w:space="0"/>
            </w:tcBorders>
            <w:shd w:val="clear" w:color="auto" w:fill="FFFFFF"/>
          </w:tcPr>
          <w:p w14:paraId="04F82B8D">
            <w:pPr>
              <w:rPr>
                <w:sz w:val="11"/>
                <w:szCs w:val="11"/>
              </w:rPr>
            </w:pPr>
          </w:p>
        </w:tc>
      </w:tr>
      <w:tr w14:paraId="36EE8738">
        <w:tblPrEx>
          <w:tblCellMar>
            <w:top w:w="0" w:type="dxa"/>
            <w:left w:w="10" w:type="dxa"/>
            <w:bottom w:w="0" w:type="dxa"/>
            <w:right w:w="10" w:type="dxa"/>
          </w:tblCellMar>
        </w:tblPrEx>
        <w:trPr>
          <w:trHeight w:val="585" w:hRule="exact"/>
          <w:jc w:val="center"/>
        </w:trPr>
        <w:tc>
          <w:tcPr>
            <w:tcW w:w="1380" w:type="dxa"/>
            <w:tcBorders>
              <w:top w:val="single" w:color="auto" w:sz="4" w:space="0"/>
              <w:left w:val="single" w:color="auto" w:sz="4" w:space="0"/>
            </w:tcBorders>
            <w:shd w:val="clear" w:color="auto" w:fill="FFFFFF"/>
          </w:tcPr>
          <w:p w14:paraId="759EACE6">
            <w:pPr>
              <w:rPr>
                <w:sz w:val="11"/>
                <w:szCs w:val="11"/>
              </w:rPr>
            </w:pPr>
          </w:p>
        </w:tc>
        <w:tc>
          <w:tcPr>
            <w:tcW w:w="1845" w:type="dxa"/>
            <w:tcBorders>
              <w:top w:val="single" w:color="auto" w:sz="4" w:space="0"/>
              <w:left w:val="single" w:color="auto" w:sz="4" w:space="0"/>
            </w:tcBorders>
            <w:shd w:val="clear" w:color="auto" w:fill="FFFFFF"/>
          </w:tcPr>
          <w:p w14:paraId="0AC1FE63">
            <w:pPr>
              <w:rPr>
                <w:sz w:val="11"/>
                <w:szCs w:val="11"/>
              </w:rPr>
            </w:pPr>
          </w:p>
        </w:tc>
        <w:tc>
          <w:tcPr>
            <w:tcW w:w="1140" w:type="dxa"/>
            <w:tcBorders>
              <w:top w:val="single" w:color="auto" w:sz="4" w:space="0"/>
              <w:left w:val="single" w:color="auto" w:sz="4" w:space="0"/>
            </w:tcBorders>
            <w:shd w:val="clear" w:color="auto" w:fill="FFFFFF"/>
          </w:tcPr>
          <w:p w14:paraId="58AD9F62">
            <w:pPr>
              <w:rPr>
                <w:sz w:val="11"/>
                <w:szCs w:val="11"/>
              </w:rPr>
            </w:pPr>
          </w:p>
        </w:tc>
        <w:tc>
          <w:tcPr>
            <w:tcW w:w="1140" w:type="dxa"/>
            <w:tcBorders>
              <w:top w:val="single" w:color="auto" w:sz="4" w:space="0"/>
              <w:left w:val="single" w:color="auto" w:sz="4" w:space="0"/>
            </w:tcBorders>
            <w:shd w:val="clear" w:color="auto" w:fill="FFFFFF"/>
          </w:tcPr>
          <w:p w14:paraId="557A4EB0">
            <w:pPr>
              <w:rPr>
                <w:sz w:val="11"/>
                <w:szCs w:val="11"/>
              </w:rPr>
            </w:pPr>
          </w:p>
        </w:tc>
        <w:tc>
          <w:tcPr>
            <w:tcW w:w="1695" w:type="dxa"/>
            <w:tcBorders>
              <w:top w:val="single" w:color="auto" w:sz="4" w:space="0"/>
              <w:left w:val="single" w:color="auto" w:sz="4" w:space="0"/>
            </w:tcBorders>
            <w:shd w:val="clear" w:color="auto" w:fill="FFFFFF"/>
          </w:tcPr>
          <w:p w14:paraId="10700E85">
            <w:pPr>
              <w:rPr>
                <w:sz w:val="11"/>
                <w:szCs w:val="11"/>
              </w:rPr>
            </w:pPr>
          </w:p>
        </w:tc>
        <w:tc>
          <w:tcPr>
            <w:tcW w:w="1275" w:type="dxa"/>
            <w:tcBorders>
              <w:top w:val="single" w:color="auto" w:sz="4" w:space="0"/>
              <w:left w:val="single" w:color="auto" w:sz="4" w:space="0"/>
            </w:tcBorders>
            <w:shd w:val="clear" w:color="auto" w:fill="FFFFFF"/>
          </w:tcPr>
          <w:p w14:paraId="7C457ADD">
            <w:pPr>
              <w:rPr>
                <w:sz w:val="11"/>
                <w:szCs w:val="11"/>
              </w:rPr>
            </w:pPr>
          </w:p>
        </w:tc>
        <w:tc>
          <w:tcPr>
            <w:tcW w:w="1860" w:type="dxa"/>
            <w:tcBorders>
              <w:top w:val="single" w:color="auto" w:sz="4" w:space="0"/>
              <w:left w:val="single" w:color="auto" w:sz="4" w:space="0"/>
              <w:right w:val="single" w:color="auto" w:sz="4" w:space="0"/>
            </w:tcBorders>
            <w:shd w:val="clear" w:color="auto" w:fill="FFFFFF"/>
          </w:tcPr>
          <w:p w14:paraId="0360F6D1">
            <w:pPr>
              <w:rPr>
                <w:sz w:val="11"/>
                <w:szCs w:val="11"/>
              </w:rPr>
            </w:pPr>
          </w:p>
        </w:tc>
      </w:tr>
      <w:tr w14:paraId="048A9064">
        <w:tblPrEx>
          <w:tblCellMar>
            <w:top w:w="0" w:type="dxa"/>
            <w:left w:w="10" w:type="dxa"/>
            <w:bottom w:w="0" w:type="dxa"/>
            <w:right w:w="10" w:type="dxa"/>
          </w:tblCellMar>
        </w:tblPrEx>
        <w:trPr>
          <w:trHeight w:val="600" w:hRule="exact"/>
          <w:jc w:val="center"/>
        </w:trPr>
        <w:tc>
          <w:tcPr>
            <w:tcW w:w="1380" w:type="dxa"/>
            <w:tcBorders>
              <w:top w:val="single" w:color="auto" w:sz="4" w:space="0"/>
              <w:left w:val="single" w:color="auto" w:sz="4" w:space="0"/>
              <w:bottom w:val="single" w:color="auto" w:sz="4" w:space="0"/>
            </w:tcBorders>
            <w:shd w:val="clear" w:color="auto" w:fill="FFFFFF"/>
          </w:tcPr>
          <w:p w14:paraId="5D315568">
            <w:pPr>
              <w:rPr>
                <w:sz w:val="11"/>
                <w:szCs w:val="11"/>
              </w:rPr>
            </w:pPr>
          </w:p>
        </w:tc>
        <w:tc>
          <w:tcPr>
            <w:tcW w:w="1845" w:type="dxa"/>
            <w:tcBorders>
              <w:top w:val="single" w:color="auto" w:sz="4" w:space="0"/>
              <w:left w:val="single" w:color="auto" w:sz="4" w:space="0"/>
              <w:bottom w:val="single" w:color="auto" w:sz="4" w:space="0"/>
            </w:tcBorders>
            <w:shd w:val="clear" w:color="auto" w:fill="FFFFFF"/>
          </w:tcPr>
          <w:p w14:paraId="4C3BF182">
            <w:pPr>
              <w:rPr>
                <w:sz w:val="11"/>
                <w:szCs w:val="11"/>
              </w:rPr>
            </w:pPr>
          </w:p>
        </w:tc>
        <w:tc>
          <w:tcPr>
            <w:tcW w:w="1140" w:type="dxa"/>
            <w:tcBorders>
              <w:top w:val="single" w:color="auto" w:sz="4" w:space="0"/>
              <w:left w:val="single" w:color="auto" w:sz="4" w:space="0"/>
              <w:bottom w:val="single" w:color="auto" w:sz="4" w:space="0"/>
            </w:tcBorders>
            <w:shd w:val="clear" w:color="auto" w:fill="FFFFFF"/>
          </w:tcPr>
          <w:p w14:paraId="4AA51FC4">
            <w:pPr>
              <w:rPr>
                <w:sz w:val="11"/>
                <w:szCs w:val="11"/>
              </w:rPr>
            </w:pPr>
          </w:p>
        </w:tc>
        <w:tc>
          <w:tcPr>
            <w:tcW w:w="1140" w:type="dxa"/>
            <w:tcBorders>
              <w:top w:val="single" w:color="auto" w:sz="4" w:space="0"/>
              <w:left w:val="single" w:color="auto" w:sz="4" w:space="0"/>
              <w:bottom w:val="single" w:color="auto" w:sz="4" w:space="0"/>
            </w:tcBorders>
            <w:shd w:val="clear" w:color="auto" w:fill="FFFFFF"/>
          </w:tcPr>
          <w:p w14:paraId="7BAB470D">
            <w:pPr>
              <w:rPr>
                <w:sz w:val="11"/>
                <w:szCs w:val="11"/>
              </w:rPr>
            </w:pPr>
          </w:p>
        </w:tc>
        <w:tc>
          <w:tcPr>
            <w:tcW w:w="1695" w:type="dxa"/>
            <w:tcBorders>
              <w:top w:val="single" w:color="auto" w:sz="4" w:space="0"/>
              <w:left w:val="single" w:color="auto" w:sz="4" w:space="0"/>
              <w:bottom w:val="single" w:color="auto" w:sz="4" w:space="0"/>
            </w:tcBorders>
            <w:shd w:val="clear" w:color="auto" w:fill="FFFFFF"/>
          </w:tcPr>
          <w:p w14:paraId="74F06A6F">
            <w:pPr>
              <w:rPr>
                <w:sz w:val="11"/>
                <w:szCs w:val="11"/>
              </w:rPr>
            </w:pPr>
          </w:p>
        </w:tc>
        <w:tc>
          <w:tcPr>
            <w:tcW w:w="1275" w:type="dxa"/>
            <w:tcBorders>
              <w:top w:val="single" w:color="auto" w:sz="4" w:space="0"/>
              <w:left w:val="single" w:color="auto" w:sz="4" w:space="0"/>
              <w:bottom w:val="single" w:color="auto" w:sz="4" w:space="0"/>
            </w:tcBorders>
            <w:shd w:val="clear" w:color="auto" w:fill="FFFFFF"/>
          </w:tcPr>
          <w:p w14:paraId="147AAE0C">
            <w:pPr>
              <w:rPr>
                <w:sz w:val="11"/>
                <w:szCs w:val="11"/>
              </w:rPr>
            </w:pPr>
          </w:p>
        </w:tc>
        <w:tc>
          <w:tcPr>
            <w:tcW w:w="1860" w:type="dxa"/>
            <w:tcBorders>
              <w:top w:val="single" w:color="auto" w:sz="4" w:space="0"/>
              <w:left w:val="single" w:color="auto" w:sz="4" w:space="0"/>
              <w:bottom w:val="single" w:color="auto" w:sz="4" w:space="0"/>
              <w:right w:val="single" w:color="auto" w:sz="4" w:space="0"/>
            </w:tcBorders>
            <w:shd w:val="clear" w:color="auto" w:fill="FFFFFF"/>
          </w:tcPr>
          <w:p w14:paraId="3457C85A">
            <w:pPr>
              <w:rPr>
                <w:sz w:val="11"/>
                <w:szCs w:val="11"/>
              </w:rPr>
            </w:pPr>
          </w:p>
        </w:tc>
      </w:tr>
    </w:tbl>
    <w:p w14:paraId="5B699F6B">
      <w:pPr>
        <w:pStyle w:val="37"/>
        <w:spacing w:after="340" w:line="240" w:lineRule="auto"/>
        <w:ind w:left="4720" w:firstLine="420" w:firstLineChars="200"/>
        <w:rPr>
          <w:sz w:val="21"/>
          <w:szCs w:val="21"/>
        </w:rPr>
      </w:pPr>
      <w:r>
        <w:rPr>
          <w:sz w:val="21"/>
          <w:szCs w:val="21"/>
        </w:rPr>
        <w:t>供应商名称（电子签章）：</w:t>
      </w:r>
    </w:p>
    <w:p w14:paraId="16FB0921">
      <w:pPr>
        <w:pStyle w:val="37"/>
        <w:spacing w:line="240" w:lineRule="auto"/>
        <w:ind w:left="7220" w:firstLine="420" w:firstLineChars="200"/>
        <w:rPr>
          <w:sz w:val="21"/>
          <w:szCs w:val="21"/>
        </w:rPr>
        <w:sectPr>
          <w:footerReference r:id="rId34" w:type="default"/>
          <w:footerReference r:id="rId35" w:type="even"/>
          <w:pgSz w:w="11900" w:h="16840"/>
          <w:pgMar w:top="1209" w:right="775" w:bottom="2156" w:left="790" w:header="781" w:footer="1417" w:gutter="0"/>
          <w:cols w:space="720" w:num="1"/>
          <w:docGrid w:linePitch="360" w:charSpace="0"/>
        </w:sectPr>
      </w:pPr>
      <w:r>
        <w:rPr>
          <w:sz w:val="21"/>
          <w:szCs w:val="21"/>
        </w:rPr>
        <w:t>日期：年 月 日</w:t>
      </w:r>
    </w:p>
    <w:p w14:paraId="7BFDAF1C">
      <w:pPr>
        <w:pStyle w:val="41"/>
        <w:keepNext/>
        <w:keepLines/>
        <w:spacing w:after="200"/>
        <w:ind w:firstLine="643" w:firstLineChars="200"/>
        <w:jc w:val="left"/>
        <w:rPr>
          <w:b/>
          <w:bCs/>
          <w:sz w:val="32"/>
          <w:szCs w:val="32"/>
        </w:rPr>
      </w:pPr>
      <w:bookmarkStart w:id="298" w:name="bookmark437"/>
      <w:bookmarkStart w:id="299" w:name="bookmark439"/>
      <w:bookmarkStart w:id="300" w:name="bookmark438"/>
      <w:r>
        <w:rPr>
          <w:b/>
          <w:bCs/>
          <w:sz w:val="32"/>
          <w:szCs w:val="32"/>
        </w:rPr>
        <w:t>六、服务需求</w:t>
      </w:r>
      <w:r>
        <w:rPr>
          <w:rFonts w:hint="eastAsia"/>
          <w:b/>
          <w:bCs/>
          <w:sz w:val="32"/>
          <w:szCs w:val="32"/>
          <w:lang w:eastAsia="zh-CN"/>
        </w:rPr>
        <w:t>偏离</w:t>
      </w:r>
      <w:r>
        <w:rPr>
          <w:b/>
          <w:bCs/>
          <w:sz w:val="32"/>
          <w:szCs w:val="32"/>
        </w:rPr>
        <w:t>表</w:t>
      </w:r>
      <w:bookmarkEnd w:id="298"/>
      <w:bookmarkEnd w:id="299"/>
      <w:bookmarkEnd w:id="300"/>
    </w:p>
    <w:p w14:paraId="16FB95DF">
      <w:pPr>
        <w:pStyle w:val="27"/>
        <w:keepNext/>
        <w:keepLines/>
        <w:spacing w:after="500" w:line="495" w:lineRule="exact"/>
        <w:ind w:left="0" w:firstLine="880" w:firstLineChars="200"/>
        <w:rPr>
          <w:sz w:val="44"/>
          <w:szCs w:val="44"/>
        </w:rPr>
      </w:pPr>
      <w:bookmarkStart w:id="301" w:name="bookmark440"/>
      <w:bookmarkStart w:id="302" w:name="bookmark441"/>
      <w:bookmarkStart w:id="303" w:name="bookmark442"/>
      <w:r>
        <w:rPr>
          <w:sz w:val="44"/>
          <w:szCs w:val="44"/>
        </w:rPr>
        <w:t>竞标产品服务需求偏离表</w:t>
      </w:r>
      <w:r>
        <w:rPr>
          <w:sz w:val="44"/>
          <w:szCs w:val="44"/>
        </w:rPr>
        <w:br w:type="textWrapping"/>
      </w:r>
      <w:r>
        <w:rPr>
          <w:sz w:val="44"/>
          <w:szCs w:val="44"/>
        </w:rPr>
        <w:t>（注：按采购需求具体条款修改）</w:t>
      </w:r>
      <w:bookmarkEnd w:id="301"/>
      <w:bookmarkEnd w:id="302"/>
      <w:bookmarkEnd w:id="303"/>
    </w:p>
    <w:p w14:paraId="480CE1EB">
      <w:pPr>
        <w:pStyle w:val="37"/>
        <w:tabs>
          <w:tab w:val="left" w:pos="3185"/>
        </w:tabs>
        <w:spacing w:after="160" w:line="240" w:lineRule="auto"/>
        <w:ind w:left="300" w:firstLine="420" w:firstLineChars="200"/>
        <w:jc w:val="both"/>
        <w:rPr>
          <w:sz w:val="21"/>
          <w:szCs w:val="21"/>
        </w:rPr>
      </w:pPr>
      <w:r>
        <w:rPr>
          <w:sz w:val="21"/>
          <w:szCs w:val="21"/>
        </w:rPr>
        <w:t>所竞分标：</w:t>
      </w:r>
      <w:r>
        <w:rPr>
          <w:sz w:val="21"/>
          <w:szCs w:val="21"/>
          <w:u w:val="single"/>
        </w:rPr>
        <w:t xml:space="preserve"> </w:t>
      </w:r>
      <w:r>
        <w:rPr>
          <w:sz w:val="21"/>
          <w:szCs w:val="21"/>
          <w:u w:val="single"/>
        </w:rPr>
        <w:tab/>
      </w:r>
    </w:p>
    <w:tbl>
      <w:tblPr>
        <w:tblStyle w:val="14"/>
        <w:tblW w:w="0" w:type="auto"/>
        <w:jc w:val="center"/>
        <w:tblLayout w:type="fixed"/>
        <w:tblCellMar>
          <w:top w:w="0" w:type="dxa"/>
          <w:left w:w="10" w:type="dxa"/>
          <w:bottom w:w="0" w:type="dxa"/>
          <w:right w:w="10" w:type="dxa"/>
        </w:tblCellMar>
      </w:tblPr>
      <w:tblGrid>
        <w:gridCol w:w="1179"/>
        <w:gridCol w:w="1140"/>
        <w:gridCol w:w="735"/>
        <w:gridCol w:w="1575"/>
        <w:gridCol w:w="1140"/>
        <w:gridCol w:w="660"/>
        <w:gridCol w:w="1155"/>
        <w:gridCol w:w="1110"/>
      </w:tblGrid>
      <w:tr w14:paraId="36135866">
        <w:tblPrEx>
          <w:tblCellMar>
            <w:top w:w="0" w:type="dxa"/>
            <w:left w:w="10" w:type="dxa"/>
            <w:bottom w:w="0" w:type="dxa"/>
            <w:right w:w="10" w:type="dxa"/>
          </w:tblCellMar>
        </w:tblPrEx>
        <w:trPr>
          <w:trHeight w:val="420" w:hRule="exact"/>
          <w:jc w:val="center"/>
        </w:trPr>
        <w:tc>
          <w:tcPr>
            <w:tcW w:w="1179" w:type="dxa"/>
            <w:vMerge w:val="restart"/>
            <w:tcBorders>
              <w:top w:val="single" w:color="auto" w:sz="4" w:space="0"/>
              <w:left w:val="single" w:color="auto" w:sz="4" w:space="0"/>
            </w:tcBorders>
            <w:shd w:val="clear" w:color="auto" w:fill="FFFFFF"/>
            <w:vAlign w:val="center"/>
          </w:tcPr>
          <w:p w14:paraId="6A4AD123">
            <w:pPr>
              <w:pStyle w:val="43"/>
              <w:spacing w:line="240" w:lineRule="auto"/>
              <w:ind w:firstLine="0"/>
              <w:rPr>
                <w:sz w:val="21"/>
                <w:szCs w:val="21"/>
                <w:lang w:eastAsia="zh-CN"/>
              </w:rPr>
            </w:pPr>
            <w:r>
              <w:rPr>
                <w:sz w:val="21"/>
                <w:szCs w:val="21"/>
              </w:rPr>
              <w:t>项</w:t>
            </w:r>
            <w:r>
              <w:rPr>
                <w:rFonts w:hint="eastAsia"/>
                <w:sz w:val="21"/>
                <w:szCs w:val="21"/>
                <w:lang w:eastAsia="zh-CN"/>
              </w:rPr>
              <w:t>号</w:t>
            </w:r>
          </w:p>
        </w:tc>
        <w:tc>
          <w:tcPr>
            <w:tcW w:w="3450" w:type="dxa"/>
            <w:gridSpan w:val="3"/>
            <w:tcBorders>
              <w:top w:val="single" w:color="auto" w:sz="4" w:space="0"/>
              <w:left w:val="single" w:color="auto" w:sz="4" w:space="0"/>
            </w:tcBorders>
            <w:shd w:val="clear" w:color="auto" w:fill="FFFFFF"/>
          </w:tcPr>
          <w:p w14:paraId="5E7A6C4C">
            <w:pPr>
              <w:pStyle w:val="43"/>
              <w:spacing w:before="80" w:line="240" w:lineRule="auto"/>
              <w:ind w:firstLine="0"/>
              <w:jc w:val="center"/>
              <w:rPr>
                <w:sz w:val="21"/>
                <w:szCs w:val="21"/>
              </w:rPr>
            </w:pPr>
            <w:r>
              <w:rPr>
                <w:sz w:val="21"/>
                <w:szCs w:val="21"/>
              </w:rPr>
              <w:t>竞争性磋商采购文件需求</w:t>
            </w:r>
          </w:p>
        </w:tc>
        <w:tc>
          <w:tcPr>
            <w:tcW w:w="2955" w:type="dxa"/>
            <w:gridSpan w:val="3"/>
            <w:tcBorders>
              <w:top w:val="single" w:color="auto" w:sz="4" w:space="0"/>
              <w:left w:val="single" w:color="auto" w:sz="4" w:space="0"/>
            </w:tcBorders>
            <w:shd w:val="clear" w:color="auto" w:fill="FFFFFF"/>
          </w:tcPr>
          <w:p w14:paraId="6EAAD0E5">
            <w:pPr>
              <w:pStyle w:val="43"/>
              <w:spacing w:before="80" w:line="240" w:lineRule="auto"/>
              <w:ind w:firstLine="0"/>
              <w:jc w:val="center"/>
              <w:rPr>
                <w:sz w:val="21"/>
                <w:szCs w:val="21"/>
              </w:rPr>
            </w:pPr>
            <w:r>
              <w:rPr>
                <w:sz w:val="21"/>
                <w:szCs w:val="21"/>
              </w:rPr>
              <w:t>响应文件承诺</w:t>
            </w:r>
          </w:p>
        </w:tc>
        <w:tc>
          <w:tcPr>
            <w:tcW w:w="1110" w:type="dxa"/>
            <w:vMerge w:val="restart"/>
            <w:tcBorders>
              <w:top w:val="single" w:color="auto" w:sz="4" w:space="0"/>
              <w:left w:val="single" w:color="auto" w:sz="4" w:space="0"/>
              <w:right w:val="single" w:color="auto" w:sz="4" w:space="0"/>
            </w:tcBorders>
            <w:shd w:val="clear" w:color="auto" w:fill="FFFFFF"/>
            <w:vAlign w:val="center"/>
          </w:tcPr>
          <w:p w14:paraId="00ECA381">
            <w:pPr>
              <w:pStyle w:val="43"/>
              <w:spacing w:line="240" w:lineRule="auto"/>
              <w:ind w:firstLine="0"/>
              <w:rPr>
                <w:sz w:val="21"/>
                <w:szCs w:val="21"/>
              </w:rPr>
            </w:pPr>
            <w:r>
              <w:rPr>
                <w:rFonts w:hint="eastAsia"/>
                <w:sz w:val="21"/>
                <w:szCs w:val="21"/>
                <w:lang w:eastAsia="zh-CN"/>
              </w:rPr>
              <w:t>偏离</w:t>
            </w:r>
            <w:r>
              <w:rPr>
                <w:sz w:val="21"/>
                <w:szCs w:val="21"/>
              </w:rPr>
              <w:t>说明</w:t>
            </w:r>
          </w:p>
        </w:tc>
      </w:tr>
      <w:tr w14:paraId="127E9555">
        <w:tblPrEx>
          <w:tblCellMar>
            <w:top w:w="0" w:type="dxa"/>
            <w:left w:w="10" w:type="dxa"/>
            <w:bottom w:w="0" w:type="dxa"/>
            <w:right w:w="10" w:type="dxa"/>
          </w:tblCellMar>
        </w:tblPrEx>
        <w:trPr>
          <w:trHeight w:val="630" w:hRule="exact"/>
          <w:jc w:val="center"/>
        </w:trPr>
        <w:tc>
          <w:tcPr>
            <w:tcW w:w="1179" w:type="dxa"/>
            <w:vMerge w:val="continue"/>
            <w:tcBorders>
              <w:left w:val="single" w:color="auto" w:sz="4" w:space="0"/>
            </w:tcBorders>
            <w:shd w:val="clear" w:color="auto" w:fill="FFFFFF"/>
            <w:vAlign w:val="center"/>
          </w:tcPr>
          <w:p w14:paraId="378356EC">
            <w:pPr>
              <w:rPr>
                <w:sz w:val="28"/>
                <w:szCs w:val="28"/>
              </w:rPr>
            </w:pPr>
          </w:p>
        </w:tc>
        <w:tc>
          <w:tcPr>
            <w:tcW w:w="1140" w:type="dxa"/>
            <w:tcBorders>
              <w:top w:val="single" w:color="auto" w:sz="4" w:space="0"/>
              <w:left w:val="single" w:color="auto" w:sz="4" w:space="0"/>
            </w:tcBorders>
            <w:shd w:val="clear" w:color="auto" w:fill="FFFFFF"/>
            <w:vAlign w:val="center"/>
          </w:tcPr>
          <w:p w14:paraId="580B5332">
            <w:pPr>
              <w:pStyle w:val="43"/>
              <w:spacing w:line="240" w:lineRule="auto"/>
              <w:ind w:firstLine="0"/>
              <w:rPr>
                <w:sz w:val="21"/>
                <w:szCs w:val="21"/>
              </w:rPr>
            </w:pPr>
            <w:r>
              <w:rPr>
                <w:sz w:val="21"/>
                <w:szCs w:val="21"/>
              </w:rPr>
              <w:t>服务名称</w:t>
            </w:r>
          </w:p>
        </w:tc>
        <w:tc>
          <w:tcPr>
            <w:tcW w:w="735" w:type="dxa"/>
            <w:tcBorders>
              <w:top w:val="single" w:color="auto" w:sz="4" w:space="0"/>
              <w:left w:val="single" w:color="auto" w:sz="4" w:space="0"/>
            </w:tcBorders>
            <w:shd w:val="clear" w:color="auto" w:fill="FFFFFF"/>
            <w:vAlign w:val="center"/>
          </w:tcPr>
          <w:p w14:paraId="426AEADD">
            <w:pPr>
              <w:pStyle w:val="43"/>
              <w:spacing w:line="240" w:lineRule="auto"/>
              <w:ind w:firstLine="0"/>
              <w:rPr>
                <w:sz w:val="21"/>
                <w:szCs w:val="21"/>
              </w:rPr>
            </w:pPr>
            <w:r>
              <w:rPr>
                <w:sz w:val="21"/>
                <w:szCs w:val="21"/>
              </w:rPr>
              <w:t>数量</w:t>
            </w:r>
          </w:p>
        </w:tc>
        <w:tc>
          <w:tcPr>
            <w:tcW w:w="1575" w:type="dxa"/>
            <w:tcBorders>
              <w:top w:val="single" w:color="auto" w:sz="4" w:space="0"/>
              <w:left w:val="single" w:color="auto" w:sz="4" w:space="0"/>
            </w:tcBorders>
            <w:shd w:val="clear" w:color="auto" w:fill="FFFFFF"/>
            <w:vAlign w:val="center"/>
          </w:tcPr>
          <w:p w14:paraId="5109C761">
            <w:pPr>
              <w:pStyle w:val="43"/>
              <w:spacing w:line="240" w:lineRule="auto"/>
              <w:ind w:firstLine="0"/>
              <w:rPr>
                <w:sz w:val="21"/>
                <w:szCs w:val="21"/>
              </w:rPr>
            </w:pPr>
            <w:r>
              <w:rPr>
                <w:sz w:val="21"/>
                <w:szCs w:val="21"/>
              </w:rPr>
              <w:t>服务参数要求</w:t>
            </w:r>
          </w:p>
        </w:tc>
        <w:tc>
          <w:tcPr>
            <w:tcW w:w="1140" w:type="dxa"/>
            <w:tcBorders>
              <w:top w:val="single" w:color="auto" w:sz="4" w:space="0"/>
              <w:left w:val="single" w:color="auto" w:sz="4" w:space="0"/>
            </w:tcBorders>
            <w:shd w:val="clear" w:color="auto" w:fill="FFFFFF"/>
            <w:vAlign w:val="center"/>
          </w:tcPr>
          <w:p w14:paraId="172D0E3B">
            <w:pPr>
              <w:pStyle w:val="43"/>
              <w:spacing w:line="240" w:lineRule="auto"/>
              <w:ind w:firstLine="0"/>
              <w:rPr>
                <w:sz w:val="21"/>
                <w:szCs w:val="21"/>
              </w:rPr>
            </w:pPr>
            <w:r>
              <w:rPr>
                <w:sz w:val="21"/>
                <w:szCs w:val="21"/>
              </w:rPr>
              <w:t>服务名称</w:t>
            </w:r>
          </w:p>
        </w:tc>
        <w:tc>
          <w:tcPr>
            <w:tcW w:w="660" w:type="dxa"/>
            <w:tcBorders>
              <w:top w:val="single" w:color="auto" w:sz="4" w:space="0"/>
              <w:left w:val="single" w:color="auto" w:sz="4" w:space="0"/>
            </w:tcBorders>
            <w:shd w:val="clear" w:color="auto" w:fill="FFFFFF"/>
            <w:vAlign w:val="center"/>
          </w:tcPr>
          <w:p w14:paraId="495E1C90">
            <w:pPr>
              <w:pStyle w:val="43"/>
              <w:spacing w:line="240" w:lineRule="auto"/>
              <w:ind w:right="140" w:firstLine="0"/>
              <w:jc w:val="right"/>
              <w:rPr>
                <w:sz w:val="21"/>
                <w:szCs w:val="21"/>
              </w:rPr>
            </w:pPr>
            <w:r>
              <w:rPr>
                <w:sz w:val="21"/>
                <w:szCs w:val="21"/>
              </w:rPr>
              <w:t>数量</w:t>
            </w:r>
          </w:p>
        </w:tc>
        <w:tc>
          <w:tcPr>
            <w:tcW w:w="1155" w:type="dxa"/>
            <w:tcBorders>
              <w:top w:val="single" w:color="auto" w:sz="4" w:space="0"/>
              <w:left w:val="single" w:color="auto" w:sz="4" w:space="0"/>
            </w:tcBorders>
            <w:shd w:val="clear" w:color="auto" w:fill="FFFFFF"/>
            <w:vAlign w:val="center"/>
          </w:tcPr>
          <w:p w14:paraId="50D59C3F">
            <w:pPr>
              <w:pStyle w:val="43"/>
              <w:spacing w:line="240" w:lineRule="auto"/>
              <w:ind w:firstLine="0"/>
              <w:rPr>
                <w:sz w:val="21"/>
                <w:szCs w:val="21"/>
              </w:rPr>
            </w:pPr>
            <w:r>
              <w:rPr>
                <w:sz w:val="21"/>
                <w:szCs w:val="21"/>
              </w:rPr>
              <w:t>服务参数</w:t>
            </w:r>
          </w:p>
        </w:tc>
        <w:tc>
          <w:tcPr>
            <w:tcW w:w="1110" w:type="dxa"/>
            <w:vMerge w:val="continue"/>
            <w:tcBorders>
              <w:left w:val="single" w:color="auto" w:sz="4" w:space="0"/>
              <w:right w:val="single" w:color="auto" w:sz="4" w:space="0"/>
            </w:tcBorders>
            <w:shd w:val="clear" w:color="auto" w:fill="FFFFFF"/>
            <w:vAlign w:val="center"/>
          </w:tcPr>
          <w:p w14:paraId="7AEF3926">
            <w:pPr>
              <w:rPr>
                <w:sz w:val="28"/>
                <w:szCs w:val="28"/>
              </w:rPr>
            </w:pPr>
          </w:p>
        </w:tc>
      </w:tr>
      <w:tr w14:paraId="778A71F2">
        <w:tblPrEx>
          <w:tblCellMar>
            <w:top w:w="0" w:type="dxa"/>
            <w:left w:w="10" w:type="dxa"/>
            <w:bottom w:w="0" w:type="dxa"/>
            <w:right w:w="10" w:type="dxa"/>
          </w:tblCellMar>
        </w:tblPrEx>
        <w:trPr>
          <w:trHeight w:val="1320" w:hRule="exact"/>
          <w:jc w:val="center"/>
        </w:trPr>
        <w:tc>
          <w:tcPr>
            <w:tcW w:w="1179" w:type="dxa"/>
            <w:tcBorders>
              <w:top w:val="single" w:color="auto" w:sz="4" w:space="0"/>
              <w:left w:val="single" w:color="auto" w:sz="4" w:space="0"/>
            </w:tcBorders>
            <w:shd w:val="clear" w:color="auto" w:fill="FFFFFF"/>
            <w:vAlign w:val="center"/>
          </w:tcPr>
          <w:p w14:paraId="6EDA79BD">
            <w:pPr>
              <w:pStyle w:val="43"/>
              <w:spacing w:line="240" w:lineRule="auto"/>
              <w:ind w:firstLine="0"/>
              <w:rPr>
                <w:sz w:val="21"/>
                <w:szCs w:val="21"/>
              </w:rPr>
            </w:pPr>
            <w:r>
              <w:rPr>
                <w:sz w:val="21"/>
                <w:szCs w:val="21"/>
              </w:rPr>
              <w:t>1</w:t>
            </w:r>
          </w:p>
        </w:tc>
        <w:tc>
          <w:tcPr>
            <w:tcW w:w="1140" w:type="dxa"/>
            <w:tcBorders>
              <w:top w:val="single" w:color="auto" w:sz="4" w:space="0"/>
              <w:left w:val="single" w:color="auto" w:sz="4" w:space="0"/>
            </w:tcBorders>
            <w:shd w:val="clear" w:color="auto" w:fill="FFFFFF"/>
            <w:vAlign w:val="center"/>
          </w:tcPr>
          <w:p w14:paraId="61F45C8C">
            <w:pPr>
              <w:pStyle w:val="43"/>
              <w:tabs>
                <w:tab w:val="left" w:leader="dot" w:pos="360"/>
              </w:tabs>
              <w:spacing w:line="240" w:lineRule="auto"/>
              <w:ind w:firstLine="0"/>
              <w:rPr>
                <w:sz w:val="21"/>
                <w:szCs w:val="21"/>
              </w:rPr>
            </w:pPr>
          </w:p>
        </w:tc>
        <w:tc>
          <w:tcPr>
            <w:tcW w:w="735" w:type="dxa"/>
            <w:tcBorders>
              <w:top w:val="single" w:color="auto" w:sz="4" w:space="0"/>
              <w:left w:val="single" w:color="auto" w:sz="4" w:space="0"/>
            </w:tcBorders>
            <w:shd w:val="clear" w:color="auto" w:fill="FFFFFF"/>
          </w:tcPr>
          <w:p w14:paraId="1F4EC27B">
            <w:pPr>
              <w:rPr>
                <w:sz w:val="11"/>
                <w:szCs w:val="11"/>
              </w:rPr>
            </w:pPr>
          </w:p>
        </w:tc>
        <w:tc>
          <w:tcPr>
            <w:tcW w:w="1575" w:type="dxa"/>
            <w:tcBorders>
              <w:top w:val="single" w:color="auto" w:sz="4" w:space="0"/>
              <w:left w:val="single" w:color="auto" w:sz="4" w:space="0"/>
            </w:tcBorders>
            <w:shd w:val="clear" w:color="auto" w:fill="FFFFFF"/>
          </w:tcPr>
          <w:p w14:paraId="0B897BDF">
            <w:pPr>
              <w:pStyle w:val="43"/>
              <w:spacing w:before="120" w:after="40" w:line="240" w:lineRule="auto"/>
              <w:ind w:firstLine="420" w:firstLineChars="200"/>
              <w:rPr>
                <w:sz w:val="21"/>
                <w:szCs w:val="21"/>
              </w:rPr>
            </w:pPr>
            <w:r>
              <w:rPr>
                <w:sz w:val="21"/>
                <w:szCs w:val="21"/>
              </w:rPr>
              <w:t>1……</w:t>
            </w:r>
          </w:p>
          <w:p w14:paraId="275C7646">
            <w:pPr>
              <w:pStyle w:val="43"/>
              <w:spacing w:after="40" w:line="240" w:lineRule="auto"/>
              <w:ind w:firstLine="420" w:firstLineChars="200"/>
              <w:rPr>
                <w:sz w:val="21"/>
                <w:szCs w:val="21"/>
              </w:rPr>
            </w:pPr>
            <w:r>
              <w:rPr>
                <w:sz w:val="21"/>
                <w:szCs w:val="21"/>
              </w:rPr>
              <w:t>2……</w:t>
            </w:r>
          </w:p>
          <w:p w14:paraId="085AB14D">
            <w:pPr>
              <w:pStyle w:val="43"/>
              <w:spacing w:after="40" w:line="240" w:lineRule="auto"/>
              <w:ind w:firstLine="420" w:firstLineChars="200"/>
              <w:rPr>
                <w:sz w:val="21"/>
                <w:szCs w:val="21"/>
              </w:rPr>
            </w:pPr>
            <w:r>
              <w:rPr>
                <w:sz w:val="21"/>
                <w:szCs w:val="21"/>
              </w:rPr>
              <w:t>3……</w:t>
            </w:r>
          </w:p>
        </w:tc>
        <w:tc>
          <w:tcPr>
            <w:tcW w:w="1140" w:type="dxa"/>
            <w:tcBorders>
              <w:top w:val="single" w:color="auto" w:sz="4" w:space="0"/>
              <w:left w:val="single" w:color="auto" w:sz="4" w:space="0"/>
            </w:tcBorders>
            <w:shd w:val="clear" w:color="auto" w:fill="FFFFFF"/>
            <w:vAlign w:val="center"/>
          </w:tcPr>
          <w:p w14:paraId="138CFC36">
            <w:pPr>
              <w:pStyle w:val="43"/>
              <w:tabs>
                <w:tab w:val="left" w:leader="dot" w:pos="360"/>
              </w:tabs>
              <w:spacing w:line="240" w:lineRule="auto"/>
              <w:ind w:firstLine="0"/>
              <w:rPr>
                <w:sz w:val="21"/>
                <w:szCs w:val="21"/>
              </w:rPr>
            </w:pPr>
          </w:p>
        </w:tc>
        <w:tc>
          <w:tcPr>
            <w:tcW w:w="660" w:type="dxa"/>
            <w:tcBorders>
              <w:top w:val="single" w:color="auto" w:sz="4" w:space="0"/>
              <w:left w:val="single" w:color="auto" w:sz="4" w:space="0"/>
            </w:tcBorders>
            <w:shd w:val="clear" w:color="auto" w:fill="FFFFFF"/>
          </w:tcPr>
          <w:p w14:paraId="4D75FBC9">
            <w:pPr>
              <w:rPr>
                <w:sz w:val="11"/>
                <w:szCs w:val="11"/>
              </w:rPr>
            </w:pPr>
          </w:p>
        </w:tc>
        <w:tc>
          <w:tcPr>
            <w:tcW w:w="1155" w:type="dxa"/>
            <w:tcBorders>
              <w:top w:val="single" w:color="auto" w:sz="4" w:space="0"/>
              <w:left w:val="single" w:color="auto" w:sz="4" w:space="0"/>
            </w:tcBorders>
            <w:shd w:val="clear" w:color="auto" w:fill="FFFFFF"/>
          </w:tcPr>
          <w:p w14:paraId="30ED4DBE">
            <w:pPr>
              <w:pStyle w:val="43"/>
              <w:spacing w:before="120" w:after="40" w:line="240" w:lineRule="auto"/>
              <w:ind w:firstLine="420" w:firstLineChars="200"/>
              <w:rPr>
                <w:sz w:val="21"/>
                <w:szCs w:val="21"/>
              </w:rPr>
            </w:pPr>
            <w:r>
              <w:rPr>
                <w:sz w:val="21"/>
                <w:szCs w:val="21"/>
              </w:rPr>
              <w:t>1……</w:t>
            </w:r>
          </w:p>
          <w:p w14:paraId="27C763BE">
            <w:pPr>
              <w:pStyle w:val="43"/>
              <w:spacing w:after="40" w:line="240" w:lineRule="auto"/>
              <w:ind w:firstLine="420" w:firstLineChars="200"/>
              <w:rPr>
                <w:sz w:val="21"/>
                <w:szCs w:val="21"/>
              </w:rPr>
            </w:pPr>
            <w:r>
              <w:rPr>
                <w:sz w:val="21"/>
                <w:szCs w:val="21"/>
              </w:rPr>
              <w:t>2……</w:t>
            </w:r>
          </w:p>
          <w:p w14:paraId="34EE705D">
            <w:pPr>
              <w:pStyle w:val="43"/>
              <w:spacing w:after="40" w:line="240" w:lineRule="auto"/>
              <w:ind w:firstLine="420" w:firstLineChars="200"/>
              <w:rPr>
                <w:sz w:val="21"/>
                <w:szCs w:val="21"/>
              </w:rPr>
            </w:pPr>
            <w:r>
              <w:rPr>
                <w:sz w:val="21"/>
                <w:szCs w:val="21"/>
              </w:rPr>
              <w:t>3……</w:t>
            </w:r>
          </w:p>
        </w:tc>
        <w:tc>
          <w:tcPr>
            <w:tcW w:w="1110" w:type="dxa"/>
            <w:tcBorders>
              <w:top w:val="single" w:color="auto" w:sz="4" w:space="0"/>
              <w:left w:val="single" w:color="auto" w:sz="4" w:space="0"/>
              <w:right w:val="single" w:color="auto" w:sz="4" w:space="0"/>
            </w:tcBorders>
            <w:shd w:val="clear" w:color="auto" w:fill="FFFFFF"/>
          </w:tcPr>
          <w:p w14:paraId="7AD9201C">
            <w:pPr>
              <w:rPr>
                <w:sz w:val="11"/>
                <w:szCs w:val="11"/>
              </w:rPr>
            </w:pPr>
          </w:p>
        </w:tc>
      </w:tr>
      <w:tr w14:paraId="60F62632">
        <w:tblPrEx>
          <w:tblCellMar>
            <w:top w:w="0" w:type="dxa"/>
            <w:left w:w="10" w:type="dxa"/>
            <w:bottom w:w="0" w:type="dxa"/>
            <w:right w:w="10" w:type="dxa"/>
          </w:tblCellMar>
        </w:tblPrEx>
        <w:trPr>
          <w:trHeight w:val="1290" w:hRule="exact"/>
          <w:jc w:val="center"/>
        </w:trPr>
        <w:tc>
          <w:tcPr>
            <w:tcW w:w="1179" w:type="dxa"/>
            <w:tcBorders>
              <w:top w:val="single" w:color="auto" w:sz="4" w:space="0"/>
              <w:left w:val="single" w:color="auto" w:sz="4" w:space="0"/>
            </w:tcBorders>
            <w:shd w:val="clear" w:color="auto" w:fill="FFFFFF"/>
            <w:vAlign w:val="center"/>
          </w:tcPr>
          <w:p w14:paraId="74345CEA">
            <w:pPr>
              <w:pStyle w:val="43"/>
              <w:spacing w:line="240" w:lineRule="auto"/>
              <w:ind w:firstLine="0"/>
              <w:rPr>
                <w:sz w:val="21"/>
                <w:szCs w:val="21"/>
              </w:rPr>
            </w:pPr>
            <w:r>
              <w:rPr>
                <w:sz w:val="21"/>
                <w:szCs w:val="21"/>
              </w:rPr>
              <w:t>2</w:t>
            </w:r>
          </w:p>
        </w:tc>
        <w:tc>
          <w:tcPr>
            <w:tcW w:w="1140" w:type="dxa"/>
            <w:tcBorders>
              <w:top w:val="single" w:color="auto" w:sz="4" w:space="0"/>
              <w:left w:val="single" w:color="auto" w:sz="4" w:space="0"/>
            </w:tcBorders>
            <w:shd w:val="clear" w:color="auto" w:fill="FFFFFF"/>
            <w:vAlign w:val="center"/>
          </w:tcPr>
          <w:p w14:paraId="61424BD8">
            <w:pPr>
              <w:pStyle w:val="43"/>
              <w:tabs>
                <w:tab w:val="left" w:leader="dot" w:pos="360"/>
              </w:tabs>
              <w:spacing w:line="240" w:lineRule="auto"/>
              <w:ind w:firstLine="0"/>
              <w:rPr>
                <w:sz w:val="21"/>
                <w:szCs w:val="21"/>
              </w:rPr>
            </w:pPr>
          </w:p>
        </w:tc>
        <w:tc>
          <w:tcPr>
            <w:tcW w:w="735" w:type="dxa"/>
            <w:tcBorders>
              <w:top w:val="single" w:color="auto" w:sz="4" w:space="0"/>
              <w:left w:val="single" w:color="auto" w:sz="4" w:space="0"/>
            </w:tcBorders>
            <w:shd w:val="clear" w:color="auto" w:fill="FFFFFF"/>
          </w:tcPr>
          <w:p w14:paraId="67C9B0A5">
            <w:pPr>
              <w:rPr>
                <w:sz w:val="11"/>
                <w:szCs w:val="11"/>
              </w:rPr>
            </w:pPr>
          </w:p>
        </w:tc>
        <w:tc>
          <w:tcPr>
            <w:tcW w:w="1575" w:type="dxa"/>
            <w:tcBorders>
              <w:top w:val="single" w:color="auto" w:sz="4" w:space="0"/>
              <w:left w:val="single" w:color="auto" w:sz="4" w:space="0"/>
            </w:tcBorders>
            <w:shd w:val="clear" w:color="auto" w:fill="FFFFFF"/>
          </w:tcPr>
          <w:p w14:paraId="6152E2A6">
            <w:pPr>
              <w:pStyle w:val="43"/>
              <w:spacing w:before="120" w:line="240" w:lineRule="auto"/>
              <w:ind w:firstLine="420" w:firstLineChars="200"/>
              <w:rPr>
                <w:sz w:val="21"/>
                <w:szCs w:val="21"/>
              </w:rPr>
            </w:pPr>
            <w:r>
              <w:rPr>
                <w:sz w:val="21"/>
                <w:szCs w:val="21"/>
              </w:rPr>
              <w:t>1……</w:t>
            </w:r>
          </w:p>
          <w:p w14:paraId="5E9FFE24">
            <w:pPr>
              <w:pStyle w:val="43"/>
              <w:spacing w:line="240" w:lineRule="auto"/>
              <w:ind w:firstLine="420" w:firstLineChars="200"/>
              <w:rPr>
                <w:sz w:val="21"/>
                <w:szCs w:val="21"/>
              </w:rPr>
            </w:pPr>
            <w:r>
              <w:rPr>
                <w:sz w:val="21"/>
                <w:szCs w:val="21"/>
              </w:rPr>
              <w:t>2……</w:t>
            </w:r>
          </w:p>
          <w:p w14:paraId="16C3EAF5">
            <w:pPr>
              <w:pStyle w:val="43"/>
              <w:spacing w:line="240" w:lineRule="auto"/>
              <w:ind w:firstLine="420" w:firstLineChars="200"/>
              <w:rPr>
                <w:sz w:val="21"/>
                <w:szCs w:val="21"/>
              </w:rPr>
            </w:pPr>
            <w:r>
              <w:rPr>
                <w:sz w:val="21"/>
                <w:szCs w:val="21"/>
              </w:rPr>
              <w:t>3……</w:t>
            </w:r>
          </w:p>
        </w:tc>
        <w:tc>
          <w:tcPr>
            <w:tcW w:w="1140" w:type="dxa"/>
            <w:tcBorders>
              <w:top w:val="single" w:color="auto" w:sz="4" w:space="0"/>
              <w:left w:val="single" w:color="auto" w:sz="4" w:space="0"/>
            </w:tcBorders>
            <w:shd w:val="clear" w:color="auto" w:fill="FFFFFF"/>
            <w:vAlign w:val="center"/>
          </w:tcPr>
          <w:p w14:paraId="743FB336">
            <w:pPr>
              <w:pStyle w:val="43"/>
              <w:tabs>
                <w:tab w:val="left" w:leader="dot" w:pos="360"/>
              </w:tabs>
              <w:spacing w:line="240" w:lineRule="auto"/>
              <w:ind w:firstLine="0"/>
              <w:rPr>
                <w:sz w:val="21"/>
                <w:szCs w:val="21"/>
              </w:rPr>
            </w:pPr>
          </w:p>
        </w:tc>
        <w:tc>
          <w:tcPr>
            <w:tcW w:w="660" w:type="dxa"/>
            <w:tcBorders>
              <w:top w:val="single" w:color="auto" w:sz="4" w:space="0"/>
              <w:left w:val="single" w:color="auto" w:sz="4" w:space="0"/>
            </w:tcBorders>
            <w:shd w:val="clear" w:color="auto" w:fill="FFFFFF"/>
          </w:tcPr>
          <w:p w14:paraId="05D7A17A">
            <w:pPr>
              <w:rPr>
                <w:sz w:val="11"/>
                <w:szCs w:val="11"/>
              </w:rPr>
            </w:pPr>
          </w:p>
        </w:tc>
        <w:tc>
          <w:tcPr>
            <w:tcW w:w="1155" w:type="dxa"/>
            <w:tcBorders>
              <w:top w:val="single" w:color="auto" w:sz="4" w:space="0"/>
              <w:left w:val="single" w:color="auto" w:sz="4" w:space="0"/>
            </w:tcBorders>
            <w:shd w:val="clear" w:color="auto" w:fill="FFFFFF"/>
          </w:tcPr>
          <w:p w14:paraId="2AB6A686">
            <w:pPr>
              <w:pStyle w:val="43"/>
              <w:spacing w:before="120" w:line="240" w:lineRule="auto"/>
              <w:ind w:firstLine="420" w:firstLineChars="200"/>
              <w:rPr>
                <w:sz w:val="21"/>
                <w:szCs w:val="21"/>
              </w:rPr>
            </w:pPr>
            <w:r>
              <w:rPr>
                <w:sz w:val="21"/>
                <w:szCs w:val="21"/>
              </w:rPr>
              <w:t>1……</w:t>
            </w:r>
          </w:p>
          <w:p w14:paraId="3D37A5AC">
            <w:pPr>
              <w:pStyle w:val="43"/>
              <w:spacing w:line="240" w:lineRule="auto"/>
              <w:ind w:firstLine="420" w:firstLineChars="200"/>
              <w:rPr>
                <w:sz w:val="21"/>
                <w:szCs w:val="21"/>
              </w:rPr>
            </w:pPr>
            <w:r>
              <w:rPr>
                <w:sz w:val="21"/>
                <w:szCs w:val="21"/>
              </w:rPr>
              <w:t>2……</w:t>
            </w:r>
          </w:p>
          <w:p w14:paraId="07B8E864">
            <w:pPr>
              <w:pStyle w:val="43"/>
              <w:spacing w:line="240" w:lineRule="auto"/>
              <w:ind w:firstLine="420" w:firstLineChars="200"/>
              <w:rPr>
                <w:sz w:val="21"/>
                <w:szCs w:val="21"/>
              </w:rPr>
            </w:pPr>
            <w:r>
              <w:rPr>
                <w:sz w:val="21"/>
                <w:szCs w:val="21"/>
              </w:rPr>
              <w:t>3……</w:t>
            </w:r>
          </w:p>
        </w:tc>
        <w:tc>
          <w:tcPr>
            <w:tcW w:w="1110" w:type="dxa"/>
            <w:tcBorders>
              <w:top w:val="single" w:color="auto" w:sz="4" w:space="0"/>
              <w:left w:val="single" w:color="auto" w:sz="4" w:space="0"/>
              <w:right w:val="single" w:color="auto" w:sz="4" w:space="0"/>
            </w:tcBorders>
            <w:shd w:val="clear" w:color="auto" w:fill="FFFFFF"/>
          </w:tcPr>
          <w:p w14:paraId="5DBC3EED">
            <w:pPr>
              <w:rPr>
                <w:sz w:val="11"/>
                <w:szCs w:val="11"/>
              </w:rPr>
            </w:pPr>
          </w:p>
        </w:tc>
      </w:tr>
      <w:tr w14:paraId="3C8C15FC">
        <w:tblPrEx>
          <w:tblCellMar>
            <w:top w:w="0" w:type="dxa"/>
            <w:left w:w="10" w:type="dxa"/>
            <w:bottom w:w="0" w:type="dxa"/>
            <w:right w:w="10" w:type="dxa"/>
          </w:tblCellMar>
        </w:tblPrEx>
        <w:trPr>
          <w:trHeight w:val="345" w:hRule="exact"/>
          <w:jc w:val="center"/>
        </w:trPr>
        <w:tc>
          <w:tcPr>
            <w:tcW w:w="1179" w:type="dxa"/>
            <w:tcBorders>
              <w:top w:val="single" w:color="auto" w:sz="4" w:space="0"/>
              <w:left w:val="single" w:color="auto" w:sz="4" w:space="0"/>
              <w:bottom w:val="single" w:color="auto" w:sz="4" w:space="0"/>
            </w:tcBorders>
            <w:shd w:val="clear" w:color="auto" w:fill="FFFFFF"/>
            <w:vAlign w:val="center"/>
          </w:tcPr>
          <w:p w14:paraId="1CE1744E">
            <w:pPr>
              <w:pStyle w:val="43"/>
              <w:spacing w:line="240" w:lineRule="auto"/>
              <w:ind w:firstLine="0"/>
              <w:rPr>
                <w:sz w:val="21"/>
                <w:szCs w:val="21"/>
              </w:rPr>
            </w:pPr>
            <w:r>
              <w:rPr>
                <w:sz w:val="21"/>
                <w:szCs w:val="21"/>
              </w:rPr>
              <w:t>・・.</w:t>
            </w:r>
          </w:p>
        </w:tc>
        <w:tc>
          <w:tcPr>
            <w:tcW w:w="1140" w:type="dxa"/>
            <w:tcBorders>
              <w:top w:val="single" w:color="auto" w:sz="4" w:space="0"/>
              <w:left w:val="single" w:color="auto" w:sz="4" w:space="0"/>
              <w:bottom w:val="single" w:color="auto" w:sz="4" w:space="0"/>
            </w:tcBorders>
            <w:shd w:val="clear" w:color="auto" w:fill="FFFFFF"/>
          </w:tcPr>
          <w:p w14:paraId="6FA7278B">
            <w:pPr>
              <w:rPr>
                <w:sz w:val="11"/>
                <w:szCs w:val="11"/>
              </w:rPr>
            </w:pPr>
          </w:p>
        </w:tc>
        <w:tc>
          <w:tcPr>
            <w:tcW w:w="735" w:type="dxa"/>
            <w:tcBorders>
              <w:top w:val="single" w:color="auto" w:sz="4" w:space="0"/>
              <w:left w:val="single" w:color="auto" w:sz="4" w:space="0"/>
              <w:bottom w:val="single" w:color="auto" w:sz="4" w:space="0"/>
            </w:tcBorders>
            <w:shd w:val="clear" w:color="auto" w:fill="FFFFFF"/>
          </w:tcPr>
          <w:p w14:paraId="060F7CA0">
            <w:pPr>
              <w:rPr>
                <w:sz w:val="11"/>
                <w:szCs w:val="11"/>
              </w:rPr>
            </w:pPr>
          </w:p>
        </w:tc>
        <w:tc>
          <w:tcPr>
            <w:tcW w:w="1575" w:type="dxa"/>
            <w:tcBorders>
              <w:top w:val="single" w:color="auto" w:sz="4" w:space="0"/>
              <w:left w:val="single" w:color="auto" w:sz="4" w:space="0"/>
              <w:bottom w:val="single" w:color="auto" w:sz="4" w:space="0"/>
            </w:tcBorders>
            <w:shd w:val="clear" w:color="auto" w:fill="FFFFFF"/>
          </w:tcPr>
          <w:p w14:paraId="5E78142C">
            <w:pPr>
              <w:rPr>
                <w:sz w:val="11"/>
                <w:szCs w:val="11"/>
              </w:rPr>
            </w:pPr>
          </w:p>
        </w:tc>
        <w:tc>
          <w:tcPr>
            <w:tcW w:w="1140" w:type="dxa"/>
            <w:tcBorders>
              <w:top w:val="single" w:color="auto" w:sz="4" w:space="0"/>
              <w:left w:val="single" w:color="auto" w:sz="4" w:space="0"/>
              <w:bottom w:val="single" w:color="auto" w:sz="4" w:space="0"/>
            </w:tcBorders>
            <w:shd w:val="clear" w:color="auto" w:fill="FFFFFF"/>
          </w:tcPr>
          <w:p w14:paraId="17AE68DF">
            <w:pPr>
              <w:rPr>
                <w:sz w:val="11"/>
                <w:szCs w:val="11"/>
              </w:rPr>
            </w:pPr>
          </w:p>
        </w:tc>
        <w:tc>
          <w:tcPr>
            <w:tcW w:w="660" w:type="dxa"/>
            <w:tcBorders>
              <w:top w:val="single" w:color="auto" w:sz="4" w:space="0"/>
              <w:left w:val="single" w:color="auto" w:sz="4" w:space="0"/>
              <w:bottom w:val="single" w:color="auto" w:sz="4" w:space="0"/>
            </w:tcBorders>
            <w:shd w:val="clear" w:color="auto" w:fill="FFFFFF"/>
          </w:tcPr>
          <w:p w14:paraId="07D76C43">
            <w:pPr>
              <w:rPr>
                <w:sz w:val="11"/>
                <w:szCs w:val="11"/>
              </w:rPr>
            </w:pPr>
          </w:p>
        </w:tc>
        <w:tc>
          <w:tcPr>
            <w:tcW w:w="1155" w:type="dxa"/>
            <w:tcBorders>
              <w:top w:val="single" w:color="auto" w:sz="4" w:space="0"/>
              <w:left w:val="single" w:color="auto" w:sz="4" w:space="0"/>
              <w:bottom w:val="single" w:color="auto" w:sz="4" w:space="0"/>
            </w:tcBorders>
            <w:shd w:val="clear" w:color="auto" w:fill="FFFFFF"/>
          </w:tcPr>
          <w:p w14:paraId="32DC58A5">
            <w:pPr>
              <w:rPr>
                <w:sz w:val="11"/>
                <w:szCs w:val="11"/>
              </w:rPr>
            </w:pPr>
          </w:p>
        </w:tc>
        <w:tc>
          <w:tcPr>
            <w:tcW w:w="1110" w:type="dxa"/>
            <w:tcBorders>
              <w:top w:val="single" w:color="auto" w:sz="4" w:space="0"/>
              <w:left w:val="single" w:color="auto" w:sz="4" w:space="0"/>
              <w:bottom w:val="single" w:color="auto" w:sz="4" w:space="0"/>
              <w:right w:val="single" w:color="auto" w:sz="4" w:space="0"/>
            </w:tcBorders>
            <w:shd w:val="clear" w:color="auto" w:fill="FFFFFF"/>
          </w:tcPr>
          <w:p w14:paraId="2A5D5725">
            <w:pPr>
              <w:rPr>
                <w:sz w:val="11"/>
                <w:szCs w:val="11"/>
              </w:rPr>
            </w:pPr>
          </w:p>
        </w:tc>
      </w:tr>
    </w:tbl>
    <w:p w14:paraId="281A32A3">
      <w:pPr>
        <w:pStyle w:val="37"/>
        <w:spacing w:line="405" w:lineRule="exact"/>
        <w:ind w:left="300" w:firstLine="420" w:firstLineChars="200"/>
        <w:jc w:val="both"/>
        <w:rPr>
          <w:sz w:val="21"/>
          <w:szCs w:val="21"/>
        </w:rPr>
      </w:pPr>
      <w:r>
        <w:rPr>
          <w:sz w:val="21"/>
          <w:szCs w:val="21"/>
        </w:rPr>
        <w:t>注：</w:t>
      </w:r>
    </w:p>
    <w:p w14:paraId="2D15561E">
      <w:pPr>
        <w:pStyle w:val="37"/>
        <w:numPr>
          <w:ilvl w:val="0"/>
          <w:numId w:val="28"/>
        </w:numPr>
        <w:tabs>
          <w:tab w:val="left" w:pos="635"/>
        </w:tabs>
        <w:spacing w:after="60" w:line="405" w:lineRule="exact"/>
        <w:ind w:left="300" w:firstLine="420" w:firstLineChars="200"/>
        <w:jc w:val="both"/>
        <w:rPr>
          <w:sz w:val="21"/>
          <w:szCs w:val="21"/>
        </w:rPr>
      </w:pPr>
      <w:bookmarkStart w:id="304" w:name="bookmark443"/>
      <w:bookmarkEnd w:id="304"/>
      <w:r>
        <w:rPr>
          <w:sz w:val="21"/>
          <w:szCs w:val="21"/>
        </w:rPr>
        <w:t>说明：应对照磋商文件“第二章”中</w:t>
      </w:r>
      <w:r>
        <w:rPr>
          <w:sz w:val="21"/>
          <w:szCs w:val="21"/>
          <w:lang w:val="zh-CN" w:eastAsia="zh-CN" w:bidi="zh-CN"/>
        </w:rPr>
        <w:t>“采购</w:t>
      </w:r>
      <w:r>
        <w:rPr>
          <w:sz w:val="21"/>
          <w:szCs w:val="21"/>
        </w:rPr>
        <w:t>需求表</w:t>
      </w:r>
      <w:r>
        <w:rPr>
          <w:sz w:val="21"/>
          <w:szCs w:val="21"/>
          <w:lang w:val="zh-CN" w:eastAsia="zh-CN" w:bidi="zh-CN"/>
        </w:rPr>
        <w:t>”的</w:t>
      </w:r>
      <w:r>
        <w:rPr>
          <w:sz w:val="21"/>
          <w:szCs w:val="21"/>
        </w:rPr>
        <w:t>采购清单及技术参数条款逐条作出明确响应，并作出偏离说明。</w:t>
      </w:r>
    </w:p>
    <w:p w14:paraId="0EA1DAFB">
      <w:pPr>
        <w:pStyle w:val="37"/>
        <w:numPr>
          <w:ilvl w:val="0"/>
          <w:numId w:val="28"/>
        </w:numPr>
        <w:tabs>
          <w:tab w:val="left" w:pos="635"/>
        </w:tabs>
        <w:spacing w:line="405" w:lineRule="exact"/>
        <w:ind w:left="300" w:firstLine="420" w:firstLineChars="200"/>
        <w:jc w:val="both"/>
        <w:rPr>
          <w:sz w:val="21"/>
          <w:szCs w:val="21"/>
        </w:rPr>
      </w:pPr>
      <w:bookmarkStart w:id="305" w:name="bookmark444"/>
      <w:bookmarkEnd w:id="305"/>
      <w:r>
        <w:rPr>
          <w:sz w:val="21"/>
          <w:szCs w:val="21"/>
        </w:rPr>
        <w:t>供应商应根据自身的承诺，对照磋商文件要求，在“偏离说明</w:t>
      </w:r>
      <w:r>
        <w:rPr>
          <w:sz w:val="21"/>
          <w:szCs w:val="21"/>
          <w:lang w:val="zh-CN" w:eastAsia="zh-CN" w:bidi="zh-CN"/>
        </w:rPr>
        <w:t>”中注</w:t>
      </w:r>
      <w:r>
        <w:rPr>
          <w:sz w:val="21"/>
          <w:szCs w:val="21"/>
        </w:rPr>
        <w:t>明“正偏离”、</w:t>
      </w:r>
      <w:r>
        <w:rPr>
          <w:sz w:val="21"/>
          <w:szCs w:val="21"/>
          <w:lang w:val="zh-CN" w:eastAsia="zh-CN" w:bidi="zh-CN"/>
        </w:rPr>
        <w:t>“负</w:t>
      </w:r>
      <w:r>
        <w:rPr>
          <w:sz w:val="21"/>
          <w:szCs w:val="21"/>
        </w:rPr>
        <w:t>偏离〃或者</w:t>
      </w:r>
      <w:r>
        <w:rPr>
          <w:sz w:val="21"/>
          <w:szCs w:val="21"/>
          <w:lang w:val="zh-CN" w:eastAsia="zh-CN" w:bidi="zh-CN"/>
        </w:rPr>
        <w:t xml:space="preserve">“无 </w:t>
      </w:r>
      <w:r>
        <w:rPr>
          <w:sz w:val="21"/>
          <w:szCs w:val="21"/>
        </w:rPr>
        <w:t>偏离”。既不属于“正偏离</w:t>
      </w:r>
      <w:r>
        <w:rPr>
          <w:sz w:val="21"/>
          <w:szCs w:val="21"/>
          <w:lang w:val="zh-CN" w:eastAsia="zh-CN" w:bidi="zh-CN"/>
        </w:rPr>
        <w:t>”也不</w:t>
      </w:r>
      <w:r>
        <w:rPr>
          <w:sz w:val="21"/>
          <w:szCs w:val="21"/>
        </w:rPr>
        <w:t>属于“负偏离</w:t>
      </w:r>
      <w:r>
        <w:rPr>
          <w:sz w:val="21"/>
          <w:szCs w:val="21"/>
          <w:lang w:val="zh-CN" w:eastAsia="zh-CN" w:bidi="zh-CN"/>
        </w:rPr>
        <w:t>”即为“无</w:t>
      </w:r>
      <w:r>
        <w:rPr>
          <w:sz w:val="21"/>
          <w:szCs w:val="21"/>
        </w:rPr>
        <w:t>偏离”。当响应文件的商务内容低于竞争性磋商采购文件要求时，竞标人应当如实写明</w:t>
      </w:r>
      <w:r>
        <w:rPr>
          <w:sz w:val="21"/>
          <w:szCs w:val="21"/>
          <w:lang w:val="zh-CN" w:eastAsia="zh-CN" w:bidi="zh-CN"/>
        </w:rPr>
        <w:t>“负</w:t>
      </w:r>
      <w:r>
        <w:rPr>
          <w:sz w:val="21"/>
          <w:szCs w:val="21"/>
        </w:rPr>
        <w:t>偏离”，否则视为虚假应标</w:t>
      </w:r>
      <w:r>
        <w:rPr>
          <w:rFonts w:hint="eastAsia"/>
          <w:sz w:val="21"/>
          <w:szCs w:val="21"/>
          <w:lang w:eastAsia="zh-CN"/>
        </w:rPr>
        <w:t>。</w:t>
      </w:r>
    </w:p>
    <w:p w14:paraId="604D27CE">
      <w:pPr>
        <w:pStyle w:val="37"/>
        <w:numPr>
          <w:ilvl w:val="0"/>
          <w:numId w:val="28"/>
        </w:numPr>
        <w:tabs>
          <w:tab w:val="left" w:pos="635"/>
        </w:tabs>
        <w:spacing w:line="405" w:lineRule="exact"/>
        <w:ind w:firstLine="420" w:firstLineChars="200"/>
        <w:rPr>
          <w:sz w:val="21"/>
          <w:szCs w:val="21"/>
        </w:rPr>
      </w:pPr>
      <w:bookmarkStart w:id="306" w:name="bookmark445"/>
      <w:bookmarkEnd w:id="306"/>
      <w:r>
        <w:rPr>
          <w:sz w:val="21"/>
          <w:szCs w:val="21"/>
        </w:rPr>
        <w:t>表格内容均需按要求填写并盖</w:t>
      </w:r>
      <w:r>
        <w:rPr>
          <w:rFonts w:hint="eastAsia"/>
          <w:sz w:val="21"/>
          <w:szCs w:val="21"/>
          <w:lang w:eastAsia="zh-CN"/>
        </w:rPr>
        <w:t>章</w:t>
      </w:r>
      <w:r>
        <w:rPr>
          <w:sz w:val="21"/>
          <w:szCs w:val="21"/>
        </w:rPr>
        <w:t>，不得留空，否则按竞标无效处理。</w:t>
      </w:r>
    </w:p>
    <w:p w14:paraId="38D941A6">
      <w:pPr>
        <w:pStyle w:val="37"/>
        <w:numPr>
          <w:ilvl w:val="0"/>
          <w:numId w:val="28"/>
        </w:numPr>
        <w:tabs>
          <w:tab w:val="left" w:pos="635"/>
        </w:tabs>
        <w:spacing w:after="60" w:line="405" w:lineRule="exact"/>
        <w:ind w:left="300" w:firstLine="420" w:firstLineChars="200"/>
        <w:jc w:val="both"/>
        <w:rPr>
          <w:sz w:val="21"/>
          <w:szCs w:val="21"/>
        </w:rPr>
      </w:pPr>
      <w:bookmarkStart w:id="307" w:name="bookmark446"/>
      <w:bookmarkEnd w:id="307"/>
      <w:r>
        <w:rPr>
          <w:sz w:val="21"/>
          <w:szCs w:val="21"/>
        </w:rPr>
        <w:t>如果采购需求为小于、小于等于、大于或大于等于某个数值标准时，响应文件承诺不得直接复制采购需求，响应文件承诺内容应当写明竟标服务具体参数或商务响应承诺的具体数值，否则按竞标无效处理。如 该采购需求属于不能明确具体数值的，采购人应在此采购需求的数值后标注</w:t>
      </w:r>
      <w:r>
        <w:rPr>
          <w:rFonts w:ascii="Times New Roman" w:hAnsi="Times New Roman" w:eastAsia="Times New Roman" w:cs="Times New Roman"/>
          <w:sz w:val="21"/>
          <w:szCs w:val="21"/>
        </w:rPr>
        <w:t>♦</w:t>
      </w:r>
      <w:r>
        <w:rPr>
          <w:sz w:val="21"/>
          <w:szCs w:val="21"/>
        </w:rPr>
        <w:t>号，对标注</w:t>
      </w:r>
      <w:r>
        <w:rPr>
          <w:rFonts w:ascii="Times New Roman" w:hAnsi="Times New Roman" w:eastAsia="Times New Roman" w:cs="Times New Roman"/>
          <w:sz w:val="21"/>
          <w:szCs w:val="21"/>
        </w:rPr>
        <w:t>♦</w:t>
      </w:r>
      <w:r>
        <w:rPr>
          <w:sz w:val="21"/>
          <w:szCs w:val="21"/>
        </w:rPr>
        <w:t>号的采购需求不适用上述</w:t>
      </w:r>
      <w:r>
        <w:rPr>
          <w:sz w:val="21"/>
          <w:szCs w:val="21"/>
          <w:lang w:val="zh-CN" w:eastAsia="zh-CN" w:bidi="zh-CN"/>
        </w:rPr>
        <w:t>“竞标</w:t>
      </w:r>
      <w:r>
        <w:rPr>
          <w:sz w:val="21"/>
          <w:szCs w:val="21"/>
        </w:rPr>
        <w:t>无效”条款。</w:t>
      </w:r>
    </w:p>
    <w:p w14:paraId="77919581">
      <w:pPr>
        <w:pStyle w:val="37"/>
        <w:numPr>
          <w:ilvl w:val="0"/>
          <w:numId w:val="28"/>
        </w:numPr>
        <w:tabs>
          <w:tab w:val="left" w:pos="635"/>
        </w:tabs>
        <w:spacing w:after="600" w:line="240" w:lineRule="auto"/>
        <w:ind w:firstLine="420" w:firstLineChars="200"/>
        <w:rPr>
          <w:sz w:val="21"/>
          <w:szCs w:val="21"/>
        </w:rPr>
      </w:pPr>
      <w:bookmarkStart w:id="308" w:name="bookmark447"/>
      <w:bookmarkEnd w:id="308"/>
      <w:r>
        <w:rPr>
          <w:sz w:val="21"/>
          <w:szCs w:val="21"/>
        </w:rPr>
        <w:t>如技术偏离表中的竟标响应与佐证材料不一致的，以佐证材料为准。</w:t>
      </w:r>
    </w:p>
    <w:p w14:paraId="2162E05A">
      <w:pPr>
        <w:pStyle w:val="37"/>
        <w:spacing w:after="60" w:line="405" w:lineRule="exact"/>
        <w:ind w:left="4400" w:firstLine="420" w:firstLineChars="200"/>
        <w:rPr>
          <w:sz w:val="21"/>
          <w:szCs w:val="21"/>
        </w:rPr>
      </w:pPr>
      <w:r>
        <w:rPr>
          <w:sz w:val="21"/>
          <w:szCs w:val="21"/>
        </w:rPr>
        <w:t>供应商名称（电子签章）：</w:t>
      </w:r>
    </w:p>
    <w:p w14:paraId="051E9293">
      <w:pPr>
        <w:pStyle w:val="37"/>
        <w:spacing w:after="180" w:line="405" w:lineRule="exact"/>
        <w:ind w:right="1280" w:firstLine="420" w:firstLineChars="200"/>
        <w:jc w:val="right"/>
        <w:rPr>
          <w:sz w:val="21"/>
          <w:szCs w:val="21"/>
        </w:rPr>
      </w:pPr>
      <w:r>
        <w:rPr>
          <w:sz w:val="21"/>
          <w:szCs w:val="21"/>
        </w:rPr>
        <w:t>日期：年 月 日</w:t>
      </w:r>
    </w:p>
    <w:p w14:paraId="252C184A">
      <w:pPr>
        <w:pStyle w:val="27"/>
        <w:keepNext/>
        <w:keepLines/>
        <w:spacing w:after="360"/>
        <w:ind w:left="0" w:firstLine="880" w:firstLineChars="200"/>
        <w:rPr>
          <w:sz w:val="44"/>
          <w:szCs w:val="44"/>
        </w:rPr>
      </w:pPr>
      <w:bookmarkStart w:id="309" w:name="bookmark449"/>
      <w:bookmarkStart w:id="310" w:name="bookmark450"/>
      <w:bookmarkStart w:id="311" w:name="bookmark448"/>
      <w:r>
        <w:rPr>
          <w:sz w:val="44"/>
          <w:szCs w:val="44"/>
        </w:rPr>
        <w:t>服务配置清单</w:t>
      </w:r>
      <w:r>
        <w:rPr>
          <w:color w:val="3E2D25"/>
          <w:sz w:val="44"/>
          <w:szCs w:val="44"/>
        </w:rPr>
        <w:t>（如有）</w:t>
      </w:r>
      <w:bookmarkEnd w:id="309"/>
      <w:bookmarkEnd w:id="310"/>
      <w:bookmarkEnd w:id="311"/>
    </w:p>
    <w:p w14:paraId="5B774826">
      <w:pPr>
        <w:ind w:firstLine="560" w:firstLineChars="200"/>
        <w:jc w:val="center"/>
        <w:rPr>
          <w:sz w:val="4"/>
          <w:szCs w:val="4"/>
        </w:rPr>
      </w:pPr>
      <w:r>
        <w:rPr>
          <w:sz w:val="28"/>
          <w:szCs w:val="28"/>
          <w:lang w:eastAsia="zh-CN" w:bidi="ar-SA"/>
        </w:rPr>
        <w:drawing>
          <wp:inline distT="0" distB="0" distL="114300" distR="114300">
            <wp:extent cx="6276975" cy="1990725"/>
            <wp:effectExtent l="0" t="0" r="9525" b="9525"/>
            <wp:docPr id="55" name="Picutre 55"/>
            <wp:cNvGraphicFramePr/>
            <a:graphic xmlns:a="http://schemas.openxmlformats.org/drawingml/2006/main">
              <a:graphicData uri="http://schemas.openxmlformats.org/drawingml/2006/picture">
                <pic:pic xmlns:pic="http://schemas.openxmlformats.org/drawingml/2006/picture">
                  <pic:nvPicPr>
                    <pic:cNvPr id="55" name="Picutre 55"/>
                    <pic:cNvPicPr/>
                  </pic:nvPicPr>
                  <pic:blipFill>
                    <a:blip r:embed="rId45"/>
                    <a:stretch>
                      <a:fillRect/>
                    </a:stretch>
                  </pic:blipFill>
                  <pic:spPr>
                    <a:xfrm>
                      <a:off x="0" y="0"/>
                      <a:ext cx="6276975" cy="1990725"/>
                    </a:xfrm>
                    <a:prstGeom prst="rect">
                      <a:avLst/>
                    </a:prstGeom>
                  </pic:spPr>
                </pic:pic>
              </a:graphicData>
            </a:graphic>
          </wp:inline>
        </w:drawing>
      </w:r>
    </w:p>
    <w:p w14:paraId="07FBEDEA">
      <w:pPr>
        <w:pStyle w:val="37"/>
        <w:spacing w:after="660" w:line="460" w:lineRule="exact"/>
        <w:ind w:left="320" w:firstLine="422" w:firstLineChars="200"/>
        <w:jc w:val="both"/>
        <w:rPr>
          <w:sz w:val="21"/>
          <w:szCs w:val="21"/>
        </w:rPr>
      </w:pPr>
      <w:r>
        <w:rPr>
          <w:b/>
          <w:bCs/>
          <w:sz w:val="21"/>
          <w:szCs w:val="21"/>
        </w:rPr>
        <w:t>以上性能配置清单中</w:t>
      </w:r>
      <w:r>
        <w:rPr>
          <w:b/>
          <w:bCs/>
          <w:sz w:val="21"/>
          <w:szCs w:val="21"/>
          <w:lang w:val="zh-CN" w:eastAsia="zh-CN" w:bidi="zh-CN"/>
        </w:rPr>
        <w:t>“服务</w:t>
      </w:r>
      <w:r>
        <w:rPr>
          <w:b/>
          <w:bCs/>
          <w:sz w:val="21"/>
          <w:szCs w:val="21"/>
        </w:rPr>
        <w:t>名称、数量及单位、品牌、规格型号、制造商、原产地、参数性能、指标及配置“必颜如实填写完整，品牌、规格型号没有则填无，填写有缺漏的，响应文件作无效处理</w:t>
      </w:r>
      <w:r>
        <w:rPr>
          <w:sz w:val="21"/>
          <w:szCs w:val="21"/>
        </w:rPr>
        <w:t>。服务名称、数量及单位、品牌必须与</w:t>
      </w:r>
      <w:r>
        <w:rPr>
          <w:sz w:val="21"/>
          <w:szCs w:val="21"/>
          <w:lang w:val="zh-CN" w:eastAsia="zh-CN" w:bidi="zh-CN"/>
        </w:rPr>
        <w:t>“采购</w:t>
      </w:r>
      <w:r>
        <w:rPr>
          <w:sz w:val="21"/>
          <w:szCs w:val="21"/>
        </w:rPr>
        <w:t>需求表</w:t>
      </w:r>
      <w:r>
        <w:rPr>
          <w:sz w:val="21"/>
          <w:szCs w:val="21"/>
          <w:lang w:val="zh-CN" w:eastAsia="zh-CN" w:bidi="zh-CN"/>
        </w:rPr>
        <w:t>”一</w:t>
      </w:r>
      <w:r>
        <w:rPr>
          <w:sz w:val="21"/>
          <w:szCs w:val="21"/>
        </w:rPr>
        <w:t>致，否则响应文件作无效处理。</w:t>
      </w:r>
    </w:p>
    <w:p w14:paraId="79903070">
      <w:pPr>
        <w:pStyle w:val="37"/>
        <w:spacing w:after="360" w:line="240" w:lineRule="auto"/>
        <w:ind w:left="4340" w:firstLine="420" w:firstLineChars="200"/>
        <w:rPr>
          <w:sz w:val="21"/>
          <w:szCs w:val="21"/>
        </w:rPr>
      </w:pPr>
      <w:r>
        <w:rPr>
          <w:sz w:val="21"/>
          <w:szCs w:val="21"/>
        </w:rPr>
        <w:t>供应商名称（电子签章）：</w:t>
      </w:r>
    </w:p>
    <w:p w14:paraId="7120CDD8">
      <w:pPr>
        <w:pStyle w:val="37"/>
        <w:spacing w:after="360" w:line="240" w:lineRule="auto"/>
        <w:ind w:firstLine="420" w:firstLineChars="200"/>
        <w:jc w:val="center"/>
        <w:rPr>
          <w:sz w:val="21"/>
          <w:szCs w:val="21"/>
          <w:lang w:val="en-US" w:eastAsia="zh-CN"/>
        </w:rPr>
        <w:sectPr>
          <w:pgSz w:w="11900" w:h="16840"/>
          <w:pgMar w:top="1175" w:right="775" w:bottom="2310" w:left="790" w:header="747" w:footer="1531" w:gutter="0"/>
          <w:cols w:space="720" w:num="1"/>
          <w:docGrid w:linePitch="360" w:charSpace="0"/>
        </w:sectPr>
      </w:pPr>
      <w:r>
        <w:rPr>
          <w:sz w:val="21"/>
          <w:szCs w:val="21"/>
        </w:rPr>
        <w:t>日期：年 月</w:t>
      </w:r>
      <w:r>
        <w:rPr>
          <w:rFonts w:hint="eastAsia"/>
          <w:sz w:val="21"/>
          <w:szCs w:val="21"/>
          <w:lang w:val="en-US" w:eastAsia="zh-CN"/>
        </w:rPr>
        <w:t xml:space="preserve"> 日</w:t>
      </w:r>
    </w:p>
    <w:p w14:paraId="6BDA6029">
      <w:pPr>
        <w:pStyle w:val="41"/>
        <w:keepNext/>
        <w:keepLines/>
        <w:spacing w:after="700"/>
        <w:ind w:firstLine="643" w:firstLineChars="200"/>
        <w:jc w:val="left"/>
        <w:rPr>
          <w:b/>
          <w:bCs/>
          <w:sz w:val="32"/>
          <w:szCs w:val="32"/>
        </w:rPr>
      </w:pPr>
      <w:bookmarkStart w:id="312" w:name="bookmark451"/>
      <w:bookmarkStart w:id="313" w:name="bookmark452"/>
      <w:bookmarkStart w:id="314" w:name="bookmark453"/>
      <w:r>
        <w:rPr>
          <w:b/>
          <w:bCs/>
          <w:sz w:val="32"/>
          <w:szCs w:val="32"/>
        </w:rPr>
        <w:t>七、服务需求、商务条款要求提供的其他材料</w:t>
      </w:r>
      <w:bookmarkEnd w:id="312"/>
      <w:bookmarkEnd w:id="313"/>
      <w:bookmarkEnd w:id="314"/>
    </w:p>
    <w:p w14:paraId="3C247979">
      <w:pPr>
        <w:pStyle w:val="37"/>
        <w:spacing w:after="200" w:line="240" w:lineRule="auto"/>
        <w:ind w:left="4400" w:firstLine="420" w:firstLineChars="200"/>
        <w:rPr>
          <w:sz w:val="21"/>
          <w:szCs w:val="21"/>
        </w:rPr>
      </w:pPr>
      <w:r>
        <w:rPr>
          <w:sz w:val="21"/>
          <w:szCs w:val="21"/>
        </w:rPr>
        <w:t>供应商名称（电子签章）：</w:t>
      </w:r>
    </w:p>
    <w:p w14:paraId="2E55CC2A">
      <w:pPr>
        <w:pStyle w:val="37"/>
        <w:spacing w:after="440" w:line="240" w:lineRule="auto"/>
        <w:ind w:right="1280" w:firstLine="420" w:firstLineChars="200"/>
        <w:jc w:val="right"/>
        <w:rPr>
          <w:sz w:val="21"/>
          <w:szCs w:val="21"/>
        </w:rPr>
        <w:sectPr>
          <w:pgSz w:w="11900" w:h="16840"/>
          <w:pgMar w:top="1640" w:right="775" w:bottom="1640" w:left="790" w:header="1212" w:footer="1191" w:gutter="0"/>
          <w:cols w:space="720" w:num="1"/>
          <w:docGrid w:linePitch="360" w:charSpace="0"/>
        </w:sectPr>
      </w:pPr>
      <w:r>
        <w:rPr>
          <w:sz w:val="21"/>
          <w:szCs w:val="21"/>
        </w:rPr>
        <w:t>日期：年 月 日</w:t>
      </w:r>
    </w:p>
    <w:p w14:paraId="455502DE">
      <w:pPr>
        <w:pStyle w:val="29"/>
        <w:spacing w:after="620"/>
        <w:ind w:firstLine="643" w:firstLineChars="200"/>
        <w:jc w:val="center"/>
        <w:rPr>
          <w:b/>
          <w:bCs/>
          <w:sz w:val="32"/>
          <w:szCs w:val="32"/>
        </w:rPr>
      </w:pPr>
      <w:r>
        <w:rPr>
          <w:b/>
          <w:bCs/>
          <w:sz w:val="32"/>
          <w:szCs w:val="32"/>
        </w:rPr>
        <w:t>第三节报价文件格式</w:t>
      </w:r>
    </w:p>
    <w:p w14:paraId="1DD4190B">
      <w:pPr>
        <w:pStyle w:val="37"/>
        <w:spacing w:after="1480" w:line="240" w:lineRule="auto"/>
        <w:ind w:firstLine="420" w:firstLineChars="200"/>
        <w:jc w:val="center"/>
        <w:rPr>
          <w:sz w:val="21"/>
          <w:szCs w:val="21"/>
        </w:rPr>
      </w:pPr>
      <w:r>
        <w:rPr>
          <w:sz w:val="21"/>
          <w:szCs w:val="21"/>
        </w:rPr>
        <w:t>全流程电子文件</w:t>
      </w:r>
    </w:p>
    <w:p w14:paraId="64298BD5">
      <w:pPr>
        <w:pStyle w:val="27"/>
        <w:keepNext/>
        <w:keepLines/>
        <w:spacing w:after="2340"/>
        <w:ind w:left="0" w:firstLine="880" w:firstLineChars="200"/>
        <w:rPr>
          <w:sz w:val="44"/>
          <w:szCs w:val="44"/>
        </w:rPr>
      </w:pPr>
      <w:bookmarkStart w:id="315" w:name="bookmark455"/>
      <w:bookmarkStart w:id="316" w:name="bookmark456"/>
      <w:bookmarkStart w:id="317" w:name="bookmark454"/>
      <w:r>
        <w:rPr>
          <w:sz w:val="44"/>
          <w:szCs w:val="44"/>
        </w:rPr>
        <w:t>报</w:t>
      </w:r>
      <w:r>
        <w:rPr>
          <w:color w:val="3E2D25"/>
          <w:sz w:val="44"/>
          <w:szCs w:val="44"/>
        </w:rPr>
        <w:t>价</w:t>
      </w:r>
      <w:r>
        <w:rPr>
          <w:sz w:val="44"/>
          <w:szCs w:val="44"/>
        </w:rPr>
        <w:t>文</w:t>
      </w:r>
      <w:r>
        <w:rPr>
          <w:color w:val="3E2D25"/>
          <w:sz w:val="44"/>
          <w:szCs w:val="44"/>
        </w:rPr>
        <w:t>件（封面）</w:t>
      </w:r>
      <w:bookmarkEnd w:id="315"/>
      <w:bookmarkEnd w:id="316"/>
      <w:bookmarkEnd w:id="317"/>
    </w:p>
    <w:p w14:paraId="43B1E019">
      <w:pPr>
        <w:pStyle w:val="29"/>
        <w:spacing w:after="720"/>
        <w:ind w:firstLine="640" w:firstLineChars="200"/>
        <w:rPr>
          <w:sz w:val="32"/>
          <w:szCs w:val="32"/>
        </w:rPr>
      </w:pPr>
      <w:r>
        <w:rPr>
          <w:rFonts w:hint="eastAsia"/>
          <w:sz w:val="32"/>
          <w:szCs w:val="32"/>
          <w:lang w:eastAsia="zh-CN"/>
        </w:rPr>
        <w:t>项目</w:t>
      </w:r>
      <w:r>
        <w:rPr>
          <w:sz w:val="32"/>
          <w:szCs w:val="32"/>
        </w:rPr>
        <w:t>名称：</w:t>
      </w:r>
    </w:p>
    <w:p w14:paraId="72FDDFB9">
      <w:pPr>
        <w:pStyle w:val="29"/>
        <w:spacing w:after="680"/>
        <w:ind w:firstLine="640" w:firstLineChars="200"/>
        <w:rPr>
          <w:sz w:val="32"/>
          <w:szCs w:val="32"/>
        </w:rPr>
      </w:pPr>
      <w:r>
        <w:rPr>
          <w:rFonts w:hint="eastAsia"/>
          <w:color w:val="3E2D25"/>
          <w:sz w:val="32"/>
          <w:szCs w:val="32"/>
          <w:lang w:eastAsia="zh-CN"/>
        </w:rPr>
        <w:t>项目</w:t>
      </w:r>
      <w:r>
        <w:rPr>
          <w:color w:val="3E2D25"/>
          <w:sz w:val="32"/>
          <w:szCs w:val="32"/>
        </w:rPr>
        <w:t>编号：</w:t>
      </w:r>
    </w:p>
    <w:p w14:paraId="0F74C475">
      <w:pPr>
        <w:pStyle w:val="29"/>
        <w:spacing w:after="680"/>
        <w:ind w:firstLine="640" w:firstLineChars="200"/>
        <w:rPr>
          <w:sz w:val="32"/>
          <w:szCs w:val="32"/>
        </w:rPr>
      </w:pPr>
      <w:r>
        <w:rPr>
          <w:sz w:val="32"/>
          <w:szCs w:val="32"/>
        </w:rPr>
        <w:t>所竞分标（如有则填写，无分标时填写</w:t>
      </w:r>
      <w:r>
        <w:rPr>
          <w:sz w:val="32"/>
          <w:szCs w:val="32"/>
          <w:lang w:val="zh-CN" w:eastAsia="zh-CN" w:bidi="zh-CN"/>
        </w:rPr>
        <w:t>“无”</w:t>
      </w:r>
      <w:r>
        <w:rPr>
          <w:sz w:val="32"/>
          <w:szCs w:val="32"/>
        </w:rPr>
        <w:t>或者留空）：</w:t>
      </w:r>
    </w:p>
    <w:p w14:paraId="48A1BF72">
      <w:pPr>
        <w:pStyle w:val="29"/>
        <w:spacing w:after="1560"/>
        <w:ind w:firstLine="640" w:firstLineChars="200"/>
        <w:rPr>
          <w:sz w:val="32"/>
          <w:szCs w:val="32"/>
        </w:rPr>
      </w:pPr>
      <w:r>
        <w:rPr>
          <w:sz w:val="32"/>
          <w:szCs w:val="32"/>
        </w:rPr>
        <w:t>供应商名称：</w:t>
      </w:r>
    </w:p>
    <w:p w14:paraId="64090274">
      <w:pPr>
        <w:pStyle w:val="29"/>
        <w:spacing w:after="0"/>
        <w:ind w:firstLine="640" w:firstLineChars="200"/>
        <w:jc w:val="center"/>
        <w:rPr>
          <w:sz w:val="32"/>
          <w:szCs w:val="32"/>
          <w:lang w:eastAsia="zh-CN"/>
        </w:rPr>
        <w:sectPr>
          <w:footerReference r:id="rId36" w:type="default"/>
          <w:footerReference r:id="rId37" w:type="even"/>
          <w:pgSz w:w="11900" w:h="16840"/>
          <w:pgMar w:top="1910" w:right="775" w:bottom="1910" w:left="790" w:header="1482" w:footer="1417" w:gutter="0"/>
          <w:cols w:space="720" w:num="1"/>
          <w:docGrid w:linePitch="360" w:charSpace="0"/>
        </w:sectPr>
      </w:pPr>
      <w:r>
        <w:rPr>
          <w:sz w:val="32"/>
          <w:szCs w:val="32"/>
        </w:rPr>
        <w:t xml:space="preserve">年 月 </w:t>
      </w:r>
      <w:r>
        <w:rPr>
          <w:rFonts w:hint="eastAsia"/>
          <w:sz w:val="32"/>
          <w:szCs w:val="32"/>
          <w:lang w:eastAsia="zh-CN"/>
        </w:rPr>
        <w:t>日</w:t>
      </w:r>
    </w:p>
    <w:p w14:paraId="7472296A">
      <w:pPr>
        <w:pStyle w:val="41"/>
        <w:keepNext/>
        <w:keepLines/>
        <w:spacing w:after="360"/>
        <w:ind w:firstLine="640" w:firstLineChars="200"/>
        <w:rPr>
          <w:sz w:val="32"/>
          <w:szCs w:val="32"/>
        </w:rPr>
      </w:pPr>
      <w:bookmarkStart w:id="318" w:name="bookmark459"/>
      <w:bookmarkStart w:id="319" w:name="bookmark457"/>
      <w:bookmarkStart w:id="320" w:name="bookmark458"/>
      <w:r>
        <w:rPr>
          <w:sz w:val="32"/>
          <w:szCs w:val="32"/>
        </w:rPr>
        <w:t>报价文件目录</w:t>
      </w:r>
      <w:bookmarkEnd w:id="318"/>
      <w:bookmarkEnd w:id="319"/>
      <w:bookmarkEnd w:id="320"/>
    </w:p>
    <w:p w14:paraId="5AE5A094">
      <w:pPr>
        <w:pStyle w:val="37"/>
        <w:tabs>
          <w:tab w:val="left" w:leader="dot" w:pos="6560"/>
        </w:tabs>
        <w:spacing w:after="60" w:line="240" w:lineRule="auto"/>
        <w:ind w:firstLine="420" w:firstLineChars="200"/>
        <w:rPr>
          <w:sz w:val="21"/>
          <w:szCs w:val="21"/>
        </w:rPr>
      </w:pPr>
      <w:r>
        <w:rPr>
          <w:sz w:val="21"/>
          <w:szCs w:val="21"/>
          <w:lang w:val="en-US" w:eastAsia="zh-CN" w:bidi="en-US"/>
        </w:rPr>
        <w:t>—</w:t>
      </w:r>
      <w:r>
        <w:rPr>
          <w:sz w:val="21"/>
          <w:szCs w:val="21"/>
        </w:rPr>
        <w:t>、响应函</w:t>
      </w:r>
      <w:r>
        <w:rPr>
          <w:sz w:val="21"/>
          <w:szCs w:val="21"/>
          <w:lang w:val="en-US" w:eastAsia="zh-CN" w:bidi="en-US"/>
        </w:rPr>
        <w:tab/>
      </w:r>
      <w:r>
        <w:rPr>
          <w:sz w:val="21"/>
          <w:szCs w:val="21"/>
        </w:rPr>
        <w:t>（页码）</w:t>
      </w:r>
    </w:p>
    <w:p w14:paraId="7E681D08">
      <w:pPr>
        <w:pStyle w:val="37"/>
        <w:tabs>
          <w:tab w:val="left" w:leader="dot" w:pos="6560"/>
        </w:tabs>
        <w:spacing w:after="60" w:line="240" w:lineRule="auto"/>
        <w:ind w:firstLine="420" w:firstLineChars="200"/>
        <w:rPr>
          <w:sz w:val="21"/>
          <w:szCs w:val="21"/>
        </w:rPr>
      </w:pPr>
      <w:r>
        <w:rPr>
          <w:rFonts w:hint="eastAsia"/>
          <w:sz w:val="21"/>
          <w:szCs w:val="21"/>
          <w:lang w:eastAsia="zh-CN"/>
        </w:rPr>
        <w:t>二、</w:t>
      </w:r>
      <w:r>
        <w:rPr>
          <w:sz w:val="21"/>
          <w:szCs w:val="21"/>
        </w:rPr>
        <w:t>响应报价表</w:t>
      </w:r>
      <w:r>
        <w:rPr>
          <w:sz w:val="21"/>
          <w:szCs w:val="21"/>
          <w:lang w:val="en-US" w:eastAsia="zh-CN" w:bidi="en-US"/>
        </w:rPr>
        <w:tab/>
      </w:r>
      <w:r>
        <w:rPr>
          <w:sz w:val="21"/>
          <w:szCs w:val="21"/>
          <w:lang w:val="en-US" w:eastAsia="zh-CN" w:bidi="en-US"/>
        </w:rPr>
        <w:tab/>
      </w:r>
      <w:r>
        <w:rPr>
          <w:sz w:val="21"/>
          <w:szCs w:val="21"/>
        </w:rPr>
        <w:t>（页码）</w:t>
      </w:r>
    </w:p>
    <w:p w14:paraId="2D8EAC53">
      <w:pPr>
        <w:pStyle w:val="37"/>
        <w:tabs>
          <w:tab w:val="left" w:leader="dot" w:pos="6560"/>
        </w:tabs>
        <w:spacing w:after="60" w:line="240" w:lineRule="auto"/>
        <w:ind w:firstLine="420" w:firstLineChars="200"/>
        <w:rPr>
          <w:sz w:val="21"/>
          <w:szCs w:val="21"/>
          <w:lang w:val="en-US" w:eastAsia="zh-CN" w:bidi="en-US"/>
        </w:rPr>
      </w:pPr>
      <w:r>
        <w:rPr>
          <w:rFonts w:hint="eastAsia"/>
          <w:sz w:val="21"/>
          <w:szCs w:val="21"/>
          <w:lang w:val="en-US" w:eastAsia="zh-CN" w:bidi="en-US"/>
        </w:rPr>
        <w:t>三、供应商针对报价需要说明的其他文件和说明（格式自拟）</w:t>
      </w:r>
      <w:r>
        <w:rPr>
          <w:sz w:val="21"/>
          <w:szCs w:val="21"/>
          <w:lang w:val="en-US" w:eastAsia="zh-CN" w:bidi="en-US"/>
        </w:rPr>
        <w:tab/>
      </w:r>
      <w:r>
        <w:rPr>
          <w:sz w:val="21"/>
          <w:szCs w:val="21"/>
          <w:lang w:val="en-US" w:eastAsia="zh-CN" w:bidi="en-US"/>
        </w:rPr>
        <w:tab/>
      </w:r>
      <w:r>
        <w:rPr>
          <w:sz w:val="21"/>
          <w:szCs w:val="21"/>
          <w:lang w:val="en-US" w:eastAsia="zh-CN" w:bidi="en-US"/>
        </w:rPr>
        <w:t>（页码）</w:t>
      </w:r>
    </w:p>
    <w:p w14:paraId="008ADF1C">
      <w:pPr>
        <w:pStyle w:val="37"/>
        <w:tabs>
          <w:tab w:val="left" w:leader="dot" w:pos="6560"/>
        </w:tabs>
        <w:spacing w:after="60" w:line="240" w:lineRule="auto"/>
        <w:ind w:firstLine="420" w:firstLineChars="200"/>
        <w:rPr>
          <w:sz w:val="21"/>
          <w:szCs w:val="21"/>
        </w:rPr>
        <w:sectPr>
          <w:footerReference r:id="rId38" w:type="default"/>
          <w:footerReference r:id="rId39" w:type="even"/>
          <w:pgSz w:w="11900" w:h="16840"/>
          <w:pgMar w:top="1265" w:right="775" w:bottom="1265" w:left="790" w:header="837" w:footer="1134" w:gutter="0"/>
          <w:cols w:space="720" w:num="1"/>
          <w:docGrid w:linePitch="360" w:charSpace="0"/>
        </w:sectPr>
      </w:pPr>
    </w:p>
    <w:p w14:paraId="31D28D7F">
      <w:pPr>
        <w:pStyle w:val="41"/>
        <w:keepNext/>
        <w:keepLines/>
        <w:spacing w:after="300"/>
        <w:ind w:firstLine="643" w:firstLineChars="200"/>
        <w:jc w:val="left"/>
        <w:rPr>
          <w:b/>
          <w:bCs/>
          <w:sz w:val="32"/>
          <w:szCs w:val="32"/>
        </w:rPr>
      </w:pPr>
      <w:bookmarkStart w:id="321" w:name="bookmark461"/>
      <w:bookmarkStart w:id="322" w:name="bookmark462"/>
      <w:bookmarkStart w:id="323" w:name="bookmark460"/>
      <w:r>
        <w:rPr>
          <w:b/>
          <w:bCs/>
          <w:sz w:val="32"/>
          <w:szCs w:val="32"/>
        </w:rPr>
        <w:t>一、响应函</w:t>
      </w:r>
      <w:bookmarkEnd w:id="321"/>
      <w:bookmarkEnd w:id="322"/>
      <w:bookmarkEnd w:id="323"/>
    </w:p>
    <w:p w14:paraId="5A4BBC10">
      <w:pPr>
        <w:pStyle w:val="37"/>
        <w:spacing w:after="500" w:line="440" w:lineRule="exact"/>
        <w:ind w:firstLine="643" w:firstLineChars="200"/>
        <w:jc w:val="center"/>
        <w:rPr>
          <w:b/>
          <w:bCs/>
          <w:sz w:val="32"/>
          <w:szCs w:val="32"/>
        </w:rPr>
      </w:pPr>
      <w:r>
        <w:rPr>
          <w:b/>
          <w:bCs/>
          <w:sz w:val="32"/>
          <w:szCs w:val="32"/>
        </w:rPr>
        <w:t>响应函</w:t>
      </w:r>
    </w:p>
    <w:p w14:paraId="5ADA14FA">
      <w:pPr>
        <w:pStyle w:val="37"/>
        <w:tabs>
          <w:tab w:val="left" w:pos="3035"/>
        </w:tabs>
        <w:spacing w:after="440" w:line="440" w:lineRule="exact"/>
        <w:ind w:firstLine="420" w:firstLineChars="200"/>
        <w:rPr>
          <w:sz w:val="21"/>
          <w:szCs w:val="21"/>
        </w:rPr>
      </w:pPr>
      <w:r>
        <w:rPr>
          <w:sz w:val="21"/>
          <w:szCs w:val="21"/>
        </w:rPr>
        <w:t>致：</w:t>
      </w:r>
      <w:r>
        <w:rPr>
          <w:sz w:val="21"/>
          <w:szCs w:val="21"/>
          <w:u w:val="single"/>
        </w:rPr>
        <w:t xml:space="preserve"> </w:t>
      </w:r>
      <w:r>
        <w:rPr>
          <w:sz w:val="21"/>
          <w:szCs w:val="21"/>
          <w:u w:val="single"/>
        </w:rPr>
        <w:tab/>
      </w:r>
      <w:r>
        <w:rPr>
          <w:sz w:val="21"/>
          <w:szCs w:val="21"/>
        </w:rPr>
        <w:t>（采购代理机构名称）</w:t>
      </w:r>
    </w:p>
    <w:p w14:paraId="763008E0">
      <w:pPr>
        <w:pStyle w:val="37"/>
        <w:tabs>
          <w:tab w:val="left" w:pos="5180"/>
          <w:tab w:val="left" w:pos="8255"/>
        </w:tabs>
        <w:spacing w:line="440" w:lineRule="exact"/>
        <w:ind w:left="320" w:firstLine="420" w:firstLineChars="200"/>
        <w:jc w:val="both"/>
        <w:rPr>
          <w:sz w:val="21"/>
          <w:szCs w:val="21"/>
        </w:rPr>
      </w:pPr>
      <w:r>
        <w:rPr>
          <w:sz w:val="21"/>
          <w:szCs w:val="21"/>
        </w:rPr>
        <w:t>我方已仔细阅读了贵方组织的</w:t>
      </w:r>
      <w:r>
        <w:rPr>
          <w:sz w:val="21"/>
          <w:szCs w:val="21"/>
          <w:u w:val="single"/>
        </w:rPr>
        <w:t xml:space="preserve"> </w:t>
      </w:r>
      <w:r>
        <w:rPr>
          <w:sz w:val="21"/>
          <w:szCs w:val="21"/>
          <w:u w:val="single"/>
        </w:rPr>
        <w:tab/>
      </w:r>
      <w:r>
        <w:rPr>
          <w:sz w:val="21"/>
          <w:szCs w:val="21"/>
        </w:rPr>
        <w:t>项目（项目编号：</w:t>
      </w:r>
      <w:r>
        <w:rPr>
          <w:sz w:val="21"/>
          <w:szCs w:val="21"/>
          <w:u w:val="single"/>
        </w:rPr>
        <w:t xml:space="preserve"> </w:t>
      </w:r>
      <w:r>
        <w:rPr>
          <w:sz w:val="21"/>
          <w:szCs w:val="21"/>
          <w:u w:val="single"/>
        </w:rPr>
        <w:tab/>
      </w:r>
      <w:r>
        <w:rPr>
          <w:sz w:val="21"/>
          <w:szCs w:val="21"/>
        </w:rPr>
        <w:t>）的竟争性磋商采购文件的全部内容，现正式逢交下述</w:t>
      </w:r>
      <w:r>
        <w:rPr>
          <w:sz w:val="21"/>
          <w:szCs w:val="21"/>
          <w:lang w:val="zh-CN" w:eastAsia="zh-CN" w:bidi="zh-CN"/>
        </w:rPr>
        <w:t>文件参</w:t>
      </w:r>
      <w:r>
        <w:rPr>
          <w:sz w:val="21"/>
          <w:szCs w:val="21"/>
        </w:rPr>
        <w:t>加贵方组织的本次政府采购活动：</w:t>
      </w:r>
    </w:p>
    <w:p w14:paraId="644D5212">
      <w:pPr>
        <w:pStyle w:val="37"/>
        <w:spacing w:line="440" w:lineRule="exact"/>
        <w:ind w:firstLine="420" w:firstLineChars="200"/>
        <w:rPr>
          <w:sz w:val="21"/>
          <w:szCs w:val="21"/>
        </w:rPr>
      </w:pPr>
      <w:r>
        <w:rPr>
          <w:sz w:val="21"/>
          <w:szCs w:val="21"/>
          <w:lang w:val="en-US" w:eastAsia="zh-CN" w:bidi="en-US"/>
        </w:rPr>
        <w:t>—</w:t>
      </w:r>
      <w:r>
        <w:rPr>
          <w:sz w:val="21"/>
          <w:szCs w:val="21"/>
        </w:rPr>
        <w:t>、首次报价文件电子</w:t>
      </w:r>
      <w:r>
        <w:rPr>
          <w:sz w:val="21"/>
          <w:szCs w:val="21"/>
          <w:lang w:val="zh-CN" w:eastAsia="zh-CN" w:bidi="zh-CN"/>
        </w:rPr>
        <w:t>版</w:t>
      </w:r>
      <w:r>
        <w:rPr>
          <w:rFonts w:hint="eastAsia"/>
          <w:sz w:val="21"/>
          <w:szCs w:val="21"/>
          <w:u w:val="single"/>
          <w:lang w:val="en-US" w:eastAsia="zh-CN" w:bidi="zh-CN"/>
        </w:rPr>
        <w:t xml:space="preserve">    </w:t>
      </w:r>
      <w:r>
        <w:rPr>
          <w:sz w:val="21"/>
          <w:szCs w:val="21"/>
          <w:lang w:val="zh-CN" w:eastAsia="zh-CN" w:bidi="zh-CN"/>
        </w:rPr>
        <w:t>份</w:t>
      </w:r>
      <w:r>
        <w:rPr>
          <w:sz w:val="21"/>
          <w:szCs w:val="21"/>
        </w:rPr>
        <w:t>（包含按“第三章供应商须知</w:t>
      </w:r>
      <w:r>
        <w:rPr>
          <w:sz w:val="21"/>
          <w:szCs w:val="21"/>
          <w:lang w:val="zh-CN" w:eastAsia="zh-CN" w:bidi="zh-CN"/>
        </w:rPr>
        <w:t>”提交</w:t>
      </w:r>
      <w:r>
        <w:rPr>
          <w:sz w:val="21"/>
          <w:szCs w:val="21"/>
        </w:rPr>
        <w:t>的全部文件）；</w:t>
      </w:r>
    </w:p>
    <w:p w14:paraId="3B52A384">
      <w:pPr>
        <w:pStyle w:val="37"/>
        <w:spacing w:line="440" w:lineRule="exact"/>
        <w:ind w:left="320" w:firstLine="420" w:firstLineChars="200"/>
        <w:jc w:val="both"/>
        <w:rPr>
          <w:sz w:val="21"/>
          <w:szCs w:val="21"/>
        </w:rPr>
      </w:pPr>
      <w:r>
        <w:rPr>
          <w:sz w:val="21"/>
          <w:szCs w:val="21"/>
        </w:rPr>
        <w:t>二、技术文件电子</w:t>
      </w:r>
      <w:r>
        <w:rPr>
          <w:sz w:val="21"/>
          <w:szCs w:val="21"/>
          <w:lang w:val="zh-CN" w:eastAsia="zh-CN" w:bidi="zh-CN"/>
        </w:rPr>
        <w:t>版</w:t>
      </w:r>
      <w:r>
        <w:rPr>
          <w:rFonts w:hint="eastAsia"/>
          <w:sz w:val="21"/>
          <w:szCs w:val="21"/>
          <w:u w:val="single"/>
          <w:lang w:val="en-US" w:eastAsia="zh-CN" w:bidi="zh-CN"/>
        </w:rPr>
        <w:t xml:space="preserve">       </w:t>
      </w:r>
      <w:r>
        <w:rPr>
          <w:sz w:val="21"/>
          <w:szCs w:val="21"/>
          <w:lang w:val="zh-CN" w:eastAsia="zh-CN" w:bidi="zh-CN"/>
        </w:rPr>
        <w:t>份</w:t>
      </w:r>
      <w:r>
        <w:rPr>
          <w:sz w:val="21"/>
          <w:szCs w:val="21"/>
        </w:rPr>
        <w:t>（包含按“第三章供应商须知</w:t>
      </w:r>
      <w:r>
        <w:rPr>
          <w:sz w:val="21"/>
          <w:szCs w:val="21"/>
          <w:lang w:val="zh-CN" w:eastAsia="zh-CN" w:bidi="zh-CN"/>
        </w:rPr>
        <w:t>”提交</w:t>
      </w:r>
      <w:r>
        <w:rPr>
          <w:sz w:val="21"/>
          <w:szCs w:val="21"/>
        </w:rPr>
        <w:t>的全部文件）</w:t>
      </w:r>
      <w:r>
        <w:rPr>
          <w:rFonts w:hint="eastAsia"/>
          <w:sz w:val="21"/>
          <w:szCs w:val="21"/>
          <w:lang w:eastAsia="zh-CN"/>
        </w:rPr>
        <w:t>；</w:t>
      </w:r>
      <w:r>
        <w:rPr>
          <w:sz w:val="21"/>
          <w:szCs w:val="21"/>
        </w:rPr>
        <w:t>商务文件电子</w:t>
      </w:r>
      <w:r>
        <w:rPr>
          <w:sz w:val="21"/>
          <w:szCs w:val="21"/>
          <w:lang w:val="zh-CN" w:eastAsia="zh-CN" w:bidi="zh-CN"/>
        </w:rPr>
        <w:t>版</w:t>
      </w:r>
      <w:r>
        <w:rPr>
          <w:rFonts w:hint="eastAsia"/>
          <w:sz w:val="21"/>
          <w:szCs w:val="21"/>
          <w:u w:val="single"/>
          <w:lang w:val="en-US" w:eastAsia="zh-CN" w:bidi="zh-CN"/>
        </w:rPr>
        <w:t xml:space="preserve">  </w:t>
      </w:r>
      <w:r>
        <w:rPr>
          <w:sz w:val="21"/>
          <w:szCs w:val="21"/>
          <w:lang w:val="zh-CN" w:eastAsia="zh-CN" w:bidi="zh-CN"/>
        </w:rPr>
        <w:t xml:space="preserve">份 </w:t>
      </w:r>
      <w:r>
        <w:rPr>
          <w:sz w:val="21"/>
          <w:szCs w:val="21"/>
        </w:rPr>
        <w:t>（包含按“第三章供应商须知</w:t>
      </w:r>
      <w:r>
        <w:rPr>
          <w:sz w:val="21"/>
          <w:szCs w:val="21"/>
          <w:lang w:val="zh-CN" w:eastAsia="zh-CN" w:bidi="zh-CN"/>
        </w:rPr>
        <w:t>”提交</w:t>
      </w:r>
      <w:r>
        <w:rPr>
          <w:sz w:val="21"/>
          <w:szCs w:val="21"/>
        </w:rPr>
        <w:t>的全部文件）</w:t>
      </w:r>
      <w:r>
        <w:rPr>
          <w:rFonts w:hint="eastAsia"/>
          <w:sz w:val="21"/>
          <w:szCs w:val="21"/>
          <w:lang w:eastAsia="zh-CN"/>
        </w:rPr>
        <w:t>；</w:t>
      </w:r>
      <w:r>
        <w:rPr>
          <w:sz w:val="21"/>
          <w:szCs w:val="21"/>
        </w:rPr>
        <w:t>（商务技术文件已合并装订成册）</w:t>
      </w:r>
    </w:p>
    <w:p w14:paraId="74F51167">
      <w:pPr>
        <w:pStyle w:val="37"/>
        <w:spacing w:line="440" w:lineRule="exact"/>
        <w:ind w:firstLine="420" w:firstLineChars="200"/>
        <w:jc w:val="both"/>
        <w:rPr>
          <w:sz w:val="21"/>
          <w:szCs w:val="21"/>
        </w:rPr>
      </w:pPr>
      <w:r>
        <w:rPr>
          <w:sz w:val="21"/>
          <w:szCs w:val="21"/>
        </w:rPr>
        <w:t>据此函，签字人兹宣布：</w:t>
      </w:r>
    </w:p>
    <w:p w14:paraId="78B02D35">
      <w:pPr>
        <w:pStyle w:val="37"/>
        <w:tabs>
          <w:tab w:val="left" w:pos="1985"/>
          <w:tab w:val="left" w:pos="5150"/>
          <w:tab w:val="left" w:pos="6650"/>
        </w:tabs>
        <w:spacing w:line="440" w:lineRule="exact"/>
        <w:ind w:left="320" w:firstLine="420" w:firstLineChars="200"/>
        <w:jc w:val="both"/>
        <w:rPr>
          <w:sz w:val="21"/>
          <w:szCs w:val="21"/>
        </w:rPr>
      </w:pPr>
      <w:bookmarkStart w:id="324" w:name="bookmark463"/>
      <w:r>
        <w:rPr>
          <w:sz w:val="21"/>
          <w:szCs w:val="21"/>
        </w:rPr>
        <w:t>1</w:t>
      </w:r>
      <w:bookmarkEnd w:id="324"/>
      <w:r>
        <w:rPr>
          <w:sz w:val="21"/>
          <w:szCs w:val="21"/>
        </w:rPr>
        <w:t>、我方愿意以（大写）人民币</w:t>
      </w:r>
      <w:r>
        <w:rPr>
          <w:sz w:val="21"/>
          <w:szCs w:val="21"/>
          <w:u w:val="single"/>
        </w:rPr>
        <w:t xml:space="preserve"> </w:t>
      </w:r>
      <w:r>
        <w:rPr>
          <w:sz w:val="21"/>
          <w:szCs w:val="21"/>
          <w:u w:val="single"/>
        </w:rPr>
        <w:tab/>
      </w:r>
      <w:r>
        <w:rPr>
          <w:sz w:val="21"/>
          <w:szCs w:val="21"/>
        </w:rPr>
        <w:t>（¥</w:t>
      </w:r>
      <w:r>
        <w:rPr>
          <w:sz w:val="21"/>
          <w:szCs w:val="21"/>
          <w:u w:val="single"/>
        </w:rPr>
        <w:t xml:space="preserve"> </w:t>
      </w:r>
      <w:r>
        <w:rPr>
          <w:sz w:val="21"/>
          <w:szCs w:val="21"/>
          <w:u w:val="single"/>
        </w:rPr>
        <w:tab/>
      </w:r>
      <w:r>
        <w:rPr>
          <w:sz w:val="21"/>
          <w:szCs w:val="21"/>
        </w:rPr>
        <w:t>）的竟标总报价，提交服务成果时间：</w:t>
      </w:r>
      <w:r>
        <w:rPr>
          <w:sz w:val="21"/>
          <w:szCs w:val="21"/>
          <w:u w:val="single"/>
        </w:rPr>
        <w:t xml:space="preserve"> </w:t>
      </w:r>
      <w:r>
        <w:rPr>
          <w:sz w:val="21"/>
          <w:szCs w:val="21"/>
          <w:u w:val="single"/>
        </w:rPr>
        <w:tab/>
      </w:r>
      <w:r>
        <w:rPr>
          <w:i/>
          <w:iCs/>
          <w:sz w:val="21"/>
          <w:szCs w:val="21"/>
        </w:rPr>
        <w:t>，</w:t>
      </w:r>
      <w:r>
        <w:rPr>
          <w:sz w:val="21"/>
          <w:szCs w:val="21"/>
        </w:rPr>
        <w:t>提供本项目竟争性磋商采购文件第二章“采购需求表〃中相应的采购内容。</w:t>
      </w:r>
    </w:p>
    <w:p w14:paraId="1E9EF2FC">
      <w:pPr>
        <w:pStyle w:val="37"/>
        <w:spacing w:line="440" w:lineRule="exact"/>
        <w:ind w:firstLine="420" w:firstLineChars="200"/>
        <w:rPr>
          <w:sz w:val="21"/>
          <w:szCs w:val="21"/>
        </w:rPr>
      </w:pPr>
      <w:r>
        <w:rPr>
          <w:sz w:val="21"/>
          <w:szCs w:val="21"/>
        </w:rPr>
        <w:t>其中（有分标时填写）:</w:t>
      </w:r>
    </w:p>
    <w:p w14:paraId="3CDFDF51">
      <w:pPr>
        <w:pStyle w:val="37"/>
        <w:tabs>
          <w:tab w:val="left" w:leader="underscore" w:pos="5240"/>
          <w:tab w:val="left" w:pos="5255"/>
          <w:tab w:val="left" w:leader="underscore" w:pos="6815"/>
          <w:tab w:val="left" w:pos="6830"/>
          <w:tab w:val="left" w:leader="underscore" w:pos="9230"/>
          <w:tab w:val="left" w:pos="9245"/>
        </w:tabs>
        <w:spacing w:line="440" w:lineRule="exact"/>
        <w:ind w:firstLine="420" w:firstLineChars="200"/>
        <w:rPr>
          <w:sz w:val="21"/>
          <w:szCs w:val="21"/>
        </w:rPr>
      </w:pPr>
      <w:r>
        <w:rPr>
          <w:rFonts w:hint="eastAsia"/>
          <w:sz w:val="21"/>
          <w:szCs w:val="21"/>
          <w:u w:val="single"/>
          <w:lang w:val="en-US" w:eastAsia="zh-CN" w:bidi="zh-CN"/>
        </w:rPr>
        <w:t>分</w:t>
      </w:r>
      <w:r>
        <w:rPr>
          <w:sz w:val="21"/>
          <w:szCs w:val="21"/>
        </w:rPr>
        <w:t>标报价为（大与）人民币</w:t>
      </w:r>
      <w:r>
        <w:rPr>
          <w:sz w:val="21"/>
          <w:szCs w:val="21"/>
        </w:rPr>
        <w:tab/>
      </w:r>
      <w:r>
        <w:rPr>
          <w:sz w:val="21"/>
          <w:szCs w:val="21"/>
        </w:rPr>
        <w:t>（¥</w:t>
      </w:r>
      <w:r>
        <w:rPr>
          <w:sz w:val="21"/>
          <w:szCs w:val="21"/>
        </w:rPr>
        <w:tab/>
      </w:r>
      <w:r>
        <w:rPr>
          <w:sz w:val="21"/>
          <w:szCs w:val="21"/>
        </w:rPr>
        <w:t xml:space="preserve"> ）,服务期：</w:t>
      </w:r>
      <w:r>
        <w:rPr>
          <w:sz w:val="21"/>
          <w:szCs w:val="21"/>
        </w:rPr>
        <w:tab/>
      </w:r>
      <w:r>
        <w:rPr>
          <w:rFonts w:hint="eastAsia"/>
          <w:sz w:val="21"/>
          <w:szCs w:val="21"/>
          <w:lang w:eastAsia="zh-CN"/>
        </w:rPr>
        <w:t>；</w:t>
      </w:r>
    </w:p>
    <w:p w14:paraId="0D1A1833">
      <w:pPr>
        <w:pStyle w:val="37"/>
        <w:tabs>
          <w:tab w:val="left" w:pos="5240"/>
          <w:tab w:val="left" w:pos="6815"/>
          <w:tab w:val="left" w:pos="9230"/>
        </w:tabs>
        <w:spacing w:line="440" w:lineRule="exact"/>
        <w:ind w:firstLine="420" w:firstLineChars="200"/>
        <w:rPr>
          <w:sz w:val="21"/>
          <w:szCs w:val="21"/>
          <w:lang w:eastAsia="zh-CN"/>
        </w:rPr>
      </w:pPr>
      <w:r>
        <w:rPr>
          <w:sz w:val="21"/>
          <w:szCs w:val="21"/>
        </w:rPr>
        <w:t>分标报价为（大与）人民币</w:t>
      </w:r>
      <w:r>
        <w:rPr>
          <w:sz w:val="21"/>
          <w:szCs w:val="21"/>
          <w:u w:val="single"/>
        </w:rPr>
        <w:t xml:space="preserve"> </w:t>
      </w:r>
      <w:r>
        <w:rPr>
          <w:sz w:val="21"/>
          <w:szCs w:val="21"/>
          <w:u w:val="single"/>
        </w:rPr>
        <w:tab/>
      </w:r>
      <w:r>
        <w:rPr>
          <w:sz w:val="21"/>
          <w:szCs w:val="21"/>
        </w:rPr>
        <w:t>（¥</w:t>
      </w:r>
      <w:r>
        <w:rPr>
          <w:sz w:val="21"/>
          <w:szCs w:val="21"/>
          <w:u w:val="single"/>
        </w:rPr>
        <w:t xml:space="preserve"> </w:t>
      </w:r>
      <w:r>
        <w:rPr>
          <w:sz w:val="21"/>
          <w:szCs w:val="21"/>
          <w:u w:val="single"/>
        </w:rPr>
        <w:tab/>
      </w:r>
      <w:r>
        <w:rPr>
          <w:sz w:val="21"/>
          <w:szCs w:val="21"/>
        </w:rPr>
        <w:t>元），服务期：</w:t>
      </w:r>
      <w:r>
        <w:rPr>
          <w:sz w:val="21"/>
          <w:szCs w:val="21"/>
          <w:u w:val="single"/>
        </w:rPr>
        <w:t xml:space="preserve"> </w:t>
      </w:r>
      <w:r>
        <w:rPr>
          <w:sz w:val="21"/>
          <w:szCs w:val="21"/>
          <w:u w:val="single"/>
        </w:rPr>
        <w:tab/>
      </w:r>
      <w:r>
        <w:rPr>
          <w:rFonts w:hint="eastAsia"/>
          <w:sz w:val="21"/>
          <w:szCs w:val="21"/>
          <w:lang w:eastAsia="zh-CN"/>
        </w:rPr>
        <w:t>；</w:t>
      </w:r>
    </w:p>
    <w:p w14:paraId="6612EF02">
      <w:pPr>
        <w:pStyle w:val="37"/>
        <w:tabs>
          <w:tab w:val="left" w:pos="1165"/>
        </w:tabs>
        <w:spacing w:line="420" w:lineRule="exact"/>
        <w:ind w:left="320" w:firstLine="420" w:firstLineChars="200"/>
        <w:jc w:val="both"/>
        <w:rPr>
          <w:sz w:val="21"/>
          <w:szCs w:val="21"/>
          <w:lang w:val="en-US" w:eastAsia="zh-CN"/>
        </w:rPr>
      </w:pPr>
      <w:bookmarkStart w:id="325" w:name="bookmark464"/>
      <w:r>
        <w:rPr>
          <w:rFonts w:hint="eastAsia"/>
          <w:sz w:val="21"/>
          <w:szCs w:val="21"/>
          <w:lang w:val="en-US" w:eastAsia="zh-CN"/>
        </w:rPr>
        <w:t>......</w:t>
      </w:r>
    </w:p>
    <w:p w14:paraId="08F07E53">
      <w:pPr>
        <w:pStyle w:val="37"/>
        <w:tabs>
          <w:tab w:val="left" w:pos="1165"/>
        </w:tabs>
        <w:spacing w:line="420" w:lineRule="exact"/>
        <w:jc w:val="both"/>
        <w:rPr>
          <w:sz w:val="21"/>
          <w:szCs w:val="21"/>
        </w:rPr>
      </w:pPr>
      <w:r>
        <w:rPr>
          <w:sz w:val="21"/>
          <w:szCs w:val="21"/>
        </w:rPr>
        <w:t>2</w:t>
      </w:r>
      <w:bookmarkEnd w:id="325"/>
      <w:r>
        <w:rPr>
          <w:sz w:val="21"/>
          <w:szCs w:val="21"/>
        </w:rPr>
        <w:t>、我方同意自本项目竟争性磋商采购文件采购公告规定的</w:t>
      </w:r>
      <w:r>
        <w:rPr>
          <w:rFonts w:hint="eastAsia"/>
          <w:sz w:val="21"/>
          <w:szCs w:val="21"/>
          <w:lang w:eastAsia="zh-CN"/>
        </w:rPr>
        <w:t>递</w:t>
      </w:r>
      <w:r>
        <w:rPr>
          <w:sz w:val="21"/>
          <w:szCs w:val="21"/>
        </w:rPr>
        <w:t>交响应文件截止时间起遵循本响应函, 并承诺在“第三章供应商须知</w:t>
      </w:r>
      <w:r>
        <w:rPr>
          <w:sz w:val="21"/>
          <w:szCs w:val="21"/>
          <w:lang w:val="zh-CN" w:eastAsia="zh-CN" w:bidi="zh-CN"/>
        </w:rPr>
        <w:t>”规</w:t>
      </w:r>
      <w:r>
        <w:rPr>
          <w:sz w:val="21"/>
          <w:szCs w:val="21"/>
        </w:rPr>
        <w:t>定的响应有效期内不修改、撤销响应文件。</w:t>
      </w:r>
    </w:p>
    <w:p w14:paraId="1F58CB13">
      <w:pPr>
        <w:pStyle w:val="37"/>
        <w:tabs>
          <w:tab w:val="left" w:pos="1118"/>
        </w:tabs>
        <w:spacing w:line="450" w:lineRule="exact"/>
        <w:ind w:firstLine="420" w:firstLineChars="200"/>
        <w:jc w:val="both"/>
        <w:rPr>
          <w:sz w:val="21"/>
          <w:szCs w:val="21"/>
        </w:rPr>
      </w:pPr>
      <w:bookmarkStart w:id="326" w:name="bookmark465"/>
      <w:r>
        <w:rPr>
          <w:sz w:val="21"/>
          <w:szCs w:val="21"/>
        </w:rPr>
        <w:t>3</w:t>
      </w:r>
      <w:bookmarkEnd w:id="326"/>
      <w:r>
        <w:rPr>
          <w:sz w:val="21"/>
          <w:szCs w:val="21"/>
        </w:rPr>
        <w:t>、我方在此声明，所</w:t>
      </w:r>
      <w:r>
        <w:rPr>
          <w:rFonts w:hint="eastAsia"/>
          <w:sz w:val="21"/>
          <w:szCs w:val="21"/>
          <w:lang w:eastAsia="zh-CN"/>
        </w:rPr>
        <w:t>递</w:t>
      </w:r>
      <w:r>
        <w:rPr>
          <w:sz w:val="21"/>
          <w:szCs w:val="21"/>
        </w:rPr>
        <w:t>交的响应文件及有关资料内容完整、真实和准确。</w:t>
      </w:r>
    </w:p>
    <w:p w14:paraId="023BABFC">
      <w:pPr>
        <w:pStyle w:val="37"/>
        <w:tabs>
          <w:tab w:val="left" w:pos="1118"/>
        </w:tabs>
        <w:spacing w:line="450" w:lineRule="exact"/>
        <w:ind w:firstLine="420" w:firstLineChars="200"/>
        <w:jc w:val="both"/>
        <w:rPr>
          <w:sz w:val="21"/>
          <w:szCs w:val="21"/>
        </w:rPr>
      </w:pPr>
      <w:bookmarkStart w:id="327" w:name="bookmark466"/>
      <w:r>
        <w:rPr>
          <w:sz w:val="21"/>
          <w:szCs w:val="21"/>
        </w:rPr>
        <w:t>4</w:t>
      </w:r>
      <w:bookmarkEnd w:id="327"/>
      <w:r>
        <w:rPr>
          <w:sz w:val="21"/>
          <w:szCs w:val="21"/>
        </w:rPr>
        <w:t>、如本项目采购内容涉及须符合国家强制规定的，我方承诺我方本次竟标均符合国家有关强制规定。</w:t>
      </w:r>
    </w:p>
    <w:p w14:paraId="39CDB591">
      <w:pPr>
        <w:pStyle w:val="37"/>
        <w:tabs>
          <w:tab w:val="left" w:pos="1180"/>
        </w:tabs>
        <w:spacing w:line="450" w:lineRule="exact"/>
        <w:jc w:val="both"/>
        <w:rPr>
          <w:sz w:val="21"/>
          <w:szCs w:val="21"/>
        </w:rPr>
      </w:pPr>
      <w:bookmarkStart w:id="328" w:name="bookmark467"/>
      <w:r>
        <w:rPr>
          <w:sz w:val="21"/>
          <w:szCs w:val="21"/>
        </w:rPr>
        <w:t>5</w:t>
      </w:r>
      <w:bookmarkEnd w:id="328"/>
      <w:r>
        <w:rPr>
          <w:sz w:val="21"/>
          <w:szCs w:val="21"/>
        </w:rPr>
        <w:t>、我方承诺未被列入失信被执行人、重大税收违法案件当事人名单、政府采购严重违法失信行为记录名单，并已经具备《中华人民共和国政府采购法》中规定的参加政府采购活动的供应商应当具备的条件:</w:t>
      </w:r>
    </w:p>
    <w:p w14:paraId="6C493CC3">
      <w:pPr>
        <w:pStyle w:val="37"/>
        <w:tabs>
          <w:tab w:val="left" w:pos="1255"/>
        </w:tabs>
        <w:spacing w:line="450" w:lineRule="exact"/>
        <w:ind w:firstLine="420" w:firstLineChars="200"/>
        <w:rPr>
          <w:sz w:val="21"/>
          <w:szCs w:val="21"/>
        </w:rPr>
      </w:pPr>
      <w:bookmarkStart w:id="329" w:name="bookmark468"/>
      <w:r>
        <w:rPr>
          <w:sz w:val="21"/>
          <w:szCs w:val="21"/>
        </w:rPr>
        <w:t>（</w:t>
      </w:r>
      <w:bookmarkEnd w:id="329"/>
      <w:r>
        <w:rPr>
          <w:sz w:val="21"/>
          <w:szCs w:val="21"/>
        </w:rPr>
        <w:t>1）具有独立承担民事责任的能力；</w:t>
      </w:r>
    </w:p>
    <w:p w14:paraId="6E3B6F99">
      <w:pPr>
        <w:pStyle w:val="37"/>
        <w:tabs>
          <w:tab w:val="left" w:pos="1255"/>
        </w:tabs>
        <w:spacing w:line="450" w:lineRule="exact"/>
        <w:ind w:firstLine="420" w:firstLineChars="200"/>
        <w:rPr>
          <w:sz w:val="21"/>
          <w:szCs w:val="21"/>
        </w:rPr>
      </w:pPr>
      <w:bookmarkStart w:id="330" w:name="bookmark469"/>
      <w:r>
        <w:rPr>
          <w:sz w:val="21"/>
          <w:szCs w:val="21"/>
        </w:rPr>
        <w:t>（</w:t>
      </w:r>
      <w:bookmarkEnd w:id="330"/>
      <w:r>
        <w:rPr>
          <w:sz w:val="21"/>
          <w:szCs w:val="21"/>
        </w:rPr>
        <w:t>2）具有良好的商业信誉和健全的财务会计制度；</w:t>
      </w:r>
    </w:p>
    <w:p w14:paraId="76C64577">
      <w:pPr>
        <w:pStyle w:val="37"/>
        <w:tabs>
          <w:tab w:val="left" w:pos="1255"/>
        </w:tabs>
        <w:spacing w:line="450" w:lineRule="exact"/>
        <w:ind w:firstLine="420" w:firstLineChars="200"/>
        <w:rPr>
          <w:sz w:val="21"/>
          <w:szCs w:val="21"/>
        </w:rPr>
      </w:pPr>
      <w:bookmarkStart w:id="331" w:name="bookmark470"/>
      <w:r>
        <w:rPr>
          <w:sz w:val="21"/>
          <w:szCs w:val="21"/>
        </w:rPr>
        <w:t>（</w:t>
      </w:r>
      <w:bookmarkEnd w:id="331"/>
      <w:r>
        <w:rPr>
          <w:sz w:val="21"/>
          <w:szCs w:val="21"/>
        </w:rPr>
        <w:t>3）具有履行合同所必需的设备和专业技术能力；</w:t>
      </w:r>
    </w:p>
    <w:p w14:paraId="696A9D07">
      <w:pPr>
        <w:pStyle w:val="37"/>
        <w:tabs>
          <w:tab w:val="left" w:pos="1255"/>
        </w:tabs>
        <w:spacing w:line="450" w:lineRule="exact"/>
        <w:ind w:firstLine="420" w:firstLineChars="200"/>
        <w:rPr>
          <w:sz w:val="21"/>
          <w:szCs w:val="21"/>
        </w:rPr>
      </w:pPr>
      <w:bookmarkStart w:id="332" w:name="bookmark471"/>
      <w:r>
        <w:rPr>
          <w:sz w:val="21"/>
          <w:szCs w:val="21"/>
        </w:rPr>
        <w:t>（</w:t>
      </w:r>
      <w:bookmarkEnd w:id="332"/>
      <w:r>
        <w:rPr>
          <w:sz w:val="21"/>
          <w:szCs w:val="21"/>
        </w:rPr>
        <w:t>4）有依法缴纳税收和社会保障资金的良好记录；</w:t>
      </w:r>
    </w:p>
    <w:p w14:paraId="62F4E7CC">
      <w:pPr>
        <w:pStyle w:val="37"/>
        <w:tabs>
          <w:tab w:val="left" w:pos="1255"/>
        </w:tabs>
        <w:spacing w:line="450" w:lineRule="exact"/>
        <w:ind w:firstLine="420" w:firstLineChars="200"/>
        <w:rPr>
          <w:sz w:val="21"/>
          <w:szCs w:val="21"/>
        </w:rPr>
      </w:pPr>
      <w:bookmarkStart w:id="333" w:name="bookmark472"/>
      <w:r>
        <w:rPr>
          <w:sz w:val="21"/>
          <w:szCs w:val="21"/>
        </w:rPr>
        <w:t>（</w:t>
      </w:r>
      <w:bookmarkEnd w:id="333"/>
      <w:r>
        <w:rPr>
          <w:sz w:val="21"/>
          <w:szCs w:val="21"/>
        </w:rPr>
        <w:t>5）参加政府采购活动前三年内，在经营活动中没有重大违法记录；</w:t>
      </w:r>
    </w:p>
    <w:p w14:paraId="36162955">
      <w:pPr>
        <w:pStyle w:val="37"/>
        <w:tabs>
          <w:tab w:val="left" w:pos="1255"/>
        </w:tabs>
        <w:spacing w:line="450" w:lineRule="exact"/>
        <w:ind w:firstLine="420" w:firstLineChars="200"/>
        <w:rPr>
          <w:sz w:val="21"/>
          <w:szCs w:val="21"/>
        </w:rPr>
      </w:pPr>
      <w:bookmarkStart w:id="334" w:name="bookmark473"/>
      <w:r>
        <w:rPr>
          <w:sz w:val="21"/>
          <w:szCs w:val="21"/>
        </w:rPr>
        <w:t>（</w:t>
      </w:r>
      <w:bookmarkEnd w:id="334"/>
      <w:r>
        <w:rPr>
          <w:sz w:val="21"/>
          <w:szCs w:val="21"/>
        </w:rPr>
        <w:t>6）法律、行政法规规定的其他条件。</w:t>
      </w:r>
    </w:p>
    <w:p w14:paraId="7D05CF10">
      <w:pPr>
        <w:pStyle w:val="37"/>
        <w:tabs>
          <w:tab w:val="left" w:pos="1165"/>
        </w:tabs>
        <w:spacing w:after="140" w:line="450" w:lineRule="exact"/>
        <w:jc w:val="both"/>
        <w:rPr>
          <w:sz w:val="21"/>
          <w:szCs w:val="21"/>
        </w:rPr>
      </w:pPr>
      <w:bookmarkStart w:id="335" w:name="bookmark474"/>
      <w:r>
        <w:rPr>
          <w:sz w:val="21"/>
          <w:szCs w:val="21"/>
        </w:rPr>
        <w:t>6</w:t>
      </w:r>
      <w:bookmarkEnd w:id="335"/>
      <w:r>
        <w:rPr>
          <w:sz w:val="21"/>
          <w:szCs w:val="21"/>
        </w:rPr>
        <w:t>、如我方成交，我方承诺在收到成交通知书后，在成交通知书规定的期限内，根据竞争性磋商采购文件、我方的响应文件及有关澄清承诺书的要求按第六章“合同文本</w:t>
      </w:r>
      <w:r>
        <w:rPr>
          <w:sz w:val="21"/>
          <w:szCs w:val="21"/>
          <w:lang w:val="zh-CN" w:eastAsia="zh-CN" w:bidi="zh-CN"/>
        </w:rPr>
        <w:t>”与采</w:t>
      </w:r>
      <w:r>
        <w:rPr>
          <w:sz w:val="21"/>
          <w:szCs w:val="21"/>
        </w:rPr>
        <w:t>购人订立书面合同，并按照合同约定承担完成合同的责任和义务。</w:t>
      </w:r>
    </w:p>
    <w:p w14:paraId="796A4457">
      <w:pPr>
        <w:pStyle w:val="37"/>
        <w:tabs>
          <w:tab w:val="left" w:pos="1121"/>
        </w:tabs>
        <w:spacing w:line="439" w:lineRule="exact"/>
        <w:ind w:firstLine="420" w:firstLineChars="200"/>
        <w:jc w:val="both"/>
        <w:rPr>
          <w:sz w:val="21"/>
          <w:szCs w:val="21"/>
        </w:rPr>
      </w:pPr>
      <w:bookmarkStart w:id="336" w:name="bookmark475"/>
      <w:r>
        <w:rPr>
          <w:sz w:val="21"/>
          <w:szCs w:val="21"/>
          <w:lang w:val="zh-CN" w:eastAsia="zh-CN" w:bidi="zh-CN"/>
        </w:rPr>
        <w:t>7</w:t>
      </w:r>
      <w:bookmarkEnd w:id="336"/>
      <w:r>
        <w:rPr>
          <w:sz w:val="21"/>
          <w:szCs w:val="21"/>
          <w:lang w:val="zh-CN" w:eastAsia="zh-CN" w:bidi="zh-CN"/>
        </w:rPr>
        <w:t>、</w:t>
      </w:r>
      <w:r>
        <w:rPr>
          <w:sz w:val="21"/>
          <w:szCs w:val="21"/>
        </w:rPr>
        <w:t>我方已详细审核竞争性磋商采购文件，我方知道必须放弃提出含糊不清或误解问题的权利。</w:t>
      </w:r>
    </w:p>
    <w:p w14:paraId="3273B7FA">
      <w:pPr>
        <w:pStyle w:val="37"/>
        <w:tabs>
          <w:tab w:val="left" w:pos="1121"/>
        </w:tabs>
        <w:spacing w:line="439" w:lineRule="exact"/>
        <w:ind w:firstLine="420" w:firstLineChars="200"/>
        <w:jc w:val="both"/>
        <w:rPr>
          <w:sz w:val="21"/>
          <w:szCs w:val="21"/>
        </w:rPr>
      </w:pPr>
      <w:bookmarkStart w:id="337" w:name="bookmark476"/>
      <w:r>
        <w:rPr>
          <w:sz w:val="21"/>
          <w:szCs w:val="21"/>
        </w:rPr>
        <w:t>8</w:t>
      </w:r>
      <w:bookmarkEnd w:id="337"/>
      <w:r>
        <w:rPr>
          <w:sz w:val="21"/>
          <w:szCs w:val="21"/>
        </w:rPr>
        <w:t>、我方承诺满足竞争性磋商采购文件第六章</w:t>
      </w:r>
      <w:r>
        <w:rPr>
          <w:sz w:val="21"/>
          <w:szCs w:val="21"/>
          <w:lang w:val="zh-CN" w:eastAsia="zh-CN" w:bidi="zh-CN"/>
        </w:rPr>
        <w:t>“合</w:t>
      </w:r>
      <w:r>
        <w:rPr>
          <w:sz w:val="21"/>
          <w:szCs w:val="21"/>
        </w:rPr>
        <w:t>同文本”的条款，承担完成合同的责任和义务。</w:t>
      </w:r>
    </w:p>
    <w:p w14:paraId="46DD6832">
      <w:pPr>
        <w:pStyle w:val="37"/>
        <w:tabs>
          <w:tab w:val="left" w:pos="1150"/>
        </w:tabs>
        <w:spacing w:line="439" w:lineRule="exact"/>
        <w:jc w:val="both"/>
        <w:rPr>
          <w:sz w:val="21"/>
          <w:szCs w:val="21"/>
        </w:rPr>
      </w:pPr>
      <w:bookmarkStart w:id="338" w:name="bookmark477"/>
      <w:r>
        <w:rPr>
          <w:sz w:val="21"/>
          <w:szCs w:val="21"/>
        </w:rPr>
        <w:t>9</w:t>
      </w:r>
      <w:bookmarkEnd w:id="338"/>
      <w:r>
        <w:rPr>
          <w:sz w:val="21"/>
          <w:szCs w:val="21"/>
        </w:rPr>
        <w:t>、我方同意应贵方要求提供与本竞标有关的任何数据或资料。若贵方需要，我方愿意提供我方作出的一切承诺的证明材料。</w:t>
      </w:r>
    </w:p>
    <w:p w14:paraId="687C0C3B">
      <w:pPr>
        <w:pStyle w:val="37"/>
        <w:tabs>
          <w:tab w:val="left" w:pos="1195"/>
        </w:tabs>
        <w:spacing w:line="439" w:lineRule="exact"/>
        <w:ind w:firstLine="420" w:firstLineChars="200"/>
        <w:rPr>
          <w:sz w:val="21"/>
          <w:szCs w:val="21"/>
        </w:rPr>
      </w:pPr>
      <w:bookmarkStart w:id="339" w:name="bookmark478"/>
      <w:r>
        <w:rPr>
          <w:sz w:val="21"/>
          <w:szCs w:val="21"/>
        </w:rPr>
        <w:t>1</w:t>
      </w:r>
      <w:bookmarkEnd w:id="339"/>
      <w:r>
        <w:rPr>
          <w:sz w:val="21"/>
          <w:szCs w:val="21"/>
        </w:rPr>
        <w:t>0、我方完全理解贵方不一定接受响应报价最低的竟标人为成交供应商的行为。</w:t>
      </w:r>
    </w:p>
    <w:p w14:paraId="73D2A5D4">
      <w:pPr>
        <w:pStyle w:val="37"/>
        <w:tabs>
          <w:tab w:val="left" w:pos="1270"/>
        </w:tabs>
        <w:spacing w:line="439" w:lineRule="exact"/>
        <w:jc w:val="both"/>
        <w:rPr>
          <w:sz w:val="21"/>
          <w:szCs w:val="21"/>
        </w:rPr>
      </w:pPr>
      <w:bookmarkStart w:id="340" w:name="bookmark479"/>
      <w:r>
        <w:rPr>
          <w:sz w:val="21"/>
          <w:szCs w:val="21"/>
        </w:rPr>
        <w:t>1</w:t>
      </w:r>
      <w:bookmarkEnd w:id="340"/>
      <w:r>
        <w:rPr>
          <w:sz w:val="21"/>
          <w:szCs w:val="21"/>
        </w:rPr>
        <w:t>1、我方将严格</w:t>
      </w:r>
      <w:r>
        <w:rPr>
          <w:rFonts w:hint="eastAsia"/>
          <w:sz w:val="21"/>
          <w:szCs w:val="21"/>
          <w:lang w:eastAsia="zh-CN"/>
        </w:rPr>
        <w:t>遵</w:t>
      </w:r>
      <w:r>
        <w:rPr>
          <w:sz w:val="21"/>
          <w:szCs w:val="21"/>
        </w:rPr>
        <w:t>守《中华人民共和国政府采购法</w:t>
      </w:r>
      <w:r>
        <w:rPr>
          <w:rFonts w:hint="eastAsia"/>
          <w:sz w:val="21"/>
          <w:szCs w:val="21"/>
          <w:lang w:eastAsia="zh-CN"/>
        </w:rPr>
        <w:t>第</w:t>
      </w:r>
      <w:r>
        <w:rPr>
          <w:sz w:val="21"/>
          <w:szCs w:val="21"/>
        </w:rPr>
        <w:t>七十七条的规定，即供应商有下列情形之一的, 处以采购金额千分之五以上千分之十以下的罚款，列入不良行为记录名单，在一至三年内禁止参加政府采 购活动，有违法所得的，并处没收违法所得，情节严重的，由工商行政管理机关吊销营业执照；构成犯罪的，依法追究刑事责任：</w:t>
      </w:r>
    </w:p>
    <w:p w14:paraId="72AFC67E">
      <w:pPr>
        <w:pStyle w:val="37"/>
        <w:tabs>
          <w:tab w:val="left" w:pos="1255"/>
        </w:tabs>
        <w:spacing w:line="439" w:lineRule="exact"/>
        <w:ind w:firstLine="420" w:firstLineChars="200"/>
        <w:rPr>
          <w:sz w:val="21"/>
          <w:szCs w:val="21"/>
        </w:rPr>
      </w:pPr>
      <w:bookmarkStart w:id="341" w:name="bookmark480"/>
      <w:r>
        <w:rPr>
          <w:sz w:val="21"/>
          <w:szCs w:val="21"/>
        </w:rPr>
        <w:t>（</w:t>
      </w:r>
      <w:bookmarkEnd w:id="341"/>
      <w:r>
        <w:rPr>
          <w:sz w:val="21"/>
          <w:szCs w:val="21"/>
        </w:rPr>
        <w:t>1）提供虚假材料谋取中标、成交的；</w:t>
      </w:r>
    </w:p>
    <w:p w14:paraId="7959FCE0">
      <w:pPr>
        <w:pStyle w:val="37"/>
        <w:tabs>
          <w:tab w:val="left" w:pos="1255"/>
        </w:tabs>
        <w:spacing w:line="439" w:lineRule="exact"/>
        <w:ind w:firstLine="420" w:firstLineChars="200"/>
        <w:rPr>
          <w:sz w:val="21"/>
          <w:szCs w:val="21"/>
        </w:rPr>
      </w:pPr>
      <w:bookmarkStart w:id="342" w:name="bookmark481"/>
      <w:r>
        <w:rPr>
          <w:sz w:val="21"/>
          <w:szCs w:val="21"/>
        </w:rPr>
        <w:t>（</w:t>
      </w:r>
      <w:bookmarkEnd w:id="342"/>
      <w:r>
        <w:rPr>
          <w:sz w:val="21"/>
          <w:szCs w:val="21"/>
        </w:rPr>
        <w:t>2）采取不正当手段诋毁、排挤其他供应商的；</w:t>
      </w:r>
    </w:p>
    <w:p w14:paraId="7AAD9977">
      <w:pPr>
        <w:pStyle w:val="37"/>
        <w:tabs>
          <w:tab w:val="left" w:pos="1255"/>
        </w:tabs>
        <w:spacing w:line="439" w:lineRule="exact"/>
        <w:ind w:firstLine="420" w:firstLineChars="200"/>
        <w:rPr>
          <w:sz w:val="21"/>
          <w:szCs w:val="21"/>
        </w:rPr>
      </w:pPr>
      <w:bookmarkStart w:id="343" w:name="bookmark482"/>
      <w:r>
        <w:rPr>
          <w:sz w:val="21"/>
          <w:szCs w:val="21"/>
        </w:rPr>
        <w:t>（</w:t>
      </w:r>
      <w:bookmarkEnd w:id="343"/>
      <w:r>
        <w:rPr>
          <w:sz w:val="21"/>
          <w:szCs w:val="21"/>
        </w:rPr>
        <w:t>3）与采购人、其他供应商或者采购代理机构恶意串通的；</w:t>
      </w:r>
    </w:p>
    <w:p w14:paraId="114962BD">
      <w:pPr>
        <w:pStyle w:val="37"/>
        <w:tabs>
          <w:tab w:val="left" w:pos="1255"/>
        </w:tabs>
        <w:spacing w:line="439" w:lineRule="exact"/>
        <w:ind w:firstLine="420" w:firstLineChars="200"/>
        <w:rPr>
          <w:sz w:val="21"/>
          <w:szCs w:val="21"/>
        </w:rPr>
      </w:pPr>
      <w:bookmarkStart w:id="344" w:name="bookmark483"/>
      <w:r>
        <w:rPr>
          <w:sz w:val="21"/>
          <w:szCs w:val="21"/>
        </w:rPr>
        <w:t>（</w:t>
      </w:r>
      <w:bookmarkEnd w:id="344"/>
      <w:r>
        <w:rPr>
          <w:sz w:val="21"/>
          <w:szCs w:val="21"/>
        </w:rPr>
        <w:t>4）向采购人、采购代理机构行贿或者提供其他不正当利益的；</w:t>
      </w:r>
    </w:p>
    <w:p w14:paraId="509E8744">
      <w:pPr>
        <w:pStyle w:val="37"/>
        <w:tabs>
          <w:tab w:val="left" w:pos="1255"/>
        </w:tabs>
        <w:spacing w:line="439" w:lineRule="exact"/>
        <w:ind w:firstLine="420" w:firstLineChars="200"/>
        <w:rPr>
          <w:sz w:val="21"/>
          <w:szCs w:val="21"/>
        </w:rPr>
      </w:pPr>
      <w:bookmarkStart w:id="345" w:name="bookmark484"/>
      <w:r>
        <w:rPr>
          <w:sz w:val="21"/>
          <w:szCs w:val="21"/>
        </w:rPr>
        <w:t>（</w:t>
      </w:r>
      <w:bookmarkEnd w:id="345"/>
      <w:r>
        <w:rPr>
          <w:sz w:val="21"/>
          <w:szCs w:val="21"/>
        </w:rPr>
        <w:t>5）在采购过程中与采购人进行协商谈判的；</w:t>
      </w:r>
    </w:p>
    <w:p w14:paraId="5365A166">
      <w:pPr>
        <w:pStyle w:val="37"/>
        <w:tabs>
          <w:tab w:val="left" w:pos="1255"/>
        </w:tabs>
        <w:spacing w:after="60" w:line="439" w:lineRule="exact"/>
        <w:ind w:firstLine="420" w:firstLineChars="200"/>
        <w:rPr>
          <w:sz w:val="21"/>
          <w:szCs w:val="21"/>
        </w:rPr>
      </w:pPr>
      <w:bookmarkStart w:id="346" w:name="bookmark485"/>
      <w:r>
        <w:rPr>
          <w:sz w:val="21"/>
          <w:szCs w:val="21"/>
        </w:rPr>
        <w:t>（</w:t>
      </w:r>
      <w:bookmarkEnd w:id="346"/>
      <w:r>
        <w:rPr>
          <w:sz w:val="21"/>
          <w:szCs w:val="21"/>
        </w:rPr>
        <w:t>6）拒绝有关部门监督检查或提供虚假情况的。</w:t>
      </w:r>
    </w:p>
    <w:p w14:paraId="444323B7">
      <w:pPr>
        <w:pStyle w:val="37"/>
        <w:tabs>
          <w:tab w:val="left" w:pos="1195"/>
          <w:tab w:val="left" w:pos="4910"/>
        </w:tabs>
        <w:spacing w:line="240" w:lineRule="auto"/>
        <w:ind w:firstLine="420" w:firstLineChars="200"/>
        <w:rPr>
          <w:sz w:val="21"/>
          <w:szCs w:val="21"/>
        </w:rPr>
      </w:pPr>
      <w:bookmarkStart w:id="347" w:name="bookmark486"/>
      <w:r>
        <w:rPr>
          <w:sz w:val="21"/>
          <w:szCs w:val="21"/>
        </w:rPr>
        <w:t>1</w:t>
      </w:r>
      <w:bookmarkEnd w:id="347"/>
      <w:r>
        <w:rPr>
          <w:sz w:val="21"/>
          <w:szCs w:val="21"/>
        </w:rPr>
        <w:t>2、与本磋商有关的一切正式往来信函请寄：</w:t>
      </w:r>
      <w:r>
        <w:rPr>
          <w:sz w:val="21"/>
          <w:szCs w:val="21"/>
          <w:u w:val="single"/>
        </w:rPr>
        <w:t xml:space="preserve"> </w:t>
      </w:r>
      <w:r>
        <w:rPr>
          <w:sz w:val="21"/>
          <w:szCs w:val="21"/>
          <w:u w:val="single"/>
        </w:rPr>
        <w:tab/>
      </w:r>
    </w:p>
    <w:p w14:paraId="6B631240">
      <w:pPr>
        <w:pStyle w:val="37"/>
        <w:tabs>
          <w:tab w:val="left" w:pos="7235"/>
        </w:tabs>
        <w:spacing w:line="439" w:lineRule="exact"/>
        <w:ind w:firstLine="420" w:firstLineChars="200"/>
        <w:jc w:val="both"/>
        <w:rPr>
          <w:sz w:val="21"/>
          <w:szCs w:val="21"/>
        </w:rPr>
      </w:pPr>
      <w:r>
        <w:rPr>
          <w:sz w:val="21"/>
          <w:szCs w:val="21"/>
        </w:rPr>
        <w:t>地址：</w:t>
      </w:r>
      <w:r>
        <w:rPr>
          <w:sz w:val="21"/>
          <w:szCs w:val="21"/>
          <w:u w:val="single"/>
        </w:rPr>
        <w:t xml:space="preserve"> </w:t>
      </w:r>
      <w:r>
        <w:rPr>
          <w:sz w:val="21"/>
          <w:szCs w:val="21"/>
          <w:u w:val="single"/>
        </w:rPr>
        <w:tab/>
      </w:r>
    </w:p>
    <w:p w14:paraId="7748A497">
      <w:pPr>
        <w:pStyle w:val="37"/>
        <w:tabs>
          <w:tab w:val="left" w:pos="7220"/>
        </w:tabs>
        <w:spacing w:line="439" w:lineRule="exact"/>
        <w:ind w:firstLine="420" w:firstLineChars="200"/>
        <w:jc w:val="both"/>
        <w:rPr>
          <w:sz w:val="21"/>
          <w:szCs w:val="21"/>
        </w:rPr>
      </w:pPr>
      <w:r>
        <w:rPr>
          <w:sz w:val="21"/>
          <w:szCs w:val="21"/>
        </w:rPr>
        <w:t>电话：</w:t>
      </w:r>
      <w:r>
        <w:rPr>
          <w:sz w:val="21"/>
          <w:szCs w:val="21"/>
          <w:u w:val="single"/>
        </w:rPr>
        <w:t xml:space="preserve"> </w:t>
      </w:r>
      <w:r>
        <w:rPr>
          <w:sz w:val="21"/>
          <w:szCs w:val="21"/>
          <w:u w:val="single"/>
        </w:rPr>
        <w:tab/>
      </w:r>
    </w:p>
    <w:p w14:paraId="2B100EA2">
      <w:pPr>
        <w:pStyle w:val="37"/>
        <w:tabs>
          <w:tab w:val="left" w:pos="7235"/>
        </w:tabs>
        <w:spacing w:line="439" w:lineRule="exact"/>
        <w:ind w:firstLine="420" w:firstLineChars="200"/>
        <w:jc w:val="both"/>
        <w:rPr>
          <w:sz w:val="21"/>
          <w:szCs w:val="21"/>
        </w:rPr>
      </w:pPr>
      <w:r>
        <w:rPr>
          <w:sz w:val="21"/>
          <w:szCs w:val="21"/>
        </w:rPr>
        <w:t>传真：</w:t>
      </w:r>
      <w:r>
        <w:rPr>
          <w:sz w:val="21"/>
          <w:szCs w:val="21"/>
          <w:u w:val="single"/>
        </w:rPr>
        <w:t xml:space="preserve"> </w:t>
      </w:r>
      <w:r>
        <w:rPr>
          <w:sz w:val="21"/>
          <w:szCs w:val="21"/>
          <w:u w:val="single"/>
        </w:rPr>
        <w:tab/>
      </w:r>
    </w:p>
    <w:p w14:paraId="210CBA69">
      <w:pPr>
        <w:pStyle w:val="37"/>
        <w:tabs>
          <w:tab w:val="left" w:pos="7235"/>
        </w:tabs>
        <w:spacing w:line="439" w:lineRule="exact"/>
        <w:ind w:firstLine="420" w:firstLineChars="200"/>
        <w:jc w:val="both"/>
        <w:rPr>
          <w:sz w:val="21"/>
          <w:szCs w:val="21"/>
        </w:rPr>
      </w:pPr>
      <w:r>
        <w:rPr>
          <w:sz w:val="21"/>
          <w:szCs w:val="21"/>
        </w:rPr>
        <w:t>邮政编码：</w:t>
      </w:r>
      <w:r>
        <w:rPr>
          <w:sz w:val="21"/>
          <w:szCs w:val="21"/>
          <w:u w:val="single"/>
        </w:rPr>
        <w:t xml:space="preserve"> </w:t>
      </w:r>
      <w:r>
        <w:rPr>
          <w:sz w:val="21"/>
          <w:szCs w:val="21"/>
          <w:u w:val="single"/>
        </w:rPr>
        <w:tab/>
      </w:r>
    </w:p>
    <w:p w14:paraId="05C09DE2">
      <w:pPr>
        <w:pStyle w:val="37"/>
        <w:tabs>
          <w:tab w:val="left" w:pos="7235"/>
        </w:tabs>
        <w:spacing w:line="439" w:lineRule="exact"/>
        <w:ind w:firstLine="420" w:firstLineChars="200"/>
        <w:jc w:val="both"/>
        <w:rPr>
          <w:sz w:val="21"/>
          <w:szCs w:val="21"/>
        </w:rPr>
      </w:pPr>
      <w:r>
        <w:rPr>
          <w:sz w:val="21"/>
          <w:szCs w:val="21"/>
        </w:rPr>
        <w:t>幵户名称：</w:t>
      </w:r>
      <w:r>
        <w:rPr>
          <w:sz w:val="21"/>
          <w:szCs w:val="21"/>
          <w:u w:val="single"/>
        </w:rPr>
        <w:t xml:space="preserve"> </w:t>
      </w:r>
      <w:r>
        <w:rPr>
          <w:sz w:val="21"/>
          <w:szCs w:val="21"/>
          <w:u w:val="single"/>
        </w:rPr>
        <w:tab/>
      </w:r>
    </w:p>
    <w:p w14:paraId="266299C8">
      <w:pPr>
        <w:pStyle w:val="37"/>
        <w:tabs>
          <w:tab w:val="left" w:pos="7235"/>
        </w:tabs>
        <w:spacing w:line="439" w:lineRule="exact"/>
        <w:ind w:firstLine="420" w:firstLineChars="200"/>
        <w:jc w:val="both"/>
        <w:rPr>
          <w:sz w:val="21"/>
          <w:szCs w:val="21"/>
        </w:rPr>
      </w:pPr>
      <w:r>
        <w:rPr>
          <w:sz w:val="21"/>
          <w:szCs w:val="21"/>
        </w:rPr>
        <w:t>开户银行：</w:t>
      </w:r>
      <w:r>
        <w:rPr>
          <w:sz w:val="21"/>
          <w:szCs w:val="21"/>
          <w:u w:val="single"/>
        </w:rPr>
        <w:t xml:space="preserve"> </w:t>
      </w:r>
      <w:r>
        <w:rPr>
          <w:sz w:val="21"/>
          <w:szCs w:val="21"/>
          <w:u w:val="single"/>
        </w:rPr>
        <w:tab/>
      </w:r>
    </w:p>
    <w:p w14:paraId="223FDCAB">
      <w:pPr>
        <w:pStyle w:val="37"/>
        <w:tabs>
          <w:tab w:val="left" w:pos="7235"/>
        </w:tabs>
        <w:spacing w:line="439" w:lineRule="exact"/>
        <w:ind w:firstLine="420" w:firstLineChars="200"/>
        <w:jc w:val="both"/>
        <w:rPr>
          <w:sz w:val="21"/>
          <w:szCs w:val="21"/>
        </w:rPr>
      </w:pPr>
      <w:r>
        <w:rPr>
          <w:sz w:val="21"/>
          <w:szCs w:val="21"/>
        </w:rPr>
        <w:t>银行账号：</w:t>
      </w:r>
      <w:r>
        <w:rPr>
          <w:sz w:val="21"/>
          <w:szCs w:val="21"/>
          <w:u w:val="single"/>
        </w:rPr>
        <w:t xml:space="preserve"> </w:t>
      </w:r>
      <w:r>
        <w:rPr>
          <w:sz w:val="21"/>
          <w:szCs w:val="21"/>
          <w:u w:val="single"/>
        </w:rPr>
        <w:tab/>
      </w:r>
    </w:p>
    <w:p w14:paraId="082B87A1">
      <w:pPr>
        <w:pStyle w:val="37"/>
        <w:spacing w:after="360" w:line="439" w:lineRule="exact"/>
        <w:ind w:firstLine="420" w:firstLineChars="200"/>
        <w:jc w:val="both"/>
        <w:rPr>
          <w:sz w:val="21"/>
          <w:szCs w:val="21"/>
        </w:rPr>
      </w:pPr>
      <w:r>
        <w:rPr>
          <w:sz w:val="21"/>
          <w:szCs w:val="21"/>
        </w:rPr>
        <w:t>特此承诺。</w:t>
      </w:r>
    </w:p>
    <w:p w14:paraId="172898E8">
      <w:pPr>
        <w:pStyle w:val="37"/>
        <w:spacing w:line="439" w:lineRule="exact"/>
        <w:ind w:firstLine="420" w:firstLineChars="200"/>
        <w:jc w:val="center"/>
        <w:rPr>
          <w:sz w:val="21"/>
          <w:szCs w:val="21"/>
        </w:rPr>
      </w:pPr>
      <w:r>
        <w:rPr>
          <w:sz w:val="21"/>
          <w:szCs w:val="21"/>
        </w:rPr>
        <w:t>供应商名称（电子签章）:</w:t>
      </w:r>
    </w:p>
    <w:p w14:paraId="0ABA1750">
      <w:pPr>
        <w:pStyle w:val="37"/>
        <w:spacing w:line="439" w:lineRule="exact"/>
        <w:ind w:left="6000" w:firstLine="420" w:firstLineChars="200"/>
        <w:rPr>
          <w:sz w:val="21"/>
          <w:szCs w:val="21"/>
        </w:rPr>
        <w:sectPr>
          <w:pgSz w:w="11900" w:h="16840"/>
          <w:pgMar w:top="1130" w:right="775" w:bottom="1080" w:left="790" w:header="702" w:footer="1020" w:gutter="0"/>
          <w:cols w:space="720" w:num="1"/>
          <w:docGrid w:linePitch="360" w:charSpace="0"/>
        </w:sectPr>
      </w:pPr>
      <w:r>
        <w:rPr>
          <w:sz w:val="21"/>
          <w:szCs w:val="21"/>
        </w:rPr>
        <w:t>日期：</w:t>
      </w:r>
      <w:r>
        <w:rPr>
          <w:rFonts w:hint="eastAsia"/>
          <w:sz w:val="21"/>
          <w:szCs w:val="21"/>
          <w:lang w:val="en-US" w:eastAsia="zh-CN"/>
        </w:rPr>
        <w:t xml:space="preserve"> </w:t>
      </w:r>
      <w:r>
        <w:rPr>
          <w:sz w:val="21"/>
          <w:szCs w:val="21"/>
        </w:rPr>
        <w:t xml:space="preserve">年 </w:t>
      </w:r>
      <w:r>
        <w:rPr>
          <w:rFonts w:hint="eastAsia"/>
          <w:sz w:val="21"/>
          <w:szCs w:val="21"/>
          <w:lang w:val="en-US" w:eastAsia="zh-CN"/>
        </w:rPr>
        <w:t xml:space="preserve"> </w:t>
      </w:r>
      <w:r>
        <w:rPr>
          <w:sz w:val="21"/>
          <w:szCs w:val="21"/>
          <w:lang w:val="zh-CN" w:eastAsia="zh-CN" w:bidi="zh-CN"/>
        </w:rPr>
        <w:t>月</w:t>
      </w:r>
      <w:r>
        <w:rPr>
          <w:rFonts w:hint="eastAsia"/>
          <w:sz w:val="21"/>
          <w:szCs w:val="21"/>
          <w:lang w:val="en-US" w:eastAsia="zh-CN" w:bidi="zh-CN"/>
        </w:rPr>
        <w:t xml:space="preserve"> </w:t>
      </w:r>
      <w:r>
        <w:rPr>
          <w:sz w:val="21"/>
          <w:szCs w:val="21"/>
          <w:lang w:val="zh-CN" w:eastAsia="zh-CN" w:bidi="zh-CN"/>
        </w:rPr>
        <w:t>曰</w:t>
      </w:r>
    </w:p>
    <w:p w14:paraId="18F213BD">
      <w:pPr>
        <w:pStyle w:val="41"/>
        <w:keepNext/>
        <w:keepLines/>
        <w:spacing w:after="1120"/>
        <w:ind w:firstLine="643" w:firstLineChars="200"/>
        <w:jc w:val="both"/>
        <w:rPr>
          <w:b/>
          <w:bCs/>
          <w:sz w:val="32"/>
          <w:szCs w:val="32"/>
        </w:rPr>
      </w:pPr>
      <w:bookmarkStart w:id="348" w:name="bookmark489"/>
      <w:bookmarkStart w:id="349" w:name="bookmark488"/>
      <w:bookmarkStart w:id="350" w:name="bookmark487"/>
      <w:r>
        <w:rPr>
          <w:rFonts w:hint="eastAsia"/>
          <w:b/>
          <w:bCs/>
          <w:sz w:val="32"/>
          <w:szCs w:val="32"/>
          <w:lang w:eastAsia="zh-CN"/>
        </w:rPr>
        <w:t>二、</w:t>
      </w:r>
      <w:r>
        <w:rPr>
          <w:b/>
          <w:bCs/>
          <w:sz w:val="32"/>
          <w:szCs w:val="32"/>
        </w:rPr>
        <w:t>响应报价表</w:t>
      </w:r>
      <w:bookmarkEnd w:id="348"/>
      <w:bookmarkEnd w:id="349"/>
      <w:bookmarkEnd w:id="350"/>
    </w:p>
    <w:p w14:paraId="4C3004C6">
      <w:pPr>
        <w:pStyle w:val="37"/>
        <w:tabs>
          <w:tab w:val="left" w:pos="2805"/>
          <w:tab w:val="left" w:pos="3840"/>
          <w:tab w:val="left" w:pos="6525"/>
          <w:tab w:val="left" w:pos="9645"/>
        </w:tabs>
        <w:spacing w:after="240" w:line="240" w:lineRule="auto"/>
        <w:ind w:firstLine="420" w:firstLineChars="200"/>
        <w:rPr>
          <w:sz w:val="21"/>
          <w:szCs w:val="21"/>
        </w:rPr>
      </w:pPr>
      <w:r>
        <w:rPr>
          <w:sz w:val="21"/>
          <w:szCs w:val="21"/>
        </w:rPr>
        <w:t>项目名称：</w:t>
      </w:r>
      <w:r>
        <w:rPr>
          <w:sz w:val="21"/>
          <w:szCs w:val="21"/>
          <w:u w:val="single"/>
        </w:rPr>
        <w:t xml:space="preserve"> </w:t>
      </w:r>
      <w:r>
        <w:rPr>
          <w:sz w:val="21"/>
          <w:szCs w:val="21"/>
          <w:u w:val="single"/>
        </w:rPr>
        <w:tab/>
      </w:r>
      <w:r>
        <w:rPr>
          <w:sz w:val="21"/>
          <w:szCs w:val="21"/>
        </w:rPr>
        <w:tab/>
      </w:r>
      <w:r>
        <w:rPr>
          <w:sz w:val="21"/>
          <w:szCs w:val="21"/>
        </w:rPr>
        <w:t>项目编号：</w:t>
      </w:r>
      <w:r>
        <w:rPr>
          <w:sz w:val="21"/>
          <w:szCs w:val="21"/>
          <w:u w:val="single"/>
        </w:rPr>
        <w:t xml:space="preserve"> </w:t>
      </w:r>
      <w:r>
        <w:rPr>
          <w:sz w:val="21"/>
          <w:szCs w:val="21"/>
          <w:u w:val="single"/>
        </w:rPr>
        <w:tab/>
      </w:r>
      <w:r>
        <w:rPr>
          <w:sz w:val="21"/>
          <w:szCs w:val="21"/>
        </w:rPr>
        <w:t xml:space="preserve"> 分标：</w:t>
      </w:r>
      <w:r>
        <w:rPr>
          <w:sz w:val="21"/>
          <w:szCs w:val="21"/>
          <w:u w:val="single"/>
        </w:rPr>
        <w:t xml:space="preserve"> </w:t>
      </w:r>
      <w:r>
        <w:rPr>
          <w:sz w:val="21"/>
          <w:szCs w:val="21"/>
          <w:u w:val="single"/>
        </w:rPr>
        <w:tab/>
      </w:r>
    </w:p>
    <w:p w14:paraId="3E1E200A">
      <w:pPr>
        <w:pStyle w:val="37"/>
        <w:tabs>
          <w:tab w:val="left" w:pos="4245"/>
        </w:tabs>
        <w:spacing w:after="240" w:line="240" w:lineRule="auto"/>
        <w:ind w:firstLine="420" w:firstLineChars="200"/>
        <w:jc w:val="both"/>
        <w:rPr>
          <w:sz w:val="21"/>
          <w:szCs w:val="21"/>
        </w:rPr>
      </w:pPr>
      <w:r>
        <w:rPr>
          <w:sz w:val="21"/>
          <w:szCs w:val="21"/>
        </w:rPr>
        <w:t>供应商名称：</w:t>
      </w:r>
      <w:r>
        <w:rPr>
          <w:sz w:val="21"/>
          <w:szCs w:val="21"/>
          <w:u w:val="single"/>
        </w:rPr>
        <w:t xml:space="preserve"> </w:t>
      </w:r>
      <w:r>
        <w:rPr>
          <w:sz w:val="21"/>
          <w:szCs w:val="21"/>
          <w:u w:val="single"/>
        </w:rPr>
        <w:tab/>
      </w:r>
    </w:p>
    <w:tbl>
      <w:tblPr>
        <w:tblStyle w:val="14"/>
        <w:tblW w:w="0" w:type="auto"/>
        <w:jc w:val="center"/>
        <w:tblLayout w:type="fixed"/>
        <w:tblCellMar>
          <w:top w:w="0" w:type="dxa"/>
          <w:left w:w="10" w:type="dxa"/>
          <w:bottom w:w="0" w:type="dxa"/>
          <w:right w:w="10" w:type="dxa"/>
        </w:tblCellMar>
      </w:tblPr>
      <w:tblGrid>
        <w:gridCol w:w="720"/>
        <w:gridCol w:w="1260"/>
        <w:gridCol w:w="2070"/>
        <w:gridCol w:w="1080"/>
        <w:gridCol w:w="1260"/>
        <w:gridCol w:w="1515"/>
        <w:gridCol w:w="1935"/>
      </w:tblGrid>
      <w:tr w14:paraId="4990E998">
        <w:tblPrEx>
          <w:tblCellMar>
            <w:top w:w="0" w:type="dxa"/>
            <w:left w:w="10" w:type="dxa"/>
            <w:bottom w:w="0" w:type="dxa"/>
            <w:right w:w="10" w:type="dxa"/>
          </w:tblCellMar>
        </w:tblPrEx>
        <w:trPr>
          <w:trHeight w:val="735" w:hRule="exact"/>
          <w:jc w:val="center"/>
        </w:trPr>
        <w:tc>
          <w:tcPr>
            <w:tcW w:w="720" w:type="dxa"/>
            <w:tcBorders>
              <w:top w:val="single" w:color="auto" w:sz="4" w:space="0"/>
              <w:left w:val="single" w:color="auto" w:sz="4" w:space="0"/>
            </w:tcBorders>
            <w:shd w:val="clear" w:color="auto" w:fill="FFFFFF"/>
            <w:vAlign w:val="center"/>
          </w:tcPr>
          <w:p w14:paraId="7ECC3BE7">
            <w:pPr>
              <w:pStyle w:val="43"/>
              <w:spacing w:line="240" w:lineRule="auto"/>
              <w:ind w:firstLine="0"/>
              <w:jc w:val="center"/>
              <w:rPr>
                <w:sz w:val="21"/>
                <w:szCs w:val="21"/>
              </w:rPr>
            </w:pPr>
            <w:r>
              <w:rPr>
                <w:sz w:val="21"/>
                <w:szCs w:val="21"/>
              </w:rPr>
              <w:t>序号</w:t>
            </w:r>
          </w:p>
        </w:tc>
        <w:tc>
          <w:tcPr>
            <w:tcW w:w="1260" w:type="dxa"/>
            <w:tcBorders>
              <w:top w:val="single" w:color="auto" w:sz="4" w:space="0"/>
              <w:left w:val="single" w:color="auto" w:sz="4" w:space="0"/>
            </w:tcBorders>
            <w:shd w:val="clear" w:color="auto" w:fill="FFFFFF"/>
            <w:vAlign w:val="center"/>
          </w:tcPr>
          <w:p w14:paraId="530A42DA">
            <w:pPr>
              <w:pStyle w:val="43"/>
              <w:spacing w:line="240" w:lineRule="auto"/>
              <w:ind w:firstLine="0"/>
              <w:rPr>
                <w:sz w:val="21"/>
                <w:szCs w:val="21"/>
              </w:rPr>
            </w:pPr>
            <w:r>
              <w:rPr>
                <w:sz w:val="21"/>
                <w:szCs w:val="21"/>
              </w:rPr>
              <w:t>服务名称</w:t>
            </w:r>
          </w:p>
        </w:tc>
        <w:tc>
          <w:tcPr>
            <w:tcW w:w="2070" w:type="dxa"/>
            <w:tcBorders>
              <w:top w:val="single" w:color="auto" w:sz="4" w:space="0"/>
              <w:left w:val="single" w:color="auto" w:sz="4" w:space="0"/>
            </w:tcBorders>
            <w:shd w:val="clear" w:color="auto" w:fill="FFFFFF"/>
            <w:vAlign w:val="center"/>
          </w:tcPr>
          <w:p w14:paraId="5BB2F729">
            <w:pPr>
              <w:pStyle w:val="43"/>
              <w:spacing w:line="240" w:lineRule="auto"/>
              <w:ind w:firstLine="360"/>
              <w:rPr>
                <w:sz w:val="21"/>
                <w:szCs w:val="21"/>
              </w:rPr>
            </w:pPr>
            <w:r>
              <w:rPr>
                <w:sz w:val="21"/>
                <w:szCs w:val="21"/>
              </w:rPr>
              <w:t>具体服务内容</w:t>
            </w:r>
          </w:p>
        </w:tc>
        <w:tc>
          <w:tcPr>
            <w:tcW w:w="1080" w:type="dxa"/>
            <w:tcBorders>
              <w:top w:val="single" w:color="auto" w:sz="4" w:space="0"/>
              <w:left w:val="single" w:color="auto" w:sz="4" w:space="0"/>
            </w:tcBorders>
            <w:shd w:val="clear" w:color="auto" w:fill="FFFFFF"/>
            <w:vAlign w:val="center"/>
          </w:tcPr>
          <w:p w14:paraId="7C86C5A8">
            <w:pPr>
              <w:pStyle w:val="43"/>
              <w:spacing w:line="240" w:lineRule="auto"/>
              <w:ind w:firstLine="180"/>
              <w:rPr>
                <w:sz w:val="21"/>
                <w:szCs w:val="21"/>
              </w:rPr>
            </w:pPr>
            <w:r>
              <w:rPr>
                <w:sz w:val="21"/>
                <w:szCs w:val="21"/>
              </w:rPr>
              <w:t>数量①</w:t>
            </w:r>
          </w:p>
        </w:tc>
        <w:tc>
          <w:tcPr>
            <w:tcW w:w="1260" w:type="dxa"/>
            <w:tcBorders>
              <w:top w:val="single" w:color="auto" w:sz="4" w:space="0"/>
              <w:left w:val="single" w:color="auto" w:sz="4" w:space="0"/>
            </w:tcBorders>
            <w:shd w:val="clear" w:color="auto" w:fill="FFFFFF"/>
            <w:vAlign w:val="center"/>
          </w:tcPr>
          <w:p w14:paraId="17C6ADA6">
            <w:pPr>
              <w:pStyle w:val="43"/>
              <w:spacing w:line="240" w:lineRule="auto"/>
              <w:ind w:firstLine="0"/>
              <w:rPr>
                <w:sz w:val="21"/>
                <w:szCs w:val="21"/>
              </w:rPr>
            </w:pPr>
            <w:r>
              <w:rPr>
                <w:sz w:val="21"/>
                <w:szCs w:val="21"/>
              </w:rPr>
              <w:t>单价②</w:t>
            </w:r>
          </w:p>
        </w:tc>
        <w:tc>
          <w:tcPr>
            <w:tcW w:w="1515" w:type="dxa"/>
            <w:tcBorders>
              <w:top w:val="single" w:color="auto" w:sz="4" w:space="0"/>
              <w:left w:val="single" w:color="auto" w:sz="4" w:space="0"/>
            </w:tcBorders>
            <w:shd w:val="clear" w:color="auto" w:fill="FFFFFF"/>
            <w:vAlign w:val="center"/>
          </w:tcPr>
          <w:p w14:paraId="6F98EF1D">
            <w:pPr>
              <w:pStyle w:val="43"/>
              <w:spacing w:line="240" w:lineRule="auto"/>
              <w:ind w:firstLine="420" w:firstLineChars="200"/>
              <w:rPr>
                <w:sz w:val="21"/>
                <w:szCs w:val="21"/>
              </w:rPr>
            </w:pPr>
            <w:r>
              <w:rPr>
                <w:sz w:val="21"/>
                <w:szCs w:val="21"/>
              </w:rPr>
              <w:t>单项合价</w:t>
            </w:r>
          </w:p>
          <w:p w14:paraId="50A31575">
            <w:pPr>
              <w:pStyle w:val="43"/>
              <w:spacing w:line="240" w:lineRule="auto"/>
              <w:ind w:firstLine="420" w:firstLineChars="200"/>
              <w:rPr>
                <w:sz w:val="21"/>
                <w:szCs w:val="21"/>
              </w:rPr>
            </w:pPr>
            <w:r>
              <w:rPr>
                <w:rFonts w:hint="eastAsia"/>
                <w:sz w:val="21"/>
                <w:szCs w:val="21"/>
                <w:lang w:val="en-US" w:eastAsia="zh-CN"/>
              </w:rPr>
              <w:t>③=</w:t>
            </w:r>
            <w:r>
              <w:rPr>
                <w:sz w:val="21"/>
                <w:szCs w:val="21"/>
              </w:rPr>
              <w:t>①*②</w:t>
            </w:r>
          </w:p>
        </w:tc>
        <w:tc>
          <w:tcPr>
            <w:tcW w:w="1935" w:type="dxa"/>
            <w:tcBorders>
              <w:top w:val="single" w:color="auto" w:sz="4" w:space="0"/>
              <w:left w:val="single" w:color="auto" w:sz="4" w:space="0"/>
              <w:right w:val="single" w:color="auto" w:sz="4" w:space="0"/>
            </w:tcBorders>
            <w:shd w:val="clear" w:color="auto" w:fill="FFFFFF"/>
            <w:vAlign w:val="center"/>
          </w:tcPr>
          <w:p w14:paraId="5F1425E3">
            <w:pPr>
              <w:pStyle w:val="43"/>
              <w:spacing w:line="240" w:lineRule="auto"/>
              <w:ind w:firstLine="0"/>
              <w:jc w:val="center"/>
              <w:rPr>
                <w:sz w:val="21"/>
                <w:szCs w:val="21"/>
              </w:rPr>
            </w:pPr>
            <w:r>
              <w:rPr>
                <w:sz w:val="21"/>
                <w:szCs w:val="21"/>
              </w:rPr>
              <w:t>备注</w:t>
            </w:r>
          </w:p>
        </w:tc>
      </w:tr>
      <w:tr w14:paraId="0AA4490E">
        <w:tblPrEx>
          <w:tblCellMar>
            <w:top w:w="0" w:type="dxa"/>
            <w:left w:w="10" w:type="dxa"/>
            <w:bottom w:w="0" w:type="dxa"/>
            <w:right w:w="10" w:type="dxa"/>
          </w:tblCellMar>
        </w:tblPrEx>
        <w:trPr>
          <w:trHeight w:val="465" w:hRule="exact"/>
          <w:jc w:val="center"/>
        </w:trPr>
        <w:tc>
          <w:tcPr>
            <w:tcW w:w="720" w:type="dxa"/>
            <w:tcBorders>
              <w:top w:val="single" w:color="auto" w:sz="4" w:space="0"/>
              <w:left w:val="single" w:color="auto" w:sz="4" w:space="0"/>
            </w:tcBorders>
            <w:shd w:val="clear" w:color="auto" w:fill="FFFFFF"/>
            <w:vAlign w:val="center"/>
          </w:tcPr>
          <w:p w14:paraId="19FDF336">
            <w:pPr>
              <w:pStyle w:val="43"/>
              <w:spacing w:line="240" w:lineRule="auto"/>
              <w:ind w:firstLine="0"/>
              <w:jc w:val="center"/>
              <w:rPr>
                <w:sz w:val="21"/>
                <w:szCs w:val="21"/>
              </w:rPr>
            </w:pPr>
            <w:r>
              <w:rPr>
                <w:sz w:val="21"/>
                <w:szCs w:val="21"/>
              </w:rPr>
              <w:t>1</w:t>
            </w:r>
          </w:p>
        </w:tc>
        <w:tc>
          <w:tcPr>
            <w:tcW w:w="1260" w:type="dxa"/>
            <w:tcBorders>
              <w:top w:val="single" w:color="auto" w:sz="4" w:space="0"/>
              <w:left w:val="single" w:color="auto" w:sz="4" w:space="0"/>
            </w:tcBorders>
            <w:shd w:val="clear" w:color="auto" w:fill="FFFFFF"/>
          </w:tcPr>
          <w:p w14:paraId="14E09403">
            <w:pPr>
              <w:rPr>
                <w:sz w:val="11"/>
                <w:szCs w:val="11"/>
              </w:rPr>
            </w:pPr>
          </w:p>
        </w:tc>
        <w:tc>
          <w:tcPr>
            <w:tcW w:w="2070" w:type="dxa"/>
            <w:tcBorders>
              <w:top w:val="single" w:color="auto" w:sz="4" w:space="0"/>
              <w:left w:val="single" w:color="auto" w:sz="4" w:space="0"/>
            </w:tcBorders>
            <w:shd w:val="clear" w:color="auto" w:fill="FFFFFF"/>
          </w:tcPr>
          <w:p w14:paraId="22B28F71">
            <w:pPr>
              <w:rPr>
                <w:sz w:val="11"/>
                <w:szCs w:val="11"/>
              </w:rPr>
            </w:pPr>
          </w:p>
        </w:tc>
        <w:tc>
          <w:tcPr>
            <w:tcW w:w="1080" w:type="dxa"/>
            <w:tcBorders>
              <w:top w:val="single" w:color="auto" w:sz="4" w:space="0"/>
              <w:left w:val="single" w:color="auto" w:sz="4" w:space="0"/>
            </w:tcBorders>
            <w:shd w:val="clear" w:color="auto" w:fill="FFFFFF"/>
          </w:tcPr>
          <w:p w14:paraId="4A0D7C4B">
            <w:pPr>
              <w:rPr>
                <w:sz w:val="11"/>
                <w:szCs w:val="11"/>
              </w:rPr>
            </w:pPr>
          </w:p>
        </w:tc>
        <w:tc>
          <w:tcPr>
            <w:tcW w:w="1260" w:type="dxa"/>
            <w:tcBorders>
              <w:top w:val="single" w:color="auto" w:sz="4" w:space="0"/>
              <w:left w:val="single" w:color="auto" w:sz="4" w:space="0"/>
            </w:tcBorders>
            <w:shd w:val="clear" w:color="auto" w:fill="FFFFFF"/>
          </w:tcPr>
          <w:p w14:paraId="253FF818">
            <w:pPr>
              <w:rPr>
                <w:sz w:val="11"/>
                <w:szCs w:val="11"/>
              </w:rPr>
            </w:pPr>
          </w:p>
        </w:tc>
        <w:tc>
          <w:tcPr>
            <w:tcW w:w="1515" w:type="dxa"/>
            <w:tcBorders>
              <w:top w:val="single" w:color="auto" w:sz="4" w:space="0"/>
              <w:left w:val="single" w:color="auto" w:sz="4" w:space="0"/>
            </w:tcBorders>
            <w:shd w:val="clear" w:color="auto" w:fill="FFFFFF"/>
          </w:tcPr>
          <w:p w14:paraId="064D354B">
            <w:pPr>
              <w:rPr>
                <w:sz w:val="11"/>
                <w:szCs w:val="11"/>
              </w:rPr>
            </w:pPr>
          </w:p>
        </w:tc>
        <w:tc>
          <w:tcPr>
            <w:tcW w:w="1935" w:type="dxa"/>
            <w:tcBorders>
              <w:top w:val="single" w:color="auto" w:sz="4" w:space="0"/>
              <w:left w:val="single" w:color="auto" w:sz="4" w:space="0"/>
              <w:right w:val="single" w:color="auto" w:sz="4" w:space="0"/>
            </w:tcBorders>
            <w:shd w:val="clear" w:color="auto" w:fill="FFFFFF"/>
          </w:tcPr>
          <w:p w14:paraId="4065AF75">
            <w:pPr>
              <w:rPr>
                <w:sz w:val="11"/>
                <w:szCs w:val="11"/>
              </w:rPr>
            </w:pPr>
          </w:p>
        </w:tc>
      </w:tr>
      <w:tr w14:paraId="1FBC2DAB">
        <w:tblPrEx>
          <w:tblCellMar>
            <w:top w:w="0" w:type="dxa"/>
            <w:left w:w="10" w:type="dxa"/>
            <w:bottom w:w="0" w:type="dxa"/>
            <w:right w:w="10" w:type="dxa"/>
          </w:tblCellMar>
        </w:tblPrEx>
        <w:trPr>
          <w:trHeight w:val="630" w:hRule="exact"/>
          <w:jc w:val="center"/>
        </w:trPr>
        <w:tc>
          <w:tcPr>
            <w:tcW w:w="9840" w:type="dxa"/>
            <w:gridSpan w:val="7"/>
            <w:tcBorders>
              <w:top w:val="single" w:color="auto" w:sz="4" w:space="0"/>
              <w:left w:val="single" w:color="auto" w:sz="4" w:space="0"/>
              <w:right w:val="single" w:color="auto" w:sz="4" w:space="0"/>
            </w:tcBorders>
            <w:shd w:val="clear" w:color="auto" w:fill="FFFFFF"/>
            <w:vAlign w:val="center"/>
          </w:tcPr>
          <w:p w14:paraId="15563A5B">
            <w:pPr>
              <w:pStyle w:val="43"/>
              <w:tabs>
                <w:tab w:val="left" w:leader="underscore" w:pos="8715"/>
              </w:tabs>
              <w:spacing w:line="240" w:lineRule="auto"/>
              <w:ind w:firstLine="420" w:firstLineChars="200"/>
              <w:rPr>
                <w:sz w:val="21"/>
                <w:szCs w:val="21"/>
              </w:rPr>
            </w:pPr>
            <w:r>
              <w:rPr>
                <w:sz w:val="21"/>
                <w:szCs w:val="21"/>
              </w:rPr>
              <w:t>报价合计（包含税费等所有费用）：（大写）人民币</w:t>
            </w:r>
            <w:r>
              <w:rPr>
                <w:sz w:val="21"/>
                <w:szCs w:val="21"/>
              </w:rPr>
              <w:tab/>
            </w:r>
          </w:p>
          <w:p w14:paraId="63DD5090">
            <w:pPr>
              <w:pStyle w:val="43"/>
              <w:tabs>
                <w:tab w:val="left" w:leader="underscore" w:pos="2175"/>
              </w:tabs>
              <w:spacing w:line="240" w:lineRule="auto"/>
              <w:ind w:firstLine="420" w:firstLineChars="200"/>
              <w:rPr>
                <w:sz w:val="21"/>
                <w:szCs w:val="21"/>
              </w:rPr>
            </w:pPr>
            <w:r>
              <w:rPr>
                <w:sz w:val="21"/>
                <w:szCs w:val="21"/>
              </w:rPr>
              <w:t>&lt;¥</w:t>
            </w:r>
            <w:r>
              <w:rPr>
                <w:sz w:val="21"/>
                <w:szCs w:val="21"/>
              </w:rPr>
              <w:tab/>
            </w:r>
            <w:r>
              <w:rPr>
                <w:sz w:val="21"/>
                <w:szCs w:val="21"/>
              </w:rPr>
              <w:t xml:space="preserve"> ）</w:t>
            </w:r>
          </w:p>
        </w:tc>
      </w:tr>
      <w:tr w14:paraId="7B0988A2">
        <w:tblPrEx>
          <w:tblCellMar>
            <w:top w:w="0" w:type="dxa"/>
            <w:left w:w="10" w:type="dxa"/>
            <w:bottom w:w="0" w:type="dxa"/>
            <w:right w:w="10" w:type="dxa"/>
          </w:tblCellMar>
        </w:tblPrEx>
        <w:trPr>
          <w:trHeight w:val="645" w:hRule="exact"/>
          <w:jc w:val="center"/>
        </w:trPr>
        <w:tc>
          <w:tcPr>
            <w:tcW w:w="9840" w:type="dxa"/>
            <w:gridSpan w:val="7"/>
            <w:tcBorders>
              <w:top w:val="single" w:color="auto" w:sz="4" w:space="0"/>
              <w:left w:val="single" w:color="auto" w:sz="4" w:space="0"/>
              <w:right w:val="single" w:color="auto" w:sz="4" w:space="0"/>
            </w:tcBorders>
            <w:shd w:val="clear" w:color="auto" w:fill="FFFFFF"/>
            <w:vAlign w:val="center"/>
          </w:tcPr>
          <w:p w14:paraId="73A317CB">
            <w:pPr>
              <w:pStyle w:val="43"/>
              <w:spacing w:line="240" w:lineRule="auto"/>
              <w:ind w:firstLine="0"/>
              <w:rPr>
                <w:sz w:val="21"/>
                <w:szCs w:val="21"/>
              </w:rPr>
            </w:pPr>
            <w:r>
              <w:rPr>
                <w:rFonts w:hint="eastAsia"/>
                <w:sz w:val="21"/>
                <w:szCs w:val="21"/>
                <w:lang w:val="en-US" w:eastAsia="zh-CN"/>
              </w:rPr>
              <w:t>______</w:t>
            </w:r>
            <w:r>
              <w:rPr>
                <w:sz w:val="21"/>
                <w:szCs w:val="21"/>
              </w:rPr>
              <w:t>分标（此处有分标时填写具体分标号，无分标时填写</w:t>
            </w:r>
            <w:r>
              <w:rPr>
                <w:sz w:val="21"/>
                <w:szCs w:val="21"/>
                <w:lang w:val="zh-CN" w:eastAsia="zh-CN" w:bidi="zh-CN"/>
              </w:rPr>
              <w:t>“无”</w:t>
            </w:r>
            <w:r>
              <w:rPr>
                <w:sz w:val="21"/>
                <w:szCs w:val="21"/>
              </w:rPr>
              <w:t>）</w:t>
            </w:r>
          </w:p>
        </w:tc>
      </w:tr>
      <w:tr w14:paraId="69BF9BDF">
        <w:tblPrEx>
          <w:tblCellMar>
            <w:top w:w="0" w:type="dxa"/>
            <w:left w:w="10" w:type="dxa"/>
            <w:bottom w:w="0" w:type="dxa"/>
            <w:right w:w="10" w:type="dxa"/>
          </w:tblCellMar>
        </w:tblPrEx>
        <w:trPr>
          <w:trHeight w:val="630" w:hRule="exact"/>
          <w:jc w:val="center"/>
        </w:trPr>
        <w:tc>
          <w:tcPr>
            <w:tcW w:w="9840" w:type="dxa"/>
            <w:gridSpan w:val="7"/>
            <w:tcBorders>
              <w:top w:val="single" w:color="auto" w:sz="4" w:space="0"/>
              <w:left w:val="single" w:color="auto" w:sz="4" w:space="0"/>
              <w:right w:val="single" w:color="auto" w:sz="4" w:space="0"/>
            </w:tcBorders>
            <w:shd w:val="clear" w:color="auto" w:fill="FFFFFF"/>
            <w:vAlign w:val="center"/>
          </w:tcPr>
          <w:p w14:paraId="45006B95">
            <w:pPr>
              <w:pStyle w:val="43"/>
              <w:spacing w:line="240" w:lineRule="auto"/>
              <w:ind w:firstLine="0"/>
              <w:rPr>
                <w:sz w:val="21"/>
                <w:szCs w:val="21"/>
              </w:rPr>
            </w:pPr>
            <w:r>
              <w:rPr>
                <w:sz w:val="21"/>
                <w:szCs w:val="21"/>
              </w:rPr>
              <w:t>服务质量：</w:t>
            </w:r>
          </w:p>
        </w:tc>
      </w:tr>
      <w:tr w14:paraId="20EE3601">
        <w:tblPrEx>
          <w:tblCellMar>
            <w:top w:w="0" w:type="dxa"/>
            <w:left w:w="10" w:type="dxa"/>
            <w:bottom w:w="0" w:type="dxa"/>
            <w:right w:w="10" w:type="dxa"/>
          </w:tblCellMar>
        </w:tblPrEx>
        <w:trPr>
          <w:trHeight w:val="645" w:hRule="exact"/>
          <w:jc w:val="center"/>
        </w:trPr>
        <w:tc>
          <w:tcPr>
            <w:tcW w:w="9840"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B3633C4">
            <w:pPr>
              <w:pStyle w:val="43"/>
              <w:spacing w:line="240" w:lineRule="auto"/>
              <w:ind w:firstLine="0"/>
              <w:rPr>
                <w:sz w:val="21"/>
                <w:szCs w:val="21"/>
              </w:rPr>
            </w:pPr>
            <w:r>
              <w:rPr>
                <w:sz w:val="21"/>
                <w:szCs w:val="21"/>
              </w:rPr>
              <w:t>服务期限：</w:t>
            </w:r>
          </w:p>
        </w:tc>
      </w:tr>
    </w:tbl>
    <w:p w14:paraId="688C116F">
      <w:pPr>
        <w:pStyle w:val="37"/>
        <w:spacing w:line="322" w:lineRule="exact"/>
        <w:ind w:firstLine="420" w:firstLineChars="200"/>
        <w:jc w:val="both"/>
        <w:rPr>
          <w:sz w:val="21"/>
          <w:szCs w:val="21"/>
        </w:rPr>
      </w:pPr>
      <w:r>
        <w:rPr>
          <w:sz w:val="21"/>
          <w:szCs w:val="21"/>
        </w:rPr>
        <w:t>注：</w:t>
      </w:r>
    </w:p>
    <w:p w14:paraId="50AC7A42">
      <w:pPr>
        <w:pStyle w:val="37"/>
        <w:tabs>
          <w:tab w:val="left" w:pos="1175"/>
        </w:tabs>
        <w:spacing w:line="330" w:lineRule="exact"/>
        <w:ind w:left="300" w:firstLine="420" w:firstLineChars="200"/>
        <w:jc w:val="both"/>
        <w:rPr>
          <w:sz w:val="21"/>
          <w:szCs w:val="21"/>
        </w:rPr>
      </w:pPr>
      <w:bookmarkStart w:id="351" w:name="bookmark490"/>
      <w:r>
        <w:rPr>
          <w:sz w:val="21"/>
          <w:szCs w:val="21"/>
        </w:rPr>
        <w:t>1</w:t>
      </w:r>
      <w:bookmarkEnd w:id="351"/>
      <w:r>
        <w:rPr>
          <w:sz w:val="21"/>
          <w:szCs w:val="21"/>
        </w:rPr>
        <w:t>、</w:t>
      </w:r>
      <w:r>
        <w:rPr>
          <w:sz w:val="21"/>
          <w:szCs w:val="21"/>
        </w:rPr>
        <w:tab/>
      </w:r>
      <w:r>
        <w:rPr>
          <w:sz w:val="21"/>
          <w:szCs w:val="21"/>
        </w:rPr>
        <w:t>供应商需按本表格式填写，不得自行更改，也不得留空，如有多分标，按分标分别提供响应报价表。</w:t>
      </w:r>
    </w:p>
    <w:p w14:paraId="634EC924">
      <w:pPr>
        <w:pStyle w:val="37"/>
        <w:tabs>
          <w:tab w:val="left" w:pos="1175"/>
        </w:tabs>
        <w:spacing w:line="315" w:lineRule="exact"/>
        <w:ind w:left="300" w:firstLine="420" w:firstLineChars="200"/>
        <w:jc w:val="both"/>
        <w:rPr>
          <w:sz w:val="21"/>
          <w:szCs w:val="21"/>
        </w:rPr>
      </w:pPr>
      <w:bookmarkStart w:id="352" w:name="bookmark491"/>
      <w:r>
        <w:rPr>
          <w:sz w:val="21"/>
          <w:szCs w:val="21"/>
        </w:rPr>
        <w:t>2</w:t>
      </w:r>
      <w:bookmarkEnd w:id="352"/>
      <w:r>
        <w:rPr>
          <w:sz w:val="21"/>
          <w:szCs w:val="21"/>
        </w:rPr>
        <w:t>、</w:t>
      </w:r>
      <w:r>
        <w:rPr>
          <w:sz w:val="21"/>
          <w:szCs w:val="21"/>
        </w:rPr>
        <w:tab/>
      </w:r>
      <w:r>
        <w:rPr>
          <w:sz w:val="21"/>
          <w:szCs w:val="21"/>
        </w:rPr>
        <w:t>如为联合体响应的，</w:t>
      </w:r>
      <w:r>
        <w:rPr>
          <w:sz w:val="21"/>
          <w:szCs w:val="21"/>
          <w:lang w:val="zh-CN" w:eastAsia="zh-CN" w:bidi="zh-CN"/>
        </w:rPr>
        <w:t>“供应</w:t>
      </w:r>
      <w:r>
        <w:rPr>
          <w:sz w:val="21"/>
          <w:szCs w:val="21"/>
        </w:rPr>
        <w:t>商名称</w:t>
      </w:r>
      <w:r>
        <w:rPr>
          <w:sz w:val="21"/>
          <w:szCs w:val="21"/>
          <w:lang w:val="zh-CN" w:eastAsia="zh-CN" w:bidi="zh-CN"/>
        </w:rPr>
        <w:t>”处</w:t>
      </w:r>
      <w:r>
        <w:rPr>
          <w:sz w:val="21"/>
          <w:szCs w:val="21"/>
        </w:rPr>
        <w:t>必须列明联合体各方名称，并标注联合体牵头人名称，且盖章处须加盖联合体各方公章，否则其响应作无效响应处理。</w:t>
      </w:r>
    </w:p>
    <w:p w14:paraId="037FB97E">
      <w:pPr>
        <w:pStyle w:val="37"/>
        <w:tabs>
          <w:tab w:val="left" w:pos="1160"/>
        </w:tabs>
        <w:spacing w:line="315" w:lineRule="exact"/>
        <w:ind w:left="300" w:firstLine="420" w:firstLineChars="200"/>
        <w:jc w:val="both"/>
        <w:rPr>
          <w:sz w:val="21"/>
          <w:szCs w:val="21"/>
        </w:rPr>
      </w:pPr>
      <w:bookmarkStart w:id="353" w:name="bookmark492"/>
      <w:r>
        <w:rPr>
          <w:sz w:val="21"/>
          <w:szCs w:val="21"/>
        </w:rPr>
        <w:t>3</w:t>
      </w:r>
      <w:bookmarkEnd w:id="353"/>
      <w:r>
        <w:rPr>
          <w:sz w:val="21"/>
          <w:szCs w:val="21"/>
        </w:rPr>
        <w:t>、</w:t>
      </w:r>
      <w:r>
        <w:rPr>
          <w:sz w:val="21"/>
          <w:szCs w:val="21"/>
        </w:rPr>
        <w:tab/>
      </w:r>
      <w:r>
        <w:rPr>
          <w:sz w:val="21"/>
          <w:szCs w:val="21"/>
        </w:rPr>
        <w:t>以上表格要求细分项目及报价，在</w:t>
      </w:r>
      <w:r>
        <w:rPr>
          <w:sz w:val="21"/>
          <w:szCs w:val="21"/>
          <w:lang w:val="zh-CN" w:eastAsia="zh-CN" w:bidi="zh-CN"/>
        </w:rPr>
        <w:t>“具体</w:t>
      </w:r>
      <w:r>
        <w:rPr>
          <w:sz w:val="21"/>
          <w:szCs w:val="21"/>
        </w:rPr>
        <w:t>服务内容”一栏中，填写具体服务，否则其响应作无效响应处理。</w:t>
      </w:r>
    </w:p>
    <w:p w14:paraId="2CC3C27F">
      <w:pPr>
        <w:pStyle w:val="37"/>
        <w:tabs>
          <w:tab w:val="left" w:pos="1175"/>
        </w:tabs>
        <w:spacing w:line="330" w:lineRule="exact"/>
        <w:ind w:left="300" w:firstLine="420" w:firstLineChars="200"/>
        <w:jc w:val="both"/>
        <w:rPr>
          <w:sz w:val="21"/>
          <w:szCs w:val="21"/>
        </w:rPr>
      </w:pPr>
      <w:bookmarkStart w:id="354" w:name="bookmark493"/>
      <w:r>
        <w:rPr>
          <w:sz w:val="21"/>
          <w:szCs w:val="21"/>
        </w:rPr>
        <w:t>4</w:t>
      </w:r>
      <w:bookmarkEnd w:id="354"/>
      <w:r>
        <w:rPr>
          <w:sz w:val="21"/>
          <w:szCs w:val="21"/>
        </w:rPr>
        <w:t>、</w:t>
      </w:r>
      <w:r>
        <w:rPr>
          <w:sz w:val="21"/>
          <w:szCs w:val="21"/>
        </w:rPr>
        <w:tab/>
      </w:r>
      <w:r>
        <w:rPr>
          <w:sz w:val="21"/>
          <w:szCs w:val="21"/>
        </w:rPr>
        <w:t>特别提示：釆购机构将对项目名称和项目编号，成交供应商名称、地址和成交金額，主要成交标的的名称、规格型号、数量、单价、服务要求等予以公示。</w:t>
      </w:r>
    </w:p>
    <w:p w14:paraId="4FC5C2C4">
      <w:pPr>
        <w:pStyle w:val="37"/>
        <w:tabs>
          <w:tab w:val="left" w:pos="1175"/>
        </w:tabs>
        <w:spacing w:line="322" w:lineRule="exact"/>
        <w:ind w:left="300" w:firstLine="420" w:firstLineChars="200"/>
        <w:jc w:val="both"/>
        <w:rPr>
          <w:sz w:val="21"/>
          <w:szCs w:val="21"/>
        </w:rPr>
      </w:pPr>
      <w:bookmarkStart w:id="355" w:name="bookmark494"/>
      <w:r>
        <w:rPr>
          <w:sz w:val="21"/>
          <w:szCs w:val="21"/>
        </w:rPr>
        <w:t>5</w:t>
      </w:r>
      <w:bookmarkEnd w:id="355"/>
      <w:r>
        <w:rPr>
          <w:sz w:val="21"/>
          <w:szCs w:val="21"/>
        </w:rPr>
        <w:t>、</w:t>
      </w:r>
      <w:r>
        <w:rPr>
          <w:sz w:val="21"/>
          <w:szCs w:val="21"/>
        </w:rPr>
        <w:tab/>
      </w:r>
      <w:r>
        <w:rPr>
          <w:sz w:val="21"/>
          <w:szCs w:val="21"/>
        </w:rPr>
        <w:t>符合釆购文件中列明的可享受中小企业扶持政策的供应商，请填写中小企业声明函。</w:t>
      </w:r>
    </w:p>
    <w:p w14:paraId="029FE928">
      <w:pPr>
        <w:pStyle w:val="37"/>
        <w:tabs>
          <w:tab w:val="left" w:pos="1175"/>
        </w:tabs>
        <w:spacing w:line="322" w:lineRule="exact"/>
        <w:ind w:left="300" w:firstLine="420" w:firstLineChars="200"/>
        <w:jc w:val="both"/>
        <w:rPr>
          <w:sz w:val="21"/>
          <w:szCs w:val="21"/>
        </w:rPr>
      </w:pPr>
      <w:r>
        <w:rPr>
          <w:sz w:val="21"/>
          <w:szCs w:val="21"/>
        </w:rPr>
        <w:t>注：供应商提供的中小企业声明函内容不实的，属于提供虚假材料谋取中标、成交，依照《中华人民共和国政府釆购法》等国家有关规定追究相应责任。</w:t>
      </w:r>
    </w:p>
    <w:p w14:paraId="63E0FBFE">
      <w:pPr>
        <w:pStyle w:val="37"/>
        <w:spacing w:after="360" w:line="322" w:lineRule="exact"/>
        <w:ind w:left="4400" w:firstLine="420" w:firstLineChars="200"/>
        <w:rPr>
          <w:sz w:val="21"/>
          <w:szCs w:val="21"/>
        </w:rPr>
      </w:pPr>
      <w:r>
        <w:rPr>
          <w:sz w:val="21"/>
          <w:szCs w:val="21"/>
        </w:rPr>
        <w:t>供应商名称（电子签章）：</w:t>
      </w:r>
    </w:p>
    <w:p w14:paraId="77EC52DC">
      <w:pPr>
        <w:pStyle w:val="37"/>
        <w:spacing w:after="120" w:line="240" w:lineRule="auto"/>
        <w:ind w:left="6720" w:firstLine="420" w:firstLineChars="200"/>
        <w:rPr>
          <w:sz w:val="21"/>
          <w:szCs w:val="21"/>
          <w:lang w:val="en-US"/>
        </w:rPr>
      </w:pPr>
      <w:r>
        <w:rPr>
          <w:sz w:val="21"/>
          <w:szCs w:val="21"/>
        </w:rPr>
        <w:t>日期：年 月</w:t>
      </w:r>
      <w:r>
        <w:rPr>
          <w:rFonts w:hint="eastAsia"/>
          <w:sz w:val="21"/>
          <w:szCs w:val="21"/>
          <w:lang w:val="en-US"/>
        </w:rPr>
        <w:t xml:space="preserve"> 日</w:t>
      </w:r>
    </w:p>
    <w:p w14:paraId="01E07FCA">
      <w:pPr>
        <w:pStyle w:val="35"/>
        <w:spacing w:before="5760" w:after="0"/>
        <w:ind w:firstLine="1687" w:firstLineChars="800"/>
        <w:jc w:val="both"/>
        <w:rPr>
          <w:rFonts w:hint="default" w:ascii="Times New Roman" w:hAnsi="Times New Roman" w:cs="Times New Roman"/>
          <w:b/>
          <w:bCs/>
          <w:sz w:val="21"/>
          <w:szCs w:val="21"/>
        </w:rPr>
      </w:pPr>
      <w:r>
        <w:rPr>
          <w:rFonts w:hint="default" w:ascii="Times New Roman" w:hAnsi="Times New Roman" w:cs="Times New Roman"/>
          <w:b/>
          <w:bCs/>
          <w:sz w:val="21"/>
          <w:szCs w:val="21"/>
        </w:rPr>
        <w:t>第六章合同文本</w:t>
      </w:r>
    </w:p>
    <w:p w14:paraId="757FCDC5">
      <w:pPr>
        <w:pStyle w:val="41"/>
        <w:keepNext/>
        <w:keepLines/>
        <w:spacing w:after="180"/>
        <w:ind w:firstLine="420" w:firstLineChars="200"/>
        <w:rPr>
          <w:rFonts w:hint="default" w:ascii="Times New Roman" w:hAnsi="Times New Roman" w:cs="Times New Roman"/>
          <w:sz w:val="21"/>
          <w:szCs w:val="21"/>
        </w:rPr>
      </w:pPr>
      <w:bookmarkStart w:id="356" w:name="bookmark495"/>
      <w:bookmarkStart w:id="357" w:name="bookmark496"/>
      <w:bookmarkStart w:id="358" w:name="bookmark497"/>
    </w:p>
    <w:bookmarkEnd w:id="356"/>
    <w:bookmarkEnd w:id="357"/>
    <w:bookmarkEnd w:id="358"/>
    <w:p w14:paraId="1CC383F1">
      <w:pPr>
        <w:pStyle w:val="53"/>
        <w:spacing w:before="30" w:line="240" w:lineRule="auto"/>
        <w:ind w:left="113" w:right="108" w:firstLine="434"/>
        <w:rPr>
          <w:rFonts w:hint="default" w:ascii="Times New Roman" w:hAnsi="Times New Roman" w:eastAsia="宋体" w:cs="Times New Roman"/>
          <w:spacing w:val="1"/>
          <w:sz w:val="21"/>
          <w:szCs w:val="21"/>
        </w:rPr>
      </w:pPr>
    </w:p>
    <w:p w14:paraId="69592AC0">
      <w:pPr>
        <w:pStyle w:val="19"/>
        <w:ind w:firstLine="562"/>
        <w:rPr>
          <w:rFonts w:hint="default" w:ascii="Times New Roman" w:hAnsi="Times New Roman" w:eastAsia="宋体" w:cs="Times New Roman"/>
          <w:b/>
          <w:bCs/>
          <w:sz w:val="21"/>
          <w:szCs w:val="21"/>
          <w:lang w:eastAsia="zh-CN"/>
        </w:rPr>
      </w:pPr>
    </w:p>
    <w:p w14:paraId="45266756">
      <w:pPr>
        <w:pStyle w:val="19"/>
        <w:ind w:firstLine="562"/>
        <w:rPr>
          <w:rFonts w:hint="default" w:ascii="Times New Roman" w:hAnsi="Times New Roman" w:eastAsia="宋体" w:cs="Times New Roman"/>
          <w:b/>
          <w:bCs/>
          <w:sz w:val="21"/>
          <w:szCs w:val="21"/>
          <w:lang w:eastAsia="zh-CN"/>
        </w:rPr>
      </w:pPr>
    </w:p>
    <w:p w14:paraId="41D3E18D">
      <w:pPr>
        <w:ind w:firstLine="420" w:firstLineChars="200"/>
        <w:jc w:val="center"/>
        <w:rPr>
          <w:rFonts w:hint="default" w:ascii="Times New Roman" w:hAnsi="Times New Roman" w:eastAsia="方正小标宋简体" w:cs="Times New Roman"/>
          <w:bCs/>
          <w:sz w:val="21"/>
          <w:szCs w:val="21"/>
        </w:rPr>
      </w:pPr>
      <w:r>
        <w:rPr>
          <w:rFonts w:hint="default" w:ascii="Times New Roman" w:hAnsi="Times New Roman" w:eastAsia="方正小标宋简体" w:cs="Times New Roman"/>
          <w:bCs/>
          <w:sz w:val="21"/>
          <w:szCs w:val="21"/>
        </w:rPr>
        <w:t>物业服务合同(格式)</w:t>
      </w:r>
    </w:p>
    <w:p w14:paraId="00F72517">
      <w:pPr>
        <w:pStyle w:val="5"/>
        <w:spacing w:line="360" w:lineRule="auto"/>
        <w:ind w:firstLine="420" w:firstLineChars="200"/>
        <w:rPr>
          <w:rFonts w:hint="default" w:ascii="Times New Roman" w:hAnsi="Times New Roman" w:cs="Times New Roman"/>
          <w:b/>
          <w:sz w:val="21"/>
          <w:szCs w:val="21"/>
        </w:rPr>
      </w:pPr>
    </w:p>
    <w:p w14:paraId="501A6C54">
      <w:pPr>
        <w:pStyle w:val="5"/>
        <w:spacing w:line="360" w:lineRule="auto"/>
        <w:ind w:firstLine="420" w:firstLineChars="200"/>
        <w:rPr>
          <w:rFonts w:hint="default" w:ascii="Times New Roman" w:hAnsi="Times New Roman" w:cs="Times New Roman"/>
          <w:b/>
          <w:sz w:val="21"/>
          <w:szCs w:val="21"/>
        </w:rPr>
      </w:pPr>
      <w:r>
        <w:rPr>
          <w:rFonts w:hint="default" w:ascii="Times New Roman" w:hAnsi="Times New Roman" w:cs="Times New Roman"/>
          <w:b/>
          <w:sz w:val="21"/>
          <w:szCs w:val="21"/>
        </w:rPr>
        <w:t>合同编号：</w:t>
      </w:r>
    </w:p>
    <w:p w14:paraId="4DA21EC1">
      <w:pPr>
        <w:pStyle w:val="5"/>
        <w:spacing w:line="360" w:lineRule="auto"/>
        <w:ind w:firstLine="1260" w:firstLineChars="600"/>
        <w:jc w:val="left"/>
        <w:rPr>
          <w:rFonts w:hint="default" w:ascii="Times New Roman" w:hAnsi="Times New Roman" w:eastAsia="方正小标宋简体" w:cs="Times New Roman"/>
          <w:color w:val="000000"/>
          <w:sz w:val="21"/>
          <w:szCs w:val="21"/>
        </w:rPr>
      </w:pPr>
    </w:p>
    <w:p w14:paraId="325DC99B">
      <w:pPr>
        <w:pStyle w:val="5"/>
        <w:spacing w:line="360" w:lineRule="auto"/>
        <w:ind w:firstLine="420" w:firstLineChars="200"/>
        <w:rPr>
          <w:rFonts w:hint="default" w:ascii="Times New Roman" w:hAnsi="Times New Roman" w:cs="Times New Roman"/>
          <w:b/>
          <w:sz w:val="21"/>
          <w:szCs w:val="21"/>
        </w:rPr>
      </w:pPr>
    </w:p>
    <w:p w14:paraId="4EDAAADF">
      <w:pPr>
        <w:pStyle w:val="5"/>
        <w:spacing w:line="360" w:lineRule="auto"/>
        <w:ind w:firstLine="420" w:firstLineChars="200"/>
        <w:rPr>
          <w:rFonts w:hint="default" w:ascii="Times New Roman" w:hAnsi="Times New Roman" w:cs="Times New Roman"/>
          <w:b/>
          <w:sz w:val="21"/>
          <w:szCs w:val="21"/>
        </w:rPr>
      </w:pPr>
    </w:p>
    <w:p w14:paraId="4AEBFE84">
      <w:pPr>
        <w:pStyle w:val="5"/>
        <w:spacing w:line="360" w:lineRule="auto"/>
        <w:ind w:firstLine="420" w:firstLineChars="200"/>
        <w:rPr>
          <w:rFonts w:hint="default" w:ascii="Times New Roman" w:hAnsi="Times New Roman" w:cs="Times New Roman"/>
          <w:b/>
          <w:sz w:val="21"/>
          <w:szCs w:val="21"/>
        </w:rPr>
      </w:pPr>
    </w:p>
    <w:p w14:paraId="0D7AE759">
      <w:pPr>
        <w:pStyle w:val="5"/>
        <w:spacing w:line="360" w:lineRule="auto"/>
        <w:ind w:firstLine="420" w:firstLineChars="200"/>
        <w:rPr>
          <w:rFonts w:hint="default" w:ascii="Times New Roman" w:hAnsi="Times New Roman" w:cs="Times New Roman"/>
          <w:b/>
          <w:sz w:val="21"/>
          <w:szCs w:val="21"/>
        </w:rPr>
      </w:pPr>
    </w:p>
    <w:p w14:paraId="44E13B95">
      <w:pPr>
        <w:pStyle w:val="5"/>
        <w:spacing w:line="360" w:lineRule="auto"/>
        <w:ind w:firstLine="420" w:firstLineChars="200"/>
        <w:outlineLvl w:val="1"/>
        <w:rPr>
          <w:rFonts w:hint="default" w:ascii="Times New Roman" w:hAnsi="Times New Roman" w:cs="Times New Roman"/>
          <w:b/>
          <w:sz w:val="21"/>
          <w:szCs w:val="21"/>
        </w:rPr>
      </w:pPr>
      <w:bookmarkStart w:id="359" w:name="_Toc18455"/>
      <w:r>
        <w:rPr>
          <w:rFonts w:hint="default" w:ascii="Times New Roman" w:hAnsi="Times New Roman" w:cs="Times New Roman"/>
          <w:b/>
          <w:sz w:val="21"/>
          <w:szCs w:val="21"/>
        </w:rPr>
        <w:t>采购单位（甲方）：</w:t>
      </w:r>
      <w:bookmarkEnd w:id="359"/>
      <w:r>
        <w:rPr>
          <w:rFonts w:hint="default" w:ascii="Times New Roman" w:hAnsi="Times New Roman" w:cs="Times New Roman"/>
          <w:b/>
          <w:sz w:val="21"/>
          <w:szCs w:val="21"/>
        </w:rPr>
        <w:t>凭祥市人民医院</w:t>
      </w:r>
    </w:p>
    <w:p w14:paraId="04ADBFBF">
      <w:pPr>
        <w:pStyle w:val="5"/>
        <w:spacing w:line="360" w:lineRule="auto"/>
        <w:ind w:firstLine="420" w:firstLineChars="200"/>
        <w:rPr>
          <w:rFonts w:hint="default" w:ascii="Times New Roman" w:hAnsi="Times New Roman" w:cs="Times New Roman"/>
          <w:b/>
          <w:sz w:val="21"/>
          <w:szCs w:val="21"/>
        </w:rPr>
      </w:pPr>
      <w:r>
        <w:rPr>
          <w:rFonts w:hint="default" w:ascii="Times New Roman" w:hAnsi="Times New Roman" w:cs="Times New Roman"/>
          <w:b/>
          <w:sz w:val="21"/>
          <w:szCs w:val="21"/>
        </w:rPr>
        <w:t>服务企业（乙方）：</w:t>
      </w:r>
    </w:p>
    <w:p w14:paraId="1FE4A85D">
      <w:pPr>
        <w:spacing w:line="360" w:lineRule="auto"/>
        <w:ind w:firstLine="420" w:firstLineChars="200"/>
        <w:rPr>
          <w:rFonts w:hint="default" w:ascii="Times New Roman" w:hAnsi="Times New Roman" w:cs="Times New Roman"/>
          <w:b/>
          <w:sz w:val="21"/>
          <w:szCs w:val="21"/>
        </w:rPr>
      </w:pPr>
    </w:p>
    <w:p w14:paraId="2A945281">
      <w:pPr>
        <w:spacing w:line="360" w:lineRule="auto"/>
        <w:ind w:firstLine="420" w:firstLineChars="200"/>
        <w:rPr>
          <w:rFonts w:hint="default" w:ascii="Times New Roman" w:hAnsi="Times New Roman" w:cs="Times New Roman"/>
          <w:b/>
          <w:sz w:val="21"/>
          <w:szCs w:val="21"/>
        </w:rPr>
      </w:pPr>
      <w:r>
        <w:rPr>
          <w:rFonts w:hint="default" w:ascii="Times New Roman" w:hAnsi="Times New Roman" w:cs="Times New Roman"/>
          <w:b/>
          <w:sz w:val="21"/>
          <w:szCs w:val="21"/>
        </w:rPr>
        <w:t>签订合同地点：</w:t>
      </w:r>
    </w:p>
    <w:p w14:paraId="772AAAE5">
      <w:pPr>
        <w:spacing w:line="360" w:lineRule="auto"/>
        <w:ind w:firstLine="420" w:firstLineChars="200"/>
        <w:rPr>
          <w:rFonts w:hint="default" w:ascii="Times New Roman" w:hAnsi="Times New Roman" w:cs="Times New Roman"/>
          <w:b/>
          <w:sz w:val="21"/>
          <w:szCs w:val="21"/>
        </w:rPr>
      </w:pPr>
      <w:r>
        <w:rPr>
          <w:rFonts w:hint="default" w:ascii="Times New Roman" w:hAnsi="Times New Roman" w:cs="Times New Roman"/>
          <w:b/>
          <w:sz w:val="21"/>
          <w:szCs w:val="21"/>
        </w:rPr>
        <w:t>签订合同时间：202</w:t>
      </w:r>
      <w:r>
        <w:rPr>
          <w:rFonts w:hint="default" w:ascii="Times New Roman" w:hAnsi="Times New Roman" w:eastAsia="宋体" w:cs="Times New Roman"/>
          <w:b/>
          <w:sz w:val="21"/>
          <w:szCs w:val="21"/>
          <w:lang w:val="en-US" w:eastAsia="zh-CN"/>
        </w:rPr>
        <w:t>4</w:t>
      </w:r>
      <w:r>
        <w:rPr>
          <w:rFonts w:hint="default" w:ascii="Times New Roman" w:hAnsi="Times New Roman" w:cs="Times New Roman"/>
          <w:b/>
          <w:sz w:val="21"/>
          <w:szCs w:val="21"/>
        </w:rPr>
        <w:t>年   月   日</w:t>
      </w:r>
    </w:p>
    <w:p w14:paraId="5C8A02EA">
      <w:pPr>
        <w:pStyle w:val="13"/>
        <w:ind w:firstLine="210"/>
        <w:rPr>
          <w:rFonts w:hint="default" w:ascii="Times New Roman" w:hAnsi="Times New Roman" w:cs="Times New Roman"/>
          <w:sz w:val="21"/>
          <w:szCs w:val="21"/>
        </w:rPr>
        <w:sectPr>
          <w:footerReference r:id="rId40" w:type="default"/>
          <w:pgSz w:w="11906" w:h="16838"/>
          <w:pgMar w:top="1440" w:right="1800" w:bottom="1440" w:left="1800" w:header="748" w:footer="794" w:gutter="0"/>
          <w:cols w:space="720" w:num="1"/>
          <w:docGrid w:type="lines" w:linePitch="312" w:charSpace="0"/>
        </w:sectPr>
      </w:pPr>
    </w:p>
    <w:p w14:paraId="24D04D09">
      <w:pPr>
        <w:pStyle w:val="5"/>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合同书</w:t>
      </w:r>
    </w:p>
    <w:p w14:paraId="58182A11">
      <w:pPr>
        <w:pStyle w:val="5"/>
        <w:spacing w:after="0" w:line="400" w:lineRule="exact"/>
        <w:ind w:firstLine="420" w:firstLineChars="200"/>
        <w:rPr>
          <w:rFonts w:hint="eastAsia" w:ascii="宋体" w:hAnsi="宋体" w:eastAsia="宋体" w:cs="宋体"/>
          <w:sz w:val="21"/>
          <w:szCs w:val="21"/>
        </w:rPr>
      </w:pPr>
    </w:p>
    <w:p w14:paraId="7205D9D5">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甲方：凭祥市人民医院</w:t>
      </w:r>
    </w:p>
    <w:p w14:paraId="657CE899">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乙方：</w:t>
      </w:r>
    </w:p>
    <w:p w14:paraId="041191ED">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根据《中华人民共和国政府采购法》《中华人民共和国民法典》和国家《物业管理条例》《广西壮族自治区物业管理条例》以及物业管理有关法律法规，以合同的形式委托中标物业管理公司在合同有效期内对甲方委托的物业进行社会化、专业化、市场化的物业管理，甲乙双方遵循平等、自愿、公平、诚实信用的原则，经协商一致，就甲方选聘乙方对本项目物业服务事宜，订立本合同。</w:t>
      </w:r>
    </w:p>
    <w:p w14:paraId="1F4FC023">
      <w:pPr>
        <w:pStyle w:val="5"/>
        <w:spacing w:after="0" w:line="400" w:lineRule="exact"/>
        <w:ind w:firstLine="420" w:firstLineChars="200"/>
        <w:outlineLvl w:val="1"/>
        <w:rPr>
          <w:rFonts w:hint="eastAsia" w:ascii="宋体" w:hAnsi="宋体" w:eastAsia="宋体" w:cs="宋体"/>
          <w:sz w:val="21"/>
          <w:szCs w:val="21"/>
        </w:rPr>
      </w:pPr>
      <w:bookmarkStart w:id="360" w:name="_Toc11816"/>
      <w:r>
        <w:rPr>
          <w:rFonts w:hint="eastAsia" w:ascii="宋体" w:hAnsi="宋体" w:eastAsia="宋体" w:cs="宋体"/>
          <w:sz w:val="21"/>
          <w:szCs w:val="21"/>
        </w:rPr>
        <w:t>第一条项目概况</w:t>
      </w:r>
      <w:bookmarkEnd w:id="360"/>
    </w:p>
    <w:p w14:paraId="6B0869B2">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（一）项目地点：__________</w:t>
      </w:r>
    </w:p>
    <w:p w14:paraId="1F51F504">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（二）规模：_______________</w:t>
      </w:r>
    </w:p>
    <w:p w14:paraId="037B34DF">
      <w:pPr>
        <w:pStyle w:val="5"/>
        <w:spacing w:after="0" w:line="400" w:lineRule="exact"/>
        <w:ind w:firstLine="420" w:firstLineChars="200"/>
        <w:outlineLvl w:val="1"/>
        <w:rPr>
          <w:rFonts w:hint="eastAsia" w:ascii="宋体" w:hAnsi="宋体" w:eastAsia="宋体" w:cs="宋体"/>
          <w:sz w:val="21"/>
          <w:szCs w:val="21"/>
        </w:rPr>
      </w:pPr>
      <w:bookmarkStart w:id="361" w:name="_Toc18579"/>
      <w:r>
        <w:rPr>
          <w:rFonts w:hint="eastAsia" w:ascii="宋体" w:hAnsi="宋体" w:eastAsia="宋体" w:cs="宋体"/>
          <w:sz w:val="21"/>
          <w:szCs w:val="21"/>
        </w:rPr>
        <w:t>第二条服务内容</w:t>
      </w:r>
      <w:bookmarkEnd w:id="361"/>
    </w:p>
    <w:p w14:paraId="1306B3B7">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single"/>
        </w:rPr>
        <w:t>凭祥市人民医院</w:t>
      </w:r>
      <w:r>
        <w:rPr>
          <w:rFonts w:hint="eastAsia" w:ascii="宋体" w:hAnsi="宋体" w:eastAsia="宋体" w:cs="宋体"/>
          <w:sz w:val="21"/>
          <w:szCs w:val="21"/>
        </w:rPr>
        <w:t>物业服务：</w:t>
      </w:r>
    </w:p>
    <w:p w14:paraId="27B7AED1">
      <w:pPr>
        <w:pStyle w:val="5"/>
        <w:spacing w:after="0" w:line="400" w:lineRule="exact"/>
        <w:ind w:left="547" w:leftChars="228"/>
        <w:rPr>
          <w:rFonts w:hint="eastAsia" w:ascii="宋体" w:hAnsi="宋体" w:eastAsia="宋体" w:cs="宋体"/>
          <w:sz w:val="21"/>
          <w:szCs w:val="21"/>
        </w:rPr>
      </w:pPr>
      <w:r>
        <w:rPr>
          <w:rFonts w:hint="eastAsia" w:ascii="宋体" w:hAnsi="宋体" w:eastAsia="宋体" w:cs="宋体"/>
          <w:sz w:val="21"/>
          <w:szCs w:val="21"/>
        </w:rPr>
        <w:t>（一）保洁服务范围：</w:t>
      </w:r>
    </w:p>
    <w:p w14:paraId="0E4EB6B6">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  综合门诊大楼1—6楼（包括楼顶及天面）。</w:t>
      </w:r>
    </w:p>
    <w:p w14:paraId="0DAA2713">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  外科住院大楼1-6楼（包括楼顶及天面）。</w:t>
      </w:r>
    </w:p>
    <w:p w14:paraId="44A1A1CF">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  污物暂存处。</w:t>
      </w:r>
    </w:p>
    <w:p w14:paraId="74A844D7">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1.4  一个停车棚及医院内环境。</w:t>
      </w:r>
    </w:p>
    <w:p w14:paraId="42D15380">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1.5  行政办公区：球场、食堂楼。</w:t>
      </w:r>
    </w:p>
    <w:p w14:paraId="0D6F285C">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  发热门诊、特发门诊、附属楼。</w:t>
      </w:r>
    </w:p>
    <w:p w14:paraId="036F4B13">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1.7  内科1-9楼及地下室。</w:t>
      </w:r>
    </w:p>
    <w:p w14:paraId="15DF75E5">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1.8  其他：整个医疗区建筑外所有场地，包括道路、停车场、公共场地、草坪、内外排水沟、楼道。各楼层外墙，院内公共卫生间和各卫生死角以及院内楼顶天面及院内搬运物资，科室物资领取、灯笼工作。</w:t>
      </w:r>
    </w:p>
    <w:p w14:paraId="4BD02B3C">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（三）消防、安保服务管理；</w:t>
      </w:r>
    </w:p>
    <w:p w14:paraId="0149EB61">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（详见服务需求）</w:t>
      </w:r>
    </w:p>
    <w:p w14:paraId="40BAEE4F">
      <w:pPr>
        <w:pStyle w:val="5"/>
        <w:spacing w:after="0" w:line="400" w:lineRule="exact"/>
        <w:ind w:firstLine="420" w:firstLineChars="200"/>
        <w:outlineLvl w:val="1"/>
        <w:rPr>
          <w:rFonts w:hint="eastAsia" w:ascii="宋体" w:hAnsi="宋体" w:eastAsia="宋体" w:cs="宋体"/>
          <w:sz w:val="21"/>
          <w:szCs w:val="21"/>
        </w:rPr>
      </w:pPr>
      <w:bookmarkStart w:id="362" w:name="_Toc8295"/>
      <w:r>
        <w:rPr>
          <w:rFonts w:hint="eastAsia" w:ascii="宋体" w:hAnsi="宋体" w:eastAsia="宋体" w:cs="宋体"/>
          <w:sz w:val="21"/>
          <w:szCs w:val="21"/>
        </w:rPr>
        <w:t>第三条合同期限</w:t>
      </w:r>
      <w:bookmarkEnd w:id="362"/>
    </w:p>
    <w:p w14:paraId="47449946">
      <w:pPr>
        <w:jc w:val="left"/>
        <w:rPr>
          <w:rFonts w:hint="eastAsia" w:ascii="宋体" w:hAnsi="宋体" w:eastAsia="宋体" w:cs="宋体"/>
          <w:sz w:val="21"/>
          <w:szCs w:val="21"/>
        </w:rPr>
      </w:pPr>
      <w:r>
        <w:rPr>
          <w:rFonts w:hint="eastAsia" w:ascii="宋体" w:hAnsi="宋体" w:eastAsia="宋体" w:cs="宋体"/>
          <w:sz w:val="21"/>
          <w:szCs w:val="21"/>
        </w:rPr>
        <w:t>1.自合同签订之日起20个工作日内须按采购文件要求安排所有工作人员进场提供服务。</w:t>
      </w:r>
    </w:p>
    <w:p w14:paraId="47CB84F9">
      <w:pPr>
        <w:pStyle w:val="2"/>
        <w:rPr>
          <w:rFonts w:hint="eastAsia" w:ascii="宋体" w:hAnsi="宋体" w:eastAsia="宋体" w:cs="宋体"/>
          <w:sz w:val="21"/>
          <w:szCs w:val="21"/>
        </w:rPr>
      </w:pPr>
      <w:r>
        <w:rPr>
          <w:rFonts w:hint="eastAsia" w:ascii="宋体" w:hAnsi="宋体" w:eastAsia="宋体" w:cs="宋体"/>
          <w:sz w:val="21"/>
          <w:szCs w:val="21"/>
        </w:rPr>
        <w:t>2. 自　　　年  月  日起至     年  月  日止，服务期限一年。</w:t>
      </w:r>
    </w:p>
    <w:p w14:paraId="22FBF5FC">
      <w:pPr>
        <w:pStyle w:val="5"/>
        <w:spacing w:after="0" w:line="400" w:lineRule="exact"/>
        <w:ind w:firstLine="420" w:firstLineChars="200"/>
        <w:outlineLvl w:val="1"/>
        <w:rPr>
          <w:rFonts w:hint="eastAsia" w:ascii="宋体" w:hAnsi="宋体" w:eastAsia="宋体" w:cs="宋体"/>
          <w:sz w:val="21"/>
          <w:szCs w:val="21"/>
        </w:rPr>
      </w:pPr>
      <w:bookmarkStart w:id="363" w:name="_Toc15581"/>
      <w:r>
        <w:rPr>
          <w:rFonts w:hint="eastAsia" w:ascii="宋体" w:hAnsi="宋体" w:eastAsia="宋体" w:cs="宋体"/>
          <w:sz w:val="21"/>
          <w:szCs w:val="21"/>
        </w:rPr>
        <w:t>第四条甲方的权利和义务</w:t>
      </w:r>
      <w:bookmarkEnd w:id="363"/>
    </w:p>
    <w:p w14:paraId="5C6C781F">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（一）审议乙方提交的物业服务方案及管理制度。</w:t>
      </w:r>
    </w:p>
    <w:p w14:paraId="5E303E56">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（二）审议乙方提出的物业服务年度计划。</w:t>
      </w:r>
    </w:p>
    <w:p w14:paraId="1F4A5048">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（三）监督并检查、考评、考核乙方管理服务工作的实施及制度的执行。</w:t>
      </w:r>
    </w:p>
    <w:p w14:paraId="7F4EFA31">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（四）本合同所指物业的建筑本体、设施、设备应达到国家及行业验收标准要求。</w:t>
      </w:r>
    </w:p>
    <w:p w14:paraId="7A0471F2">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w:t>
      </w:r>
      <w:r>
        <w:rPr>
          <w:rFonts w:hint="eastAsia" w:ascii="宋体" w:hAnsi="宋体" w:eastAsia="宋体" w:cs="宋体"/>
          <w:sz w:val="21"/>
          <w:szCs w:val="21"/>
          <w:u w:val="single"/>
        </w:rPr>
        <w:t>合同签订之后，甲方协调给乙方的物业管理服务中心无偿提供开展工作的物业管理用房，因工作需要留守值班的物业管理服务中心值班人员住宿由乙方自行负责（期限至合同履行期终止）。</w:t>
      </w:r>
    </w:p>
    <w:p w14:paraId="4B5BCDB1">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（六）负责处理非乙方管理原因而产生的各种纠纷和协调工作</w:t>
      </w:r>
    </w:p>
    <w:p w14:paraId="7DE6C70F">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（七）按合同规定支付乙方的物业管理费。</w:t>
      </w:r>
    </w:p>
    <w:p w14:paraId="1B867ECA">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（八）负责按合同约定应由甲方承担的相关费用支付给乙方。</w:t>
      </w:r>
    </w:p>
    <w:p w14:paraId="2977DE07">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（九）维护乙方的合法权利和地位，保障乙方正常开展工作，无正当理由不得向第三方提供管理资料。</w:t>
      </w:r>
    </w:p>
    <w:p w14:paraId="04FF4076">
      <w:pPr>
        <w:pStyle w:val="5"/>
        <w:spacing w:after="0" w:line="4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（十）甲方负责对乙方的服务工作进行月度考核，若月度考核得分连续三次低于90分的（非乙方原因除外），甲方有权单方终止合同，不负任何经济赔偿、补偿责任。</w:t>
      </w:r>
    </w:p>
    <w:p w14:paraId="2C1D2FA9">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（十一）乙方管理不善、严重违约，造成重大经济损失或重大责任事故的，甲方有权单方终止本合同，并有权要求乙方按照甲方的实际损失承担赔偿责任。</w:t>
      </w:r>
    </w:p>
    <w:p w14:paraId="08E15FA9">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（十二）因政府政策、决策变动等不可抗因素，致使合同无法履行的，甲方有权单方终止本合同，不负任何经济赔偿</w:t>
      </w:r>
      <w:r>
        <w:rPr>
          <w:rFonts w:hint="eastAsia" w:ascii="宋体" w:hAnsi="宋体" w:eastAsia="宋体" w:cs="宋体"/>
          <w:sz w:val="21"/>
          <w:szCs w:val="21"/>
          <w:u w:val="single"/>
        </w:rPr>
        <w:t>、补偿</w:t>
      </w:r>
      <w:r>
        <w:rPr>
          <w:rFonts w:hint="eastAsia" w:ascii="宋体" w:hAnsi="宋体" w:eastAsia="宋体" w:cs="宋体"/>
          <w:sz w:val="21"/>
          <w:szCs w:val="21"/>
        </w:rPr>
        <w:t>责任。</w:t>
      </w:r>
    </w:p>
    <w:p w14:paraId="33A1CC10">
      <w:pPr>
        <w:pStyle w:val="5"/>
        <w:spacing w:after="0" w:line="400" w:lineRule="exact"/>
        <w:ind w:firstLine="420" w:firstLineChars="200"/>
        <w:outlineLvl w:val="2"/>
        <w:rPr>
          <w:rFonts w:hint="eastAsia" w:ascii="宋体" w:hAnsi="宋体" w:eastAsia="宋体" w:cs="宋体"/>
          <w:sz w:val="21"/>
          <w:szCs w:val="21"/>
        </w:rPr>
      </w:pPr>
      <w:bookmarkStart w:id="364" w:name="_Toc28693"/>
      <w:r>
        <w:rPr>
          <w:rFonts w:hint="eastAsia" w:ascii="宋体" w:hAnsi="宋体" w:eastAsia="宋体" w:cs="宋体"/>
          <w:sz w:val="21"/>
          <w:szCs w:val="21"/>
        </w:rPr>
        <w:t>（十三）法规政策规定的其他权利和义务。</w:t>
      </w:r>
      <w:bookmarkEnd w:id="364"/>
    </w:p>
    <w:p w14:paraId="59AB0A34">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十四）如乙方工作人员一年内因服务态度不好等原因被投诉达5次，甲方有权要求乙方立即更换人员，在甲方指定的时间内不即时更换的，甲方有权要求乙方按照该工作人员的工资额向甲方支付违约金，违约金甲方可从未付的物业服务费直接扣除。</w:t>
      </w:r>
    </w:p>
    <w:p w14:paraId="6E5E0EA0">
      <w:pPr>
        <w:pStyle w:val="5"/>
        <w:spacing w:after="0" w:line="400" w:lineRule="exact"/>
        <w:ind w:firstLine="420" w:firstLineChars="200"/>
        <w:outlineLvl w:val="1"/>
        <w:rPr>
          <w:rFonts w:hint="eastAsia" w:ascii="宋体" w:hAnsi="宋体" w:eastAsia="宋体" w:cs="宋体"/>
          <w:sz w:val="21"/>
          <w:szCs w:val="21"/>
        </w:rPr>
      </w:pPr>
      <w:bookmarkStart w:id="365" w:name="_Toc8018"/>
      <w:r>
        <w:rPr>
          <w:rFonts w:hint="eastAsia" w:ascii="宋体" w:hAnsi="宋体" w:eastAsia="宋体" w:cs="宋体"/>
          <w:sz w:val="21"/>
          <w:szCs w:val="21"/>
        </w:rPr>
        <w:t>第五条乙方的权利和义务</w:t>
      </w:r>
      <w:bookmarkEnd w:id="365"/>
    </w:p>
    <w:p w14:paraId="76D6D9F1">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（一）依照有关规定和本合同约定，制定物业服务制度，对物业及其环境、秩序进行管理。在服务中有义务至少每半年1次向甲方书面报告房屋、设施设备需维修保养的事项。</w:t>
      </w:r>
    </w:p>
    <w:p w14:paraId="4DEC83BD">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（二）依照本合同约定向甲方收取物业服务费。</w:t>
      </w:r>
    </w:p>
    <w:p w14:paraId="7F9611FA">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（三）建立物业项目的管理档案。</w:t>
      </w:r>
    </w:p>
    <w:p w14:paraId="65AF6EE3">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（四）按《物业服务考核标准》和甲乙双方制定服务质量细化标准进行管理、检查与服务。</w:t>
      </w:r>
    </w:p>
    <w:p w14:paraId="40E764B3">
      <w:pPr>
        <w:widowControl/>
        <w:spacing w:line="40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（五）未经甲方书面同意乙方不得将物业项目整体或部分转让给其他物业服务企业管理，特种设备专项维保服务除外。</w:t>
      </w:r>
    </w:p>
    <w:p w14:paraId="67097643">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（六）负责编制物业的服务年度计划（含维修养护计划），经双方议定后，由乙方组织实施。</w:t>
      </w:r>
    </w:p>
    <w:p w14:paraId="6C1724C9">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（七）本合同终止时乙方必须向甲方移交全部借用的物品、管理用房及物业管理的全部档案资料。</w:t>
      </w:r>
    </w:p>
    <w:p w14:paraId="6A3FFC45">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（八）协助公安部门维护本物业管理区域内治安秩序、制止违法行为。</w:t>
      </w:r>
    </w:p>
    <w:p w14:paraId="34853E56">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九）因乙方管理不当导致甲方或其他第三方的人身、财产安全受到损害、设施设备损坏、工作受阻、环境污染或遭破坏等情况发生，情节较轻的，乙方承担赔偿责任并落实整改到位，情节严重的，乙方应当依法承担相应的法律责任及经济赔偿。</w:t>
      </w:r>
    </w:p>
    <w:p w14:paraId="4606C89A">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（十）有证据证明乙方管理人员进行如下物业管理活动时，对甲方造成的财产损失可不承担民事赔偿责任：</w:t>
      </w:r>
    </w:p>
    <w:p w14:paraId="6C67F8C7">
      <w:pPr>
        <w:pStyle w:val="5"/>
        <w:spacing w:after="0" w:line="400" w:lineRule="exact"/>
        <w:ind w:firstLine="420" w:firstLineChars="200"/>
        <w:outlineLvl w:val="2"/>
        <w:rPr>
          <w:rFonts w:hint="eastAsia" w:ascii="宋体" w:hAnsi="宋体" w:eastAsia="宋体" w:cs="宋体"/>
          <w:sz w:val="21"/>
          <w:szCs w:val="21"/>
        </w:rPr>
      </w:pPr>
      <w:bookmarkStart w:id="366" w:name="_Toc20188"/>
      <w:r>
        <w:rPr>
          <w:rFonts w:hint="eastAsia" w:ascii="宋体" w:hAnsi="宋体" w:eastAsia="宋体" w:cs="宋体"/>
          <w:sz w:val="21"/>
          <w:szCs w:val="21"/>
        </w:rPr>
        <w:t>1.为救助他人生命而造成的必要财产损失。</w:t>
      </w:r>
      <w:bookmarkEnd w:id="366"/>
    </w:p>
    <w:p w14:paraId="4C639981">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2.为避免甲方财产遭受较大损失或可能受损而造成的必要的财产损失。</w:t>
      </w:r>
    </w:p>
    <w:p w14:paraId="13D9B0B1">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3.为抓捕违法犯罪分子、制止不法侵害行为而造成的必要财产损失。</w:t>
      </w:r>
    </w:p>
    <w:p w14:paraId="7F457308">
      <w:pPr>
        <w:pStyle w:val="5"/>
        <w:spacing w:after="0" w:line="400" w:lineRule="exact"/>
        <w:ind w:firstLine="420" w:firstLineChars="200"/>
        <w:outlineLvl w:val="2"/>
        <w:rPr>
          <w:rFonts w:hint="eastAsia" w:ascii="宋体" w:hAnsi="宋体" w:eastAsia="宋体" w:cs="宋体"/>
          <w:sz w:val="21"/>
          <w:szCs w:val="21"/>
        </w:rPr>
      </w:pPr>
      <w:bookmarkStart w:id="367" w:name="_Toc174"/>
      <w:r>
        <w:rPr>
          <w:rFonts w:hint="eastAsia" w:ascii="宋体" w:hAnsi="宋体" w:eastAsia="宋体" w:cs="宋体"/>
          <w:sz w:val="21"/>
          <w:szCs w:val="21"/>
        </w:rPr>
        <w:t>4.其他类似紧急避险情形的。</w:t>
      </w:r>
      <w:bookmarkEnd w:id="367"/>
    </w:p>
    <w:p w14:paraId="70515F1D">
      <w:pPr>
        <w:widowControl/>
        <w:spacing w:line="400" w:lineRule="exact"/>
        <w:ind w:firstLine="420" w:firstLineChars="200"/>
        <w:jc w:val="left"/>
        <w:textAlignment w:val="baseline"/>
        <w:rPr>
          <w:rFonts w:hint="eastAsia" w:ascii="宋体" w:hAnsi="宋体" w:eastAsia="宋体" w:cs="宋体"/>
          <w:sz w:val="21"/>
          <w:szCs w:val="21"/>
          <w:u w:val="single"/>
        </w:rPr>
      </w:pPr>
      <w:r>
        <w:rPr>
          <w:rFonts w:hint="eastAsia" w:ascii="宋体" w:hAnsi="宋体" w:eastAsia="宋体" w:cs="宋体"/>
          <w:sz w:val="21"/>
          <w:szCs w:val="21"/>
          <w:u w:val="single"/>
        </w:rPr>
        <w:t>（十二）如乙方未经甲方书面批准擅自将经营场所或经营权转租转包、分包或变相转让、转租给他人，擅自更改经营场地内部结构的，视为乙方违约，甲方有权要求乙方支付5000-10000元的违约金，</w:t>
      </w:r>
      <w:r>
        <w:rPr>
          <w:rFonts w:hint="eastAsia" w:ascii="宋体" w:hAnsi="宋体" w:eastAsia="宋体" w:cs="宋体"/>
          <w:sz w:val="21"/>
          <w:szCs w:val="21"/>
        </w:rPr>
        <w:t>违约金甲方可从未付的物业服务费直接中扣除，</w:t>
      </w:r>
      <w:r>
        <w:rPr>
          <w:rFonts w:hint="eastAsia" w:ascii="宋体" w:hAnsi="宋体" w:eastAsia="宋体" w:cs="宋体"/>
          <w:sz w:val="21"/>
          <w:szCs w:val="21"/>
          <w:u w:val="single"/>
        </w:rPr>
        <w:t>情节特别严重的，甲方有权终止合同，并</w:t>
      </w:r>
      <w:r>
        <w:rPr>
          <w:rFonts w:hint="eastAsia" w:ascii="宋体" w:hAnsi="宋体" w:eastAsia="宋体" w:cs="宋体"/>
          <w:sz w:val="21"/>
          <w:szCs w:val="21"/>
        </w:rPr>
        <w:t>有权要求乙方按照甲方的实际损失承担赔偿责任</w:t>
      </w:r>
      <w:r>
        <w:rPr>
          <w:rFonts w:hint="eastAsia" w:ascii="宋体" w:hAnsi="宋体" w:eastAsia="宋体" w:cs="宋体"/>
          <w:sz w:val="21"/>
          <w:szCs w:val="21"/>
          <w:u w:val="single"/>
        </w:rPr>
        <w:t>。</w:t>
      </w:r>
    </w:p>
    <w:p w14:paraId="4D535D3F">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（十三）接受甲方的监督、检查、考评、考核和物业管理行政主管部门的监督指导。</w:t>
      </w:r>
    </w:p>
    <w:p w14:paraId="4910DCF9">
      <w:pPr>
        <w:pStyle w:val="5"/>
        <w:spacing w:after="0" w:line="4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十四）乙方须按照招标文件要求配备物业服务人员，建立健全聘用人员审查档案并报甲方备案。乙方应按时足额向配备物业服务人员发放的工资、缴纳社会保险费，乙方向物业服务人员发放的工资不得低于当地的最低工资标准，甲方有权核实。如乙方物业服务人员每月实际到岗人数不符合招标文件要求配备物业服务人员数量的，甲方有权以缺少的人员数量按照当地最低工资标准金额计算相应扣减当月的物业管理费。</w:t>
      </w:r>
    </w:p>
    <w:p w14:paraId="620AFBA8">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（十五）乙方必须严格遵守甲方有关规章制度，特别是保密安全制度，如因乙方管理不当造成泄密事件的按有关规定进行追责。</w:t>
      </w:r>
    </w:p>
    <w:p w14:paraId="0147349E">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（十六）乙方提供的服务质量须与投标文件和服务承诺相一致。</w:t>
      </w:r>
    </w:p>
    <w:p w14:paraId="6B2F9FC2">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（十七）完成甲方临时交办的物业服务合同约定内的其他服务工作。</w:t>
      </w:r>
    </w:p>
    <w:p w14:paraId="7DAB7BEB">
      <w:pPr>
        <w:pStyle w:val="5"/>
        <w:spacing w:after="0" w:line="400" w:lineRule="exact"/>
        <w:ind w:firstLine="420" w:firstLineChars="200"/>
        <w:outlineLvl w:val="1"/>
        <w:rPr>
          <w:rFonts w:hint="eastAsia" w:ascii="宋体" w:hAnsi="宋体" w:eastAsia="宋体" w:cs="宋体"/>
          <w:sz w:val="21"/>
          <w:szCs w:val="21"/>
        </w:rPr>
      </w:pPr>
      <w:bookmarkStart w:id="368" w:name="_Toc347"/>
      <w:r>
        <w:rPr>
          <w:rFonts w:hint="eastAsia" w:ascii="宋体" w:hAnsi="宋体" w:eastAsia="宋体" w:cs="宋体"/>
          <w:sz w:val="21"/>
          <w:szCs w:val="21"/>
        </w:rPr>
        <w:t>第六条考核标准</w:t>
      </w:r>
      <w:bookmarkEnd w:id="368"/>
    </w:p>
    <w:p w14:paraId="28BDD58A">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按照《物业服务考核标准》实施。</w:t>
      </w:r>
    </w:p>
    <w:p w14:paraId="3CA9E0B0">
      <w:pPr>
        <w:pStyle w:val="5"/>
        <w:spacing w:after="0" w:line="400" w:lineRule="exact"/>
        <w:ind w:firstLine="420" w:firstLineChars="200"/>
        <w:outlineLvl w:val="1"/>
        <w:rPr>
          <w:rFonts w:hint="eastAsia" w:ascii="宋体" w:hAnsi="宋体" w:eastAsia="宋体" w:cs="宋体"/>
          <w:sz w:val="21"/>
          <w:szCs w:val="21"/>
        </w:rPr>
      </w:pPr>
      <w:bookmarkStart w:id="369" w:name="_Toc30364"/>
      <w:r>
        <w:rPr>
          <w:rFonts w:hint="eastAsia" w:ascii="宋体" w:hAnsi="宋体" w:eastAsia="宋体" w:cs="宋体"/>
          <w:sz w:val="21"/>
          <w:szCs w:val="21"/>
        </w:rPr>
        <w:t>第七条服务费用及支付方式</w:t>
      </w:r>
      <w:bookmarkEnd w:id="369"/>
    </w:p>
    <w:p w14:paraId="0D32C054">
      <w:pPr>
        <w:widowControl/>
        <w:snapToGrid w:val="0"/>
        <w:spacing w:line="4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u w:val="single"/>
        </w:rPr>
        <w:t>　（一）物业服务费：人民币      万元整/年，小写￥    万元/年。合同总金额：     元整/1年（¥      ）含税价格。</w:t>
      </w:r>
    </w:p>
    <w:p w14:paraId="674862AC">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服务费用包含以下：</w:t>
      </w:r>
    </w:p>
    <w:p w14:paraId="6CB7ADB2">
      <w:pPr>
        <w:pStyle w:val="5"/>
        <w:spacing w:after="0" w:line="400" w:lineRule="exact"/>
        <w:ind w:firstLine="420" w:firstLineChars="200"/>
        <w:outlineLvl w:val="2"/>
        <w:rPr>
          <w:rFonts w:hint="eastAsia" w:ascii="宋体" w:hAnsi="宋体" w:eastAsia="宋体" w:cs="宋体"/>
          <w:sz w:val="21"/>
          <w:szCs w:val="21"/>
        </w:rPr>
      </w:pPr>
      <w:bookmarkStart w:id="370" w:name="_Toc17392"/>
      <w:r>
        <w:rPr>
          <w:rFonts w:hint="eastAsia" w:ascii="宋体" w:hAnsi="宋体" w:eastAsia="宋体" w:cs="宋体"/>
          <w:sz w:val="21"/>
          <w:szCs w:val="21"/>
        </w:rPr>
        <w:t>1.服务人员工资、福利、社保费、加班费、劳保费。</w:t>
      </w:r>
      <w:bookmarkEnd w:id="370"/>
    </w:p>
    <w:p w14:paraId="680C9068">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2.服务企业管理费、办公费（含服装、培训）、税费，工具、设备、耗材费、设备折旧费。</w:t>
      </w:r>
    </w:p>
    <w:p w14:paraId="1668668A">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3.室外绿化养护费用，包括绿化机械、绿化用油、绿化工具、农药、化肥、单项100元以下的绿化移植补种费用、单项100元以下的支撑加固费用。</w:t>
      </w:r>
    </w:p>
    <w:p w14:paraId="2A1A31D1">
      <w:pPr>
        <w:pStyle w:val="5"/>
        <w:spacing w:after="0" w:line="400" w:lineRule="exact"/>
        <w:ind w:firstLine="420" w:firstLineChars="200"/>
        <w:rPr>
          <w:rFonts w:hint="eastAsia" w:ascii="宋体" w:hAnsi="宋体" w:eastAsia="宋体" w:cs="宋体"/>
          <w:sz w:val="21"/>
          <w:szCs w:val="21"/>
        </w:rPr>
      </w:pPr>
    </w:p>
    <w:p w14:paraId="22B0870F">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4.保洁费，包括保洁工具费、四害消杀费用、化粪池清理费、公共卫生间耗材费（卫生纸、洗手液、消毒液、香薰）、生活用水水箱清洗及水质检测费。</w:t>
      </w:r>
    </w:p>
    <w:p w14:paraId="6EEA8A7A">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5.秩序维护费，包括防暴器材费、警戒带、锥筒、对讲机、巡逻车、服装费等执勤用品用具费用。</w:t>
      </w:r>
    </w:p>
    <w:p w14:paraId="5D332F88">
      <w:pPr>
        <w:pStyle w:val="5"/>
        <w:spacing w:after="0" w:line="400" w:lineRule="exact"/>
        <w:ind w:firstLine="420" w:firstLineChars="200"/>
        <w:outlineLvl w:val="0"/>
        <w:rPr>
          <w:rFonts w:hint="eastAsia" w:ascii="宋体" w:hAnsi="宋体" w:eastAsia="宋体" w:cs="宋体"/>
          <w:sz w:val="21"/>
          <w:szCs w:val="21"/>
        </w:rPr>
      </w:pPr>
      <w:bookmarkStart w:id="371" w:name="_Toc16079"/>
      <w:r>
        <w:rPr>
          <w:rFonts w:hint="eastAsia" w:ascii="宋体" w:hAnsi="宋体" w:eastAsia="宋体" w:cs="宋体"/>
          <w:sz w:val="21"/>
          <w:szCs w:val="21"/>
        </w:rPr>
        <w:t>（二）支付方式</w:t>
      </w:r>
      <w:bookmarkEnd w:id="371"/>
    </w:p>
    <w:p w14:paraId="02EDBA54">
      <w:pPr>
        <w:spacing w:before="227" w:line="459" w:lineRule="auto"/>
        <w:ind w:left="1" w:right="84" w:firstLine="419"/>
        <w:rPr>
          <w:rFonts w:hint="eastAsia" w:ascii="宋体" w:hAnsi="宋体" w:eastAsia="宋体" w:cs="宋体"/>
          <w:snapToGrid w:val="0"/>
          <w:kern w:val="0"/>
          <w:sz w:val="21"/>
          <w:szCs w:val="21"/>
          <w:highlight w:val="yellow"/>
        </w:rPr>
      </w:pPr>
      <w:r>
        <w:rPr>
          <w:rFonts w:hint="eastAsia" w:ascii="宋体" w:hAnsi="宋体" w:eastAsia="宋体" w:cs="宋体"/>
          <w:snapToGrid w:val="0"/>
          <w:kern w:val="0"/>
          <w:sz w:val="21"/>
          <w:szCs w:val="21"/>
        </w:rPr>
        <w:t>采用先服务后付款方式，合同签订后，合同年的物业服务费按月平均支付。由乙方在每月十日前向甲方提交上个月的物业服务费用申请并开具相应金额发票，甲方收到发票后的10个工作日内以银行转账方式支付物业服务费。在支付服务费用时甲方有权根据签订合同时的奖罚细则增减服务费用的支付。</w:t>
      </w:r>
    </w:p>
    <w:p w14:paraId="6DD404B4">
      <w:pPr>
        <w:widowControl/>
        <w:snapToGrid w:val="0"/>
        <w:spacing w:line="400" w:lineRule="exact"/>
        <w:ind w:firstLine="420" w:firstLineChars="200"/>
        <w:textAlignment w:val="baseline"/>
        <w:outlineLvl w:val="1"/>
        <w:rPr>
          <w:rFonts w:hint="eastAsia" w:ascii="宋体" w:hAnsi="宋体" w:eastAsia="宋体" w:cs="宋体"/>
          <w:sz w:val="21"/>
          <w:szCs w:val="21"/>
        </w:rPr>
      </w:pPr>
      <w:bookmarkStart w:id="372" w:name="_Toc22142"/>
      <w:r>
        <w:rPr>
          <w:rFonts w:hint="eastAsia" w:ascii="宋体" w:hAnsi="宋体" w:eastAsia="宋体" w:cs="宋体"/>
          <w:sz w:val="21"/>
          <w:szCs w:val="21"/>
        </w:rPr>
        <w:t>第八条违约责任</w:t>
      </w:r>
      <w:bookmarkEnd w:id="372"/>
    </w:p>
    <w:p w14:paraId="6F6A8750">
      <w:pPr>
        <w:pStyle w:val="5"/>
        <w:spacing w:after="0" w:line="40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（一）甲方违反合同第四条的约定，导致乙方未完成规定管理目标，乙方有权要求甲方解决，甲方在30个工作日内逾期未解决的，乙方有权终止合同。</w:t>
      </w:r>
    </w:p>
    <w:p w14:paraId="5DFAE9E7">
      <w:pPr>
        <w:pStyle w:val="5"/>
        <w:spacing w:after="0" w:line="40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（二）甲方违反本合同第七条约定（遇不可抗力或不可预见的客观原因除外），未按时按标准支付甲方应承担费用的，乙方有权要求甲方支付，从逾期之日起，每天按应交未交物业服务费的</w:t>
      </w:r>
      <w:r>
        <w:rPr>
          <w:rFonts w:hint="eastAsia" w:ascii="宋体" w:hAnsi="宋体" w:eastAsia="宋体" w:cs="宋体"/>
          <w:sz w:val="21"/>
          <w:szCs w:val="21"/>
        </w:rPr>
        <w:t xml:space="preserve"> 0.03%</w:t>
      </w:r>
      <w:r>
        <w:rPr>
          <w:rFonts w:hint="eastAsia" w:ascii="宋体" w:hAnsi="宋体" w:eastAsia="宋体" w:cs="宋体"/>
          <w:snapToGrid w:val="0"/>
          <w:kern w:val="0"/>
          <w:sz w:val="21"/>
          <w:szCs w:val="21"/>
        </w:rPr>
        <w:t>向乙方支付违约金，但最高不超过合同总金额的</w:t>
      </w:r>
      <w:r>
        <w:rPr>
          <w:rFonts w:hint="eastAsia" w:ascii="宋体" w:hAnsi="宋体" w:eastAsia="宋体" w:cs="宋体"/>
          <w:sz w:val="21"/>
          <w:szCs w:val="21"/>
        </w:rPr>
        <w:t>0.03%，</w:t>
      </w:r>
      <w:r>
        <w:rPr>
          <w:rFonts w:hint="eastAsia" w:ascii="宋体" w:hAnsi="宋体" w:eastAsia="宋体" w:cs="宋体"/>
          <w:snapToGrid w:val="0"/>
          <w:kern w:val="0"/>
          <w:sz w:val="21"/>
          <w:szCs w:val="21"/>
        </w:rPr>
        <w:t>逾期付款超过三个月的，乙方有权停止服务，由此造成乙方经济损失的，甲方应给予乙方经济赔偿，包括但不限于直接经济损失、乙方为维权而支出的律师费、诉讼费、调查取证费、保全费、鉴定费等各项费用。</w:t>
      </w:r>
    </w:p>
    <w:p w14:paraId="2175F470">
      <w:pPr>
        <w:pStyle w:val="5"/>
        <w:spacing w:after="0" w:line="40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（三）乙方违反本合同的约定，未能达到约定的管理目标，甲方有权要求乙方在</w:t>
      </w:r>
      <w:r>
        <w:rPr>
          <w:rFonts w:hint="eastAsia" w:ascii="宋体" w:hAnsi="宋体" w:eastAsia="宋体" w:cs="宋体"/>
          <w:sz w:val="21"/>
          <w:szCs w:val="21"/>
        </w:rPr>
        <w:t>5</w:t>
      </w:r>
      <w:r>
        <w:rPr>
          <w:rFonts w:hint="eastAsia" w:ascii="宋体" w:hAnsi="宋体" w:eastAsia="宋体" w:cs="宋体"/>
          <w:snapToGrid w:val="0"/>
          <w:kern w:val="0"/>
          <w:sz w:val="21"/>
          <w:szCs w:val="21"/>
        </w:rPr>
        <w:t>日内整改，逾期未整改或者整改后仍未达到要求的，甲方有权按《机关后勤服务社会化服务考核标准》考核扣分；造成甲方经济损失的，乙方应给予甲方经济赔偿，包括但不限于直接经济损失、甲方为维权而支出的律师费、诉讼费、调查取证费、保全费、鉴定费等各项费用。</w:t>
      </w:r>
    </w:p>
    <w:p w14:paraId="686B8873">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（四）甲方按月度按双方签订条款对乙方进行检查考核，对检查不达标的内容，要求乙方在规定的时间内完成整改，逾期不整改达标的则扣除相应分数和物业费。</w:t>
      </w:r>
    </w:p>
    <w:p w14:paraId="38F7ABCE">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（五）甲、乙任何一方无正当理由提前终止合同的，除应向对方一次性支付半个月物业服务费的违约金外，如给对方造成实际损失的承担相应的赔偿责任。</w:t>
      </w:r>
    </w:p>
    <w:p w14:paraId="24B5B74C">
      <w:pPr>
        <w:pStyle w:val="5"/>
        <w:spacing w:after="0" w:line="400" w:lineRule="exact"/>
        <w:ind w:firstLine="420" w:firstLineChars="200"/>
        <w:outlineLvl w:val="1"/>
        <w:rPr>
          <w:rFonts w:hint="eastAsia" w:ascii="宋体" w:hAnsi="宋体" w:eastAsia="宋体" w:cs="宋体"/>
          <w:sz w:val="21"/>
          <w:szCs w:val="21"/>
        </w:rPr>
      </w:pPr>
      <w:bookmarkStart w:id="373" w:name="_Toc19405"/>
      <w:r>
        <w:rPr>
          <w:rFonts w:hint="eastAsia" w:ascii="宋体" w:hAnsi="宋体" w:eastAsia="宋体" w:cs="宋体"/>
          <w:sz w:val="21"/>
          <w:szCs w:val="21"/>
        </w:rPr>
        <w:t>第九条质量纠纷的约定</w:t>
      </w:r>
      <w:bookmarkEnd w:id="373"/>
    </w:p>
    <w:p w14:paraId="2DEF4DD5">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因房屋建筑质量、设备设施质量或安装技术等原因，达不到使用功能，造成重大事故的，由甲方承担责任并作善后处理。产生质量事故的直接原因，以有资质的双方共同委托的第三方鉴定部门的鉴定为准。</w:t>
      </w:r>
    </w:p>
    <w:p w14:paraId="5FDFFF0B">
      <w:pPr>
        <w:pStyle w:val="5"/>
        <w:spacing w:after="0" w:line="400" w:lineRule="exact"/>
        <w:ind w:firstLine="420" w:firstLineChars="200"/>
        <w:outlineLvl w:val="1"/>
        <w:rPr>
          <w:rFonts w:hint="eastAsia" w:ascii="宋体" w:hAnsi="宋体" w:eastAsia="宋体" w:cs="宋体"/>
          <w:sz w:val="21"/>
          <w:szCs w:val="21"/>
        </w:rPr>
      </w:pPr>
      <w:bookmarkStart w:id="374" w:name="_Toc31996"/>
      <w:r>
        <w:rPr>
          <w:rFonts w:hint="eastAsia" w:ascii="宋体" w:hAnsi="宋体" w:eastAsia="宋体" w:cs="宋体"/>
          <w:sz w:val="21"/>
          <w:szCs w:val="21"/>
        </w:rPr>
        <w:t>第十条不可抗力的约定</w:t>
      </w:r>
      <w:bookmarkEnd w:id="374"/>
    </w:p>
    <w:p w14:paraId="13462385">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本合同执行期间，如遇不可抗力，致使合同无法履行时，双方应按有关法律规定及时协商处理。</w:t>
      </w:r>
    </w:p>
    <w:p w14:paraId="1C00DE72">
      <w:pPr>
        <w:pStyle w:val="5"/>
        <w:spacing w:after="0" w:line="400" w:lineRule="exact"/>
        <w:ind w:firstLine="420" w:firstLineChars="200"/>
        <w:outlineLvl w:val="1"/>
        <w:rPr>
          <w:rFonts w:hint="eastAsia" w:ascii="宋体" w:hAnsi="宋体" w:eastAsia="宋体" w:cs="宋体"/>
          <w:sz w:val="21"/>
          <w:szCs w:val="21"/>
        </w:rPr>
      </w:pPr>
      <w:bookmarkStart w:id="375" w:name="_Toc9096"/>
      <w:r>
        <w:rPr>
          <w:rFonts w:hint="eastAsia" w:ascii="宋体" w:hAnsi="宋体" w:eastAsia="宋体" w:cs="宋体"/>
          <w:sz w:val="21"/>
          <w:szCs w:val="21"/>
        </w:rPr>
        <w:t>第十一条争议处理</w:t>
      </w:r>
      <w:bookmarkEnd w:id="375"/>
    </w:p>
    <w:p w14:paraId="509A4710">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（一）本合同在履行中如发生争议，双方应协商解决或报请当地物业管理行政主管部门进行调解，协商或调解不成的，向甲方所在地有管辖权的人民法院提起诉讼。</w:t>
      </w:r>
    </w:p>
    <w:p w14:paraId="09FE0353">
      <w:pPr>
        <w:pStyle w:val="5"/>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（二）双方在履行本合同过程中，如任何一方违约，守约方为维护自身合法权益而产生一切费用(包括但不限于律师费、诉讼费、保全保险费、差旅费、鉴定费等)均由违约方承担。</w:t>
      </w:r>
    </w:p>
    <w:p w14:paraId="57E1F18C">
      <w:pPr>
        <w:pStyle w:val="5"/>
        <w:spacing w:after="0" w:line="400" w:lineRule="exact"/>
        <w:ind w:firstLine="420" w:firstLineChars="200"/>
        <w:outlineLvl w:val="1"/>
        <w:rPr>
          <w:rFonts w:hint="eastAsia" w:ascii="宋体" w:hAnsi="宋体" w:eastAsia="宋体" w:cs="宋体"/>
          <w:sz w:val="21"/>
          <w:szCs w:val="21"/>
        </w:rPr>
      </w:pPr>
      <w:bookmarkStart w:id="376" w:name="_Toc31047"/>
      <w:r>
        <w:rPr>
          <w:rFonts w:hint="eastAsia" w:ascii="宋体" w:hAnsi="宋体" w:eastAsia="宋体" w:cs="宋体"/>
          <w:sz w:val="21"/>
          <w:szCs w:val="21"/>
        </w:rPr>
        <w:t>第十二条合同附件</w:t>
      </w:r>
      <w:bookmarkEnd w:id="376"/>
    </w:p>
    <w:p w14:paraId="735BAFEF">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（一）双方可对本合同的条款进行补充，以书面形式签订补充合同，补充合同与本合同具有同等效力，补充合同与本合同不一致的，以签署在后的补充合同为准。</w:t>
      </w:r>
    </w:p>
    <w:p w14:paraId="7DF9D584">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（二）本合同附件及物业管理方案均为合同有效组成部分。本合同及其附件内空格部分填写的文字与印刷文字具有同等效力。</w:t>
      </w:r>
    </w:p>
    <w:p w14:paraId="65F5B70F">
      <w:pPr>
        <w:pStyle w:val="5"/>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（三）本合同及其附件和补充合同中未规定的事宜，均遵照国家、自治区和本市有关法律、法规和规章执行。</w:t>
      </w:r>
    </w:p>
    <w:p w14:paraId="23F6AFF3">
      <w:pPr>
        <w:pStyle w:val="5"/>
        <w:spacing w:after="0" w:line="400" w:lineRule="exact"/>
        <w:ind w:firstLine="420" w:firstLineChars="200"/>
        <w:outlineLvl w:val="1"/>
        <w:rPr>
          <w:rFonts w:hint="eastAsia" w:ascii="宋体" w:hAnsi="宋体" w:eastAsia="宋体" w:cs="宋体"/>
          <w:sz w:val="21"/>
          <w:szCs w:val="21"/>
        </w:rPr>
      </w:pPr>
      <w:bookmarkStart w:id="377" w:name="_Toc29910"/>
      <w:r>
        <w:rPr>
          <w:rFonts w:hint="eastAsia" w:ascii="宋体" w:hAnsi="宋体" w:eastAsia="宋体" w:cs="宋体"/>
          <w:sz w:val="21"/>
          <w:szCs w:val="21"/>
        </w:rPr>
        <w:t>第十三条其他约定事项</w:t>
      </w:r>
      <w:bookmarkEnd w:id="377"/>
    </w:p>
    <w:p w14:paraId="2875A5A6">
      <w:pPr>
        <w:pStyle w:val="5"/>
        <w:widowControl/>
        <w:kinsoku w:val="0"/>
        <w:autoSpaceDE w:val="0"/>
        <w:autoSpaceDN w:val="0"/>
        <w:adjustRightInd w:val="0"/>
        <w:snapToGrid w:val="0"/>
        <w:spacing w:after="0" w:line="44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（一）本合同一式肆份，具有同等法律效力，甲乙双方各执二份、采购代理机构、执一份。</w:t>
      </w:r>
    </w:p>
    <w:p w14:paraId="6A3B3B4B">
      <w:pPr>
        <w:pStyle w:val="5"/>
        <w:widowControl/>
        <w:kinsoku w:val="0"/>
        <w:autoSpaceDE w:val="0"/>
        <w:autoSpaceDN w:val="0"/>
        <w:adjustRightInd w:val="0"/>
        <w:snapToGrid w:val="0"/>
        <w:spacing w:after="0" w:line="44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u w:val="single"/>
        </w:rPr>
        <w:t>（二）每年年终物业平均考核评分低于90分，甲方有权单方面解除合同，且无须承担违约责任。</w:t>
      </w:r>
    </w:p>
    <w:p w14:paraId="04C356C0">
      <w:pPr>
        <w:pStyle w:val="5"/>
        <w:widowControl/>
        <w:kinsoku w:val="0"/>
        <w:autoSpaceDE w:val="0"/>
        <w:autoSpaceDN w:val="0"/>
        <w:adjustRightInd w:val="0"/>
        <w:snapToGrid w:val="0"/>
        <w:spacing w:after="0" w:line="440" w:lineRule="exact"/>
        <w:ind w:firstLine="420" w:firstLineChars="200"/>
        <w:textAlignment w:val="baseline"/>
        <w:outlineLvl w:val="1"/>
        <w:rPr>
          <w:rFonts w:hint="eastAsia" w:ascii="宋体" w:hAnsi="宋体" w:eastAsia="宋体" w:cs="宋体"/>
          <w:sz w:val="21"/>
          <w:szCs w:val="21"/>
        </w:rPr>
      </w:pPr>
      <w:bookmarkStart w:id="378" w:name="_Toc16630"/>
      <w:r>
        <w:rPr>
          <w:rFonts w:hint="eastAsia" w:ascii="宋体" w:hAnsi="宋体" w:eastAsia="宋体" w:cs="宋体"/>
          <w:sz w:val="21"/>
          <w:szCs w:val="21"/>
        </w:rPr>
        <w:t>第十四条合同责任及生效</w:t>
      </w:r>
      <w:bookmarkEnd w:id="378"/>
    </w:p>
    <w:p w14:paraId="2929A69B">
      <w:pPr>
        <w:pStyle w:val="5"/>
        <w:widowControl/>
        <w:kinsoku w:val="0"/>
        <w:autoSpaceDE w:val="0"/>
        <w:autoSpaceDN w:val="0"/>
        <w:adjustRightInd w:val="0"/>
        <w:snapToGrid w:val="0"/>
        <w:spacing w:after="0" w:line="44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（一）乙方提供服务的受益人为本物业的甲方及使用人，甲方及使用人应对履行本合同承担责任。</w:t>
      </w:r>
    </w:p>
    <w:p w14:paraId="09F94EAE">
      <w:pPr>
        <w:pStyle w:val="5"/>
        <w:widowControl/>
        <w:kinsoku w:val="0"/>
        <w:autoSpaceDE w:val="0"/>
        <w:autoSpaceDN w:val="0"/>
        <w:adjustRightInd w:val="0"/>
        <w:snapToGrid w:val="0"/>
        <w:spacing w:after="0" w:line="440" w:lineRule="exact"/>
        <w:ind w:firstLine="420" w:firstLineChars="200"/>
        <w:textAlignment w:val="baseline"/>
        <w:rPr>
          <w:rFonts w:hint="eastAsia" w:ascii="宋体" w:hAnsi="宋体" w:eastAsia="宋体" w:cs="宋体"/>
          <w:spacing w:val="-17"/>
          <w:sz w:val="21"/>
          <w:szCs w:val="21"/>
        </w:rPr>
      </w:pPr>
      <w:r>
        <w:rPr>
          <w:rFonts w:hint="eastAsia" w:ascii="宋体" w:hAnsi="宋体" w:eastAsia="宋体" w:cs="宋体"/>
          <w:sz w:val="21"/>
          <w:szCs w:val="21"/>
        </w:rPr>
        <w:t>（二）本合同自甲乙双方法定代表人或授权代表签字并加盖单位公章之日起生效。（授权代表在签署协议时，应当将授权委托书、身份证明文件以及身份证原件核对身份证复印件附做协议附件）</w:t>
      </w:r>
    </w:p>
    <w:p w14:paraId="58D8BC64">
      <w:pPr>
        <w:pStyle w:val="5"/>
        <w:widowControl/>
        <w:kinsoku w:val="0"/>
        <w:autoSpaceDE w:val="0"/>
        <w:autoSpaceDN w:val="0"/>
        <w:adjustRightInd w:val="0"/>
        <w:snapToGrid w:val="0"/>
        <w:spacing w:after="0" w:line="440" w:lineRule="exact"/>
        <w:ind w:firstLine="420" w:firstLineChars="200"/>
        <w:textAlignment w:val="baseline"/>
        <w:outlineLvl w:val="2"/>
        <w:rPr>
          <w:rFonts w:hint="eastAsia" w:ascii="宋体" w:hAnsi="宋体" w:eastAsia="宋体" w:cs="宋体"/>
          <w:sz w:val="21"/>
          <w:szCs w:val="21"/>
        </w:rPr>
      </w:pPr>
      <w:bookmarkStart w:id="379" w:name="_Toc16543"/>
      <w:r>
        <w:rPr>
          <w:rFonts w:hint="eastAsia" w:ascii="宋体" w:hAnsi="宋体" w:eastAsia="宋体" w:cs="宋体"/>
          <w:sz w:val="21"/>
          <w:szCs w:val="21"/>
        </w:rPr>
        <w:t>（三）合同期满本合同即终止。</w:t>
      </w:r>
      <w:bookmarkEnd w:id="379"/>
    </w:p>
    <w:p w14:paraId="7FFEDF16">
      <w:pPr>
        <w:pStyle w:val="5"/>
        <w:widowControl/>
        <w:kinsoku w:val="0"/>
        <w:autoSpaceDE w:val="0"/>
        <w:autoSpaceDN w:val="0"/>
        <w:adjustRightInd w:val="0"/>
        <w:snapToGrid w:val="0"/>
        <w:spacing w:after="0" w:line="44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（四）如因乙方原因，在一年内被服务对象投诉达3次的，甲方有权要求乙方在3日内整改，逾期未整改或者整改后仍未达到要求的，甲方有权单方解除本合同。</w:t>
      </w:r>
    </w:p>
    <w:p w14:paraId="3AEB3BDB">
      <w:pPr>
        <w:pStyle w:val="5"/>
        <w:widowControl/>
        <w:kinsoku w:val="0"/>
        <w:autoSpaceDE w:val="0"/>
        <w:autoSpaceDN w:val="0"/>
        <w:adjustRightInd w:val="0"/>
        <w:snapToGrid w:val="0"/>
        <w:spacing w:after="0" w:line="440" w:lineRule="exact"/>
        <w:ind w:firstLine="420" w:firstLineChars="200"/>
        <w:textAlignment w:val="baseline"/>
        <w:outlineLvl w:val="1"/>
        <w:rPr>
          <w:rFonts w:hint="eastAsia" w:ascii="宋体" w:hAnsi="宋体" w:eastAsia="宋体" w:cs="宋体"/>
          <w:sz w:val="21"/>
          <w:szCs w:val="21"/>
        </w:rPr>
      </w:pPr>
      <w:bookmarkStart w:id="380" w:name="_Toc29756"/>
      <w:r>
        <w:rPr>
          <w:rFonts w:hint="eastAsia" w:ascii="宋体" w:hAnsi="宋体" w:eastAsia="宋体" w:cs="宋体"/>
          <w:sz w:val="21"/>
          <w:szCs w:val="21"/>
        </w:rPr>
        <w:t>第十五条 送达条款</w:t>
      </w:r>
      <w:bookmarkEnd w:id="380"/>
    </w:p>
    <w:p w14:paraId="07916FB5">
      <w:pPr>
        <w:pStyle w:val="5"/>
        <w:widowControl/>
        <w:kinsoku w:val="0"/>
        <w:autoSpaceDE w:val="0"/>
        <w:autoSpaceDN w:val="0"/>
        <w:adjustRightInd w:val="0"/>
        <w:snapToGrid w:val="0"/>
        <w:spacing w:after="0" w:line="44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本合同内的所载明的地址、联系人及电子通信终端均为双方工作联系往来文书、争议解决时人民法院的法律文书送达地址，双方工作联系往来文书、法律文书向任何一方当事人于本合同中约定的送达地址或工商登记公示地址、电子通信终端、联系人送达的，书面文件以签收之日或拒收、退回之日起第三日视为有效送达，电子文件、传真发出即视为有效送达。</w:t>
      </w:r>
    </w:p>
    <w:p w14:paraId="4E43745C">
      <w:pPr>
        <w:pStyle w:val="5"/>
        <w:widowControl/>
        <w:kinsoku w:val="0"/>
        <w:autoSpaceDE w:val="0"/>
        <w:autoSpaceDN w:val="0"/>
        <w:adjustRightInd w:val="0"/>
        <w:snapToGrid w:val="0"/>
        <w:spacing w:after="0" w:line="44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合同双方同意电子送达。若任何一方变更本合同中约定联系方式的，应在变更之日起三个工作日内通知对方，对方当事人在收到变更通知前的送达仍为有效送达。</w:t>
      </w:r>
    </w:p>
    <w:p w14:paraId="436857F5">
      <w:pPr>
        <w:pStyle w:val="5"/>
        <w:widowControl/>
        <w:kinsoku w:val="0"/>
        <w:autoSpaceDE w:val="0"/>
        <w:autoSpaceDN w:val="0"/>
        <w:adjustRightInd w:val="0"/>
        <w:snapToGrid w:val="0"/>
        <w:spacing w:after="0" w:line="44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本合同送达条款与争议解决条款均为独立条款，不受合同整体或其他条款的效力影响。</w:t>
      </w:r>
    </w:p>
    <w:p w14:paraId="409F12E7">
      <w:pPr>
        <w:pStyle w:val="5"/>
        <w:widowControl/>
        <w:kinsoku w:val="0"/>
        <w:autoSpaceDE w:val="0"/>
        <w:autoSpaceDN w:val="0"/>
        <w:adjustRightInd w:val="0"/>
        <w:snapToGrid w:val="0"/>
        <w:spacing w:after="0" w:line="440" w:lineRule="exact"/>
        <w:textAlignment w:val="baseline"/>
        <w:rPr>
          <w:rFonts w:hint="eastAsia" w:ascii="宋体" w:hAnsi="宋体" w:eastAsia="宋体" w:cs="宋体"/>
          <w:sz w:val="21"/>
          <w:szCs w:val="21"/>
        </w:rPr>
      </w:pPr>
    </w:p>
    <w:p w14:paraId="4FCA8205">
      <w:pPr>
        <w:pStyle w:val="5"/>
        <w:widowControl/>
        <w:kinsoku w:val="0"/>
        <w:autoSpaceDE w:val="0"/>
        <w:autoSpaceDN w:val="0"/>
        <w:adjustRightInd w:val="0"/>
        <w:snapToGrid w:val="0"/>
        <w:spacing w:after="0" w:line="44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附件：1.服务工作要求</w:t>
      </w:r>
    </w:p>
    <w:p w14:paraId="0553D67D">
      <w:pPr>
        <w:pStyle w:val="5"/>
        <w:widowControl/>
        <w:kinsoku w:val="0"/>
        <w:autoSpaceDE w:val="0"/>
        <w:autoSpaceDN w:val="0"/>
        <w:adjustRightInd w:val="0"/>
        <w:snapToGrid w:val="0"/>
        <w:spacing w:after="0" w:line="440" w:lineRule="exact"/>
        <w:ind w:firstLine="1050" w:firstLineChars="500"/>
        <w:textAlignment w:val="baseline"/>
        <w:rPr>
          <w:rFonts w:hint="eastAsia" w:ascii="宋体" w:hAnsi="宋体" w:eastAsia="宋体" w:cs="宋体"/>
          <w:sz w:val="21"/>
          <w:szCs w:val="21"/>
        </w:rPr>
      </w:pPr>
      <w:r>
        <w:rPr>
          <w:rFonts w:hint="eastAsia" w:ascii="宋体" w:hAnsi="宋体" w:eastAsia="宋体" w:cs="宋体"/>
          <w:sz w:val="21"/>
          <w:szCs w:val="21"/>
        </w:rPr>
        <w:t>2.物业服务考核标准</w:t>
      </w:r>
    </w:p>
    <w:p w14:paraId="71C92D32">
      <w:pPr>
        <w:pStyle w:val="5"/>
        <w:widowControl/>
        <w:kinsoku w:val="0"/>
        <w:autoSpaceDE w:val="0"/>
        <w:autoSpaceDN w:val="0"/>
        <w:adjustRightInd w:val="0"/>
        <w:snapToGrid w:val="0"/>
        <w:spacing w:after="0" w:line="440" w:lineRule="exact"/>
        <w:ind w:firstLine="1050" w:firstLineChars="500"/>
        <w:textAlignment w:val="baseline"/>
        <w:rPr>
          <w:rFonts w:hint="eastAsia" w:ascii="宋体" w:hAnsi="宋体" w:eastAsia="宋体" w:cs="宋体"/>
          <w:sz w:val="21"/>
          <w:szCs w:val="21"/>
        </w:rPr>
      </w:pPr>
      <w:r>
        <w:rPr>
          <w:rFonts w:hint="eastAsia" w:ascii="宋体" w:hAnsi="宋体" w:eastAsia="宋体" w:cs="宋体"/>
          <w:sz w:val="21"/>
          <w:szCs w:val="21"/>
        </w:rPr>
        <w:t>3.工作整改通知书</w:t>
      </w:r>
    </w:p>
    <w:p w14:paraId="1B0B502B">
      <w:pPr>
        <w:pStyle w:val="5"/>
        <w:widowControl/>
        <w:kinsoku w:val="0"/>
        <w:autoSpaceDE w:val="0"/>
        <w:autoSpaceDN w:val="0"/>
        <w:adjustRightInd w:val="0"/>
        <w:snapToGrid w:val="0"/>
        <w:spacing w:after="0" w:line="440" w:lineRule="exact"/>
        <w:ind w:firstLine="1050" w:firstLineChars="500"/>
        <w:textAlignment w:val="baseline"/>
        <w:rPr>
          <w:rFonts w:hint="eastAsia" w:ascii="宋体" w:hAnsi="宋体" w:eastAsia="宋体" w:cs="宋体"/>
          <w:sz w:val="21"/>
          <w:szCs w:val="21"/>
        </w:rPr>
      </w:pPr>
      <w:r>
        <w:rPr>
          <w:rFonts w:hint="eastAsia" w:ascii="宋体" w:hAnsi="宋体" w:eastAsia="宋体" w:cs="宋体"/>
          <w:sz w:val="21"/>
          <w:szCs w:val="21"/>
        </w:rPr>
        <w:t>4.月度物业检查记录表</w:t>
      </w:r>
    </w:p>
    <w:p w14:paraId="3AF7BAA3">
      <w:pPr>
        <w:rPr>
          <w:rFonts w:hint="eastAsia" w:ascii="宋体" w:hAnsi="宋体" w:eastAsia="宋体" w:cs="宋体"/>
          <w:sz w:val="21"/>
          <w:szCs w:val="21"/>
        </w:rPr>
      </w:pPr>
    </w:p>
    <w:p w14:paraId="51C9FB69">
      <w:pPr>
        <w:pStyle w:val="5"/>
        <w:spacing w:after="0" w:line="400" w:lineRule="exact"/>
        <w:rPr>
          <w:rFonts w:hint="eastAsia" w:ascii="宋体" w:hAnsi="宋体" w:eastAsia="宋体" w:cs="宋体"/>
          <w:sz w:val="21"/>
          <w:szCs w:val="21"/>
        </w:rPr>
      </w:pPr>
    </w:p>
    <w:tbl>
      <w:tblPr>
        <w:tblStyle w:val="14"/>
        <w:tblW w:w="953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8"/>
        <w:gridCol w:w="4702"/>
      </w:tblGrid>
      <w:tr w14:paraId="222D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4828" w:type="dxa"/>
            <w:noWrap w:val="0"/>
            <w:vAlign w:val="top"/>
          </w:tcPr>
          <w:p w14:paraId="0ACE0555">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甲方：凭祥市人民医院</w:t>
            </w:r>
          </w:p>
          <w:p w14:paraId="2887BE10">
            <w:pPr>
              <w:spacing w:line="500" w:lineRule="exact"/>
              <w:rPr>
                <w:rFonts w:hint="eastAsia" w:ascii="宋体" w:hAnsi="宋体" w:eastAsia="宋体" w:cs="宋体"/>
                <w:sz w:val="21"/>
                <w:szCs w:val="21"/>
              </w:rPr>
            </w:pPr>
          </w:p>
          <w:p w14:paraId="7CAC1EEE">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年   月</w:t>
            </w:r>
            <w:r>
              <w:rPr>
                <w:rFonts w:hint="eastAsia" w:ascii="宋体" w:hAnsi="宋体" w:eastAsia="宋体" w:cs="宋体"/>
                <w:sz w:val="21"/>
                <w:szCs w:val="21"/>
              </w:rPr>
              <w:tab/>
            </w:r>
            <w:r>
              <w:rPr>
                <w:rFonts w:hint="eastAsia" w:ascii="宋体" w:hAnsi="宋体" w:eastAsia="宋体" w:cs="宋体"/>
                <w:sz w:val="21"/>
                <w:szCs w:val="21"/>
              </w:rPr>
              <w:t xml:space="preserve">  日</w:t>
            </w:r>
          </w:p>
        </w:tc>
        <w:tc>
          <w:tcPr>
            <w:tcW w:w="4702" w:type="dxa"/>
            <w:noWrap w:val="0"/>
            <w:vAlign w:val="top"/>
          </w:tcPr>
          <w:p w14:paraId="53B95FFC">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乙方：</w:t>
            </w:r>
          </w:p>
          <w:p w14:paraId="2A030E7B">
            <w:pPr>
              <w:spacing w:line="500" w:lineRule="exact"/>
              <w:rPr>
                <w:rFonts w:hint="eastAsia" w:ascii="宋体" w:hAnsi="宋体" w:eastAsia="宋体" w:cs="宋体"/>
                <w:sz w:val="21"/>
                <w:szCs w:val="21"/>
              </w:rPr>
            </w:pPr>
          </w:p>
          <w:p w14:paraId="4823147C">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年   月   日</w:t>
            </w:r>
          </w:p>
        </w:tc>
      </w:tr>
      <w:tr w14:paraId="7F61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828" w:type="dxa"/>
            <w:noWrap w:val="0"/>
            <w:vAlign w:val="top"/>
          </w:tcPr>
          <w:p w14:paraId="75EAFFD5">
            <w:pPr>
              <w:spacing w:line="500" w:lineRule="exact"/>
              <w:rPr>
                <w:rFonts w:hint="eastAsia" w:ascii="宋体" w:hAnsi="宋体" w:eastAsia="宋体" w:cs="宋体"/>
                <w:sz w:val="21"/>
                <w:szCs w:val="21"/>
              </w:rPr>
            </w:pPr>
            <w:r>
              <w:rPr>
                <w:rFonts w:hint="eastAsia" w:ascii="宋体" w:hAnsi="宋体" w:eastAsia="宋体" w:cs="宋体"/>
                <w:sz w:val="21"/>
                <w:szCs w:val="21"/>
              </w:rPr>
              <w:t>统一社会信用代码：</w:t>
            </w:r>
          </w:p>
        </w:tc>
        <w:tc>
          <w:tcPr>
            <w:tcW w:w="4702" w:type="dxa"/>
            <w:noWrap w:val="0"/>
            <w:vAlign w:val="top"/>
          </w:tcPr>
          <w:p w14:paraId="54C73016">
            <w:pPr>
              <w:spacing w:line="500" w:lineRule="exact"/>
              <w:rPr>
                <w:rFonts w:hint="eastAsia" w:ascii="宋体" w:hAnsi="宋体" w:eastAsia="宋体" w:cs="宋体"/>
                <w:sz w:val="21"/>
                <w:szCs w:val="21"/>
              </w:rPr>
            </w:pPr>
            <w:r>
              <w:rPr>
                <w:rFonts w:hint="eastAsia" w:ascii="宋体" w:hAnsi="宋体" w:eastAsia="宋体" w:cs="宋体"/>
                <w:sz w:val="21"/>
                <w:szCs w:val="21"/>
              </w:rPr>
              <w:t>统一社会信用代码：</w:t>
            </w:r>
          </w:p>
        </w:tc>
      </w:tr>
      <w:tr w14:paraId="624C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4828" w:type="dxa"/>
            <w:noWrap w:val="0"/>
            <w:vAlign w:val="top"/>
          </w:tcPr>
          <w:p w14:paraId="6C7F1AD3">
            <w:pPr>
              <w:spacing w:line="500" w:lineRule="exact"/>
              <w:rPr>
                <w:rFonts w:hint="eastAsia" w:ascii="宋体" w:hAnsi="宋体" w:eastAsia="宋体" w:cs="宋体"/>
                <w:sz w:val="21"/>
                <w:szCs w:val="21"/>
              </w:rPr>
            </w:pPr>
            <w:r>
              <w:rPr>
                <w:rFonts w:hint="eastAsia" w:ascii="宋体" w:hAnsi="宋体" w:eastAsia="宋体" w:cs="宋体"/>
                <w:sz w:val="21"/>
                <w:szCs w:val="21"/>
              </w:rPr>
              <w:t>单位地址：</w:t>
            </w:r>
          </w:p>
        </w:tc>
        <w:tc>
          <w:tcPr>
            <w:tcW w:w="4702" w:type="dxa"/>
            <w:noWrap w:val="0"/>
            <w:vAlign w:val="top"/>
          </w:tcPr>
          <w:p w14:paraId="1C7CEF84">
            <w:pPr>
              <w:spacing w:line="500" w:lineRule="exact"/>
              <w:rPr>
                <w:rFonts w:hint="eastAsia" w:ascii="宋体" w:hAnsi="宋体" w:eastAsia="宋体" w:cs="宋体"/>
                <w:sz w:val="21"/>
                <w:szCs w:val="21"/>
              </w:rPr>
            </w:pPr>
            <w:r>
              <w:rPr>
                <w:rFonts w:hint="eastAsia" w:ascii="宋体" w:hAnsi="宋体" w:eastAsia="宋体" w:cs="宋体"/>
                <w:sz w:val="21"/>
                <w:szCs w:val="21"/>
              </w:rPr>
              <w:t>单位地址：</w:t>
            </w:r>
          </w:p>
        </w:tc>
      </w:tr>
      <w:tr w14:paraId="3A3E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828" w:type="dxa"/>
            <w:noWrap w:val="0"/>
            <w:vAlign w:val="top"/>
          </w:tcPr>
          <w:p w14:paraId="6CFB85E1">
            <w:pPr>
              <w:spacing w:line="500" w:lineRule="exact"/>
              <w:rPr>
                <w:rFonts w:hint="eastAsia" w:ascii="宋体" w:hAnsi="宋体" w:eastAsia="宋体" w:cs="宋体"/>
                <w:sz w:val="21"/>
                <w:szCs w:val="21"/>
              </w:rPr>
            </w:pPr>
            <w:r>
              <w:rPr>
                <w:rFonts w:hint="eastAsia" w:ascii="宋体" w:hAnsi="宋体" w:eastAsia="宋体" w:cs="宋体"/>
                <w:sz w:val="21"/>
                <w:szCs w:val="21"/>
              </w:rPr>
              <w:t>法定代表人：</w:t>
            </w:r>
          </w:p>
          <w:p w14:paraId="08414F41">
            <w:pPr>
              <w:spacing w:line="500" w:lineRule="exact"/>
              <w:rPr>
                <w:rFonts w:hint="eastAsia" w:ascii="宋体" w:hAnsi="宋体" w:eastAsia="宋体" w:cs="宋体"/>
                <w:sz w:val="21"/>
                <w:szCs w:val="21"/>
              </w:rPr>
            </w:pPr>
          </w:p>
        </w:tc>
        <w:tc>
          <w:tcPr>
            <w:tcW w:w="4702" w:type="dxa"/>
            <w:noWrap w:val="0"/>
            <w:vAlign w:val="top"/>
          </w:tcPr>
          <w:p w14:paraId="72652B40">
            <w:pPr>
              <w:spacing w:line="500" w:lineRule="exact"/>
              <w:rPr>
                <w:rFonts w:hint="eastAsia" w:ascii="宋体" w:hAnsi="宋体" w:eastAsia="宋体" w:cs="宋体"/>
                <w:sz w:val="21"/>
                <w:szCs w:val="21"/>
              </w:rPr>
            </w:pPr>
            <w:r>
              <w:rPr>
                <w:rFonts w:hint="eastAsia" w:ascii="宋体" w:hAnsi="宋体" w:eastAsia="宋体" w:cs="宋体"/>
                <w:sz w:val="21"/>
                <w:szCs w:val="21"/>
              </w:rPr>
              <w:t>法定代表人：</w:t>
            </w:r>
          </w:p>
          <w:p w14:paraId="13F83F33">
            <w:pPr>
              <w:spacing w:line="500" w:lineRule="exact"/>
              <w:rPr>
                <w:rFonts w:hint="eastAsia" w:ascii="宋体" w:hAnsi="宋体" w:eastAsia="宋体" w:cs="宋体"/>
                <w:sz w:val="21"/>
                <w:szCs w:val="21"/>
              </w:rPr>
            </w:pPr>
          </w:p>
        </w:tc>
      </w:tr>
      <w:tr w14:paraId="0B51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828" w:type="dxa"/>
            <w:noWrap w:val="0"/>
            <w:vAlign w:val="top"/>
          </w:tcPr>
          <w:p w14:paraId="6790DBAF">
            <w:pPr>
              <w:spacing w:line="500" w:lineRule="exact"/>
              <w:rPr>
                <w:rFonts w:hint="eastAsia" w:ascii="宋体" w:hAnsi="宋体" w:eastAsia="宋体" w:cs="宋体"/>
                <w:sz w:val="21"/>
                <w:szCs w:val="21"/>
              </w:rPr>
            </w:pPr>
            <w:r>
              <w:rPr>
                <w:rFonts w:hint="eastAsia" w:ascii="宋体" w:hAnsi="宋体" w:eastAsia="宋体" w:cs="宋体"/>
                <w:sz w:val="21"/>
                <w:szCs w:val="21"/>
              </w:rPr>
              <w:t>委托代理人：</w:t>
            </w:r>
          </w:p>
        </w:tc>
        <w:tc>
          <w:tcPr>
            <w:tcW w:w="4702" w:type="dxa"/>
            <w:noWrap w:val="0"/>
            <w:vAlign w:val="top"/>
          </w:tcPr>
          <w:p w14:paraId="1CCECEB1">
            <w:pPr>
              <w:spacing w:line="500" w:lineRule="exact"/>
              <w:rPr>
                <w:rFonts w:hint="eastAsia" w:ascii="宋体" w:hAnsi="宋体" w:eastAsia="宋体" w:cs="宋体"/>
                <w:sz w:val="21"/>
                <w:szCs w:val="21"/>
              </w:rPr>
            </w:pPr>
            <w:r>
              <w:rPr>
                <w:rFonts w:hint="eastAsia" w:ascii="宋体" w:hAnsi="宋体" w:eastAsia="宋体" w:cs="宋体"/>
                <w:sz w:val="21"/>
                <w:szCs w:val="21"/>
              </w:rPr>
              <w:t>委托代理人：</w:t>
            </w:r>
          </w:p>
        </w:tc>
      </w:tr>
      <w:tr w14:paraId="31CB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828" w:type="dxa"/>
            <w:noWrap w:val="0"/>
            <w:vAlign w:val="top"/>
          </w:tcPr>
          <w:p w14:paraId="35D68CEF">
            <w:pPr>
              <w:spacing w:line="500" w:lineRule="exact"/>
              <w:rPr>
                <w:rFonts w:hint="eastAsia" w:ascii="宋体" w:hAnsi="宋体" w:eastAsia="宋体" w:cs="宋体"/>
                <w:sz w:val="21"/>
                <w:szCs w:val="21"/>
              </w:rPr>
            </w:pPr>
            <w:r>
              <w:rPr>
                <w:rFonts w:hint="eastAsia" w:ascii="宋体" w:hAnsi="宋体" w:eastAsia="宋体" w:cs="宋体"/>
                <w:sz w:val="21"/>
                <w:szCs w:val="21"/>
              </w:rPr>
              <w:t>电话：</w:t>
            </w:r>
          </w:p>
        </w:tc>
        <w:tc>
          <w:tcPr>
            <w:tcW w:w="4702" w:type="dxa"/>
            <w:noWrap w:val="0"/>
            <w:vAlign w:val="top"/>
          </w:tcPr>
          <w:p w14:paraId="26842209">
            <w:pPr>
              <w:spacing w:line="500" w:lineRule="exact"/>
              <w:rPr>
                <w:rFonts w:hint="eastAsia" w:ascii="宋体" w:hAnsi="宋体" w:eastAsia="宋体" w:cs="宋体"/>
                <w:sz w:val="21"/>
                <w:szCs w:val="21"/>
              </w:rPr>
            </w:pPr>
            <w:r>
              <w:rPr>
                <w:rFonts w:hint="eastAsia" w:ascii="宋体" w:hAnsi="宋体" w:eastAsia="宋体" w:cs="宋体"/>
                <w:sz w:val="21"/>
                <w:szCs w:val="21"/>
              </w:rPr>
              <w:t>电话：</w:t>
            </w:r>
          </w:p>
        </w:tc>
      </w:tr>
      <w:tr w14:paraId="156D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828" w:type="dxa"/>
            <w:noWrap w:val="0"/>
            <w:vAlign w:val="top"/>
          </w:tcPr>
          <w:p w14:paraId="0D70030A">
            <w:pPr>
              <w:spacing w:line="500" w:lineRule="exact"/>
              <w:rPr>
                <w:rFonts w:hint="eastAsia" w:ascii="宋体" w:hAnsi="宋体" w:eastAsia="宋体" w:cs="宋体"/>
                <w:sz w:val="21"/>
                <w:szCs w:val="21"/>
              </w:rPr>
            </w:pPr>
            <w:r>
              <w:rPr>
                <w:rFonts w:hint="eastAsia" w:ascii="宋体" w:hAnsi="宋体" w:eastAsia="宋体" w:cs="宋体"/>
                <w:sz w:val="21"/>
                <w:szCs w:val="21"/>
              </w:rPr>
              <w:t>开户银行：</w:t>
            </w:r>
          </w:p>
        </w:tc>
        <w:tc>
          <w:tcPr>
            <w:tcW w:w="4702" w:type="dxa"/>
            <w:noWrap w:val="0"/>
            <w:vAlign w:val="top"/>
          </w:tcPr>
          <w:p w14:paraId="12ED7D58">
            <w:pPr>
              <w:spacing w:line="500" w:lineRule="exact"/>
              <w:rPr>
                <w:rFonts w:hint="eastAsia" w:ascii="宋体" w:hAnsi="宋体" w:eastAsia="宋体" w:cs="宋体"/>
                <w:sz w:val="21"/>
                <w:szCs w:val="21"/>
              </w:rPr>
            </w:pPr>
            <w:r>
              <w:rPr>
                <w:rFonts w:hint="eastAsia" w:ascii="宋体" w:hAnsi="宋体" w:eastAsia="宋体" w:cs="宋体"/>
                <w:sz w:val="21"/>
                <w:szCs w:val="21"/>
              </w:rPr>
              <w:t>收款银行：</w:t>
            </w:r>
          </w:p>
        </w:tc>
      </w:tr>
      <w:tr w14:paraId="0EBB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828" w:type="dxa"/>
            <w:noWrap w:val="0"/>
            <w:vAlign w:val="center"/>
          </w:tcPr>
          <w:p w14:paraId="3E0FF72E">
            <w:pPr>
              <w:spacing w:line="500" w:lineRule="exact"/>
              <w:rPr>
                <w:rFonts w:hint="eastAsia" w:ascii="宋体" w:hAnsi="宋体" w:eastAsia="宋体" w:cs="宋体"/>
                <w:sz w:val="21"/>
                <w:szCs w:val="21"/>
              </w:rPr>
            </w:pPr>
            <w:r>
              <w:rPr>
                <w:rFonts w:hint="eastAsia" w:ascii="宋体" w:hAnsi="宋体" w:eastAsia="宋体" w:cs="宋体"/>
                <w:sz w:val="21"/>
                <w:szCs w:val="21"/>
              </w:rPr>
              <w:t>账号：</w:t>
            </w:r>
          </w:p>
        </w:tc>
        <w:tc>
          <w:tcPr>
            <w:tcW w:w="4702" w:type="dxa"/>
            <w:noWrap w:val="0"/>
            <w:vAlign w:val="center"/>
          </w:tcPr>
          <w:p w14:paraId="6B239247">
            <w:pPr>
              <w:spacing w:line="500" w:lineRule="exact"/>
              <w:rPr>
                <w:rFonts w:hint="eastAsia" w:ascii="宋体" w:hAnsi="宋体" w:eastAsia="宋体" w:cs="宋体"/>
                <w:sz w:val="21"/>
                <w:szCs w:val="21"/>
              </w:rPr>
            </w:pPr>
            <w:r>
              <w:rPr>
                <w:rFonts w:hint="eastAsia" w:ascii="宋体" w:hAnsi="宋体" w:eastAsia="宋体" w:cs="宋体"/>
                <w:sz w:val="21"/>
                <w:szCs w:val="21"/>
              </w:rPr>
              <w:t>账号：</w:t>
            </w:r>
          </w:p>
        </w:tc>
      </w:tr>
      <w:tr w14:paraId="5705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828" w:type="dxa"/>
            <w:noWrap w:val="0"/>
            <w:vAlign w:val="center"/>
          </w:tcPr>
          <w:p w14:paraId="5990EF34">
            <w:pPr>
              <w:spacing w:line="500" w:lineRule="exact"/>
              <w:rPr>
                <w:rFonts w:hint="eastAsia" w:ascii="宋体" w:hAnsi="宋体" w:eastAsia="宋体" w:cs="宋体"/>
                <w:sz w:val="21"/>
                <w:szCs w:val="21"/>
              </w:rPr>
            </w:pPr>
            <w:r>
              <w:rPr>
                <w:rFonts w:hint="eastAsia" w:ascii="宋体" w:hAnsi="宋体" w:eastAsia="宋体" w:cs="宋体"/>
                <w:sz w:val="21"/>
                <w:szCs w:val="21"/>
              </w:rPr>
              <w:t>邮政编码：</w:t>
            </w:r>
          </w:p>
        </w:tc>
        <w:tc>
          <w:tcPr>
            <w:tcW w:w="4702" w:type="dxa"/>
            <w:noWrap w:val="0"/>
            <w:vAlign w:val="center"/>
          </w:tcPr>
          <w:p w14:paraId="076EC4D6">
            <w:pPr>
              <w:spacing w:line="500" w:lineRule="exact"/>
              <w:rPr>
                <w:rFonts w:hint="eastAsia" w:ascii="宋体" w:hAnsi="宋体" w:eastAsia="宋体" w:cs="宋体"/>
                <w:sz w:val="21"/>
                <w:szCs w:val="21"/>
              </w:rPr>
            </w:pPr>
            <w:r>
              <w:rPr>
                <w:rFonts w:hint="eastAsia" w:ascii="宋体" w:hAnsi="宋体" w:eastAsia="宋体" w:cs="宋体"/>
                <w:sz w:val="21"/>
                <w:szCs w:val="21"/>
              </w:rPr>
              <w:t>邮政编码：</w:t>
            </w:r>
          </w:p>
        </w:tc>
      </w:tr>
      <w:tr w14:paraId="2479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0" w:type="dxa"/>
            <w:gridSpan w:val="2"/>
            <w:noWrap w:val="0"/>
            <w:vAlign w:val="center"/>
          </w:tcPr>
          <w:p w14:paraId="1555DA3D">
            <w:pPr>
              <w:spacing w:line="500" w:lineRule="exact"/>
              <w:rPr>
                <w:rFonts w:hint="eastAsia" w:ascii="宋体" w:hAnsi="宋体" w:eastAsia="宋体" w:cs="宋体"/>
                <w:sz w:val="21"/>
                <w:szCs w:val="21"/>
              </w:rPr>
            </w:pPr>
            <w:r>
              <w:rPr>
                <w:rFonts w:hint="eastAsia" w:ascii="宋体" w:hAnsi="宋体" w:eastAsia="宋体" w:cs="宋体"/>
                <w:sz w:val="21"/>
                <w:szCs w:val="21"/>
              </w:rPr>
              <w:t>经办人：                                       年</w:t>
            </w:r>
            <w:r>
              <w:rPr>
                <w:rFonts w:hint="eastAsia" w:ascii="宋体" w:hAnsi="宋体" w:eastAsia="宋体" w:cs="宋体"/>
                <w:sz w:val="21"/>
                <w:szCs w:val="21"/>
              </w:rPr>
              <w:tab/>
            </w:r>
            <w:r>
              <w:rPr>
                <w:rFonts w:hint="eastAsia" w:ascii="宋体" w:hAnsi="宋体" w:eastAsia="宋体" w:cs="宋体"/>
                <w:sz w:val="21"/>
                <w:szCs w:val="21"/>
              </w:rPr>
              <w:t xml:space="preserve"> 月</w:t>
            </w:r>
            <w:r>
              <w:rPr>
                <w:rFonts w:hint="eastAsia" w:ascii="宋体" w:hAnsi="宋体" w:eastAsia="宋体" w:cs="宋体"/>
                <w:sz w:val="21"/>
                <w:szCs w:val="21"/>
              </w:rPr>
              <w:tab/>
            </w:r>
            <w:r>
              <w:rPr>
                <w:rFonts w:hint="eastAsia" w:ascii="宋体" w:hAnsi="宋体" w:eastAsia="宋体" w:cs="宋体"/>
                <w:sz w:val="21"/>
                <w:szCs w:val="21"/>
              </w:rPr>
              <w:t xml:space="preserve">  日</w:t>
            </w:r>
          </w:p>
        </w:tc>
      </w:tr>
    </w:tbl>
    <w:p w14:paraId="28BD7021">
      <w:pPr>
        <w:pStyle w:val="5"/>
        <w:spacing w:after="0"/>
        <w:rPr>
          <w:rFonts w:hint="eastAsia" w:ascii="宋体" w:hAnsi="宋体" w:eastAsia="宋体" w:cs="宋体"/>
          <w:bCs/>
          <w:sz w:val="21"/>
          <w:szCs w:val="21"/>
        </w:rPr>
        <w:sectPr>
          <w:pgSz w:w="11906" w:h="16838"/>
          <w:pgMar w:top="1440" w:right="1800" w:bottom="1440" w:left="1800" w:header="737" w:footer="1077" w:gutter="0"/>
          <w:cols w:space="720" w:num="1"/>
          <w:docGrid w:type="lines" w:linePitch="312" w:charSpace="0"/>
        </w:sectPr>
      </w:pPr>
    </w:p>
    <w:p w14:paraId="1E83A5CD">
      <w:pPr>
        <w:pStyle w:val="5"/>
        <w:spacing w:after="0"/>
        <w:rPr>
          <w:rFonts w:hint="eastAsia" w:ascii="黑体" w:hAnsi="黑体" w:eastAsia="黑体"/>
          <w:bCs/>
          <w:sz w:val="21"/>
          <w:szCs w:val="21"/>
        </w:rPr>
      </w:pPr>
      <w:r>
        <w:rPr>
          <w:rFonts w:hint="eastAsia" w:ascii="黑体" w:hAnsi="黑体" w:eastAsia="黑体"/>
          <w:bCs/>
          <w:sz w:val="21"/>
          <w:szCs w:val="21"/>
        </w:rPr>
        <w:t>附件1：</w:t>
      </w:r>
    </w:p>
    <w:tbl>
      <w:tblPr>
        <w:tblStyle w:val="14"/>
        <w:tblW w:w="10774"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8647"/>
      </w:tblGrid>
      <w:tr w14:paraId="3783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67" w:type="dxa"/>
            <w:noWrap w:val="0"/>
            <w:vAlign w:val="top"/>
          </w:tcPr>
          <w:p w14:paraId="78B6CDD6">
            <w:pPr>
              <w:spacing w:line="276" w:lineRule="auto"/>
              <w:jc w:val="center"/>
              <w:rPr>
                <w:rFonts w:ascii="宋体" w:hAnsi="宋体"/>
                <w:color w:val="000000"/>
                <w:sz w:val="21"/>
                <w:szCs w:val="21"/>
              </w:rPr>
            </w:pPr>
            <w:r>
              <w:rPr>
                <w:rFonts w:hint="eastAsia" w:ascii="宋体" w:hAnsi="宋体"/>
                <w:color w:val="000000"/>
                <w:sz w:val="21"/>
                <w:szCs w:val="21"/>
              </w:rPr>
              <w:t>序号</w:t>
            </w:r>
          </w:p>
        </w:tc>
        <w:tc>
          <w:tcPr>
            <w:tcW w:w="1560" w:type="dxa"/>
            <w:noWrap w:val="0"/>
            <w:vAlign w:val="top"/>
          </w:tcPr>
          <w:p w14:paraId="440FC555">
            <w:pPr>
              <w:spacing w:line="276" w:lineRule="auto"/>
              <w:jc w:val="center"/>
              <w:rPr>
                <w:rFonts w:ascii="宋体" w:hAnsi="宋体"/>
                <w:color w:val="000000"/>
                <w:sz w:val="21"/>
                <w:szCs w:val="21"/>
              </w:rPr>
            </w:pPr>
            <w:r>
              <w:rPr>
                <w:rFonts w:hint="eastAsia" w:ascii="宋体" w:hAnsi="宋体"/>
                <w:color w:val="000000"/>
                <w:sz w:val="21"/>
                <w:szCs w:val="21"/>
              </w:rPr>
              <w:t>项目名称</w:t>
            </w:r>
          </w:p>
        </w:tc>
        <w:tc>
          <w:tcPr>
            <w:tcW w:w="8647" w:type="dxa"/>
            <w:noWrap w:val="0"/>
            <w:vAlign w:val="top"/>
          </w:tcPr>
          <w:p w14:paraId="6D8831C8">
            <w:pPr>
              <w:spacing w:line="276" w:lineRule="auto"/>
              <w:jc w:val="center"/>
              <w:rPr>
                <w:rFonts w:ascii="宋体" w:hAnsi="宋体"/>
                <w:color w:val="000000"/>
                <w:sz w:val="21"/>
                <w:szCs w:val="21"/>
              </w:rPr>
            </w:pPr>
            <w:r>
              <w:rPr>
                <w:rFonts w:hint="eastAsia" w:ascii="宋体" w:hAnsi="宋体"/>
                <w:color w:val="000000"/>
                <w:sz w:val="21"/>
                <w:szCs w:val="21"/>
              </w:rPr>
              <w:t>技术服务要求</w:t>
            </w:r>
          </w:p>
        </w:tc>
      </w:tr>
      <w:tr w14:paraId="4CD4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8" w:hRule="atLeast"/>
        </w:trPr>
        <w:tc>
          <w:tcPr>
            <w:tcW w:w="567" w:type="dxa"/>
            <w:noWrap w:val="0"/>
            <w:vAlign w:val="top"/>
          </w:tcPr>
          <w:p w14:paraId="2BF80022">
            <w:pPr>
              <w:spacing w:line="276" w:lineRule="auto"/>
              <w:jc w:val="center"/>
              <w:rPr>
                <w:rFonts w:ascii="宋体" w:hAnsi="宋体"/>
                <w:color w:val="000000"/>
                <w:sz w:val="21"/>
                <w:szCs w:val="21"/>
              </w:rPr>
            </w:pPr>
            <w:r>
              <w:rPr>
                <w:rFonts w:hint="eastAsia" w:ascii="宋体" w:hAnsi="宋体"/>
                <w:color w:val="000000"/>
                <w:sz w:val="21"/>
                <w:szCs w:val="21"/>
              </w:rPr>
              <w:t>1</w:t>
            </w:r>
          </w:p>
        </w:tc>
        <w:tc>
          <w:tcPr>
            <w:tcW w:w="1560" w:type="dxa"/>
            <w:noWrap w:val="0"/>
            <w:vAlign w:val="top"/>
          </w:tcPr>
          <w:p w14:paraId="647F0B72">
            <w:pPr>
              <w:pStyle w:val="7"/>
              <w:spacing w:line="380" w:lineRule="exact"/>
              <w:rPr>
                <w:rFonts w:hAnsi="宋体"/>
                <w:bCs/>
                <w:sz w:val="21"/>
                <w:szCs w:val="21"/>
              </w:rPr>
            </w:pPr>
            <w:r>
              <w:rPr>
                <w:rFonts w:hint="eastAsia" w:hAnsi="宋体"/>
                <w:bCs/>
                <w:sz w:val="21"/>
                <w:szCs w:val="21"/>
              </w:rPr>
              <w:t>物业管理服务</w:t>
            </w:r>
          </w:p>
        </w:tc>
        <w:tc>
          <w:tcPr>
            <w:tcW w:w="8647" w:type="dxa"/>
            <w:noWrap w:val="0"/>
            <w:vAlign w:val="top"/>
          </w:tcPr>
          <w:p w14:paraId="10420922">
            <w:pPr>
              <w:pStyle w:val="7"/>
              <w:spacing w:line="380" w:lineRule="exact"/>
              <w:rPr>
                <w:rFonts w:hAnsi="宋体"/>
                <w:b/>
                <w:sz w:val="21"/>
                <w:szCs w:val="21"/>
              </w:rPr>
            </w:pPr>
            <w:r>
              <w:rPr>
                <w:rFonts w:hint="eastAsia" w:hAnsi="宋体"/>
                <w:b/>
                <w:sz w:val="21"/>
                <w:szCs w:val="21"/>
              </w:rPr>
              <w:t>一、项目基本概况</w:t>
            </w:r>
          </w:p>
          <w:p w14:paraId="7D6D6086">
            <w:pPr>
              <w:pStyle w:val="7"/>
              <w:spacing w:line="380" w:lineRule="exact"/>
              <w:rPr>
                <w:rFonts w:hAnsi="宋体"/>
                <w:bCs/>
                <w:sz w:val="21"/>
                <w:szCs w:val="21"/>
              </w:rPr>
            </w:pPr>
            <w:r>
              <w:rPr>
                <w:rFonts w:hint="eastAsia" w:hAnsi="宋体"/>
                <w:bCs/>
                <w:sz w:val="21"/>
                <w:szCs w:val="21"/>
              </w:rPr>
              <w:t>1、采购人：凭祥市人民医院。</w:t>
            </w:r>
          </w:p>
          <w:p w14:paraId="244268A4">
            <w:pPr>
              <w:pStyle w:val="7"/>
              <w:spacing w:line="380" w:lineRule="exact"/>
              <w:rPr>
                <w:rFonts w:hAnsi="宋体"/>
                <w:bCs/>
                <w:sz w:val="21"/>
                <w:szCs w:val="21"/>
              </w:rPr>
            </w:pPr>
            <w:r>
              <w:rPr>
                <w:rFonts w:hint="eastAsia" w:hAnsi="宋体"/>
                <w:bCs/>
                <w:sz w:val="21"/>
                <w:szCs w:val="21"/>
              </w:rPr>
              <w:t>2、物业名称：凭祥市人民医院物业管理服务采购。</w:t>
            </w:r>
          </w:p>
          <w:p w14:paraId="45CA5F55">
            <w:pPr>
              <w:pStyle w:val="7"/>
              <w:spacing w:line="380" w:lineRule="exact"/>
              <w:rPr>
                <w:rFonts w:hAnsi="宋体"/>
                <w:bCs/>
                <w:sz w:val="21"/>
                <w:szCs w:val="21"/>
              </w:rPr>
            </w:pPr>
            <w:r>
              <w:rPr>
                <w:rFonts w:hint="eastAsia" w:hAnsi="宋体"/>
                <w:bCs/>
                <w:sz w:val="21"/>
                <w:szCs w:val="21"/>
              </w:rPr>
              <w:t>3、采购内容：凭祥市人民医院保洁、安保、消防、绿化养护、洗涤、污水管理运行服务。</w:t>
            </w:r>
          </w:p>
          <w:p w14:paraId="36940ABA">
            <w:pPr>
              <w:pStyle w:val="7"/>
              <w:spacing w:line="380" w:lineRule="exact"/>
              <w:rPr>
                <w:rFonts w:hint="eastAsia" w:hAnsi="宋体"/>
                <w:bCs/>
                <w:sz w:val="21"/>
                <w:szCs w:val="21"/>
              </w:rPr>
            </w:pPr>
            <w:r>
              <w:rPr>
                <w:rFonts w:hint="eastAsia" w:hAnsi="宋体"/>
                <w:bCs/>
                <w:sz w:val="21"/>
                <w:szCs w:val="21"/>
              </w:rPr>
              <w:t>4、物业概况：凭祥市人民医院占地面积31136㎡，业务服务总面积为26344.5㎡。其中业务用房建筑面积14334.5㎡，内科楼总占地面积12010㎡，内科楼1-9层占地面积9559㎡、地下室占地面积2451㎡。</w:t>
            </w:r>
          </w:p>
          <w:p w14:paraId="06440BE9">
            <w:pPr>
              <w:rPr>
                <w:rFonts w:ascii="宋体" w:hAnsi="宋体" w:eastAsia="宋体"/>
                <w:bCs/>
                <w:sz w:val="21"/>
                <w:szCs w:val="21"/>
              </w:rPr>
            </w:pPr>
            <w:r>
              <w:rPr>
                <w:rFonts w:hint="eastAsia" w:ascii="宋体" w:hAnsi="宋体" w:eastAsia="宋体"/>
                <w:sz w:val="21"/>
                <w:szCs w:val="21"/>
              </w:rPr>
              <w:t>5、应急救治中心一期,</w:t>
            </w:r>
            <w:r>
              <w:rPr>
                <w:rFonts w:hint="eastAsia" w:hAnsi="宋体"/>
                <w:bCs/>
                <w:sz w:val="21"/>
                <w:szCs w:val="21"/>
              </w:rPr>
              <w:t xml:space="preserve"> </w:t>
            </w:r>
            <w:r>
              <w:rPr>
                <w:rFonts w:hint="eastAsia" w:ascii="宋体" w:hAnsi="宋体" w:eastAsia="宋体"/>
                <w:bCs/>
                <w:sz w:val="21"/>
                <w:szCs w:val="21"/>
              </w:rPr>
              <w:t>占地面积22907.78㎡，建筑面积17499.59㎡.</w:t>
            </w:r>
          </w:p>
          <w:p w14:paraId="377E6141">
            <w:pPr>
              <w:rPr>
                <w:rFonts w:ascii="宋体" w:hAnsi="宋体" w:eastAsia="宋体"/>
                <w:sz w:val="21"/>
                <w:szCs w:val="21"/>
              </w:rPr>
            </w:pPr>
            <w:r>
              <w:rPr>
                <w:rFonts w:hint="eastAsia" w:hAnsi="宋体"/>
                <w:b/>
                <w:sz w:val="21"/>
                <w:szCs w:val="21"/>
              </w:rPr>
              <w:t>二、医疗区保洁服务</w:t>
            </w:r>
          </w:p>
          <w:p w14:paraId="1460D6BB">
            <w:pPr>
              <w:pStyle w:val="7"/>
              <w:spacing w:line="380" w:lineRule="exact"/>
              <w:rPr>
                <w:rFonts w:hAnsi="宋体"/>
                <w:bCs/>
                <w:sz w:val="21"/>
                <w:szCs w:val="21"/>
              </w:rPr>
            </w:pPr>
            <w:r>
              <w:rPr>
                <w:rFonts w:hint="eastAsia" w:hAnsi="宋体"/>
                <w:bCs/>
                <w:sz w:val="21"/>
                <w:szCs w:val="21"/>
              </w:rPr>
              <w:t>1、保洁服务范围</w:t>
            </w:r>
          </w:p>
          <w:p w14:paraId="53214F7D">
            <w:pPr>
              <w:pStyle w:val="7"/>
              <w:spacing w:line="380" w:lineRule="exact"/>
              <w:rPr>
                <w:rFonts w:hAnsi="宋体"/>
                <w:bCs/>
                <w:sz w:val="21"/>
                <w:szCs w:val="21"/>
              </w:rPr>
            </w:pPr>
            <w:r>
              <w:rPr>
                <w:rFonts w:hint="eastAsia" w:hAnsi="宋体"/>
                <w:bCs/>
                <w:sz w:val="21"/>
                <w:szCs w:val="21"/>
              </w:rPr>
              <w:t>1.1  综合门诊大楼1—6楼（包括楼顶及天面）。</w:t>
            </w:r>
          </w:p>
          <w:p w14:paraId="47CC54EB">
            <w:pPr>
              <w:pStyle w:val="7"/>
              <w:spacing w:line="380" w:lineRule="exact"/>
              <w:rPr>
                <w:rFonts w:hAnsi="宋体"/>
                <w:bCs/>
                <w:sz w:val="21"/>
                <w:szCs w:val="21"/>
              </w:rPr>
            </w:pPr>
            <w:r>
              <w:rPr>
                <w:rFonts w:hint="eastAsia" w:hAnsi="宋体"/>
                <w:bCs/>
                <w:sz w:val="21"/>
                <w:szCs w:val="21"/>
              </w:rPr>
              <w:t>1.2  外科住院大楼1-6楼（包括楼顶及天面）。</w:t>
            </w:r>
          </w:p>
          <w:p w14:paraId="3908C25B">
            <w:pPr>
              <w:pStyle w:val="7"/>
              <w:spacing w:line="380" w:lineRule="exact"/>
              <w:rPr>
                <w:rFonts w:hAnsi="宋体"/>
                <w:bCs/>
                <w:sz w:val="21"/>
                <w:szCs w:val="21"/>
              </w:rPr>
            </w:pPr>
            <w:r>
              <w:rPr>
                <w:rFonts w:hint="eastAsia" w:hAnsi="宋体"/>
                <w:bCs/>
                <w:sz w:val="21"/>
                <w:szCs w:val="21"/>
              </w:rPr>
              <w:t>1.3  医疗废物暂存间、门诊附属楼。</w:t>
            </w:r>
          </w:p>
          <w:p w14:paraId="64DE51A6">
            <w:pPr>
              <w:pStyle w:val="7"/>
              <w:spacing w:line="380" w:lineRule="exact"/>
              <w:rPr>
                <w:rFonts w:hAnsi="宋体"/>
                <w:bCs/>
                <w:sz w:val="21"/>
                <w:szCs w:val="21"/>
              </w:rPr>
            </w:pPr>
            <w:r>
              <w:rPr>
                <w:rFonts w:hint="eastAsia" w:hAnsi="宋体"/>
                <w:bCs/>
                <w:sz w:val="21"/>
                <w:szCs w:val="21"/>
              </w:rPr>
              <w:t>1.4  一个停车棚及医院内环境。</w:t>
            </w:r>
          </w:p>
          <w:p w14:paraId="4C62F314">
            <w:pPr>
              <w:pStyle w:val="7"/>
              <w:spacing w:line="380" w:lineRule="exact"/>
              <w:rPr>
                <w:rFonts w:hAnsi="宋体"/>
                <w:bCs/>
                <w:sz w:val="21"/>
                <w:szCs w:val="21"/>
              </w:rPr>
            </w:pPr>
            <w:r>
              <w:rPr>
                <w:rFonts w:hint="eastAsia" w:hAnsi="宋体"/>
                <w:bCs/>
                <w:sz w:val="21"/>
                <w:szCs w:val="21"/>
              </w:rPr>
              <w:t>1.5  宿舍区：球场、单身职工宿舍、营养食堂。</w:t>
            </w:r>
          </w:p>
          <w:p w14:paraId="17AECEE4">
            <w:pPr>
              <w:pStyle w:val="7"/>
              <w:spacing w:line="380" w:lineRule="exact"/>
              <w:rPr>
                <w:rFonts w:hAnsi="宋体"/>
                <w:bCs/>
                <w:sz w:val="21"/>
                <w:szCs w:val="21"/>
              </w:rPr>
            </w:pPr>
            <w:r>
              <w:rPr>
                <w:rFonts w:hint="eastAsia" w:hAnsi="宋体"/>
                <w:bCs/>
                <w:sz w:val="21"/>
                <w:szCs w:val="21"/>
              </w:rPr>
              <w:t>1.6  洗衣房（之前办公区）。</w:t>
            </w:r>
          </w:p>
          <w:p w14:paraId="22FB6ECE">
            <w:pPr>
              <w:pStyle w:val="7"/>
              <w:spacing w:line="380" w:lineRule="exact"/>
              <w:rPr>
                <w:rFonts w:hAnsi="宋体"/>
                <w:bCs/>
                <w:sz w:val="21"/>
                <w:szCs w:val="21"/>
              </w:rPr>
            </w:pPr>
            <w:r>
              <w:rPr>
                <w:rFonts w:hint="eastAsia" w:hAnsi="宋体"/>
                <w:bCs/>
                <w:sz w:val="21"/>
                <w:szCs w:val="21"/>
              </w:rPr>
              <w:t>1.7  警务室。</w:t>
            </w:r>
          </w:p>
          <w:p w14:paraId="2674D5B3">
            <w:pPr>
              <w:pStyle w:val="7"/>
              <w:spacing w:line="380" w:lineRule="exact"/>
              <w:rPr>
                <w:rFonts w:hAnsi="宋体"/>
                <w:bCs/>
                <w:sz w:val="21"/>
                <w:szCs w:val="21"/>
              </w:rPr>
            </w:pPr>
            <w:r>
              <w:rPr>
                <w:rFonts w:hint="eastAsia" w:hAnsi="宋体"/>
                <w:bCs/>
                <w:sz w:val="21"/>
                <w:szCs w:val="21"/>
              </w:rPr>
              <w:t>1.8 普通发热门诊、特殊发热门诊，门诊大楼附属楼。</w:t>
            </w:r>
          </w:p>
          <w:p w14:paraId="5E13BBDB">
            <w:pPr>
              <w:pStyle w:val="7"/>
              <w:spacing w:line="380" w:lineRule="exact"/>
              <w:rPr>
                <w:rFonts w:hAnsi="宋体"/>
                <w:bCs/>
                <w:sz w:val="21"/>
                <w:szCs w:val="21"/>
              </w:rPr>
            </w:pPr>
            <w:r>
              <w:rPr>
                <w:rFonts w:hint="eastAsia" w:hAnsi="宋体"/>
                <w:bCs/>
                <w:sz w:val="21"/>
                <w:szCs w:val="21"/>
              </w:rPr>
              <w:t>1.9  内科1-9楼及地下室（包括楼顶及天面）。</w:t>
            </w:r>
          </w:p>
          <w:p w14:paraId="0C7C985B">
            <w:pPr>
              <w:pStyle w:val="7"/>
              <w:spacing w:line="380" w:lineRule="exact"/>
              <w:rPr>
                <w:rFonts w:hint="eastAsia" w:hAnsi="宋体"/>
                <w:bCs/>
                <w:sz w:val="21"/>
                <w:szCs w:val="21"/>
              </w:rPr>
            </w:pPr>
            <w:r>
              <w:rPr>
                <w:rFonts w:hint="eastAsia" w:hAnsi="宋体"/>
                <w:bCs/>
                <w:sz w:val="21"/>
                <w:szCs w:val="21"/>
              </w:rPr>
              <w:t>1.10  其他：整个医疗区建筑外所有场地，包括道路、停车场、公共场地、草坪、内外排水沟、楼道。各楼层外墙，院内公共卫生间和各卫生死角以及院内楼顶天面及院内搬运物资，科室物资领取、灯笼工作。</w:t>
            </w:r>
          </w:p>
          <w:p w14:paraId="6E76F878">
            <w:pPr>
              <w:pStyle w:val="7"/>
              <w:spacing w:line="380" w:lineRule="exact"/>
              <w:rPr>
                <w:rFonts w:hAnsi="宋体"/>
                <w:bCs/>
                <w:sz w:val="21"/>
                <w:szCs w:val="21"/>
              </w:rPr>
            </w:pPr>
            <w:r>
              <w:rPr>
                <w:rFonts w:hint="eastAsia"/>
                <w:sz w:val="21"/>
                <w:szCs w:val="21"/>
              </w:rPr>
              <w:t>1.11 应急救治中心一期（1-2楼常规保洁，应急中心3-6楼、后勤楼基础保洁）</w:t>
            </w:r>
          </w:p>
          <w:p w14:paraId="656709F6">
            <w:pPr>
              <w:pStyle w:val="7"/>
              <w:spacing w:line="380" w:lineRule="exact"/>
              <w:rPr>
                <w:rFonts w:hAnsi="宋体"/>
                <w:bCs/>
                <w:sz w:val="21"/>
                <w:szCs w:val="21"/>
              </w:rPr>
            </w:pPr>
            <w:r>
              <w:rPr>
                <w:rFonts w:hint="eastAsia" w:hAnsi="宋体"/>
                <w:bCs/>
                <w:sz w:val="21"/>
                <w:szCs w:val="21"/>
              </w:rPr>
              <w:t xml:space="preserve">2、服务事项的内容及要求：  </w:t>
            </w:r>
          </w:p>
          <w:p w14:paraId="550B1264">
            <w:pPr>
              <w:pStyle w:val="7"/>
              <w:spacing w:line="380" w:lineRule="exact"/>
              <w:rPr>
                <w:rFonts w:hAnsi="宋体"/>
                <w:bCs/>
                <w:sz w:val="21"/>
                <w:szCs w:val="21"/>
              </w:rPr>
            </w:pPr>
            <w:r>
              <w:rPr>
                <w:rFonts w:hint="eastAsia" w:hAnsi="宋体"/>
                <w:bCs/>
                <w:sz w:val="21"/>
                <w:szCs w:val="21"/>
              </w:rPr>
              <w:t>2.1行政办公区</w:t>
            </w:r>
          </w:p>
          <w:p w14:paraId="7030F589">
            <w:pPr>
              <w:pStyle w:val="7"/>
              <w:spacing w:line="380" w:lineRule="exact"/>
              <w:rPr>
                <w:rFonts w:hAnsi="宋体"/>
                <w:bCs/>
                <w:sz w:val="21"/>
                <w:szCs w:val="21"/>
              </w:rPr>
            </w:pPr>
            <w:r>
              <w:rPr>
                <w:rFonts w:hint="eastAsia" w:hAnsi="宋体"/>
                <w:bCs/>
                <w:sz w:val="21"/>
                <w:szCs w:val="21"/>
              </w:rPr>
              <w:t>2.1.1  办公室内办公桌、电脑桌、电脑、电话、打印机、复印件、书柜、档案柜、茶几、椅子、沙发等物体表面及地面每天用专用毛巾湿擦1次，作业标准要求无污渍、无灰尘，各办公设施完好无损、垃圾桶干净无污；垃圾及时清倒，屋顶及墙面无蜘蛛网。</w:t>
            </w:r>
          </w:p>
          <w:p w14:paraId="5B99A1E9">
            <w:pPr>
              <w:pStyle w:val="7"/>
              <w:spacing w:line="380" w:lineRule="exact"/>
              <w:rPr>
                <w:rFonts w:hAnsi="宋体"/>
                <w:bCs/>
                <w:sz w:val="21"/>
                <w:szCs w:val="21"/>
              </w:rPr>
            </w:pPr>
            <w:r>
              <w:rPr>
                <w:rFonts w:hint="eastAsia" w:hAnsi="宋体"/>
                <w:bCs/>
                <w:sz w:val="21"/>
                <w:szCs w:val="21"/>
              </w:rPr>
              <w:t>2.1.2  卫生间：作业标准要求无臭味、无污渍。玻璃镜面保持光亮、无水点、水渍；台面、洗手盆、水龙头、抽风机、要求无污物、无水迹、无杂物、白洁光亮；瓷砖墙面、隔断板、隔断门要保证无污迹、无尘土、无纸末。</w:t>
            </w:r>
          </w:p>
          <w:p w14:paraId="339F5C79">
            <w:pPr>
              <w:pStyle w:val="7"/>
              <w:spacing w:line="380" w:lineRule="exact"/>
              <w:rPr>
                <w:rFonts w:hAnsi="宋体"/>
                <w:bCs/>
                <w:sz w:val="21"/>
                <w:szCs w:val="21"/>
              </w:rPr>
            </w:pPr>
            <w:r>
              <w:rPr>
                <w:rFonts w:hint="eastAsia" w:hAnsi="宋体"/>
                <w:bCs/>
                <w:sz w:val="21"/>
                <w:szCs w:val="21"/>
              </w:rPr>
              <w:t>2.1.3  楼梯、扶手每天用毛巾湿擦1次，走廊过道每天清扫一次、干净无灰尘，走廊顶及墙面无蜘蛛网。</w:t>
            </w:r>
          </w:p>
          <w:p w14:paraId="2292EE08">
            <w:pPr>
              <w:pStyle w:val="7"/>
              <w:spacing w:line="380" w:lineRule="exact"/>
              <w:rPr>
                <w:rFonts w:hAnsi="宋体"/>
                <w:bCs/>
                <w:sz w:val="21"/>
                <w:szCs w:val="21"/>
              </w:rPr>
            </w:pPr>
            <w:r>
              <w:rPr>
                <w:rFonts w:hint="eastAsia" w:hAnsi="宋体"/>
                <w:bCs/>
                <w:sz w:val="21"/>
                <w:szCs w:val="21"/>
              </w:rPr>
              <w:t>2.1.4  会议室：会议前后打扫干净，地面每天湿拖一次，无污渍；桌椅物体表面每次开会前用专用毛巾擦拭一次，光亮无污渍、灰尘；玻璃双面及窗台光亮，无水印、无污渍。</w:t>
            </w:r>
          </w:p>
          <w:p w14:paraId="4B7A4587">
            <w:pPr>
              <w:pStyle w:val="7"/>
              <w:spacing w:line="380" w:lineRule="exact"/>
              <w:jc w:val="left"/>
              <w:rPr>
                <w:rFonts w:hAnsi="宋体"/>
                <w:bCs/>
                <w:sz w:val="21"/>
                <w:szCs w:val="21"/>
              </w:rPr>
            </w:pPr>
            <w:r>
              <w:rPr>
                <w:rFonts w:hint="eastAsia" w:hAnsi="宋体"/>
                <w:bCs/>
                <w:sz w:val="21"/>
                <w:szCs w:val="21"/>
              </w:rPr>
              <w:t>2.2病区　　　　　　　　　　　　　　　　　　　　　　　　　　　　　　　　</w:t>
            </w:r>
          </w:p>
          <w:p w14:paraId="32C0A4A3">
            <w:pPr>
              <w:pStyle w:val="7"/>
              <w:spacing w:line="380" w:lineRule="exact"/>
              <w:jc w:val="left"/>
              <w:rPr>
                <w:rFonts w:hAnsi="宋体"/>
                <w:bCs/>
                <w:sz w:val="21"/>
                <w:szCs w:val="21"/>
              </w:rPr>
            </w:pPr>
            <w:r>
              <w:rPr>
                <w:rFonts w:hint="eastAsia" w:hAnsi="宋体"/>
                <w:bCs/>
                <w:sz w:val="21"/>
                <w:szCs w:val="21"/>
              </w:rPr>
              <w:t>2.2.1  各层楼梯、扶手每天用毛巾湿擦1次，走廊过道每天清扫二次、干净无灰尘，走廊顶及墙面无蜘蛛网。</w:t>
            </w:r>
          </w:p>
          <w:p w14:paraId="0F033674">
            <w:pPr>
              <w:pStyle w:val="7"/>
              <w:spacing w:line="380" w:lineRule="exact"/>
              <w:rPr>
                <w:rFonts w:hAnsi="宋体"/>
                <w:bCs/>
                <w:sz w:val="21"/>
                <w:szCs w:val="21"/>
              </w:rPr>
            </w:pPr>
            <w:r>
              <w:rPr>
                <w:rFonts w:hint="eastAsia" w:hAnsi="宋体"/>
                <w:bCs/>
                <w:sz w:val="21"/>
                <w:szCs w:val="21"/>
              </w:rPr>
              <w:t>2.2.2  医护办公室、护士站：作业标准要求无污渍、无灰尘。各办公设施完好无损；桌面干净无污渍、无尘土、电脑、电话无污迹；文件柜干净无尘；垃圾筒干净无污；垃圾及时清倒；垃圾袋及时更换。</w:t>
            </w:r>
          </w:p>
          <w:p w14:paraId="5FF601DD">
            <w:pPr>
              <w:pStyle w:val="7"/>
              <w:spacing w:line="380" w:lineRule="exact"/>
              <w:rPr>
                <w:rFonts w:hAnsi="宋体"/>
                <w:bCs/>
                <w:sz w:val="21"/>
                <w:szCs w:val="21"/>
              </w:rPr>
            </w:pPr>
            <w:r>
              <w:rPr>
                <w:rFonts w:hint="eastAsia" w:hAnsi="宋体"/>
                <w:bCs/>
                <w:sz w:val="21"/>
                <w:szCs w:val="21"/>
              </w:rPr>
              <w:t>2.2.3  更衣室：地面光亮无尘；柜台、柜顶无污渍、无灰尘。</w:t>
            </w:r>
          </w:p>
          <w:p w14:paraId="73D5016C">
            <w:pPr>
              <w:pStyle w:val="7"/>
              <w:spacing w:line="380" w:lineRule="exact"/>
              <w:rPr>
                <w:rFonts w:hAnsi="宋体"/>
                <w:bCs/>
                <w:sz w:val="21"/>
                <w:szCs w:val="21"/>
              </w:rPr>
            </w:pPr>
            <w:r>
              <w:rPr>
                <w:rFonts w:hint="eastAsia" w:hAnsi="宋体"/>
                <w:bCs/>
                <w:sz w:val="21"/>
                <w:szCs w:val="21"/>
              </w:rPr>
              <w:t>2.2.4  治疗室、换药室：房门及纱门无污渍；玻璃窗双面及窗台无手印、无污渍；窗帘无污渍、无灰尘，每季度拆洗一次，随脏随拆洗；地板表面光亮，无污渍、无灰尘；天花板及照明设备表面光亮、无污渍；诊疗床、病人座椅无污渍、无灰尘；墙壁、踢脚板（包括空调出风口）无手印、无污渍；仪器设备、治疗台、处置台无污渍、无灰尘；洗手台无手印、无污渍；利器盒每达到2/3时更换，做到日产日清。</w:t>
            </w:r>
          </w:p>
          <w:p w14:paraId="44C8CCFB">
            <w:pPr>
              <w:pStyle w:val="7"/>
              <w:spacing w:line="380" w:lineRule="exact"/>
              <w:rPr>
                <w:rFonts w:hAnsi="宋体"/>
                <w:bCs/>
                <w:sz w:val="21"/>
                <w:szCs w:val="21"/>
              </w:rPr>
            </w:pPr>
            <w:r>
              <w:rPr>
                <w:rFonts w:hint="eastAsia" w:hAnsi="宋体"/>
                <w:bCs/>
                <w:sz w:val="21"/>
                <w:szCs w:val="21"/>
              </w:rPr>
              <w:t>2.2.5  病房、抢救室：房门、纱门、把手、病床、设备带、宣传盒、仪器、电视机、摇控器、开水壶、床头牌等无污渍、无灰尘；玻璃窗双面及窗口无手印、无污渍；窗帘隔帘无污渍、无灰尘，每季度清洗一次，随脏随拆洗；天花板及照明设备表面光亮无污渍；床头柜、桌子及供氧装置无垃圾、杂物、无污渍、无灰尘；病床上下无灰尘、无污渍；地面干燥，无水渍、垃圾、杂物，要求一柜一巾、一床一巾；墙壁（包括踢脚板、空调出风口）无手印、无污渍；阳台、窗台无灰尘、虫网、杂物；垃圾及时清倒，垃圾框每天清洁一次；卫生间、洗手台无臭味、无手印、无污渍；终末消毒（包括出院、死亡）符合院内感染控制要求。</w:t>
            </w:r>
          </w:p>
          <w:p w14:paraId="01C4ADD1">
            <w:pPr>
              <w:pStyle w:val="7"/>
              <w:spacing w:line="380" w:lineRule="exact"/>
              <w:rPr>
                <w:rFonts w:hAnsi="宋体"/>
                <w:bCs/>
                <w:sz w:val="21"/>
                <w:szCs w:val="21"/>
              </w:rPr>
            </w:pPr>
            <w:r>
              <w:rPr>
                <w:rFonts w:hint="eastAsia" w:hAnsi="宋体"/>
                <w:bCs/>
                <w:sz w:val="21"/>
                <w:szCs w:val="21"/>
              </w:rPr>
              <w:t>2.2.6  医生及护士值班室：地板、门窗、床无污渍灰尘；卫生间无臭味、无污渍。</w:t>
            </w:r>
          </w:p>
          <w:p w14:paraId="12F6573C">
            <w:pPr>
              <w:pStyle w:val="7"/>
              <w:spacing w:line="380" w:lineRule="exact"/>
              <w:rPr>
                <w:rFonts w:hAnsi="宋体"/>
                <w:bCs/>
                <w:sz w:val="21"/>
                <w:szCs w:val="21"/>
              </w:rPr>
            </w:pPr>
            <w:r>
              <w:rPr>
                <w:rFonts w:hint="eastAsia" w:hAnsi="宋体"/>
                <w:bCs/>
                <w:sz w:val="21"/>
                <w:szCs w:val="21"/>
              </w:rPr>
              <w:t>2.2.7  大厅：天花板及照明设备表面光亮无污渍；地面光亮无尘；玻璃门窗光亮、无手印、无污渍；广告、指示牌及开关无手印、无污渍、值班台光亮、无边角干净无杂物无污渍、无尘土，地板光亮；通道扶栏、扶手无手印、无污渍、光亮；广告指示牌及开关无手印、无污渍；玻璃门无手印、无污渍、光亮；走廊内手印、无污渍。</w:t>
            </w:r>
          </w:p>
          <w:p w14:paraId="0255F78B">
            <w:pPr>
              <w:pStyle w:val="7"/>
              <w:spacing w:line="380" w:lineRule="exact"/>
              <w:rPr>
                <w:rFonts w:hAnsi="宋体"/>
                <w:bCs/>
                <w:sz w:val="21"/>
                <w:szCs w:val="21"/>
              </w:rPr>
            </w:pPr>
            <w:r>
              <w:rPr>
                <w:rFonts w:hint="eastAsia" w:hAnsi="宋体"/>
                <w:bCs/>
                <w:sz w:val="21"/>
                <w:szCs w:val="21"/>
              </w:rPr>
              <w:t>2.2.8  走廊通道：天花板、灯罩、墙裙边、排风口清洁干净，无尘、无污、无网状物；墙壁及地脚线无尘土、无手印、无污渍；墙面悬挂物干净、无尘土；地面及摆放物品、文件柜、花盆等物体干净、无尘土，花盆通体干净，盆内无杂物。</w:t>
            </w:r>
          </w:p>
          <w:p w14:paraId="35568012">
            <w:pPr>
              <w:pStyle w:val="7"/>
              <w:spacing w:line="380" w:lineRule="exact"/>
              <w:rPr>
                <w:rFonts w:hAnsi="宋体"/>
                <w:bCs/>
                <w:sz w:val="21"/>
                <w:szCs w:val="21"/>
              </w:rPr>
            </w:pPr>
            <w:r>
              <w:rPr>
                <w:rFonts w:hint="eastAsia" w:hAnsi="宋体"/>
                <w:bCs/>
                <w:sz w:val="21"/>
                <w:szCs w:val="21"/>
              </w:rPr>
              <w:t xml:space="preserve">2.2.9  步行楼梯：步梯无杂物；楼梯扶手、玻璃双面、墙壁、不锈钢栏无手印和污渍。 </w:t>
            </w:r>
          </w:p>
          <w:p w14:paraId="226BA75B">
            <w:pPr>
              <w:pStyle w:val="7"/>
              <w:spacing w:line="380" w:lineRule="exact"/>
              <w:rPr>
                <w:rFonts w:hAnsi="宋体"/>
                <w:bCs/>
                <w:sz w:val="21"/>
                <w:szCs w:val="21"/>
              </w:rPr>
            </w:pPr>
            <w:r>
              <w:rPr>
                <w:rFonts w:hint="eastAsia" w:hAnsi="宋体"/>
                <w:bCs/>
                <w:sz w:val="21"/>
                <w:szCs w:val="21"/>
              </w:rPr>
              <w:t>2.2.10  地板保养： PVC地板正常情况下每半年打蜡一次，蜡面受损时及时打蜡、补蜡；大堂花岗岩地板每月抛光一次，每半年打蜡一次，打蜡费用另计，每平方米为7元。</w:t>
            </w:r>
          </w:p>
          <w:p w14:paraId="11BEAAFC">
            <w:pPr>
              <w:pStyle w:val="7"/>
              <w:spacing w:line="380" w:lineRule="exact"/>
              <w:rPr>
                <w:rFonts w:hAnsi="宋体"/>
                <w:bCs/>
                <w:sz w:val="21"/>
                <w:szCs w:val="21"/>
              </w:rPr>
            </w:pPr>
            <w:r>
              <w:rPr>
                <w:rFonts w:hint="eastAsia" w:hAnsi="宋体"/>
                <w:bCs/>
                <w:sz w:val="21"/>
                <w:szCs w:val="21"/>
              </w:rPr>
              <w:t>2.3供应室</w:t>
            </w:r>
          </w:p>
          <w:p w14:paraId="3B3B0F0D">
            <w:pPr>
              <w:pStyle w:val="7"/>
              <w:spacing w:line="380" w:lineRule="exact"/>
              <w:rPr>
                <w:rFonts w:hAnsi="宋体"/>
                <w:bCs/>
                <w:sz w:val="21"/>
                <w:szCs w:val="21"/>
              </w:rPr>
            </w:pPr>
            <w:r>
              <w:rPr>
                <w:rFonts w:hint="eastAsia" w:hAnsi="宋体"/>
                <w:bCs/>
                <w:sz w:val="21"/>
                <w:szCs w:val="21"/>
              </w:rPr>
              <w:t>房门及纱门无污渍；玻璃窗双面及窗口无手印、无污渍，窗帘每季度拆洗一次；地面光亮、无灰尘；天花板及照明设备表面光亮、无污渍；墙壁（包括踢脚板、空调出风口）无手印、无污渍；仪器、洗手台、无手印、无污渍；下送车、拖鞋及鞋框无污渍、无灰尘；紫外线灯每周擦拭一次。</w:t>
            </w:r>
          </w:p>
          <w:p w14:paraId="521716A0">
            <w:pPr>
              <w:pStyle w:val="7"/>
              <w:spacing w:line="380" w:lineRule="exact"/>
              <w:rPr>
                <w:rFonts w:hAnsi="宋体"/>
                <w:bCs/>
                <w:sz w:val="21"/>
                <w:szCs w:val="21"/>
              </w:rPr>
            </w:pPr>
            <w:r>
              <w:rPr>
                <w:rFonts w:hint="eastAsia" w:hAnsi="宋体"/>
                <w:bCs/>
                <w:sz w:val="21"/>
                <w:szCs w:val="21"/>
              </w:rPr>
              <w:t>2.4手术室</w:t>
            </w:r>
          </w:p>
          <w:p w14:paraId="12BD6F15">
            <w:pPr>
              <w:pStyle w:val="7"/>
              <w:spacing w:line="380" w:lineRule="exact"/>
              <w:rPr>
                <w:rFonts w:hAnsi="宋体"/>
                <w:bCs/>
                <w:sz w:val="21"/>
                <w:szCs w:val="21"/>
              </w:rPr>
            </w:pPr>
            <w:r>
              <w:rPr>
                <w:rFonts w:hint="eastAsia" w:hAnsi="宋体"/>
                <w:bCs/>
                <w:sz w:val="21"/>
                <w:szCs w:val="21"/>
              </w:rPr>
              <w:t>2.4.1  地板：拖把严格分区专用。（1）非限制区（污染区）：办公室、会议室、值班室、更衣室、更鞋室；（2）半非限制区（清洁区）：器械室、敷料室、洗涤室、手术间外走廊；（3）限制区（无菌区）手术间、洗手间、无菌贮物间、手术间内走廊。三个区域地面每天用500mg/L含氯消毒液湿拖地板两次，手术完毕后及时清理、消毒，无血迹等污渍、无灰尘。</w:t>
            </w:r>
          </w:p>
          <w:p w14:paraId="3481EB62">
            <w:pPr>
              <w:pStyle w:val="7"/>
              <w:spacing w:line="380" w:lineRule="exact"/>
              <w:rPr>
                <w:rFonts w:hAnsi="宋体"/>
                <w:bCs/>
                <w:sz w:val="21"/>
                <w:szCs w:val="21"/>
              </w:rPr>
            </w:pPr>
            <w:r>
              <w:rPr>
                <w:rFonts w:hint="eastAsia" w:hAnsi="宋体"/>
                <w:bCs/>
                <w:sz w:val="21"/>
                <w:szCs w:val="21"/>
              </w:rPr>
              <w:t>2.4.2  设备、设施、台面及桌椅：物体表面每天用500mg/L含氯消毒液一次，光亮无污渍、无灰尘。</w:t>
            </w:r>
          </w:p>
          <w:p w14:paraId="625BDBD4">
            <w:pPr>
              <w:pStyle w:val="7"/>
              <w:spacing w:line="380" w:lineRule="exact"/>
              <w:rPr>
                <w:rFonts w:hAnsi="宋体"/>
                <w:bCs/>
                <w:sz w:val="21"/>
                <w:szCs w:val="21"/>
              </w:rPr>
            </w:pPr>
            <w:r>
              <w:rPr>
                <w:rFonts w:hint="eastAsia" w:hAnsi="宋体"/>
                <w:bCs/>
                <w:sz w:val="21"/>
                <w:szCs w:val="21"/>
              </w:rPr>
              <w:t>2.4.3  玻璃窗双面及窗台：每天用专用工具湿擦两次，无污渍、无灰尘。</w:t>
            </w:r>
          </w:p>
          <w:p w14:paraId="70578356">
            <w:pPr>
              <w:pStyle w:val="7"/>
              <w:spacing w:line="380" w:lineRule="exact"/>
              <w:rPr>
                <w:rFonts w:hAnsi="宋体"/>
                <w:bCs/>
                <w:sz w:val="21"/>
                <w:szCs w:val="21"/>
              </w:rPr>
            </w:pPr>
            <w:r>
              <w:rPr>
                <w:rFonts w:hint="eastAsia" w:hAnsi="宋体"/>
                <w:bCs/>
                <w:sz w:val="21"/>
                <w:szCs w:val="21"/>
              </w:rPr>
              <w:t>2.4.4  墙壁（包括踢脚板、空调出风口）：无污渍、无灰尘。</w:t>
            </w:r>
          </w:p>
          <w:p w14:paraId="1AB366F1">
            <w:pPr>
              <w:pStyle w:val="7"/>
              <w:spacing w:line="380" w:lineRule="exact"/>
              <w:rPr>
                <w:rFonts w:hAnsi="宋体"/>
                <w:bCs/>
                <w:sz w:val="21"/>
                <w:szCs w:val="21"/>
              </w:rPr>
            </w:pPr>
            <w:r>
              <w:rPr>
                <w:rFonts w:hint="eastAsia" w:hAnsi="宋体"/>
                <w:bCs/>
                <w:sz w:val="21"/>
                <w:szCs w:val="21"/>
              </w:rPr>
              <w:t>2.4.5  工作鞋：每天清洗消毒一次，随脏随清洗消毒。</w:t>
            </w:r>
          </w:p>
          <w:p w14:paraId="13CDB976">
            <w:pPr>
              <w:pStyle w:val="7"/>
              <w:spacing w:line="380" w:lineRule="exact"/>
              <w:rPr>
                <w:rFonts w:hAnsi="宋体"/>
                <w:bCs/>
                <w:sz w:val="21"/>
                <w:szCs w:val="21"/>
              </w:rPr>
            </w:pPr>
            <w:r>
              <w:rPr>
                <w:rFonts w:hint="eastAsia" w:hAnsi="宋体"/>
                <w:bCs/>
                <w:sz w:val="21"/>
                <w:szCs w:val="21"/>
              </w:rPr>
              <w:t>2.5门诊部</w:t>
            </w:r>
          </w:p>
          <w:p w14:paraId="1C0F2CDF">
            <w:pPr>
              <w:pStyle w:val="7"/>
              <w:spacing w:line="380" w:lineRule="exact"/>
              <w:rPr>
                <w:rFonts w:hAnsi="宋体"/>
                <w:bCs/>
                <w:sz w:val="21"/>
                <w:szCs w:val="21"/>
              </w:rPr>
            </w:pPr>
            <w:r>
              <w:rPr>
                <w:rFonts w:hint="eastAsia" w:hAnsi="宋体"/>
                <w:bCs/>
                <w:sz w:val="21"/>
                <w:szCs w:val="21"/>
              </w:rPr>
              <w:t>2.5.1  抢救室、输液室、观察室：仪器表面每周用专用毛巾湿擦一次，抢救结束后用500mg/L含氯消毒液湿擦一次；输液架、轮椅、平车、电视机、电视架、输液室座椅、桌面、台面、柜子表面无污渍灰尘；输液杆表面每周用专用毛巾湿擦两次；地板无污渍、无杂物、无垃圾，随脏随拖；诊床每周更换两次床单，平时随脏随换；墙壁（包括踢脚板、空调出风口）：无污渍、无灰尘。</w:t>
            </w:r>
          </w:p>
          <w:p w14:paraId="58B061EF">
            <w:pPr>
              <w:pStyle w:val="7"/>
              <w:spacing w:line="380" w:lineRule="exact"/>
              <w:rPr>
                <w:rFonts w:hAnsi="宋体"/>
                <w:bCs/>
                <w:sz w:val="21"/>
                <w:szCs w:val="21"/>
              </w:rPr>
            </w:pPr>
            <w:r>
              <w:rPr>
                <w:rFonts w:hint="eastAsia" w:hAnsi="宋体"/>
                <w:bCs/>
                <w:sz w:val="21"/>
                <w:szCs w:val="21"/>
              </w:rPr>
              <w:t>2.5.2  救护车：物体表面每天用专用毛巾湿擦两次，如有出诊随时保洁。</w:t>
            </w:r>
          </w:p>
          <w:p w14:paraId="6802BC74">
            <w:pPr>
              <w:pStyle w:val="7"/>
              <w:spacing w:line="380" w:lineRule="exact"/>
              <w:rPr>
                <w:rFonts w:hAnsi="宋体"/>
                <w:bCs/>
                <w:sz w:val="21"/>
                <w:szCs w:val="21"/>
              </w:rPr>
            </w:pPr>
            <w:r>
              <w:rPr>
                <w:rFonts w:hint="eastAsia" w:hAnsi="宋体"/>
                <w:bCs/>
                <w:sz w:val="21"/>
                <w:szCs w:val="21"/>
              </w:rPr>
              <w:t>2.5.3  门急诊外科处置室、眼科、耳鼻喉科、妇科、外科、儿科、内科、胃镜室、妇科手术室：垃圾桶每天常规清理两次，如有特殊外伤病人随时清理；治疗车、柜子、桌子表面无污渍灰尘，随脏随擦，毛巾使用后用0.03%消佳净浸泡30分钟、洗衣粉清洗晾干后才能投入下次使用；治疗室玻璃窗、门、隔离玻璃表面光亮、无手印、无污渍，随脏随擦，毛巾使用后用0.03%消佳净消毒液浸泡30分钟、洗衣粉清洗晾干后才能投入下次使用；地板无污渍、无灰尘，随脏随拖；洗手水池（盆）无污渍；墙壁（包括踢脚板、空调出风口）：无污渍、无灰尘；治疗设备表面无污渍、无灰尘，随脏随清洁。</w:t>
            </w:r>
          </w:p>
          <w:p w14:paraId="04F4A47E">
            <w:pPr>
              <w:pStyle w:val="7"/>
              <w:spacing w:line="380" w:lineRule="exact"/>
              <w:rPr>
                <w:rFonts w:hAnsi="宋体"/>
                <w:bCs/>
                <w:sz w:val="21"/>
                <w:szCs w:val="21"/>
              </w:rPr>
            </w:pPr>
            <w:r>
              <w:rPr>
                <w:rFonts w:hint="eastAsia" w:hAnsi="宋体"/>
                <w:bCs/>
                <w:sz w:val="21"/>
                <w:szCs w:val="21"/>
              </w:rPr>
              <w:t>2.5.4  抽血室、各诊室、体检中心、胃镜室、病案室：更衣室、医生护士值班室：地板无污渍，随脏随拖；玻璃窗双面及窗口无手印、无污渍；墙壁（包括踢脚板、空调出风口）：无污渍、无灰尘；柜、台面物体表面无污渍灰尘；电脑、显示器、键盘物体表面无污渍灰尘；洗手池及镜面无污渍、光亮。</w:t>
            </w:r>
          </w:p>
          <w:p w14:paraId="1F63306E">
            <w:pPr>
              <w:pStyle w:val="7"/>
              <w:spacing w:line="380" w:lineRule="exact"/>
              <w:rPr>
                <w:rFonts w:hAnsi="宋体"/>
                <w:bCs/>
                <w:sz w:val="21"/>
                <w:szCs w:val="21"/>
              </w:rPr>
            </w:pPr>
            <w:r>
              <w:rPr>
                <w:rFonts w:hint="eastAsia" w:hAnsi="宋体"/>
                <w:bCs/>
                <w:sz w:val="21"/>
                <w:szCs w:val="21"/>
              </w:rPr>
              <w:t>2.5.5  卫生间：每天常规清洗六次（上班、中途、下班）平时随脏随保洁，无臭味，无污渍。</w:t>
            </w:r>
          </w:p>
          <w:p w14:paraId="79F2F080">
            <w:pPr>
              <w:pStyle w:val="7"/>
              <w:spacing w:line="380" w:lineRule="exact"/>
              <w:rPr>
                <w:rFonts w:hAnsi="宋体"/>
                <w:bCs/>
                <w:sz w:val="21"/>
                <w:szCs w:val="21"/>
              </w:rPr>
            </w:pPr>
            <w:r>
              <w:rPr>
                <w:rFonts w:hint="eastAsia" w:hAnsi="宋体"/>
                <w:bCs/>
                <w:sz w:val="21"/>
                <w:szCs w:val="21"/>
              </w:rPr>
              <w:t>2.5.6  门诊大厅：天花板及照明设备表面光亮无污渍；地面光亮无尘、无污渍；玻璃门窗光亮、无手印、无污渍；广告、指示牌及开关无手印、无污渍、值班台光亮、无手印、无污渍；值班台无手印、无污渍、光亮。</w:t>
            </w:r>
          </w:p>
          <w:p w14:paraId="5FCCD8D0">
            <w:pPr>
              <w:pStyle w:val="7"/>
              <w:spacing w:line="380" w:lineRule="exact"/>
              <w:rPr>
                <w:rFonts w:hAnsi="宋体"/>
                <w:bCs/>
                <w:sz w:val="21"/>
                <w:szCs w:val="21"/>
              </w:rPr>
            </w:pPr>
            <w:r>
              <w:rPr>
                <w:rFonts w:hint="eastAsia" w:hAnsi="宋体"/>
                <w:bCs/>
                <w:sz w:val="21"/>
                <w:szCs w:val="21"/>
              </w:rPr>
              <w:t>2.5.7  抢救室门前：地面无污渍、无垃圾、无灰尘。</w:t>
            </w:r>
          </w:p>
          <w:p w14:paraId="6DFA261E">
            <w:pPr>
              <w:pStyle w:val="7"/>
              <w:spacing w:line="380" w:lineRule="exact"/>
              <w:rPr>
                <w:rFonts w:hAnsi="宋体"/>
                <w:bCs/>
                <w:sz w:val="21"/>
                <w:szCs w:val="21"/>
              </w:rPr>
            </w:pPr>
            <w:r>
              <w:rPr>
                <w:rFonts w:hint="eastAsia" w:hAnsi="宋体"/>
                <w:bCs/>
                <w:sz w:val="21"/>
                <w:szCs w:val="21"/>
              </w:rPr>
              <w:t>2.5.8  口腔科：玻璃门、窗、桌子无手印、无污渍、灰尘；地板地面光亮无尘、无污渍；洗手池及镜面无手印、无污渍、光亮；诊室、技工室、消毒室、X光室地面每天下班前用500mg/L含氯消毒液湿拖一次，无污渍、无灰尘；墙壁（包括踢脚板、空调出风口）：无污渍、无灰尘；治疗椅子底部、台面、照明灯罩（管）每天下班前用专用毛巾湿擦一次，无污渍、无灰尘；痰盂每天用刷子配合消毒剂刷洗两次，随脏随消毒；X光机表面无污渍、无灰尘。</w:t>
            </w:r>
          </w:p>
          <w:p w14:paraId="13988D5C">
            <w:pPr>
              <w:pStyle w:val="7"/>
              <w:spacing w:line="380" w:lineRule="exact"/>
              <w:rPr>
                <w:rFonts w:hAnsi="宋体"/>
                <w:bCs/>
                <w:sz w:val="21"/>
                <w:szCs w:val="21"/>
              </w:rPr>
            </w:pPr>
            <w:r>
              <w:rPr>
                <w:rFonts w:hint="eastAsia" w:hAnsi="宋体"/>
                <w:bCs/>
                <w:sz w:val="21"/>
                <w:szCs w:val="21"/>
              </w:rPr>
              <w:t>2.5.9  职工活动室：地板地面光亮、无灰尘；洗手池及镜面无手印、无污渍；墙面、踢脚线、隔断玻璃门窗无污渍、无手印；台面及桌椅无污渍、无灰尘。</w:t>
            </w:r>
          </w:p>
          <w:p w14:paraId="6312EB09">
            <w:pPr>
              <w:pStyle w:val="7"/>
              <w:spacing w:line="380" w:lineRule="exact"/>
              <w:rPr>
                <w:rFonts w:hAnsi="宋体"/>
                <w:bCs/>
                <w:sz w:val="21"/>
                <w:szCs w:val="21"/>
              </w:rPr>
            </w:pPr>
            <w:r>
              <w:rPr>
                <w:rFonts w:hint="eastAsia" w:hAnsi="宋体"/>
                <w:bCs/>
                <w:sz w:val="21"/>
                <w:szCs w:val="21"/>
              </w:rPr>
              <w:t>2.6 康复治疗区</w:t>
            </w:r>
          </w:p>
          <w:p w14:paraId="04A65F94">
            <w:pPr>
              <w:pStyle w:val="7"/>
              <w:spacing w:line="380" w:lineRule="exact"/>
              <w:rPr>
                <w:rFonts w:hAnsi="宋体"/>
                <w:bCs/>
                <w:sz w:val="21"/>
                <w:szCs w:val="21"/>
              </w:rPr>
            </w:pPr>
            <w:r>
              <w:rPr>
                <w:rFonts w:hint="eastAsia" w:hAnsi="宋体"/>
                <w:bCs/>
                <w:sz w:val="21"/>
                <w:szCs w:val="21"/>
              </w:rPr>
              <w:t>2.6.1  办公室：地板地面光亮、无灰尘；洗手池及镜面无手印、无污渍；墙面、踢脚线、隔断玻璃门窗无污渍、无手印；电脑、主机、键盘无污渍、无灰尘；台面及桌椅无污渍、无灰尘。</w:t>
            </w:r>
          </w:p>
          <w:p w14:paraId="5D18E9F7">
            <w:pPr>
              <w:pStyle w:val="7"/>
              <w:spacing w:line="380" w:lineRule="exact"/>
              <w:rPr>
                <w:rFonts w:hAnsi="宋体"/>
                <w:bCs/>
                <w:sz w:val="21"/>
                <w:szCs w:val="21"/>
              </w:rPr>
            </w:pPr>
            <w:r>
              <w:rPr>
                <w:rFonts w:hint="eastAsia" w:hAnsi="宋体"/>
                <w:bCs/>
                <w:sz w:val="21"/>
                <w:szCs w:val="21"/>
              </w:rPr>
              <w:t>2.6.2  更衣室：地板地面光亮、无灰尘；柜台无污渍、无灰尘。</w:t>
            </w:r>
          </w:p>
          <w:p w14:paraId="7B896E39">
            <w:pPr>
              <w:pStyle w:val="7"/>
              <w:spacing w:line="380" w:lineRule="exact"/>
              <w:rPr>
                <w:rFonts w:hAnsi="宋体"/>
                <w:bCs/>
                <w:sz w:val="21"/>
                <w:szCs w:val="21"/>
              </w:rPr>
            </w:pPr>
            <w:r>
              <w:rPr>
                <w:rFonts w:hint="eastAsia" w:hAnsi="宋体"/>
                <w:bCs/>
                <w:sz w:val="21"/>
                <w:szCs w:val="21"/>
              </w:rPr>
              <w:t>2.6.3  治疗室：房门及纱门无污渍、无灰尘；玻璃窗双面及窗台无手印、无污渍。墙壁、踢脚板（包括空调出风口）无手印、无污渍；治疗仪器、电视机及装备无污渍、无灰尘；卫生间、洗手台无臭味，无污渍、无手印，便池随脏随清洗消毒。</w:t>
            </w:r>
          </w:p>
          <w:p w14:paraId="485441E9">
            <w:pPr>
              <w:pStyle w:val="7"/>
              <w:spacing w:line="380" w:lineRule="exact"/>
              <w:rPr>
                <w:rFonts w:hAnsi="宋体"/>
                <w:bCs/>
                <w:sz w:val="21"/>
                <w:szCs w:val="21"/>
              </w:rPr>
            </w:pPr>
            <w:r>
              <w:rPr>
                <w:rFonts w:hint="eastAsia" w:hAnsi="宋体"/>
                <w:bCs/>
                <w:sz w:val="21"/>
                <w:szCs w:val="21"/>
              </w:rPr>
              <w:t>2.6.4  窗帘、理疗室治疗垫、地毯：窗帘每季度拆洗一次，随脏随洗治疗垫每天清洗消毒一次，地毯每月清洗一次。</w:t>
            </w:r>
          </w:p>
          <w:p w14:paraId="100BFD52">
            <w:pPr>
              <w:pStyle w:val="7"/>
              <w:spacing w:line="380" w:lineRule="exact"/>
              <w:rPr>
                <w:rFonts w:hAnsi="宋体"/>
                <w:bCs/>
                <w:sz w:val="21"/>
                <w:szCs w:val="21"/>
              </w:rPr>
            </w:pPr>
            <w:r>
              <w:rPr>
                <w:rFonts w:hint="eastAsia" w:hAnsi="宋体"/>
                <w:bCs/>
                <w:sz w:val="21"/>
                <w:szCs w:val="21"/>
              </w:rPr>
              <w:t>2.7医学影像科、胃镜室、功能科</w:t>
            </w:r>
          </w:p>
          <w:p w14:paraId="71103EDC">
            <w:pPr>
              <w:pStyle w:val="7"/>
              <w:spacing w:line="380" w:lineRule="exact"/>
              <w:rPr>
                <w:rFonts w:hAnsi="宋体"/>
                <w:bCs/>
                <w:sz w:val="21"/>
                <w:szCs w:val="21"/>
              </w:rPr>
            </w:pPr>
            <w:r>
              <w:rPr>
                <w:rFonts w:hint="eastAsia" w:hAnsi="宋体"/>
                <w:bCs/>
                <w:sz w:val="21"/>
                <w:szCs w:val="21"/>
              </w:rPr>
              <w:t>2.7.1  地板、地毯：每天两次湿拖，无污渍、无灰尘，随脏随保洁；拖把使用后用0.03%消佳净消毒液浸泡30分钟、洗衣粉清洗晾干后才能投入下次使用。地毯每月清洗一次，无污渍。</w:t>
            </w:r>
          </w:p>
          <w:p w14:paraId="7E2BF4A6">
            <w:pPr>
              <w:pStyle w:val="7"/>
              <w:spacing w:line="380" w:lineRule="exact"/>
              <w:rPr>
                <w:rFonts w:hAnsi="宋体"/>
                <w:bCs/>
                <w:sz w:val="21"/>
                <w:szCs w:val="21"/>
              </w:rPr>
            </w:pPr>
            <w:r>
              <w:rPr>
                <w:rFonts w:hint="eastAsia" w:hAnsi="宋体"/>
                <w:bCs/>
                <w:sz w:val="21"/>
                <w:szCs w:val="21"/>
              </w:rPr>
              <w:t>2.7.2  地板保养：PVC地板正常情况下每半年打蜡一次，蜡面受损时及时打蜡、补蜡；大堂花岗岩地板每月抛光一次，每半年打蜡一次。打蜡费用另计，每平方米为7元。</w:t>
            </w:r>
          </w:p>
          <w:p w14:paraId="3F7E9F4C">
            <w:pPr>
              <w:pStyle w:val="7"/>
              <w:spacing w:line="380" w:lineRule="exact"/>
              <w:rPr>
                <w:rFonts w:hAnsi="宋体"/>
                <w:bCs/>
                <w:sz w:val="21"/>
                <w:szCs w:val="21"/>
              </w:rPr>
            </w:pPr>
            <w:r>
              <w:rPr>
                <w:rFonts w:hint="eastAsia" w:hAnsi="宋体"/>
                <w:bCs/>
                <w:sz w:val="21"/>
                <w:szCs w:val="21"/>
              </w:rPr>
              <w:t>2.7.3设备设施：物体表面无污渍灰尘；不锈钢设施每周用不锈钢保护剂清洁保养一次，无锈迹。</w:t>
            </w:r>
          </w:p>
          <w:p w14:paraId="75115EB3">
            <w:pPr>
              <w:pStyle w:val="7"/>
              <w:spacing w:line="380" w:lineRule="exact"/>
              <w:rPr>
                <w:rFonts w:hAnsi="宋体"/>
                <w:bCs/>
                <w:sz w:val="21"/>
                <w:szCs w:val="21"/>
              </w:rPr>
            </w:pPr>
            <w:r>
              <w:rPr>
                <w:rFonts w:hint="eastAsia" w:hAnsi="宋体"/>
                <w:bCs/>
                <w:sz w:val="21"/>
                <w:szCs w:val="21"/>
              </w:rPr>
              <w:t>2.7.4  天花板及照明设备：表面光亮无污渍、灰尘。</w:t>
            </w:r>
          </w:p>
          <w:p w14:paraId="731307CA">
            <w:pPr>
              <w:pStyle w:val="7"/>
              <w:spacing w:line="380" w:lineRule="exact"/>
              <w:rPr>
                <w:rFonts w:hAnsi="宋体"/>
                <w:bCs/>
                <w:sz w:val="21"/>
                <w:szCs w:val="21"/>
              </w:rPr>
            </w:pPr>
            <w:r>
              <w:rPr>
                <w:rFonts w:hint="eastAsia" w:hAnsi="宋体"/>
                <w:bCs/>
                <w:sz w:val="21"/>
                <w:szCs w:val="21"/>
              </w:rPr>
              <w:t>2.7.5  氧舱、舱内架：舱内治疗结束后及时清洁，每月用500mg/L含氯消毒液湿擦一次，并行空气消毒。</w:t>
            </w:r>
          </w:p>
          <w:p w14:paraId="2291F3E2">
            <w:pPr>
              <w:pStyle w:val="7"/>
              <w:spacing w:line="380" w:lineRule="exact"/>
              <w:rPr>
                <w:rFonts w:hAnsi="宋体"/>
                <w:bCs/>
                <w:sz w:val="21"/>
                <w:szCs w:val="21"/>
              </w:rPr>
            </w:pPr>
            <w:r>
              <w:rPr>
                <w:rFonts w:hint="eastAsia" w:hAnsi="宋体"/>
                <w:bCs/>
                <w:sz w:val="21"/>
                <w:szCs w:val="21"/>
              </w:rPr>
              <w:t>2.7.6  墙面及玻璃门窗：玻璃窗双面及窗台无手印、无污渍；墙壁、踢脚板（包括空调出风口）无手印、无污渍；窗帘每季度拆洗一次，随脏随洗。</w:t>
            </w:r>
          </w:p>
          <w:p w14:paraId="59D7272E">
            <w:pPr>
              <w:pStyle w:val="7"/>
              <w:spacing w:line="380" w:lineRule="exact"/>
              <w:rPr>
                <w:rFonts w:hAnsi="宋体"/>
                <w:bCs/>
                <w:sz w:val="21"/>
                <w:szCs w:val="21"/>
              </w:rPr>
            </w:pPr>
            <w:r>
              <w:rPr>
                <w:rFonts w:hint="eastAsia" w:hAnsi="宋体"/>
                <w:bCs/>
                <w:sz w:val="21"/>
                <w:szCs w:val="21"/>
              </w:rPr>
              <w:t>2.7.7  痰盂：每天用刷子配合消毒清洁剂刷洗一次，光亮无污渍。</w:t>
            </w:r>
          </w:p>
          <w:p w14:paraId="7F414370">
            <w:pPr>
              <w:pStyle w:val="7"/>
              <w:spacing w:line="380" w:lineRule="exact"/>
              <w:rPr>
                <w:rFonts w:hAnsi="宋体"/>
                <w:bCs/>
                <w:sz w:val="21"/>
                <w:szCs w:val="21"/>
              </w:rPr>
            </w:pPr>
            <w:r>
              <w:rPr>
                <w:rFonts w:hint="eastAsia" w:hAnsi="宋体"/>
                <w:bCs/>
                <w:sz w:val="21"/>
                <w:szCs w:val="21"/>
              </w:rPr>
              <w:t>2.7.8  桌面、凳子：每天用专用毛巾擦拭，使用杀菌消毒清洁剂清除污渍、消毒。</w:t>
            </w:r>
          </w:p>
          <w:p w14:paraId="1AF94EAC">
            <w:pPr>
              <w:pStyle w:val="7"/>
              <w:spacing w:line="380" w:lineRule="exact"/>
              <w:rPr>
                <w:rFonts w:hAnsi="宋体"/>
                <w:bCs/>
                <w:sz w:val="21"/>
                <w:szCs w:val="21"/>
              </w:rPr>
            </w:pPr>
            <w:r>
              <w:rPr>
                <w:rFonts w:hint="eastAsia" w:hAnsi="宋体"/>
                <w:bCs/>
                <w:sz w:val="21"/>
                <w:szCs w:val="21"/>
              </w:rPr>
              <w:t>2.7.9  洗手池、卫生间：洗手池用专用手巾擦拭，光亮无污渍；卫生间无臭味，无污渍，便池随脏随清洁、消毒。</w:t>
            </w:r>
          </w:p>
          <w:p w14:paraId="0AFBBF11">
            <w:pPr>
              <w:pStyle w:val="7"/>
              <w:spacing w:line="380" w:lineRule="exact"/>
              <w:rPr>
                <w:rFonts w:hAnsi="宋体"/>
                <w:bCs/>
                <w:sz w:val="21"/>
                <w:szCs w:val="21"/>
              </w:rPr>
            </w:pPr>
            <w:r>
              <w:rPr>
                <w:rFonts w:hint="eastAsia" w:hAnsi="宋体"/>
                <w:bCs/>
                <w:sz w:val="21"/>
                <w:szCs w:val="21"/>
              </w:rPr>
              <w:t>2.7.10  照片床、片盒、片架：每天用专用毛巾擦拭一次，使用后用清洁消毒剂清洁消毒，干燥备用，无污渍、灰尘。</w:t>
            </w:r>
          </w:p>
          <w:p w14:paraId="502B56E8">
            <w:pPr>
              <w:pStyle w:val="7"/>
              <w:spacing w:line="380" w:lineRule="exact"/>
              <w:rPr>
                <w:rFonts w:hAnsi="宋体"/>
                <w:bCs/>
                <w:sz w:val="21"/>
                <w:szCs w:val="21"/>
              </w:rPr>
            </w:pPr>
            <w:r>
              <w:rPr>
                <w:rFonts w:hint="eastAsia" w:hAnsi="宋体"/>
                <w:bCs/>
                <w:sz w:val="21"/>
                <w:szCs w:val="21"/>
              </w:rPr>
              <w:t>2.7.11  片箱、柜子：无污渍、无灰尘。</w:t>
            </w:r>
          </w:p>
          <w:p w14:paraId="1BC2CB80">
            <w:pPr>
              <w:pStyle w:val="7"/>
              <w:spacing w:line="380" w:lineRule="exact"/>
              <w:rPr>
                <w:rFonts w:hAnsi="宋体"/>
                <w:bCs/>
                <w:sz w:val="21"/>
                <w:szCs w:val="21"/>
              </w:rPr>
            </w:pPr>
            <w:r>
              <w:rPr>
                <w:rFonts w:hint="eastAsia" w:hAnsi="宋体"/>
                <w:bCs/>
                <w:sz w:val="21"/>
                <w:szCs w:val="21"/>
              </w:rPr>
              <w:t>2.7.12  步行楼梯、电梯：楼梯通道地面无污渍、无杂物、无垃圾，随脏随拖；楼梯扶手无手印、无污渍；玻璃双面及窗台光亮，无水印、无污渍；墙壁、地脚线无手印、无污渍；不锈钢扶栏无手印、无污渍。</w:t>
            </w:r>
          </w:p>
          <w:p w14:paraId="711B5F88">
            <w:pPr>
              <w:pStyle w:val="7"/>
              <w:spacing w:line="380" w:lineRule="exact"/>
              <w:rPr>
                <w:rFonts w:hAnsi="宋体"/>
                <w:bCs/>
                <w:sz w:val="21"/>
                <w:szCs w:val="21"/>
              </w:rPr>
            </w:pPr>
            <w:r>
              <w:rPr>
                <w:rFonts w:hint="eastAsia" w:hAnsi="宋体"/>
                <w:bCs/>
                <w:sz w:val="21"/>
                <w:szCs w:val="21"/>
              </w:rPr>
              <w:t>2.8药剂科（中心药房、药库、物资仓库、西药库、中药房、西药房）</w:t>
            </w:r>
          </w:p>
          <w:p w14:paraId="21CC40CA">
            <w:pPr>
              <w:pStyle w:val="7"/>
              <w:spacing w:line="380" w:lineRule="exact"/>
              <w:rPr>
                <w:rFonts w:hAnsi="宋体"/>
                <w:bCs/>
                <w:sz w:val="21"/>
                <w:szCs w:val="21"/>
              </w:rPr>
            </w:pPr>
            <w:r>
              <w:rPr>
                <w:rFonts w:hint="eastAsia" w:hAnsi="宋体"/>
                <w:bCs/>
                <w:sz w:val="21"/>
                <w:szCs w:val="21"/>
              </w:rPr>
              <w:t>2.8.1  洗手池及镜面：洗手池每天用专用毛巾擦拭，无污渍、手印；镜面无水印、无污渍。</w:t>
            </w:r>
          </w:p>
          <w:p w14:paraId="608F3E6E">
            <w:pPr>
              <w:pStyle w:val="7"/>
              <w:spacing w:line="380" w:lineRule="exact"/>
              <w:rPr>
                <w:rFonts w:hAnsi="宋体"/>
                <w:bCs/>
                <w:sz w:val="21"/>
                <w:szCs w:val="21"/>
              </w:rPr>
            </w:pPr>
            <w:r>
              <w:rPr>
                <w:rFonts w:hint="eastAsia" w:hAnsi="宋体"/>
                <w:bCs/>
                <w:sz w:val="21"/>
                <w:szCs w:val="21"/>
              </w:rPr>
              <w:t>2.8.2  墙面、隔断玻璃窗、踢脚板（包括空调出风口）：无手印、无污渍。窗帘每半年拆洗一次。</w:t>
            </w:r>
          </w:p>
          <w:p w14:paraId="58559355">
            <w:pPr>
              <w:pStyle w:val="7"/>
              <w:spacing w:line="380" w:lineRule="exact"/>
              <w:rPr>
                <w:rFonts w:hAnsi="宋体"/>
                <w:bCs/>
                <w:sz w:val="21"/>
                <w:szCs w:val="21"/>
              </w:rPr>
            </w:pPr>
            <w:r>
              <w:rPr>
                <w:rFonts w:hint="eastAsia" w:hAnsi="宋体"/>
                <w:bCs/>
                <w:sz w:val="21"/>
                <w:szCs w:val="21"/>
              </w:rPr>
              <w:t>2.8.3  电脑、主机、键盘：每天用专用手巾擦拭清洁一次，物体表面无污渍灰尘。</w:t>
            </w:r>
          </w:p>
          <w:p w14:paraId="26CEBB37">
            <w:pPr>
              <w:pStyle w:val="7"/>
              <w:spacing w:line="380" w:lineRule="exact"/>
              <w:rPr>
                <w:rFonts w:hAnsi="宋体"/>
                <w:bCs/>
                <w:sz w:val="21"/>
                <w:szCs w:val="21"/>
              </w:rPr>
            </w:pPr>
            <w:r>
              <w:rPr>
                <w:rFonts w:hint="eastAsia" w:hAnsi="宋体"/>
                <w:bCs/>
                <w:sz w:val="21"/>
                <w:szCs w:val="21"/>
              </w:rPr>
              <w:t>2.8.4  台面及桌椅：每天用专用毛巾擦拭消毒二次，物体表面光亮，无污渍、灰尘。</w:t>
            </w:r>
          </w:p>
          <w:p w14:paraId="7F53B87F">
            <w:pPr>
              <w:pStyle w:val="7"/>
              <w:spacing w:line="380" w:lineRule="exact"/>
              <w:rPr>
                <w:rFonts w:hAnsi="宋体"/>
                <w:bCs/>
                <w:sz w:val="21"/>
                <w:szCs w:val="21"/>
              </w:rPr>
            </w:pPr>
            <w:r>
              <w:rPr>
                <w:rFonts w:hint="eastAsia" w:hAnsi="宋体"/>
                <w:bCs/>
                <w:sz w:val="21"/>
                <w:szCs w:val="21"/>
              </w:rPr>
              <w:t>2.8.5  房门及纱门：每天用专用手巾擦拭清洁一次，无污渍、无灰尘。</w:t>
            </w:r>
          </w:p>
          <w:p w14:paraId="0C51E146">
            <w:pPr>
              <w:pStyle w:val="7"/>
              <w:spacing w:line="380" w:lineRule="exact"/>
              <w:rPr>
                <w:rFonts w:hAnsi="宋体"/>
                <w:bCs/>
                <w:sz w:val="21"/>
                <w:szCs w:val="21"/>
              </w:rPr>
            </w:pPr>
            <w:r>
              <w:rPr>
                <w:rFonts w:hint="eastAsia" w:hAnsi="宋体"/>
                <w:bCs/>
                <w:sz w:val="21"/>
                <w:szCs w:val="21"/>
              </w:rPr>
              <w:t>2.8.6  玻璃窗双面及窗台：每天用专用手巾擦拭清洁一次，无手印、无污渍。</w:t>
            </w:r>
          </w:p>
          <w:p w14:paraId="59E94F2A">
            <w:pPr>
              <w:pStyle w:val="7"/>
              <w:spacing w:line="380" w:lineRule="exact"/>
              <w:rPr>
                <w:rFonts w:hAnsi="宋体"/>
                <w:bCs/>
                <w:sz w:val="21"/>
                <w:szCs w:val="21"/>
              </w:rPr>
            </w:pPr>
            <w:r>
              <w:rPr>
                <w:rFonts w:hint="eastAsia" w:hAnsi="宋体"/>
                <w:bCs/>
                <w:sz w:val="21"/>
                <w:szCs w:val="21"/>
              </w:rPr>
              <w:t>2.8.7  发药窗口：每天用专用手巾擦拭清洁一次，光亮无污渍、无灰尘。</w:t>
            </w:r>
          </w:p>
          <w:p w14:paraId="012E0275">
            <w:pPr>
              <w:pStyle w:val="7"/>
              <w:spacing w:line="380" w:lineRule="exact"/>
              <w:rPr>
                <w:rFonts w:hAnsi="宋体"/>
                <w:bCs/>
                <w:sz w:val="21"/>
                <w:szCs w:val="21"/>
              </w:rPr>
            </w:pPr>
            <w:r>
              <w:rPr>
                <w:rFonts w:hint="eastAsia" w:hAnsi="宋体"/>
                <w:bCs/>
                <w:sz w:val="21"/>
                <w:szCs w:val="21"/>
              </w:rPr>
              <w:t>2.8.8  天花板及照明设备：表面光亮无污渍、灰尘。</w:t>
            </w:r>
          </w:p>
          <w:p w14:paraId="35E9BE7A">
            <w:pPr>
              <w:pStyle w:val="7"/>
              <w:spacing w:line="380" w:lineRule="exact"/>
              <w:rPr>
                <w:rFonts w:hAnsi="宋体"/>
                <w:bCs/>
                <w:sz w:val="21"/>
                <w:szCs w:val="21"/>
              </w:rPr>
            </w:pPr>
            <w:r>
              <w:rPr>
                <w:rFonts w:hint="eastAsia" w:hAnsi="宋体"/>
                <w:bCs/>
                <w:sz w:val="21"/>
                <w:szCs w:val="21"/>
              </w:rPr>
              <w:t>2.8.9  药架：每天用专用手巾擦拭清洁一次，光亮无污渍、无灰尘。</w:t>
            </w:r>
          </w:p>
          <w:p w14:paraId="5B24CE26">
            <w:pPr>
              <w:pStyle w:val="7"/>
              <w:spacing w:line="380" w:lineRule="exact"/>
              <w:rPr>
                <w:rFonts w:hAnsi="宋体"/>
                <w:bCs/>
                <w:sz w:val="21"/>
                <w:szCs w:val="21"/>
              </w:rPr>
            </w:pPr>
            <w:r>
              <w:rPr>
                <w:rFonts w:hint="eastAsia" w:hAnsi="宋体"/>
                <w:bCs/>
                <w:sz w:val="21"/>
                <w:szCs w:val="21"/>
              </w:rPr>
              <w:t>2.9共性消毒要求</w:t>
            </w:r>
          </w:p>
          <w:p w14:paraId="3722F339">
            <w:pPr>
              <w:pStyle w:val="7"/>
              <w:spacing w:line="380" w:lineRule="exact"/>
              <w:rPr>
                <w:rFonts w:hAnsi="宋体"/>
                <w:bCs/>
                <w:sz w:val="21"/>
                <w:szCs w:val="21"/>
              </w:rPr>
            </w:pPr>
            <w:r>
              <w:rPr>
                <w:rFonts w:hint="eastAsia" w:hAnsi="宋体"/>
                <w:bCs/>
                <w:sz w:val="21"/>
                <w:szCs w:val="21"/>
              </w:rPr>
              <w:t>2.9.1  观察室、抢救室、治疗室、重症监护室空气消毒同诊室的消毒，地面湿式清扫，保持清洁，遇污染时随时消毒。</w:t>
            </w:r>
          </w:p>
          <w:p w14:paraId="28D8EBF4">
            <w:pPr>
              <w:pStyle w:val="7"/>
              <w:spacing w:line="380" w:lineRule="exact"/>
              <w:rPr>
                <w:rFonts w:hAnsi="宋体"/>
                <w:bCs/>
                <w:sz w:val="21"/>
                <w:szCs w:val="21"/>
              </w:rPr>
            </w:pPr>
            <w:r>
              <w:rPr>
                <w:rFonts w:hint="eastAsia" w:hAnsi="宋体"/>
                <w:bCs/>
                <w:sz w:val="21"/>
                <w:szCs w:val="21"/>
              </w:rPr>
              <w:t>2.9.2  床头柜一桌一抹布，用后用有效氯500mg/L的含氯消毒剂浸泡消毒，每日擦拭2次，即要求一桌一抹布，一用一消毒，病人出院、转归随时清洁消毒。</w:t>
            </w:r>
          </w:p>
          <w:p w14:paraId="51B25E07">
            <w:pPr>
              <w:pStyle w:val="7"/>
              <w:spacing w:line="380" w:lineRule="exact"/>
              <w:rPr>
                <w:rFonts w:hAnsi="宋体"/>
                <w:bCs/>
                <w:sz w:val="21"/>
                <w:szCs w:val="21"/>
              </w:rPr>
            </w:pPr>
            <w:r>
              <w:rPr>
                <w:rFonts w:hint="eastAsia" w:hAnsi="宋体"/>
                <w:bCs/>
                <w:sz w:val="21"/>
                <w:szCs w:val="21"/>
              </w:rPr>
              <w:t>2.9.3  诊察床、诊桌、平车、轮椅每日消毒1—2次，被血液、体液污染时及时用有效氯500mg/L的含氯消毒液消毒。</w:t>
            </w:r>
          </w:p>
          <w:p w14:paraId="0B4ABE18">
            <w:pPr>
              <w:pStyle w:val="7"/>
              <w:spacing w:line="380" w:lineRule="exact"/>
              <w:rPr>
                <w:rFonts w:hAnsi="宋体"/>
                <w:bCs/>
                <w:sz w:val="21"/>
                <w:szCs w:val="21"/>
              </w:rPr>
            </w:pPr>
            <w:r>
              <w:rPr>
                <w:rFonts w:hint="eastAsia" w:hAnsi="宋体"/>
                <w:bCs/>
                <w:sz w:val="21"/>
                <w:szCs w:val="21"/>
              </w:rPr>
              <w:t>2.9.4  卫生洁具分开使用，治疗室、办公室、病房、厕所分别设置专用拖布，标记明确，分开清洗，用后消毒，悬挂晾干备用。</w:t>
            </w:r>
          </w:p>
          <w:p w14:paraId="2C045800">
            <w:pPr>
              <w:pStyle w:val="7"/>
              <w:spacing w:line="380" w:lineRule="exact"/>
              <w:rPr>
                <w:rFonts w:hAnsi="宋体"/>
                <w:bCs/>
                <w:sz w:val="21"/>
                <w:szCs w:val="21"/>
              </w:rPr>
            </w:pPr>
            <w:r>
              <w:rPr>
                <w:rFonts w:hint="eastAsia" w:hAnsi="宋体"/>
                <w:bCs/>
                <w:sz w:val="21"/>
                <w:szCs w:val="21"/>
              </w:rPr>
              <w:t>2.9.5  特殊保洁场所要求配备专用清洁工具，即一室一拖把，一桌一抹布，用后立即清洗消毒。</w:t>
            </w:r>
          </w:p>
          <w:p w14:paraId="56958CDC">
            <w:pPr>
              <w:pStyle w:val="7"/>
              <w:spacing w:line="380" w:lineRule="exact"/>
              <w:rPr>
                <w:rFonts w:hAnsi="宋体"/>
                <w:bCs/>
                <w:sz w:val="21"/>
                <w:szCs w:val="21"/>
              </w:rPr>
            </w:pPr>
            <w:r>
              <w:rPr>
                <w:rFonts w:hint="eastAsia" w:hAnsi="宋体"/>
                <w:bCs/>
                <w:sz w:val="21"/>
                <w:szCs w:val="21"/>
              </w:rPr>
              <w:t xml:space="preserve">2.9.6  要有正规的清洁车，避免保洁用品乱放消毒各种清洁用具分区固定使用， </w:t>
            </w:r>
          </w:p>
          <w:p w14:paraId="1F173638">
            <w:pPr>
              <w:pStyle w:val="7"/>
              <w:spacing w:line="380" w:lineRule="exact"/>
              <w:rPr>
                <w:rFonts w:hAnsi="宋体"/>
                <w:bCs/>
                <w:sz w:val="21"/>
                <w:szCs w:val="21"/>
              </w:rPr>
            </w:pPr>
            <w:r>
              <w:rPr>
                <w:rFonts w:hint="eastAsia" w:hAnsi="宋体"/>
                <w:bCs/>
                <w:sz w:val="21"/>
                <w:szCs w:val="21"/>
              </w:rPr>
              <w:t>2.9.7  生活垃圾置黑色塑料袋内，医疗垃圾置黄色垃圾袋运至指定地点（医疗废物暂存间），医疗废物暂存间每天地面清洁、消毒一次，紫外线照射1小时，保持清洁，生活医疗垃圾日产日清。</w:t>
            </w:r>
          </w:p>
          <w:p w14:paraId="3880CDA3">
            <w:pPr>
              <w:pStyle w:val="7"/>
              <w:spacing w:line="380" w:lineRule="exact"/>
              <w:rPr>
                <w:rFonts w:hAnsi="宋体"/>
                <w:bCs/>
                <w:sz w:val="21"/>
                <w:szCs w:val="21"/>
              </w:rPr>
            </w:pPr>
            <w:r>
              <w:rPr>
                <w:rFonts w:hint="eastAsia" w:hAnsi="宋体"/>
                <w:bCs/>
                <w:sz w:val="21"/>
                <w:szCs w:val="21"/>
              </w:rPr>
              <w:t>2.10其他</w:t>
            </w:r>
          </w:p>
          <w:p w14:paraId="6B55CA66">
            <w:pPr>
              <w:pStyle w:val="7"/>
              <w:spacing w:line="380" w:lineRule="exact"/>
              <w:rPr>
                <w:rFonts w:hAnsi="宋体"/>
                <w:bCs/>
                <w:sz w:val="21"/>
                <w:szCs w:val="21"/>
              </w:rPr>
            </w:pPr>
            <w:r>
              <w:rPr>
                <w:rFonts w:hint="eastAsia" w:hAnsi="宋体"/>
                <w:bCs/>
                <w:sz w:val="21"/>
                <w:szCs w:val="21"/>
              </w:rPr>
              <w:t>2.10.1消防门、消防器材、宣传栏、意见箱：每天用专用毛巾擦拭、清洁一次，无手印、无污渍。</w:t>
            </w:r>
          </w:p>
          <w:p w14:paraId="7B31219D">
            <w:pPr>
              <w:pStyle w:val="7"/>
              <w:spacing w:line="380" w:lineRule="exact"/>
              <w:rPr>
                <w:rFonts w:hAnsi="宋体"/>
                <w:bCs/>
                <w:sz w:val="21"/>
                <w:szCs w:val="21"/>
              </w:rPr>
            </w:pPr>
            <w:r>
              <w:rPr>
                <w:rFonts w:hint="eastAsia" w:hAnsi="宋体"/>
                <w:bCs/>
                <w:sz w:val="21"/>
                <w:szCs w:val="21"/>
              </w:rPr>
              <w:t>2.10.2公共垃圾桶：每周用清水清洗一次、并擦拭干净，无手印、无污渍。</w:t>
            </w:r>
          </w:p>
          <w:p w14:paraId="1F8C9932">
            <w:pPr>
              <w:pStyle w:val="7"/>
              <w:spacing w:line="380" w:lineRule="exact"/>
              <w:rPr>
                <w:rFonts w:hAnsi="宋体"/>
                <w:b/>
                <w:sz w:val="21"/>
                <w:szCs w:val="21"/>
              </w:rPr>
            </w:pPr>
            <w:r>
              <w:rPr>
                <w:rFonts w:hint="eastAsia" w:hAnsi="宋体"/>
                <w:b/>
                <w:sz w:val="21"/>
                <w:szCs w:val="21"/>
              </w:rPr>
              <w:t>三、垃圾分类清收处理</w:t>
            </w:r>
          </w:p>
          <w:p w14:paraId="3F09C0FD">
            <w:pPr>
              <w:pStyle w:val="7"/>
              <w:spacing w:line="380" w:lineRule="exact"/>
              <w:rPr>
                <w:rFonts w:hAnsi="宋体"/>
                <w:bCs/>
                <w:sz w:val="21"/>
                <w:szCs w:val="21"/>
              </w:rPr>
            </w:pPr>
            <w:r>
              <w:rPr>
                <w:rFonts w:hint="eastAsia" w:hAnsi="宋体"/>
                <w:bCs/>
                <w:sz w:val="21"/>
                <w:szCs w:val="21"/>
              </w:rPr>
              <w:t>病房产生的生活垃圾及医疗废弃物实行日产日清，分类包装、专人负责运送。收运过程无残留、无洒落、无残液滴漏，符合医疗废物管理办法。</w:t>
            </w:r>
          </w:p>
          <w:p w14:paraId="2AAC892B">
            <w:pPr>
              <w:pStyle w:val="7"/>
              <w:spacing w:line="380" w:lineRule="exact"/>
              <w:rPr>
                <w:rFonts w:hAnsi="宋体"/>
                <w:b/>
                <w:sz w:val="21"/>
                <w:szCs w:val="21"/>
              </w:rPr>
            </w:pPr>
            <w:r>
              <w:rPr>
                <w:rFonts w:hint="eastAsia" w:hAnsi="宋体"/>
                <w:b/>
                <w:sz w:val="21"/>
                <w:szCs w:val="21"/>
              </w:rPr>
              <w:t>四、消防、安保服务</w:t>
            </w:r>
          </w:p>
          <w:p w14:paraId="0094672B">
            <w:pPr>
              <w:pStyle w:val="7"/>
              <w:spacing w:line="380" w:lineRule="exact"/>
              <w:rPr>
                <w:rFonts w:hAnsi="宋体"/>
                <w:bCs/>
                <w:sz w:val="21"/>
                <w:szCs w:val="21"/>
              </w:rPr>
            </w:pPr>
            <w:r>
              <w:rPr>
                <w:rFonts w:hint="eastAsia" w:hAnsi="宋体"/>
                <w:bCs/>
                <w:sz w:val="21"/>
                <w:szCs w:val="21"/>
              </w:rPr>
              <w:t>1、日常服务内容：</w:t>
            </w:r>
          </w:p>
          <w:p w14:paraId="7A844F23">
            <w:pPr>
              <w:pStyle w:val="7"/>
              <w:spacing w:line="380" w:lineRule="exact"/>
              <w:rPr>
                <w:rFonts w:hAnsi="宋体"/>
                <w:bCs/>
                <w:sz w:val="21"/>
                <w:szCs w:val="21"/>
              </w:rPr>
            </w:pPr>
            <w:r>
              <w:rPr>
                <w:rFonts w:hint="eastAsia" w:hAnsi="宋体"/>
                <w:bCs/>
                <w:sz w:val="21"/>
                <w:szCs w:val="21"/>
              </w:rPr>
              <w:t>1.1医院大楼外围守护警卫工作；</w:t>
            </w:r>
          </w:p>
          <w:p w14:paraId="058ED150">
            <w:pPr>
              <w:pStyle w:val="7"/>
              <w:spacing w:line="380" w:lineRule="exact"/>
              <w:rPr>
                <w:rFonts w:hAnsi="宋体"/>
                <w:bCs/>
                <w:sz w:val="21"/>
                <w:szCs w:val="21"/>
              </w:rPr>
            </w:pPr>
            <w:r>
              <w:rPr>
                <w:rFonts w:hint="eastAsia" w:hAnsi="宋体"/>
                <w:bCs/>
                <w:sz w:val="21"/>
                <w:szCs w:val="21"/>
              </w:rPr>
              <w:t>1.2确保医院大楼外侧道路交通顺畅；</w:t>
            </w:r>
          </w:p>
          <w:p w14:paraId="47A3B7E0">
            <w:pPr>
              <w:pStyle w:val="7"/>
              <w:spacing w:line="380" w:lineRule="exact"/>
              <w:rPr>
                <w:rFonts w:hAnsi="宋体"/>
                <w:bCs/>
                <w:sz w:val="21"/>
                <w:szCs w:val="21"/>
              </w:rPr>
            </w:pPr>
            <w:r>
              <w:rPr>
                <w:rFonts w:hint="eastAsia" w:hAnsi="宋体"/>
                <w:bCs/>
                <w:sz w:val="21"/>
                <w:szCs w:val="21"/>
              </w:rPr>
              <w:t>1.3执行医院大楼内各楼面巡查，做好防火防盗安全防范工作及巡查时协助记录维修事项，如：照明、漏水、空调运行等；</w:t>
            </w:r>
          </w:p>
          <w:p w14:paraId="1B51511E">
            <w:pPr>
              <w:pStyle w:val="7"/>
              <w:spacing w:line="380" w:lineRule="exact"/>
              <w:rPr>
                <w:rFonts w:hAnsi="宋体"/>
                <w:bCs/>
                <w:sz w:val="21"/>
                <w:szCs w:val="21"/>
              </w:rPr>
            </w:pPr>
            <w:r>
              <w:rPr>
                <w:rFonts w:hint="eastAsia" w:hAnsi="宋体"/>
                <w:bCs/>
                <w:sz w:val="21"/>
                <w:szCs w:val="21"/>
              </w:rPr>
              <w:t>1.4及时处理医院大楼内各突发事件，必要时疏散人员，及时汇报物业管理部门并做好记录；</w:t>
            </w:r>
          </w:p>
          <w:p w14:paraId="1269A5CD">
            <w:pPr>
              <w:pStyle w:val="7"/>
              <w:spacing w:line="380" w:lineRule="exact"/>
              <w:rPr>
                <w:rFonts w:hAnsi="宋体"/>
                <w:bCs/>
                <w:sz w:val="21"/>
                <w:szCs w:val="21"/>
              </w:rPr>
            </w:pPr>
            <w:r>
              <w:rPr>
                <w:rFonts w:hint="eastAsia" w:hAnsi="宋体"/>
                <w:bCs/>
                <w:sz w:val="21"/>
                <w:szCs w:val="21"/>
              </w:rPr>
              <w:t>1.5检查医院大楼设施是否完好；</w:t>
            </w:r>
          </w:p>
          <w:p w14:paraId="197BE687">
            <w:pPr>
              <w:pStyle w:val="7"/>
              <w:spacing w:line="380" w:lineRule="exact"/>
              <w:rPr>
                <w:rFonts w:hAnsi="宋体"/>
                <w:bCs/>
                <w:sz w:val="21"/>
                <w:szCs w:val="21"/>
              </w:rPr>
            </w:pPr>
            <w:r>
              <w:rPr>
                <w:rFonts w:hint="eastAsia" w:hAnsi="宋体"/>
                <w:bCs/>
                <w:sz w:val="21"/>
                <w:szCs w:val="21"/>
              </w:rPr>
              <w:t>1.6负责停车场区域的巡查、管理，保证车道畅通，设备、车辆、人员管理；</w:t>
            </w:r>
          </w:p>
          <w:p w14:paraId="757EACE6">
            <w:pPr>
              <w:pStyle w:val="7"/>
              <w:spacing w:line="380" w:lineRule="exact"/>
              <w:rPr>
                <w:rFonts w:hAnsi="宋体"/>
                <w:bCs/>
                <w:sz w:val="21"/>
                <w:szCs w:val="21"/>
              </w:rPr>
            </w:pPr>
            <w:r>
              <w:rPr>
                <w:rFonts w:hint="eastAsia" w:hAnsi="宋体"/>
                <w:bCs/>
                <w:sz w:val="21"/>
                <w:szCs w:val="21"/>
              </w:rPr>
              <w:t>1.7保安监控室消防安保监控工作；</w:t>
            </w:r>
          </w:p>
          <w:p w14:paraId="1D990685">
            <w:pPr>
              <w:pStyle w:val="7"/>
              <w:spacing w:line="380" w:lineRule="exact"/>
              <w:rPr>
                <w:rFonts w:hAnsi="宋体"/>
                <w:bCs/>
                <w:sz w:val="21"/>
                <w:szCs w:val="21"/>
              </w:rPr>
            </w:pPr>
            <w:r>
              <w:rPr>
                <w:rFonts w:hint="eastAsia" w:hAnsi="宋体"/>
                <w:bCs/>
                <w:sz w:val="21"/>
                <w:szCs w:val="21"/>
              </w:rPr>
              <w:t>1.8检查入口设备、工具及非开放时段进出人员的凭证，负责人员登记工作；</w:t>
            </w:r>
          </w:p>
          <w:p w14:paraId="365671F2">
            <w:pPr>
              <w:pStyle w:val="7"/>
              <w:spacing w:line="380" w:lineRule="exact"/>
              <w:rPr>
                <w:rFonts w:hAnsi="宋体"/>
                <w:bCs/>
                <w:sz w:val="21"/>
                <w:szCs w:val="21"/>
              </w:rPr>
            </w:pPr>
            <w:r>
              <w:rPr>
                <w:rFonts w:hint="eastAsia" w:hAnsi="宋体"/>
                <w:bCs/>
                <w:sz w:val="21"/>
                <w:szCs w:val="21"/>
              </w:rPr>
              <w:t>2、消防、保安员工作职责：</w:t>
            </w:r>
          </w:p>
          <w:p w14:paraId="0D52F670">
            <w:pPr>
              <w:pStyle w:val="7"/>
              <w:spacing w:line="380" w:lineRule="exact"/>
              <w:rPr>
                <w:rFonts w:hAnsi="宋体"/>
                <w:bCs/>
                <w:sz w:val="21"/>
                <w:szCs w:val="21"/>
              </w:rPr>
            </w:pPr>
            <w:r>
              <w:rPr>
                <w:rFonts w:hint="eastAsia" w:hAnsi="宋体"/>
                <w:bCs/>
                <w:sz w:val="21"/>
                <w:szCs w:val="21"/>
              </w:rPr>
              <w:t>2.1、服从物业公司及医院管理科室的领导、上岗时着制服、做到警容严整、态度端正、按时上班、不迟到、不早退、认真值班、不准任意调换班次，严格执行交接班制度，做好交接记录。</w:t>
            </w:r>
          </w:p>
          <w:p w14:paraId="1AAC5413">
            <w:pPr>
              <w:pStyle w:val="7"/>
              <w:spacing w:line="380" w:lineRule="exact"/>
              <w:rPr>
                <w:rFonts w:hAnsi="宋体"/>
                <w:bCs/>
                <w:sz w:val="21"/>
                <w:szCs w:val="21"/>
              </w:rPr>
            </w:pPr>
            <w:r>
              <w:rPr>
                <w:rFonts w:hint="eastAsia" w:hAnsi="宋体"/>
                <w:bCs/>
                <w:sz w:val="21"/>
                <w:szCs w:val="21"/>
              </w:rPr>
              <w:t>2.2、对来访人员、车辆要认真记录登记，严防事故，固定岗位巡逻岗相结合，坚持二十四小时执勤，以确保设施、人员、目标的安全。</w:t>
            </w:r>
          </w:p>
          <w:p w14:paraId="6F461533">
            <w:pPr>
              <w:pStyle w:val="7"/>
              <w:spacing w:line="380" w:lineRule="exact"/>
              <w:rPr>
                <w:rFonts w:hAnsi="宋体"/>
                <w:bCs/>
                <w:sz w:val="21"/>
                <w:szCs w:val="21"/>
              </w:rPr>
            </w:pPr>
            <w:r>
              <w:rPr>
                <w:rFonts w:hint="eastAsia" w:hAnsi="宋体"/>
                <w:bCs/>
                <w:sz w:val="21"/>
                <w:szCs w:val="21"/>
              </w:rPr>
              <w:t>2.3、对外来人员要热情，注意文明礼貌，不准超权和滥用职权侵犯群众利益，遇到突发事件、歹徒或犯罪分子、要坚决制止，奋不顾身，迅速报警。</w:t>
            </w:r>
          </w:p>
          <w:p w14:paraId="7917446A">
            <w:pPr>
              <w:pStyle w:val="7"/>
              <w:spacing w:line="380" w:lineRule="exact"/>
              <w:rPr>
                <w:rFonts w:hAnsi="宋体"/>
                <w:bCs/>
                <w:sz w:val="21"/>
                <w:szCs w:val="21"/>
              </w:rPr>
            </w:pPr>
            <w:r>
              <w:rPr>
                <w:rFonts w:hint="eastAsia" w:hAnsi="宋体"/>
                <w:bCs/>
                <w:sz w:val="21"/>
                <w:szCs w:val="21"/>
              </w:rPr>
              <w:t>2.4、不准喝酒上岗、不准在岗上吸烟、聊天、看书、看报、嬉笑、打闹、睡觉、吃零食、不准办私事打电话。</w:t>
            </w:r>
          </w:p>
          <w:p w14:paraId="28CB383D">
            <w:pPr>
              <w:pStyle w:val="7"/>
              <w:spacing w:line="380" w:lineRule="exact"/>
              <w:rPr>
                <w:rFonts w:hAnsi="宋体"/>
                <w:bCs/>
                <w:sz w:val="21"/>
                <w:szCs w:val="21"/>
              </w:rPr>
            </w:pPr>
            <w:r>
              <w:rPr>
                <w:rFonts w:hint="eastAsia" w:hAnsi="宋体"/>
                <w:bCs/>
                <w:sz w:val="21"/>
                <w:szCs w:val="21"/>
              </w:rPr>
              <w:t>2.5、保安人员要有高度的工作责任心和熟练的业务水平、一切工作都要以业主及办公人员生命安全为最高准则。</w:t>
            </w:r>
          </w:p>
          <w:p w14:paraId="4EF2A370">
            <w:pPr>
              <w:pStyle w:val="7"/>
              <w:spacing w:line="380" w:lineRule="exact"/>
              <w:rPr>
                <w:rFonts w:hAnsi="宋体"/>
                <w:bCs/>
                <w:sz w:val="21"/>
                <w:szCs w:val="21"/>
              </w:rPr>
            </w:pPr>
            <w:r>
              <w:rPr>
                <w:rFonts w:hint="eastAsia" w:hAnsi="宋体"/>
                <w:bCs/>
                <w:sz w:val="21"/>
                <w:szCs w:val="21"/>
              </w:rPr>
              <w:t>2.6、值班人员每时每刻都要保持高度的警惕性，不得擅离职守做到“有警必报”。对异常情况要及时向上级汇报。</w:t>
            </w:r>
          </w:p>
          <w:p w14:paraId="5FACFC72">
            <w:pPr>
              <w:pStyle w:val="7"/>
              <w:spacing w:line="380" w:lineRule="exact"/>
              <w:rPr>
                <w:rFonts w:hAnsi="宋体"/>
                <w:bCs/>
                <w:sz w:val="21"/>
                <w:szCs w:val="21"/>
              </w:rPr>
            </w:pPr>
            <w:r>
              <w:rPr>
                <w:rFonts w:hint="eastAsia" w:hAnsi="宋体"/>
                <w:bCs/>
                <w:sz w:val="21"/>
                <w:szCs w:val="21"/>
              </w:rPr>
              <w:t>2.7、熟悉大楼各部位的消防设备，灭火器材的使用和管理，熟知火警，火灾的处理程序，严禁易燃易爆和其它危险品进入办公楼，接受公安、消防的检查、指导，提高业务水平。</w:t>
            </w:r>
          </w:p>
          <w:p w14:paraId="61D565EA">
            <w:pPr>
              <w:pStyle w:val="7"/>
              <w:spacing w:line="380" w:lineRule="exact"/>
              <w:rPr>
                <w:rFonts w:hAnsi="宋体"/>
                <w:bCs/>
                <w:sz w:val="21"/>
                <w:szCs w:val="21"/>
              </w:rPr>
            </w:pPr>
            <w:r>
              <w:rPr>
                <w:rFonts w:hint="eastAsia" w:hAnsi="宋体"/>
                <w:bCs/>
                <w:sz w:val="21"/>
                <w:szCs w:val="21"/>
              </w:rPr>
              <w:t>2.8、熟悉岗位任务及要求、对楼面、通道、电梯、防火设施进行监督、巡察，保证其安全。</w:t>
            </w:r>
          </w:p>
          <w:p w14:paraId="61F6F1D7">
            <w:pPr>
              <w:pStyle w:val="7"/>
              <w:spacing w:line="380" w:lineRule="exact"/>
              <w:rPr>
                <w:rFonts w:hAnsi="宋体"/>
                <w:bCs/>
                <w:sz w:val="21"/>
                <w:szCs w:val="21"/>
              </w:rPr>
            </w:pPr>
            <w:r>
              <w:rPr>
                <w:rFonts w:hint="eastAsia" w:hAnsi="宋体"/>
                <w:bCs/>
                <w:sz w:val="21"/>
                <w:szCs w:val="21"/>
              </w:rPr>
              <w:t>2.9、对重点部位要多次巡查、每次都要有记录，遇到问题要果断处理、发现可疑人员要严格查问，已发生的事故要采取措施保护好现场。</w:t>
            </w:r>
          </w:p>
          <w:p w14:paraId="1B02CC5F">
            <w:pPr>
              <w:pStyle w:val="7"/>
              <w:spacing w:line="380" w:lineRule="exact"/>
              <w:rPr>
                <w:rFonts w:hAnsi="宋体"/>
                <w:bCs/>
                <w:sz w:val="21"/>
                <w:szCs w:val="21"/>
              </w:rPr>
            </w:pPr>
            <w:r>
              <w:rPr>
                <w:rFonts w:hint="eastAsia" w:hAnsi="宋体"/>
                <w:bCs/>
                <w:sz w:val="21"/>
                <w:szCs w:val="21"/>
              </w:rPr>
              <w:t>2.10、</w:t>
            </w:r>
            <w:r>
              <w:rPr>
                <w:rFonts w:hAnsi="宋体"/>
                <w:bCs/>
                <w:sz w:val="21"/>
                <w:szCs w:val="21"/>
              </w:rPr>
              <w:t>3</w:t>
            </w:r>
            <w:r>
              <w:rPr>
                <w:rFonts w:hint="eastAsia" w:hAnsi="宋体"/>
                <w:bCs/>
                <w:sz w:val="21"/>
                <w:szCs w:val="21"/>
              </w:rPr>
              <w:t>名专职消防员须持证上岗。</w:t>
            </w:r>
          </w:p>
          <w:p w14:paraId="787A027D">
            <w:pPr>
              <w:widowControl w:val="0"/>
              <w:adjustRightInd/>
              <w:snapToGrid/>
              <w:spacing w:after="0" w:line="380" w:lineRule="exact"/>
              <w:jc w:val="both"/>
              <w:rPr>
                <w:rFonts w:ascii="宋体" w:hAnsi="宋体" w:eastAsia="宋体"/>
                <w:bCs/>
                <w:sz w:val="21"/>
                <w:szCs w:val="21"/>
              </w:rPr>
            </w:pPr>
            <w:r>
              <w:rPr>
                <w:rFonts w:hint="eastAsia" w:ascii="宋体" w:hAnsi="宋体" w:eastAsia="宋体"/>
                <w:bCs/>
                <w:sz w:val="21"/>
                <w:szCs w:val="21"/>
              </w:rPr>
              <w:t>2.1</w:t>
            </w:r>
            <w:r>
              <w:rPr>
                <w:rFonts w:ascii="宋体" w:hAnsi="宋体" w:eastAsia="宋体"/>
                <w:bCs/>
                <w:sz w:val="21"/>
                <w:szCs w:val="21"/>
              </w:rPr>
              <w:t>1</w:t>
            </w:r>
            <w:r>
              <w:rPr>
                <w:rFonts w:hint="eastAsia" w:ascii="宋体" w:hAnsi="宋体" w:eastAsia="宋体"/>
                <w:bCs/>
                <w:sz w:val="21"/>
                <w:szCs w:val="21"/>
              </w:rPr>
              <w:t>、完成医院交办的其它工作任务。</w:t>
            </w:r>
          </w:p>
          <w:p w14:paraId="418BB3D6">
            <w:pPr>
              <w:pStyle w:val="7"/>
              <w:spacing w:line="380" w:lineRule="exact"/>
              <w:rPr>
                <w:rFonts w:hAnsi="宋体"/>
                <w:b/>
                <w:sz w:val="21"/>
                <w:szCs w:val="21"/>
              </w:rPr>
            </w:pPr>
            <w:r>
              <w:rPr>
                <w:rFonts w:hint="eastAsia" w:hAnsi="宋体"/>
                <w:b/>
                <w:sz w:val="21"/>
                <w:szCs w:val="21"/>
              </w:rPr>
              <w:t>五、洗涤服务</w:t>
            </w:r>
          </w:p>
          <w:p w14:paraId="3CDD08DA">
            <w:pPr>
              <w:pStyle w:val="7"/>
              <w:spacing w:line="380" w:lineRule="exact"/>
              <w:rPr>
                <w:rFonts w:hAnsi="宋体"/>
                <w:bCs/>
                <w:sz w:val="21"/>
                <w:szCs w:val="21"/>
              </w:rPr>
            </w:pPr>
            <w:r>
              <w:rPr>
                <w:rFonts w:hint="eastAsia" w:hAnsi="宋体"/>
                <w:bCs/>
                <w:sz w:val="21"/>
                <w:szCs w:val="21"/>
              </w:rPr>
              <w:t>1、洗涤工作内容</w:t>
            </w:r>
          </w:p>
          <w:p w14:paraId="00E8C8F8">
            <w:pPr>
              <w:pStyle w:val="7"/>
              <w:spacing w:line="380" w:lineRule="exact"/>
              <w:rPr>
                <w:rFonts w:hAnsi="宋体"/>
                <w:bCs/>
                <w:sz w:val="21"/>
                <w:szCs w:val="21"/>
              </w:rPr>
            </w:pPr>
            <w:r>
              <w:rPr>
                <w:rFonts w:hint="eastAsia" w:hAnsi="宋体"/>
                <w:bCs/>
                <w:sz w:val="21"/>
                <w:szCs w:val="21"/>
              </w:rPr>
              <w:t>1.1、洗涤范围及内容：（1）全院包括病房、门急诊、医疗辅助科室等部门的床上用品；（2）全院所有的病员服和工作人员的工作服、隔离服等；（3）全院所有的医疗辅料；（4）手术室所有的手术被服用品及其辅料；（5）其他需洗涤的物品，如：毛巾、窗帘等；（6）包含洗涤所需要洗衣粉、乳化剂、消毒剂等物耗，水电除外。</w:t>
            </w:r>
          </w:p>
          <w:p w14:paraId="4DD2E365">
            <w:pPr>
              <w:pStyle w:val="7"/>
              <w:spacing w:line="380" w:lineRule="exact"/>
              <w:rPr>
                <w:rFonts w:hAnsi="宋体"/>
                <w:bCs/>
                <w:sz w:val="21"/>
                <w:szCs w:val="21"/>
              </w:rPr>
            </w:pPr>
            <w:r>
              <w:rPr>
                <w:rFonts w:hint="eastAsia" w:hAnsi="宋体"/>
                <w:bCs/>
                <w:sz w:val="21"/>
                <w:szCs w:val="21"/>
              </w:rPr>
              <w:t>1.2、工作步骤及内容：（1）每日要做好洗涤物品的认真清点、浸泡、清洗、整烫、整理、修补（包括缝纫纽扣等）、折叠、登记、收发；（2）每天17：00前必须交出干净整洁的洗涤物品，并办好交接手续；（3）必须做好临时性的应急洗涤工作。</w:t>
            </w:r>
          </w:p>
          <w:p w14:paraId="1F61C615">
            <w:pPr>
              <w:pStyle w:val="7"/>
              <w:spacing w:line="380" w:lineRule="exact"/>
              <w:rPr>
                <w:rFonts w:hAnsi="宋体"/>
                <w:bCs/>
                <w:sz w:val="21"/>
                <w:szCs w:val="21"/>
              </w:rPr>
            </w:pPr>
            <w:r>
              <w:rPr>
                <w:rFonts w:hint="eastAsia" w:hAnsi="宋体"/>
                <w:bCs/>
                <w:sz w:val="21"/>
                <w:szCs w:val="21"/>
              </w:rPr>
              <w:t>2、洗涤工作细则</w:t>
            </w:r>
          </w:p>
          <w:p w14:paraId="31DB0AEE">
            <w:pPr>
              <w:pStyle w:val="7"/>
              <w:spacing w:line="380" w:lineRule="exact"/>
              <w:rPr>
                <w:rFonts w:hAnsi="宋体"/>
                <w:bCs/>
                <w:sz w:val="21"/>
                <w:szCs w:val="21"/>
              </w:rPr>
            </w:pPr>
            <w:r>
              <w:rPr>
                <w:rFonts w:hint="eastAsia" w:hAnsi="宋体"/>
                <w:bCs/>
                <w:sz w:val="21"/>
                <w:szCs w:val="21"/>
              </w:rPr>
              <w:t>医院洗衣房承担全院病人衣服、被单以及医护人员工作服的回收、清洗消毒和发放。工作质量的优劣，对医院感染控制会产生很大影响。因此洗衣房工作人员要严格执行清洗消毒运行程序、洗涤消毒物品管理制度及安全操作规章制度，保证洗衣房各项工作的顺利开展。</w:t>
            </w:r>
          </w:p>
          <w:p w14:paraId="494BB90B">
            <w:pPr>
              <w:pStyle w:val="7"/>
              <w:spacing w:line="380" w:lineRule="exact"/>
              <w:rPr>
                <w:rFonts w:hAnsi="宋体"/>
                <w:bCs/>
                <w:sz w:val="21"/>
                <w:szCs w:val="21"/>
              </w:rPr>
            </w:pPr>
            <w:r>
              <w:rPr>
                <w:rFonts w:hint="eastAsia" w:hAnsi="宋体"/>
                <w:bCs/>
                <w:sz w:val="21"/>
                <w:szCs w:val="21"/>
              </w:rPr>
              <w:t>2.1、工作人员必须进行岗前培训。</w:t>
            </w:r>
          </w:p>
          <w:p w14:paraId="55DBCB22">
            <w:pPr>
              <w:pStyle w:val="7"/>
              <w:spacing w:line="380" w:lineRule="exact"/>
              <w:rPr>
                <w:rFonts w:hAnsi="宋体"/>
                <w:bCs/>
                <w:sz w:val="21"/>
                <w:szCs w:val="21"/>
              </w:rPr>
            </w:pPr>
            <w:r>
              <w:rPr>
                <w:rFonts w:hint="eastAsia" w:hAnsi="宋体"/>
                <w:bCs/>
                <w:sz w:val="21"/>
                <w:szCs w:val="21"/>
              </w:rPr>
              <w:t>2.2、工作人员要文明服务，上班衣帽整洁，不戴手饰，接触污物后用皂液流动水洗手，维护医院的良好形象。</w:t>
            </w:r>
          </w:p>
          <w:p w14:paraId="3BC4DEA2">
            <w:pPr>
              <w:pStyle w:val="7"/>
              <w:spacing w:line="380" w:lineRule="exact"/>
              <w:rPr>
                <w:rFonts w:hAnsi="宋体"/>
                <w:bCs/>
                <w:sz w:val="21"/>
                <w:szCs w:val="21"/>
              </w:rPr>
            </w:pPr>
            <w:r>
              <w:rPr>
                <w:rFonts w:hint="eastAsia" w:hAnsi="宋体"/>
                <w:bCs/>
                <w:sz w:val="21"/>
                <w:szCs w:val="21"/>
              </w:rPr>
              <w:t>2.3、工作人员收发物品时，要文明服务。</w:t>
            </w:r>
          </w:p>
          <w:p w14:paraId="5206FD47">
            <w:pPr>
              <w:pStyle w:val="7"/>
              <w:spacing w:line="380" w:lineRule="exact"/>
              <w:rPr>
                <w:rFonts w:hAnsi="宋体"/>
                <w:bCs/>
                <w:sz w:val="21"/>
                <w:szCs w:val="21"/>
              </w:rPr>
            </w:pPr>
            <w:r>
              <w:rPr>
                <w:rFonts w:hint="eastAsia" w:hAnsi="宋体"/>
                <w:bCs/>
                <w:sz w:val="21"/>
                <w:szCs w:val="21"/>
              </w:rPr>
              <w:t>2.4、认真执行衣物清洗规章制度，分类清洗。被血液、体液污染的衣物应单独消毒、清洗。消毒采用500mg/L的有效氯溶液，消毒时间不少于30分钟，传染病污染的衣物，先消毒后清洗。</w:t>
            </w:r>
          </w:p>
          <w:p w14:paraId="66039247">
            <w:pPr>
              <w:pStyle w:val="7"/>
              <w:spacing w:line="380" w:lineRule="exact"/>
              <w:rPr>
                <w:rFonts w:hAnsi="宋体"/>
                <w:bCs/>
                <w:sz w:val="21"/>
                <w:szCs w:val="21"/>
              </w:rPr>
            </w:pPr>
            <w:r>
              <w:rPr>
                <w:rFonts w:hint="eastAsia" w:hAnsi="宋体"/>
                <w:bCs/>
                <w:sz w:val="21"/>
                <w:szCs w:val="21"/>
              </w:rPr>
              <w:t>2.5、工作人员、新生儿衣物和病人的衣物应分开洗涤。对感染病人的衣物尽量少翻动，减少污染。</w:t>
            </w:r>
          </w:p>
          <w:p w14:paraId="5AAA58CA">
            <w:pPr>
              <w:pStyle w:val="7"/>
              <w:spacing w:line="380" w:lineRule="exact"/>
              <w:rPr>
                <w:rFonts w:hAnsi="宋体"/>
                <w:bCs/>
                <w:sz w:val="21"/>
                <w:szCs w:val="21"/>
              </w:rPr>
            </w:pPr>
            <w:r>
              <w:rPr>
                <w:rFonts w:hint="eastAsia" w:hAnsi="宋体"/>
                <w:bCs/>
                <w:sz w:val="21"/>
                <w:szCs w:val="21"/>
              </w:rPr>
              <w:t>2.6、清洗的被服必须干净，无血迹、污迹，清洁被服专区专柜存放。</w:t>
            </w:r>
          </w:p>
          <w:p w14:paraId="274F50FE">
            <w:pPr>
              <w:pStyle w:val="7"/>
              <w:spacing w:line="380" w:lineRule="exact"/>
              <w:rPr>
                <w:rFonts w:hAnsi="宋体"/>
                <w:bCs/>
                <w:sz w:val="21"/>
                <w:szCs w:val="21"/>
              </w:rPr>
            </w:pPr>
            <w:r>
              <w:rPr>
                <w:rFonts w:hint="eastAsia" w:hAnsi="宋体"/>
                <w:bCs/>
                <w:sz w:val="21"/>
                <w:szCs w:val="21"/>
              </w:rPr>
              <w:t xml:space="preserve">2.7、规范使用机器设备，严格按照洗涤设备操作程序操作，每日使用设备前应试运行检查，使用后按要求保养，发现问题及时报告后勤科负责人，禁止违章操作。  </w:t>
            </w:r>
          </w:p>
          <w:p w14:paraId="3E52A0BE">
            <w:pPr>
              <w:pStyle w:val="7"/>
              <w:spacing w:line="380" w:lineRule="exact"/>
              <w:rPr>
                <w:rFonts w:hAnsi="宋体"/>
                <w:bCs/>
                <w:sz w:val="21"/>
                <w:szCs w:val="21"/>
              </w:rPr>
            </w:pPr>
            <w:r>
              <w:rPr>
                <w:rFonts w:hint="eastAsia" w:hAnsi="宋体"/>
                <w:bCs/>
                <w:sz w:val="21"/>
                <w:szCs w:val="21"/>
              </w:rPr>
              <w:t>2.8、节约洗涤成本，机器在工作时必须有专人监看工作流程，不准超负荷运转或空转，工作完成后及时关机。</w:t>
            </w:r>
          </w:p>
          <w:p w14:paraId="243332A8">
            <w:pPr>
              <w:pStyle w:val="7"/>
              <w:spacing w:line="380" w:lineRule="exact"/>
              <w:rPr>
                <w:rFonts w:hAnsi="宋体"/>
                <w:bCs/>
                <w:sz w:val="21"/>
                <w:szCs w:val="21"/>
              </w:rPr>
            </w:pPr>
            <w:r>
              <w:rPr>
                <w:rFonts w:hint="eastAsia" w:hAnsi="宋体"/>
                <w:bCs/>
                <w:sz w:val="21"/>
                <w:szCs w:val="21"/>
              </w:rPr>
              <w:t xml:space="preserve">2.9、勤恳工作，厉行节约，爱护设备，节约用水、用电、用料，破烂至不能用的应与科室交接时确定数量。 </w:t>
            </w:r>
          </w:p>
          <w:p w14:paraId="23DA8891">
            <w:pPr>
              <w:pStyle w:val="7"/>
              <w:spacing w:line="380" w:lineRule="exact"/>
              <w:rPr>
                <w:rFonts w:hAnsi="宋体"/>
                <w:bCs/>
                <w:sz w:val="21"/>
                <w:szCs w:val="21"/>
              </w:rPr>
            </w:pPr>
            <w:r>
              <w:rPr>
                <w:rFonts w:hint="eastAsia" w:hAnsi="宋体"/>
                <w:bCs/>
                <w:sz w:val="21"/>
                <w:szCs w:val="21"/>
              </w:rPr>
              <w:t>2.10、对所有洗涤完毕的物品要求洗涤后进行整烫，无破损、无残缺、无毛边，对破损、残缺和毛边的要进行缝补、修剪。</w:t>
            </w:r>
          </w:p>
          <w:p w14:paraId="55748E9C">
            <w:pPr>
              <w:pStyle w:val="7"/>
              <w:spacing w:line="380" w:lineRule="exact"/>
              <w:rPr>
                <w:rFonts w:hAnsi="宋体"/>
                <w:bCs/>
                <w:sz w:val="21"/>
                <w:szCs w:val="21"/>
              </w:rPr>
            </w:pPr>
            <w:r>
              <w:rPr>
                <w:rFonts w:hint="eastAsia" w:hAnsi="宋体"/>
                <w:bCs/>
                <w:sz w:val="21"/>
                <w:szCs w:val="21"/>
              </w:rPr>
              <w:t>2.11、洗涤被服供应要及时，临时性的工作要随叫随到，不得影响医院的正常医疗工作。</w:t>
            </w:r>
          </w:p>
          <w:p w14:paraId="393845C5">
            <w:pPr>
              <w:pStyle w:val="7"/>
              <w:spacing w:line="380" w:lineRule="exact"/>
              <w:rPr>
                <w:rFonts w:hAnsi="宋体"/>
                <w:bCs/>
                <w:sz w:val="21"/>
                <w:szCs w:val="21"/>
              </w:rPr>
            </w:pPr>
            <w:r>
              <w:rPr>
                <w:rFonts w:hint="eastAsia" w:hAnsi="宋体"/>
                <w:bCs/>
                <w:sz w:val="21"/>
                <w:szCs w:val="21"/>
              </w:rPr>
              <w:t>2.12、对一些特殊的科室，如手术室等，应根据具体情况进行特殊操作。</w:t>
            </w:r>
          </w:p>
          <w:p w14:paraId="594D1B80">
            <w:pPr>
              <w:pStyle w:val="7"/>
              <w:spacing w:line="380" w:lineRule="exact"/>
              <w:rPr>
                <w:rFonts w:hAnsi="宋体"/>
                <w:bCs/>
                <w:sz w:val="21"/>
                <w:szCs w:val="21"/>
              </w:rPr>
            </w:pPr>
            <w:r>
              <w:rPr>
                <w:rFonts w:hint="eastAsia" w:hAnsi="宋体"/>
                <w:bCs/>
                <w:sz w:val="21"/>
                <w:szCs w:val="21"/>
              </w:rPr>
              <w:t>2.13、热忱做好被服上收、下送工作，按时按量完成任务，认真清点数目，按规定办理交接手续并签字。</w:t>
            </w:r>
          </w:p>
          <w:p w14:paraId="77684141">
            <w:pPr>
              <w:pStyle w:val="7"/>
              <w:spacing w:line="380" w:lineRule="exact"/>
              <w:rPr>
                <w:rFonts w:hAnsi="宋体"/>
                <w:bCs/>
                <w:sz w:val="21"/>
                <w:szCs w:val="21"/>
              </w:rPr>
            </w:pPr>
            <w:r>
              <w:rPr>
                <w:rFonts w:hint="eastAsia" w:hAnsi="宋体"/>
                <w:bCs/>
                <w:sz w:val="21"/>
                <w:szCs w:val="21"/>
              </w:rPr>
              <w:t>2.14、保持环境清洁，每日清洁消毒，每周大扫除，物体表面每天用500mg/L的有效氯溶液擦拭。</w:t>
            </w:r>
          </w:p>
          <w:p w14:paraId="0A586BF2">
            <w:pPr>
              <w:pStyle w:val="7"/>
              <w:spacing w:line="380" w:lineRule="exact"/>
              <w:rPr>
                <w:rFonts w:hAnsi="宋体"/>
                <w:bCs/>
                <w:sz w:val="21"/>
                <w:szCs w:val="21"/>
              </w:rPr>
            </w:pPr>
            <w:r>
              <w:rPr>
                <w:rFonts w:hint="eastAsia" w:hAnsi="宋体"/>
                <w:bCs/>
                <w:sz w:val="21"/>
                <w:szCs w:val="21"/>
              </w:rPr>
              <w:t>2.15、不同被服使用不同的专用设备和工具，设备、车辆、工具使用一次消毒一次，防止交叉感染。</w:t>
            </w:r>
          </w:p>
          <w:p w14:paraId="36D1D2A7">
            <w:pPr>
              <w:pStyle w:val="7"/>
              <w:spacing w:line="380" w:lineRule="exact"/>
              <w:rPr>
                <w:rFonts w:hAnsi="宋体"/>
                <w:bCs/>
                <w:sz w:val="21"/>
                <w:szCs w:val="21"/>
              </w:rPr>
            </w:pPr>
            <w:r>
              <w:rPr>
                <w:rFonts w:hint="eastAsia" w:hAnsi="宋体"/>
                <w:bCs/>
                <w:sz w:val="21"/>
                <w:szCs w:val="21"/>
              </w:rPr>
              <w:t>2.16、对工作中出现的特殊情况，要及时与医院沟通汇报，以防发生意外而影响医疗工作。</w:t>
            </w:r>
          </w:p>
          <w:p w14:paraId="19BB1806">
            <w:pPr>
              <w:spacing w:line="380" w:lineRule="exact"/>
              <w:rPr>
                <w:rFonts w:ascii="宋体" w:hAnsi="宋体" w:eastAsia="宋体"/>
                <w:b/>
                <w:bCs/>
                <w:sz w:val="21"/>
                <w:szCs w:val="21"/>
              </w:rPr>
            </w:pPr>
            <w:r>
              <w:rPr>
                <w:rFonts w:hint="eastAsia" w:ascii="宋体" w:hAnsi="宋体" w:eastAsia="宋体"/>
                <w:b/>
                <w:bCs/>
                <w:sz w:val="21"/>
                <w:szCs w:val="21"/>
              </w:rPr>
              <w:t>六、绿化养护</w:t>
            </w:r>
          </w:p>
          <w:p w14:paraId="37F48ECA">
            <w:pPr>
              <w:spacing w:line="380" w:lineRule="exact"/>
              <w:rPr>
                <w:rFonts w:hint="eastAsia" w:ascii="宋体" w:hAnsi="宋体" w:eastAsia="宋体"/>
                <w:b/>
                <w:bCs/>
                <w:sz w:val="21"/>
                <w:szCs w:val="21"/>
              </w:rPr>
            </w:pPr>
            <w:r>
              <w:rPr>
                <w:rFonts w:hint="eastAsia" w:ascii="宋体" w:hAnsi="宋体" w:eastAsia="宋体"/>
                <w:sz w:val="21"/>
                <w:szCs w:val="21"/>
              </w:rPr>
              <w:t>1</w:t>
            </w:r>
            <w:r>
              <w:rPr>
                <w:rFonts w:hint="eastAsia" w:ascii="宋体" w:hAnsi="宋体"/>
                <w:sz w:val="21"/>
                <w:szCs w:val="21"/>
              </w:rPr>
              <w:t>、</w:t>
            </w:r>
            <w:r>
              <w:rPr>
                <w:rFonts w:hint="eastAsia" w:ascii="宋体" w:hAnsi="宋体" w:eastAsia="宋体"/>
                <w:sz w:val="21"/>
                <w:szCs w:val="21"/>
              </w:rPr>
              <w:t>负责院区绿化范围的养护管理。</w:t>
            </w:r>
          </w:p>
          <w:p w14:paraId="30524F87">
            <w:pPr>
              <w:pStyle w:val="2"/>
              <w:spacing w:line="380" w:lineRule="exact"/>
              <w:rPr>
                <w:rFonts w:hint="eastAsia" w:ascii="宋体" w:hAnsi="宋体"/>
                <w:sz w:val="21"/>
                <w:szCs w:val="21"/>
              </w:rPr>
            </w:pPr>
            <w:r>
              <w:rPr>
                <w:rFonts w:hint="eastAsia" w:ascii="宋体" w:hAnsi="宋体"/>
                <w:sz w:val="21"/>
                <w:szCs w:val="21"/>
              </w:rPr>
              <w:t>2、对花草树木定期培土、浇水除虫、施肥松土、修剪花枝等管理。</w:t>
            </w:r>
          </w:p>
          <w:p w14:paraId="265DD4DA">
            <w:pPr>
              <w:pStyle w:val="2"/>
              <w:spacing w:line="380" w:lineRule="exact"/>
              <w:rPr>
                <w:rFonts w:hint="eastAsia" w:ascii="宋体" w:hAnsi="宋体"/>
                <w:sz w:val="21"/>
                <w:szCs w:val="21"/>
              </w:rPr>
            </w:pPr>
            <w:r>
              <w:rPr>
                <w:rFonts w:hint="eastAsia" w:ascii="宋体" w:hAnsi="宋体"/>
                <w:sz w:val="21"/>
                <w:szCs w:val="21"/>
              </w:rPr>
              <w:t>3、保持工作区域清洁、除草、修剪枯枝、残叶、残花等。</w:t>
            </w:r>
          </w:p>
          <w:p w14:paraId="65D38391">
            <w:pPr>
              <w:pStyle w:val="2"/>
              <w:spacing w:line="380" w:lineRule="exact"/>
              <w:rPr>
                <w:b/>
                <w:bCs/>
                <w:sz w:val="21"/>
                <w:szCs w:val="21"/>
              </w:rPr>
            </w:pPr>
            <w:r>
              <w:rPr>
                <w:rFonts w:hint="eastAsia"/>
                <w:b/>
                <w:bCs/>
                <w:sz w:val="21"/>
                <w:szCs w:val="21"/>
              </w:rPr>
              <w:t>七、污水管理</w:t>
            </w:r>
          </w:p>
          <w:p w14:paraId="43E589EA">
            <w:pPr>
              <w:pStyle w:val="2"/>
              <w:spacing w:line="300" w:lineRule="exact"/>
              <w:jc w:val="both"/>
              <w:rPr>
                <w:rFonts w:hAnsi="宋体"/>
                <w:bCs/>
                <w:sz w:val="21"/>
                <w:szCs w:val="21"/>
              </w:rPr>
            </w:pPr>
            <w:r>
              <w:rPr>
                <w:rFonts w:hint="eastAsia" w:hAnsi="宋体"/>
                <w:bCs/>
                <w:sz w:val="21"/>
                <w:szCs w:val="21"/>
              </w:rPr>
              <w:t>1、派一人专门负责污水处理站的运营管理。</w:t>
            </w:r>
          </w:p>
          <w:p w14:paraId="6DB6BCEA">
            <w:pPr>
              <w:pStyle w:val="2"/>
              <w:spacing w:line="300" w:lineRule="exact"/>
              <w:jc w:val="both"/>
              <w:rPr>
                <w:b/>
                <w:bCs/>
                <w:sz w:val="21"/>
                <w:szCs w:val="21"/>
              </w:rPr>
            </w:pPr>
            <w:r>
              <w:rPr>
                <w:rFonts w:hint="eastAsia" w:hAnsi="宋体"/>
                <w:bCs/>
                <w:sz w:val="21"/>
                <w:szCs w:val="21"/>
              </w:rPr>
              <w:t>2、每日做好污水余氯监测，并做好记录，保证污水达标排放。</w:t>
            </w:r>
          </w:p>
          <w:p w14:paraId="2326AF10">
            <w:pPr>
              <w:pStyle w:val="7"/>
              <w:spacing w:line="300" w:lineRule="exact"/>
              <w:rPr>
                <w:rFonts w:hAnsi="宋体"/>
                <w:bCs/>
                <w:sz w:val="21"/>
                <w:szCs w:val="21"/>
              </w:rPr>
            </w:pPr>
            <w:r>
              <w:rPr>
                <w:rFonts w:hint="eastAsia" w:hAnsi="宋体"/>
                <w:bCs/>
                <w:sz w:val="21"/>
                <w:szCs w:val="21"/>
              </w:rPr>
              <w:t>3、做好污水处理原料保管工作。</w:t>
            </w:r>
          </w:p>
          <w:p w14:paraId="4ADB5D84">
            <w:pPr>
              <w:pStyle w:val="7"/>
              <w:spacing w:line="380" w:lineRule="exact"/>
              <w:rPr>
                <w:rFonts w:hAnsi="宋体"/>
                <w:b/>
                <w:sz w:val="21"/>
                <w:szCs w:val="21"/>
              </w:rPr>
            </w:pPr>
            <w:r>
              <w:rPr>
                <w:rFonts w:hint="eastAsia" w:hAnsi="宋体"/>
                <w:b/>
                <w:sz w:val="21"/>
                <w:szCs w:val="21"/>
              </w:rPr>
              <w:t>八、其他要求</w:t>
            </w:r>
          </w:p>
          <w:p w14:paraId="6F2984A4">
            <w:pPr>
              <w:pStyle w:val="7"/>
              <w:spacing w:line="380" w:lineRule="exact"/>
              <w:rPr>
                <w:rFonts w:hAnsi="宋体"/>
                <w:bCs/>
                <w:sz w:val="21"/>
                <w:szCs w:val="21"/>
              </w:rPr>
            </w:pPr>
            <w:r>
              <w:rPr>
                <w:rFonts w:hint="eastAsia" w:hAnsi="宋体"/>
                <w:bCs/>
                <w:sz w:val="21"/>
                <w:szCs w:val="21"/>
              </w:rPr>
              <w:t>1、竞标人须提供资质证明、简介等资料（包括目前所管辖物业情况介绍）。</w:t>
            </w:r>
          </w:p>
          <w:p w14:paraId="7F92DCBA">
            <w:pPr>
              <w:pStyle w:val="7"/>
              <w:spacing w:line="380" w:lineRule="exact"/>
              <w:rPr>
                <w:rFonts w:hAnsi="宋体"/>
                <w:bCs/>
                <w:sz w:val="21"/>
                <w:szCs w:val="21"/>
              </w:rPr>
            </w:pPr>
            <w:r>
              <w:rPr>
                <w:rFonts w:hint="eastAsia" w:hAnsi="宋体"/>
                <w:bCs/>
                <w:sz w:val="21"/>
                <w:szCs w:val="21"/>
              </w:rPr>
              <w:t>2、物业管理方案须体现竞标人对投标物业的总体目标（即在一定期限内质量管理达到何种标准），并包括如下内容：</w:t>
            </w:r>
          </w:p>
          <w:p w14:paraId="44D9D311">
            <w:pPr>
              <w:pStyle w:val="7"/>
              <w:spacing w:line="380" w:lineRule="exact"/>
              <w:rPr>
                <w:rFonts w:hAnsi="宋体"/>
                <w:bCs/>
                <w:sz w:val="21"/>
                <w:szCs w:val="21"/>
              </w:rPr>
            </w:pPr>
            <w:r>
              <w:rPr>
                <w:rFonts w:hint="eastAsia" w:hAnsi="宋体"/>
                <w:bCs/>
                <w:sz w:val="21"/>
                <w:szCs w:val="21"/>
              </w:rPr>
              <w:t>（1）竞标人拟采取的管理方式，包括内部管理架构设置、机制、信息反馈处理机制、员工待遇、激励机制等。公司应定期组织员工培训，提高业务水平。尤其是服务态度和责任心，强化标准意识。公司应建立健全的赏罚分明的管理制度，对工作中表现好的个人积极的大力表扬，并给一定的物质奖励，对表现不好的，或者工作失职造成影响的进行罚款。保洁人员每天上班由各科室负责考勤；对工作期间由于工作失职发生物品损坏或丢失的，由本人承担。</w:t>
            </w:r>
          </w:p>
          <w:p w14:paraId="448A3C0B">
            <w:pPr>
              <w:pStyle w:val="7"/>
              <w:spacing w:line="380" w:lineRule="exact"/>
              <w:rPr>
                <w:rFonts w:hAnsi="宋体"/>
                <w:bCs/>
                <w:sz w:val="21"/>
                <w:szCs w:val="21"/>
              </w:rPr>
            </w:pPr>
            <w:r>
              <w:rPr>
                <w:rFonts w:hint="eastAsia" w:hAnsi="宋体"/>
                <w:bCs/>
                <w:sz w:val="21"/>
                <w:szCs w:val="21"/>
              </w:rPr>
              <w:t>（2）管理人员及员工配备。包括：人员的编制、配置情况，素质要求（学历、能力、经历），培训计划、上岗考核标准等，各岗位人员均应具有有关部门颁发的上岗证或职业资格证。保洁员男不超过60岁，女不超过55岁，以身份证登记为准.</w:t>
            </w:r>
          </w:p>
          <w:p w14:paraId="0613F74A">
            <w:pPr>
              <w:pStyle w:val="7"/>
              <w:spacing w:line="380" w:lineRule="exact"/>
              <w:rPr>
                <w:rFonts w:hAnsi="宋体"/>
                <w:bCs/>
                <w:sz w:val="21"/>
                <w:szCs w:val="21"/>
              </w:rPr>
            </w:pPr>
            <w:r>
              <w:rPr>
                <w:rFonts w:hint="eastAsia" w:hAnsi="宋体"/>
                <w:bCs/>
                <w:sz w:val="21"/>
                <w:szCs w:val="21"/>
              </w:rPr>
              <w:t>（3）服务承诺。对本项目物业服务范围及要求进行逐条响应。</w:t>
            </w:r>
          </w:p>
          <w:p w14:paraId="57DBA255">
            <w:pPr>
              <w:pStyle w:val="7"/>
              <w:spacing w:line="380" w:lineRule="exact"/>
              <w:rPr>
                <w:rFonts w:hAnsi="宋体"/>
                <w:bCs/>
                <w:sz w:val="21"/>
                <w:szCs w:val="21"/>
              </w:rPr>
            </w:pPr>
            <w:r>
              <w:rPr>
                <w:rFonts w:hint="eastAsia" w:hAnsi="宋体"/>
                <w:bCs/>
                <w:sz w:val="21"/>
                <w:szCs w:val="21"/>
              </w:rPr>
              <w:t>（4）管理工作必需的物质准备计划。包括：物业管理人员生活、工作用品、物业管理需要的机械维修、通讯、 保洁等设备或工具。</w:t>
            </w:r>
          </w:p>
          <w:p w14:paraId="0EBB79DE">
            <w:pPr>
              <w:pStyle w:val="7"/>
              <w:spacing w:line="380" w:lineRule="exact"/>
              <w:rPr>
                <w:rFonts w:hAnsi="宋体"/>
                <w:bCs/>
                <w:sz w:val="21"/>
                <w:szCs w:val="21"/>
              </w:rPr>
            </w:pPr>
            <w:r>
              <w:rPr>
                <w:rFonts w:hint="eastAsia" w:hAnsi="宋体"/>
                <w:bCs/>
                <w:sz w:val="21"/>
                <w:szCs w:val="21"/>
              </w:rPr>
              <w:t>（5）档案建立与管理。包括物业管理档案、投诉与回访记录等。</w:t>
            </w:r>
          </w:p>
          <w:p w14:paraId="6A5F134E">
            <w:pPr>
              <w:pStyle w:val="7"/>
              <w:spacing w:line="380" w:lineRule="exact"/>
              <w:rPr>
                <w:rFonts w:hAnsi="宋体"/>
                <w:bCs/>
                <w:sz w:val="21"/>
                <w:szCs w:val="21"/>
              </w:rPr>
            </w:pPr>
            <w:r>
              <w:rPr>
                <w:rFonts w:hint="eastAsia" w:hAnsi="宋体"/>
                <w:bCs/>
                <w:sz w:val="21"/>
                <w:szCs w:val="21"/>
              </w:rPr>
              <w:t>（6）质量承诺，包括：安全责任事故发生率、维修工程质量合格率、绿化完好率、排水管及暗沟完好率、公共设施、休息设施以及小品雕塑完好率、照明灯完好率、投诉处理及回访率、管理人员专业培训合格率、对物业管理满意率等。</w:t>
            </w:r>
          </w:p>
          <w:p w14:paraId="1C17215E">
            <w:pPr>
              <w:pStyle w:val="7"/>
              <w:spacing w:line="380" w:lineRule="exact"/>
              <w:rPr>
                <w:rFonts w:hAnsi="宋体"/>
                <w:bCs/>
                <w:sz w:val="21"/>
                <w:szCs w:val="21"/>
              </w:rPr>
            </w:pPr>
            <w:r>
              <w:rPr>
                <w:rFonts w:hint="eastAsia" w:hAnsi="宋体"/>
                <w:bCs/>
                <w:sz w:val="21"/>
                <w:szCs w:val="21"/>
              </w:rPr>
              <w:t>3、乙方管理服务范围达不到标准的，甲方有权进行处理，第一次警告，第二次扣乙方管理服务费每次200元。</w:t>
            </w:r>
          </w:p>
          <w:p w14:paraId="64323249">
            <w:pPr>
              <w:pStyle w:val="7"/>
              <w:spacing w:line="380" w:lineRule="exact"/>
              <w:rPr>
                <w:rFonts w:hAnsi="宋体"/>
                <w:bCs/>
                <w:sz w:val="21"/>
                <w:szCs w:val="21"/>
              </w:rPr>
            </w:pPr>
            <w:r>
              <w:rPr>
                <w:rFonts w:hint="eastAsia" w:hAnsi="宋体"/>
                <w:bCs/>
                <w:sz w:val="21"/>
                <w:szCs w:val="21"/>
              </w:rPr>
              <w:t>4、增进物业公司与医院各科室的关系。每半年进行一次对物业管理服务包括满意度抽样调查，满意率达90%以上，对不满意的原因进行分析。</w:t>
            </w:r>
          </w:p>
          <w:p w14:paraId="439ADBBC">
            <w:pPr>
              <w:pStyle w:val="7"/>
              <w:spacing w:line="380" w:lineRule="exact"/>
              <w:rPr>
                <w:rFonts w:hAnsi="宋体"/>
                <w:bCs/>
                <w:sz w:val="21"/>
                <w:szCs w:val="21"/>
              </w:rPr>
            </w:pPr>
            <w:r>
              <w:rPr>
                <w:rFonts w:hint="eastAsia" w:hAnsi="宋体"/>
                <w:bCs/>
                <w:sz w:val="21"/>
                <w:szCs w:val="21"/>
              </w:rPr>
              <w:t>5、人员配置按服务管理需要的动态变化而进行调整</w:t>
            </w:r>
          </w:p>
          <w:p w14:paraId="7760141B">
            <w:pPr>
              <w:pStyle w:val="7"/>
              <w:spacing w:line="380" w:lineRule="exact"/>
              <w:rPr>
                <w:rFonts w:hAnsi="宋体"/>
                <w:bCs/>
                <w:sz w:val="21"/>
                <w:szCs w:val="21"/>
              </w:rPr>
            </w:pPr>
            <w:r>
              <w:rPr>
                <w:rFonts w:hint="eastAsia" w:hAnsi="宋体"/>
                <w:bCs/>
                <w:sz w:val="21"/>
                <w:szCs w:val="21"/>
              </w:rPr>
              <w:t>注：人员配置在实际工作中需要变动的，双方以书面形式向对方提出，经协商同意后再进行配置。</w:t>
            </w:r>
          </w:p>
          <w:p w14:paraId="71D1DA4A">
            <w:pPr>
              <w:pStyle w:val="7"/>
              <w:spacing w:line="380" w:lineRule="exact"/>
              <w:rPr>
                <w:rFonts w:hAnsi="宋体"/>
                <w:bCs/>
                <w:sz w:val="21"/>
                <w:szCs w:val="21"/>
              </w:rPr>
            </w:pPr>
            <w:r>
              <w:rPr>
                <w:rFonts w:hint="eastAsia" w:hAnsi="宋体"/>
                <w:bCs/>
                <w:sz w:val="21"/>
                <w:szCs w:val="21"/>
              </w:rPr>
              <w:t>七、人员配置要求：不少于6</w:t>
            </w:r>
            <w:r>
              <w:rPr>
                <w:rFonts w:hAnsi="宋体"/>
                <w:bCs/>
                <w:sz w:val="21"/>
                <w:szCs w:val="21"/>
              </w:rPr>
              <w:t>1</w:t>
            </w:r>
            <w:r>
              <w:rPr>
                <w:rFonts w:hint="eastAsia" w:hAnsi="宋体"/>
                <w:bCs/>
                <w:sz w:val="21"/>
                <w:szCs w:val="21"/>
              </w:rPr>
              <w:t>人，具体岗位由乙方自拟。</w:t>
            </w:r>
          </w:p>
          <w:p w14:paraId="621A7EA2">
            <w:pPr>
              <w:pStyle w:val="7"/>
              <w:spacing w:line="380" w:lineRule="exact"/>
              <w:rPr>
                <w:rFonts w:hAnsi="宋体"/>
                <w:bCs/>
                <w:sz w:val="21"/>
                <w:szCs w:val="21"/>
              </w:rPr>
            </w:pPr>
            <w:r>
              <w:rPr>
                <w:rFonts w:hint="eastAsia" w:hAnsi="宋体"/>
                <w:bCs/>
                <w:sz w:val="21"/>
                <w:szCs w:val="21"/>
              </w:rPr>
              <w:t>八、人员待遇问题：工资、保险等福利由乙方和聘用人员签订，具体情况见聘用合同。</w:t>
            </w:r>
          </w:p>
          <w:p w14:paraId="2D88FABA">
            <w:pPr>
              <w:rPr>
                <w:rFonts w:hint="eastAsia"/>
                <w:sz w:val="21"/>
                <w:szCs w:val="21"/>
              </w:rPr>
            </w:pPr>
          </w:p>
          <w:p w14:paraId="2EE71E03">
            <w:pPr>
              <w:rPr>
                <w:rFonts w:hint="eastAsia"/>
                <w:sz w:val="21"/>
                <w:szCs w:val="21"/>
              </w:rPr>
            </w:pPr>
          </w:p>
        </w:tc>
      </w:tr>
    </w:tbl>
    <w:p w14:paraId="00F414B3">
      <w:pPr>
        <w:pStyle w:val="5"/>
        <w:spacing w:line="500" w:lineRule="exact"/>
        <w:rPr>
          <w:rFonts w:hint="eastAsia" w:ascii="黑体" w:hAnsi="黑体" w:eastAsia="黑体" w:cs="黑体"/>
          <w:bCs/>
          <w:sz w:val="21"/>
          <w:szCs w:val="21"/>
        </w:rPr>
      </w:pPr>
    </w:p>
    <w:p w14:paraId="6269CD0F">
      <w:pPr>
        <w:pStyle w:val="5"/>
        <w:spacing w:line="500" w:lineRule="exact"/>
        <w:rPr>
          <w:rFonts w:hint="eastAsia" w:ascii="黑体" w:hAnsi="黑体" w:eastAsia="黑体" w:cs="黑体"/>
          <w:bCs/>
          <w:sz w:val="21"/>
          <w:szCs w:val="21"/>
        </w:rPr>
      </w:pPr>
    </w:p>
    <w:p w14:paraId="7619CA51">
      <w:pPr>
        <w:pStyle w:val="5"/>
        <w:spacing w:line="500" w:lineRule="exact"/>
        <w:rPr>
          <w:rFonts w:hint="eastAsia" w:ascii="黑体" w:hAnsi="黑体" w:eastAsia="黑体" w:cs="黑体"/>
          <w:bCs/>
          <w:sz w:val="21"/>
          <w:szCs w:val="21"/>
        </w:rPr>
      </w:pPr>
    </w:p>
    <w:p w14:paraId="52E59D63">
      <w:pPr>
        <w:pStyle w:val="5"/>
        <w:spacing w:line="500" w:lineRule="exact"/>
        <w:rPr>
          <w:rFonts w:hint="eastAsia" w:ascii="黑体" w:hAnsi="黑体" w:eastAsia="黑体" w:cs="黑体"/>
          <w:bCs/>
          <w:sz w:val="21"/>
          <w:szCs w:val="21"/>
        </w:rPr>
      </w:pPr>
    </w:p>
    <w:p w14:paraId="0832F116">
      <w:pPr>
        <w:pStyle w:val="5"/>
        <w:spacing w:line="500" w:lineRule="exact"/>
        <w:rPr>
          <w:rFonts w:hint="eastAsia" w:ascii="黑体" w:hAnsi="黑体" w:eastAsia="黑体" w:cs="黑体"/>
          <w:bCs/>
          <w:sz w:val="21"/>
          <w:szCs w:val="21"/>
        </w:rPr>
      </w:pPr>
    </w:p>
    <w:p w14:paraId="677AAAFC">
      <w:pPr>
        <w:pStyle w:val="5"/>
        <w:spacing w:line="500" w:lineRule="exact"/>
        <w:rPr>
          <w:rFonts w:hint="eastAsia" w:ascii="黑体" w:hAnsi="黑体" w:eastAsia="黑体" w:cs="黑体"/>
          <w:bCs/>
          <w:sz w:val="21"/>
          <w:szCs w:val="21"/>
        </w:rPr>
      </w:pPr>
    </w:p>
    <w:p w14:paraId="6DC1E5C9">
      <w:pPr>
        <w:pStyle w:val="5"/>
        <w:spacing w:line="500" w:lineRule="exact"/>
        <w:rPr>
          <w:rFonts w:hint="eastAsia" w:ascii="黑体" w:hAnsi="黑体" w:eastAsia="黑体" w:cs="黑体"/>
          <w:bCs/>
          <w:sz w:val="21"/>
          <w:szCs w:val="21"/>
        </w:rPr>
      </w:pPr>
    </w:p>
    <w:p w14:paraId="3A5599F9">
      <w:pPr>
        <w:pStyle w:val="5"/>
        <w:spacing w:line="500" w:lineRule="exact"/>
        <w:rPr>
          <w:rFonts w:hint="eastAsia" w:ascii="黑体" w:hAnsi="黑体" w:eastAsia="黑体" w:cs="黑体"/>
          <w:bCs/>
          <w:sz w:val="21"/>
          <w:szCs w:val="21"/>
        </w:rPr>
      </w:pPr>
    </w:p>
    <w:p w14:paraId="59E8866B">
      <w:pPr>
        <w:pStyle w:val="5"/>
        <w:spacing w:line="500" w:lineRule="exact"/>
        <w:rPr>
          <w:rFonts w:hint="eastAsia" w:ascii="黑体" w:hAnsi="黑体" w:eastAsia="黑体" w:cs="黑体"/>
          <w:bCs/>
          <w:sz w:val="21"/>
          <w:szCs w:val="21"/>
        </w:rPr>
      </w:pPr>
    </w:p>
    <w:p w14:paraId="74BCAA6C">
      <w:pPr>
        <w:pStyle w:val="5"/>
        <w:spacing w:line="500" w:lineRule="exact"/>
        <w:rPr>
          <w:rFonts w:hint="eastAsia" w:ascii="黑体" w:hAnsi="黑体" w:eastAsia="黑体" w:cs="黑体"/>
          <w:bCs/>
          <w:sz w:val="21"/>
          <w:szCs w:val="21"/>
        </w:rPr>
      </w:pPr>
    </w:p>
    <w:p w14:paraId="147069C4">
      <w:pPr>
        <w:pStyle w:val="5"/>
        <w:spacing w:line="500" w:lineRule="exact"/>
        <w:rPr>
          <w:rFonts w:hint="eastAsia" w:ascii="黑体" w:hAnsi="黑体" w:eastAsia="黑体" w:cs="黑体"/>
          <w:bCs/>
          <w:sz w:val="21"/>
          <w:szCs w:val="21"/>
        </w:rPr>
      </w:pPr>
    </w:p>
    <w:p w14:paraId="12437275">
      <w:pPr>
        <w:pStyle w:val="5"/>
        <w:spacing w:line="500" w:lineRule="exact"/>
        <w:rPr>
          <w:rFonts w:hint="eastAsia" w:ascii="黑体" w:hAnsi="黑体" w:eastAsia="黑体" w:cs="黑体"/>
          <w:bCs/>
          <w:sz w:val="21"/>
          <w:szCs w:val="21"/>
        </w:rPr>
      </w:pPr>
    </w:p>
    <w:p w14:paraId="1F6606FA">
      <w:pPr>
        <w:pStyle w:val="5"/>
        <w:spacing w:line="500" w:lineRule="exact"/>
        <w:rPr>
          <w:rFonts w:hint="eastAsia" w:ascii="黑体" w:hAnsi="黑体" w:eastAsia="黑体" w:cs="黑体"/>
          <w:bCs/>
          <w:sz w:val="21"/>
          <w:szCs w:val="21"/>
        </w:rPr>
      </w:pPr>
    </w:p>
    <w:p w14:paraId="03386853">
      <w:pPr>
        <w:pStyle w:val="5"/>
        <w:spacing w:line="500" w:lineRule="exact"/>
        <w:rPr>
          <w:rFonts w:hint="eastAsia" w:ascii="黑体" w:hAnsi="黑体" w:eastAsia="黑体" w:cs="黑体"/>
          <w:bCs/>
          <w:sz w:val="21"/>
          <w:szCs w:val="21"/>
        </w:rPr>
      </w:pPr>
    </w:p>
    <w:p w14:paraId="47C036E2">
      <w:pPr>
        <w:pStyle w:val="5"/>
        <w:spacing w:line="500" w:lineRule="exact"/>
        <w:rPr>
          <w:rFonts w:hint="eastAsia" w:ascii="黑体" w:hAnsi="黑体" w:eastAsia="黑体" w:cs="黑体"/>
          <w:bCs/>
          <w:sz w:val="21"/>
          <w:szCs w:val="21"/>
        </w:rPr>
      </w:pPr>
    </w:p>
    <w:p w14:paraId="2F4122BB">
      <w:pPr>
        <w:pStyle w:val="5"/>
        <w:spacing w:line="500" w:lineRule="exact"/>
        <w:rPr>
          <w:rFonts w:hint="eastAsia" w:ascii="黑体" w:hAnsi="黑体" w:eastAsia="黑体" w:cs="黑体"/>
          <w:bCs/>
          <w:sz w:val="21"/>
          <w:szCs w:val="21"/>
        </w:rPr>
      </w:pPr>
    </w:p>
    <w:p w14:paraId="7361A00B">
      <w:pPr>
        <w:pStyle w:val="5"/>
        <w:spacing w:line="500" w:lineRule="exact"/>
        <w:rPr>
          <w:rFonts w:ascii="黑体" w:hAnsi="黑体" w:eastAsia="黑体" w:cs="黑体"/>
          <w:bCs/>
          <w:sz w:val="21"/>
          <w:szCs w:val="21"/>
        </w:rPr>
      </w:pPr>
      <w:r>
        <w:rPr>
          <w:rFonts w:hint="eastAsia" w:ascii="黑体" w:hAnsi="黑体" w:eastAsia="黑体" w:cs="黑体"/>
          <w:bCs/>
          <w:sz w:val="21"/>
          <w:szCs w:val="21"/>
        </w:rPr>
        <w:t>附件2：</w:t>
      </w:r>
    </w:p>
    <w:p w14:paraId="06BFD5C9">
      <w:pPr>
        <w:pStyle w:val="5"/>
        <w:spacing w:line="500" w:lineRule="exact"/>
        <w:ind w:firstLine="420" w:firstLineChars="200"/>
        <w:jc w:val="center"/>
        <w:outlineLvl w:val="0"/>
        <w:rPr>
          <w:rFonts w:ascii="方正小标宋简体" w:hAnsi="方正小标宋简体" w:eastAsia="方正小标宋简体" w:cs="方正小标宋简体"/>
          <w:bCs/>
          <w:sz w:val="21"/>
          <w:szCs w:val="21"/>
        </w:rPr>
      </w:pPr>
      <w:bookmarkStart w:id="381" w:name="_Toc1361"/>
      <w:r>
        <w:rPr>
          <w:rFonts w:hint="eastAsia" w:ascii="方正小标宋简体" w:hAnsi="方正小标宋简体" w:eastAsia="方正小标宋简体" w:cs="方正小标宋简体"/>
          <w:bCs/>
          <w:sz w:val="21"/>
          <w:szCs w:val="21"/>
        </w:rPr>
        <w:t>物业服务考核标准</w:t>
      </w:r>
      <w:bookmarkEnd w:id="381"/>
    </w:p>
    <w:tbl>
      <w:tblPr>
        <w:tblStyle w:val="14"/>
        <w:tblpPr w:leftFromText="180" w:rightFromText="180" w:vertAnchor="text" w:horzAnchor="page" w:tblpX="1231" w:tblpY="205"/>
        <w:tblOverlap w:val="never"/>
        <w:tblW w:w="979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2"/>
        <w:gridCol w:w="6430"/>
        <w:gridCol w:w="873"/>
        <w:gridCol w:w="680"/>
        <w:gridCol w:w="716"/>
      </w:tblGrid>
      <w:tr w14:paraId="16CC1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1092" w:type="dxa"/>
            <w:tcBorders>
              <w:top w:val="single" w:color="000000" w:sz="4" w:space="0"/>
              <w:left w:val="single" w:color="000000" w:sz="4" w:space="0"/>
              <w:bottom w:val="single" w:color="000000" w:sz="4" w:space="0"/>
              <w:right w:val="single" w:color="000000" w:sz="4" w:space="0"/>
            </w:tcBorders>
            <w:noWrap w:val="0"/>
            <w:vAlign w:val="center"/>
          </w:tcPr>
          <w:p w14:paraId="3F748ACD">
            <w:pPr>
              <w:pStyle w:val="5"/>
              <w:spacing w:line="50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内容</w:t>
            </w:r>
          </w:p>
        </w:tc>
        <w:tc>
          <w:tcPr>
            <w:tcW w:w="6430" w:type="dxa"/>
            <w:tcBorders>
              <w:top w:val="single" w:color="000000" w:sz="4" w:space="0"/>
              <w:left w:val="single" w:color="000000" w:sz="4" w:space="0"/>
              <w:bottom w:val="single" w:color="000000" w:sz="4" w:space="0"/>
              <w:right w:val="single" w:color="000000" w:sz="4" w:space="0"/>
            </w:tcBorders>
            <w:noWrap w:val="0"/>
            <w:vAlign w:val="center"/>
          </w:tcPr>
          <w:p w14:paraId="48FA4249">
            <w:pPr>
              <w:pStyle w:val="5"/>
              <w:spacing w:line="50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考核标准</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367F44F9">
            <w:pPr>
              <w:pStyle w:val="5"/>
              <w:spacing w:line="50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评分方法</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610331D">
            <w:pPr>
              <w:pStyle w:val="5"/>
              <w:spacing w:line="50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扣分原因</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43E93628">
            <w:pPr>
              <w:pStyle w:val="5"/>
              <w:spacing w:line="50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得分</w:t>
            </w:r>
          </w:p>
        </w:tc>
      </w:tr>
      <w:tr w14:paraId="3645F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restart"/>
            <w:tcBorders>
              <w:top w:val="single" w:color="000000" w:sz="4" w:space="0"/>
              <w:left w:val="single" w:color="000000" w:sz="4" w:space="0"/>
              <w:bottom w:val="single" w:color="000000" w:sz="4" w:space="0"/>
              <w:right w:val="single" w:color="000000" w:sz="4" w:space="0"/>
            </w:tcBorders>
            <w:noWrap w:val="0"/>
            <w:vAlign w:val="center"/>
          </w:tcPr>
          <w:p w14:paraId="693C0B94">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基本</w:t>
            </w:r>
          </w:p>
          <w:p w14:paraId="05CE88EF">
            <w:pPr>
              <w:pStyle w:val="5"/>
              <w:spacing w:after="0"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p w14:paraId="7C73BBEA">
            <w:pPr>
              <w:pStyle w:val="5"/>
              <w:spacing w:after="0"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13分</w:t>
            </w: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4593F081">
            <w:pPr>
              <w:pStyle w:val="5"/>
              <w:spacing w:after="0" w:line="380" w:lineRule="exact"/>
              <w:ind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（一）物业服务单位和人员要求3分</w:t>
            </w:r>
          </w:p>
          <w:p w14:paraId="40193F13">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1.应具有独立的法人资格，具备专业物业管理服务能力。0.5分</w:t>
            </w:r>
          </w:p>
          <w:p w14:paraId="3A02FB70">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2.应根据物业服务合同约定和服务项目、面积、复杂情况等配备相应数量服务人员和设施设备。0.5分</w:t>
            </w:r>
          </w:p>
          <w:p w14:paraId="62493AB4">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3.应建立健全规章制度，包括物业服务方案、岗位职责、工作流程及服务规范、节能节水、生活垃圾分类、内部管理制度等，并应有具体落实措施及考核办法。0.5分</w:t>
            </w:r>
          </w:p>
          <w:p w14:paraId="270F84CC">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4.管理人员应具备物业服务知识，服务人员应持有健康证（每年检查2次）。专业技术人员应取得职业技能资格证书，技术主管应取得相应专业技术证书，从事特种设备作业人员应取得特种作业资格。0.5分</w:t>
            </w:r>
          </w:p>
          <w:p w14:paraId="4C7C4F5C">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5.掌握物业服务基本法律法规，熟悉办公楼基本情况。上岗前应进行专业技能培训和保密教育，合格后上岗。每年至少参加2次业务知识培训。0.5分</w:t>
            </w:r>
          </w:p>
          <w:p w14:paraId="2C43F5B1">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6.统一着装，佩戴工作牌，遵守工作纪律，仪容仪表整洁大方，精神风貌良好，服务主动热情。0.5分</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7BAE4C20">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一项不合格扣相应分。</w:t>
            </w: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3D913415">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09878557">
            <w:pPr>
              <w:pStyle w:val="5"/>
              <w:spacing w:after="0" w:line="380" w:lineRule="exact"/>
              <w:rPr>
                <w:rFonts w:ascii="仿宋_GB2312" w:hAnsi="仿宋_GB2312" w:eastAsia="仿宋_GB2312" w:cs="仿宋_GB2312"/>
                <w:sz w:val="21"/>
                <w:szCs w:val="21"/>
              </w:rPr>
            </w:pPr>
          </w:p>
        </w:tc>
      </w:tr>
      <w:tr w14:paraId="05E44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continue"/>
            <w:tcBorders>
              <w:top w:val="single" w:color="000000" w:sz="4" w:space="0"/>
              <w:left w:val="single" w:color="000000" w:sz="4" w:space="0"/>
              <w:bottom w:val="single" w:color="000000" w:sz="4" w:space="0"/>
              <w:right w:val="single" w:color="000000" w:sz="4" w:space="0"/>
            </w:tcBorders>
            <w:noWrap w:val="0"/>
            <w:vAlign w:val="top"/>
          </w:tcPr>
          <w:p w14:paraId="79208CE5">
            <w:pPr>
              <w:pStyle w:val="5"/>
              <w:spacing w:after="0" w:line="380" w:lineRule="exact"/>
              <w:rPr>
                <w:rFonts w:ascii="仿宋_GB2312" w:hAnsi="仿宋_GB2312" w:eastAsia="仿宋_GB2312" w:cs="仿宋_GB2312"/>
                <w:sz w:val="21"/>
                <w:szCs w:val="21"/>
              </w:rPr>
            </w:pP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21C76CDB">
            <w:pPr>
              <w:pStyle w:val="5"/>
              <w:spacing w:after="0" w:line="380" w:lineRule="exact"/>
              <w:ind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（二）档案管理1分</w:t>
            </w:r>
          </w:p>
          <w:p w14:paraId="32FA1C7F">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1.建立档案管理制度，进行电子备份，对服务记录应分类归档保存，方便查阅。档案记录应及时准确、清晰完整，并有责任人和审核人签字。0.5分</w:t>
            </w:r>
          </w:p>
          <w:p w14:paraId="1AAA26B6">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2.档案应设置查阅权限，未经许可，不应将资料内容转作其他用途。0.5分</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5E73027A">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一项不合格扣相应分。</w:t>
            </w: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5D46B719">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0BEA7303">
            <w:pPr>
              <w:pStyle w:val="5"/>
              <w:spacing w:after="0" w:line="380" w:lineRule="exact"/>
              <w:rPr>
                <w:rFonts w:ascii="仿宋_GB2312" w:hAnsi="仿宋_GB2312" w:eastAsia="仿宋_GB2312" w:cs="仿宋_GB2312"/>
                <w:sz w:val="21"/>
                <w:szCs w:val="21"/>
              </w:rPr>
            </w:pPr>
          </w:p>
        </w:tc>
      </w:tr>
      <w:tr w14:paraId="23B6E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continue"/>
            <w:tcBorders>
              <w:top w:val="single" w:color="000000" w:sz="4" w:space="0"/>
              <w:left w:val="single" w:color="000000" w:sz="4" w:space="0"/>
              <w:bottom w:val="single" w:color="000000" w:sz="4" w:space="0"/>
              <w:right w:val="single" w:color="000000" w:sz="4" w:space="0"/>
            </w:tcBorders>
            <w:noWrap w:val="0"/>
            <w:vAlign w:val="top"/>
          </w:tcPr>
          <w:p w14:paraId="5EA51055">
            <w:pPr>
              <w:pStyle w:val="5"/>
              <w:spacing w:after="0" w:line="380" w:lineRule="exact"/>
              <w:rPr>
                <w:rFonts w:ascii="仿宋_GB2312" w:hAnsi="仿宋_GB2312" w:eastAsia="仿宋_GB2312" w:cs="仿宋_GB2312"/>
                <w:sz w:val="21"/>
                <w:szCs w:val="21"/>
              </w:rPr>
            </w:pP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3291F18E">
            <w:pPr>
              <w:pStyle w:val="5"/>
              <w:spacing w:after="0" w:line="380" w:lineRule="exact"/>
              <w:ind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（三）保密管理7分</w:t>
            </w:r>
          </w:p>
          <w:p w14:paraId="30C209D4">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1.根据保密需求建立保密制度，所有服务人员应签订保密责任书。0.5分</w:t>
            </w:r>
          </w:p>
          <w:p w14:paraId="7A20B70E">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2.定期对服务人员进行保密知识培训，增强服务人员保密意识。0.5分</w:t>
            </w:r>
          </w:p>
          <w:p w14:paraId="641B8BF5">
            <w:pPr>
              <w:pStyle w:val="5"/>
              <w:spacing w:after="0" w:line="38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3.发现有泄密行为的，直接扣5分。</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3A90438B">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一项不合格扣相应分。</w:t>
            </w: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434194C7">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0BEA0EE4">
            <w:pPr>
              <w:pStyle w:val="5"/>
              <w:spacing w:after="0" w:line="380" w:lineRule="exact"/>
              <w:rPr>
                <w:rFonts w:ascii="仿宋_GB2312" w:hAnsi="仿宋_GB2312" w:eastAsia="仿宋_GB2312" w:cs="仿宋_GB2312"/>
                <w:sz w:val="21"/>
                <w:szCs w:val="21"/>
              </w:rPr>
            </w:pPr>
          </w:p>
        </w:tc>
      </w:tr>
      <w:tr w14:paraId="73B54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continue"/>
            <w:tcBorders>
              <w:top w:val="single" w:color="000000" w:sz="4" w:space="0"/>
              <w:left w:val="single" w:color="000000" w:sz="4" w:space="0"/>
              <w:bottom w:val="single" w:color="000000" w:sz="4" w:space="0"/>
              <w:right w:val="single" w:color="000000" w:sz="4" w:space="0"/>
            </w:tcBorders>
            <w:noWrap w:val="0"/>
            <w:vAlign w:val="top"/>
          </w:tcPr>
          <w:p w14:paraId="0D21F15D">
            <w:pPr>
              <w:pStyle w:val="5"/>
              <w:spacing w:after="0" w:line="380" w:lineRule="exact"/>
              <w:rPr>
                <w:rFonts w:ascii="仿宋_GB2312" w:hAnsi="仿宋_GB2312" w:eastAsia="仿宋_GB2312" w:cs="仿宋_GB2312"/>
                <w:sz w:val="21"/>
                <w:szCs w:val="21"/>
              </w:rPr>
            </w:pP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2929E49A">
            <w:pPr>
              <w:pStyle w:val="5"/>
              <w:spacing w:after="0" w:line="380" w:lineRule="exact"/>
              <w:ind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（四）标识管理2分</w:t>
            </w:r>
          </w:p>
          <w:p w14:paraId="3B283820">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1.应在各楼层明显位置张贴平面疏散示意图、引路标志、紧急出口及控烟标志。应在主要道路和停车场(库)设置行车指示标志。0.5分</w:t>
            </w:r>
          </w:p>
          <w:p w14:paraId="44E88079">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2.标识应风格统一，文字规范，并设置在明显位置。0.5分</w:t>
            </w:r>
          </w:p>
          <w:p w14:paraId="68A67D8F">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3.应定期对标识进行检查，发现损坏或丢失时，应及时修缮或重新安装。0.5分</w:t>
            </w:r>
          </w:p>
          <w:p w14:paraId="6B150E52">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4.应设置24小时服务热线，受理及时到位，记录归档保存。0.5分</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2779917C">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一项不合格扣相应分。</w:t>
            </w: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5867DFDC">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1DCDC855">
            <w:pPr>
              <w:pStyle w:val="5"/>
              <w:spacing w:after="0" w:line="380" w:lineRule="exact"/>
              <w:rPr>
                <w:rFonts w:ascii="仿宋_GB2312" w:hAnsi="仿宋_GB2312" w:eastAsia="仿宋_GB2312" w:cs="仿宋_GB2312"/>
                <w:sz w:val="21"/>
                <w:szCs w:val="21"/>
              </w:rPr>
            </w:pPr>
          </w:p>
        </w:tc>
      </w:tr>
      <w:tr w14:paraId="2559C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restart"/>
            <w:tcBorders>
              <w:top w:val="single" w:color="000000" w:sz="4" w:space="0"/>
              <w:left w:val="single" w:color="000000" w:sz="4" w:space="0"/>
              <w:bottom w:val="single" w:color="000000" w:sz="4" w:space="0"/>
              <w:right w:val="single" w:color="000000" w:sz="4" w:space="0"/>
            </w:tcBorders>
            <w:noWrap w:val="0"/>
            <w:vAlign w:val="top"/>
          </w:tcPr>
          <w:p w14:paraId="0BE3C7DA">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服务</w:t>
            </w:r>
          </w:p>
          <w:p w14:paraId="20CD7522">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要求</w:t>
            </w:r>
          </w:p>
          <w:p w14:paraId="6A2A8645">
            <w:pPr>
              <w:pStyle w:val="5"/>
              <w:spacing w:after="0" w:line="380" w:lineRule="exact"/>
              <w:rPr>
                <w:rFonts w:ascii="仿宋_GB2312" w:hAnsi="仿宋_GB2312" w:eastAsia="仿宋_GB2312" w:cs="仿宋_GB2312"/>
                <w:sz w:val="21"/>
                <w:szCs w:val="21"/>
              </w:rPr>
            </w:pPr>
          </w:p>
          <w:p w14:paraId="68E6C100">
            <w:pPr>
              <w:pStyle w:val="5"/>
              <w:spacing w:after="0" w:line="380" w:lineRule="exact"/>
              <w:rPr>
                <w:rFonts w:ascii="仿宋_GB2312" w:hAnsi="仿宋_GB2312" w:eastAsia="仿宋_GB2312" w:cs="仿宋_GB2312"/>
                <w:sz w:val="21"/>
                <w:szCs w:val="21"/>
              </w:rPr>
            </w:pPr>
          </w:p>
          <w:p w14:paraId="4F093F01">
            <w:pPr>
              <w:pStyle w:val="5"/>
              <w:spacing w:after="0" w:line="380" w:lineRule="exact"/>
              <w:rPr>
                <w:rFonts w:ascii="仿宋_GB2312" w:hAnsi="仿宋_GB2312" w:eastAsia="仿宋_GB2312" w:cs="仿宋_GB2312"/>
                <w:sz w:val="21"/>
                <w:szCs w:val="21"/>
              </w:rPr>
            </w:pPr>
          </w:p>
          <w:p w14:paraId="31DACAFE">
            <w:pPr>
              <w:pStyle w:val="5"/>
              <w:spacing w:after="0" w:line="380" w:lineRule="exact"/>
              <w:rPr>
                <w:rFonts w:ascii="仿宋_GB2312" w:hAnsi="仿宋_GB2312" w:eastAsia="仿宋_GB2312" w:cs="仿宋_GB2312"/>
                <w:sz w:val="21"/>
                <w:szCs w:val="21"/>
              </w:rPr>
            </w:pPr>
          </w:p>
          <w:p w14:paraId="7A42EF41">
            <w:pPr>
              <w:pStyle w:val="5"/>
              <w:spacing w:after="0" w:line="380" w:lineRule="exact"/>
              <w:rPr>
                <w:rFonts w:ascii="仿宋_GB2312" w:hAnsi="仿宋_GB2312" w:eastAsia="仿宋_GB2312" w:cs="仿宋_GB2312"/>
                <w:sz w:val="21"/>
                <w:szCs w:val="21"/>
              </w:rPr>
            </w:pPr>
          </w:p>
          <w:p w14:paraId="1F8307EB">
            <w:pPr>
              <w:pStyle w:val="5"/>
              <w:spacing w:after="0" w:line="380" w:lineRule="exact"/>
              <w:rPr>
                <w:rFonts w:ascii="仿宋_GB2312" w:hAnsi="仿宋_GB2312" w:eastAsia="仿宋_GB2312" w:cs="仿宋_GB2312"/>
                <w:sz w:val="21"/>
                <w:szCs w:val="21"/>
              </w:rPr>
            </w:pPr>
          </w:p>
          <w:p w14:paraId="7FC1BAB4">
            <w:pPr>
              <w:pStyle w:val="5"/>
              <w:spacing w:after="0" w:line="380" w:lineRule="exact"/>
              <w:rPr>
                <w:rFonts w:ascii="仿宋_GB2312" w:hAnsi="仿宋_GB2312" w:eastAsia="仿宋_GB2312" w:cs="仿宋_GB2312"/>
                <w:sz w:val="21"/>
                <w:szCs w:val="21"/>
              </w:rPr>
            </w:pPr>
          </w:p>
          <w:p w14:paraId="563A786C">
            <w:pPr>
              <w:pStyle w:val="5"/>
              <w:spacing w:after="0" w:line="380" w:lineRule="exact"/>
              <w:rPr>
                <w:rFonts w:ascii="仿宋_GB2312" w:hAnsi="仿宋_GB2312" w:eastAsia="仿宋_GB2312" w:cs="仿宋_GB2312"/>
                <w:sz w:val="21"/>
                <w:szCs w:val="21"/>
              </w:rPr>
            </w:pPr>
          </w:p>
          <w:p w14:paraId="0E290692">
            <w:pPr>
              <w:pStyle w:val="5"/>
              <w:spacing w:after="0" w:line="380" w:lineRule="exact"/>
              <w:rPr>
                <w:rFonts w:ascii="仿宋_GB2312" w:hAnsi="仿宋_GB2312" w:eastAsia="仿宋_GB2312" w:cs="仿宋_GB2312"/>
                <w:sz w:val="21"/>
                <w:szCs w:val="21"/>
              </w:rPr>
            </w:pPr>
          </w:p>
          <w:p w14:paraId="5B80F328">
            <w:pPr>
              <w:pStyle w:val="5"/>
              <w:spacing w:after="0" w:line="380" w:lineRule="exact"/>
              <w:rPr>
                <w:rFonts w:ascii="仿宋_GB2312" w:hAnsi="仿宋_GB2312" w:eastAsia="仿宋_GB2312" w:cs="仿宋_GB2312"/>
                <w:sz w:val="21"/>
                <w:szCs w:val="21"/>
              </w:rPr>
            </w:pPr>
          </w:p>
          <w:p w14:paraId="255AFC82">
            <w:pPr>
              <w:pStyle w:val="5"/>
              <w:spacing w:after="0" w:line="380" w:lineRule="exact"/>
              <w:rPr>
                <w:rFonts w:ascii="仿宋_GB2312" w:hAnsi="仿宋_GB2312" w:eastAsia="仿宋_GB2312" w:cs="仿宋_GB2312"/>
                <w:sz w:val="21"/>
                <w:szCs w:val="21"/>
              </w:rPr>
            </w:pPr>
          </w:p>
          <w:p w14:paraId="0F6653C1">
            <w:pPr>
              <w:pStyle w:val="5"/>
              <w:spacing w:after="0" w:line="380" w:lineRule="exact"/>
              <w:rPr>
                <w:rFonts w:ascii="仿宋_GB2312" w:hAnsi="仿宋_GB2312" w:eastAsia="仿宋_GB2312" w:cs="仿宋_GB2312"/>
                <w:sz w:val="21"/>
                <w:szCs w:val="21"/>
              </w:rPr>
            </w:pPr>
          </w:p>
          <w:p w14:paraId="26F8320C">
            <w:pPr>
              <w:pStyle w:val="5"/>
              <w:spacing w:after="0" w:line="380" w:lineRule="exact"/>
              <w:rPr>
                <w:rFonts w:ascii="仿宋_GB2312" w:hAnsi="仿宋_GB2312" w:eastAsia="仿宋_GB2312" w:cs="仿宋_GB2312"/>
                <w:sz w:val="21"/>
                <w:szCs w:val="21"/>
              </w:rPr>
            </w:pPr>
          </w:p>
          <w:p w14:paraId="44C8E406">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保洁服务室内区域清洁43.5分</w:t>
            </w: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57415D48">
            <w:pPr>
              <w:pStyle w:val="5"/>
              <w:spacing w:after="0" w:line="380" w:lineRule="exact"/>
              <w:ind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（一）保洁基本要求5分</w:t>
            </w:r>
          </w:p>
          <w:p w14:paraId="55A1E644">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1.根据清洁区域的不同，对所使用的清洁工具，应标记不同标识或颜色加以区分。0.5分</w:t>
            </w:r>
          </w:p>
          <w:p w14:paraId="38ACD75F">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2.清洁用品应符合产品标准，并分类保存。危险化学品的储存应符合相关规定。0.5分</w:t>
            </w:r>
          </w:p>
          <w:p w14:paraId="7C193EC2">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3.开展高危清洁作业时，应采取安全防护措施。1分</w:t>
            </w:r>
          </w:p>
          <w:p w14:paraId="19DCD6E2">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4.定期对公共场所和周围环境进行预防性卫生消杀，适时投放消杀药物和设施。1分</w:t>
            </w:r>
          </w:p>
          <w:p w14:paraId="4047BAE0">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5.应按相关规定采取综合措施消灭老鼠、蟑螂、白蚁，控制室内外苍蝇、蚊虫滋生。1分</w:t>
            </w:r>
          </w:p>
          <w:p w14:paraId="63AA4B93">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6.定期开展主题宣传和知识培训活动，包括但不限于垃圾分类、控烟等方面。1分</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5A3FE903">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一项不合格扣相应分</w:t>
            </w: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17B645AE">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46F066AF">
            <w:pPr>
              <w:pStyle w:val="5"/>
              <w:spacing w:after="0" w:line="380" w:lineRule="exact"/>
              <w:rPr>
                <w:rFonts w:ascii="仿宋_GB2312" w:hAnsi="仿宋_GB2312" w:eastAsia="仿宋_GB2312" w:cs="仿宋_GB2312"/>
                <w:sz w:val="21"/>
                <w:szCs w:val="21"/>
              </w:rPr>
            </w:pPr>
          </w:p>
        </w:tc>
      </w:tr>
      <w:tr w14:paraId="4A5E5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continue"/>
            <w:tcBorders>
              <w:top w:val="single" w:color="000000" w:sz="4" w:space="0"/>
              <w:left w:val="single" w:color="000000" w:sz="4" w:space="0"/>
              <w:bottom w:val="single" w:color="000000" w:sz="4" w:space="0"/>
              <w:right w:val="single" w:color="000000" w:sz="4" w:space="0"/>
            </w:tcBorders>
            <w:noWrap w:val="0"/>
            <w:vAlign w:val="top"/>
          </w:tcPr>
          <w:p w14:paraId="15DDCF1B">
            <w:pPr>
              <w:pStyle w:val="5"/>
              <w:spacing w:after="0" w:line="380" w:lineRule="exact"/>
              <w:rPr>
                <w:rFonts w:ascii="仿宋_GB2312" w:hAnsi="仿宋_GB2312" w:eastAsia="仿宋_GB2312" w:cs="仿宋_GB2312"/>
                <w:sz w:val="21"/>
                <w:szCs w:val="21"/>
              </w:rPr>
            </w:pP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5AD1C36B">
            <w:pPr>
              <w:pStyle w:val="5"/>
              <w:spacing w:after="0" w:line="380" w:lineRule="exact"/>
              <w:ind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（二）服务功能性用房4分</w:t>
            </w:r>
          </w:p>
          <w:p w14:paraId="6F96F17E">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办公室内办公桌、电脑桌、电脑、电话、打印机、复印件、书柜、档案柜、茶几、椅子、沙发等物体。作业标准要求无污渍、无灰尘，各办公设施完好无损、垃圾桶干净无污；垃圾及时清倒，屋顶及墙面无蜘蛛网。1分</w:t>
            </w:r>
          </w:p>
          <w:p w14:paraId="1B2691AD">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2.卫生间无臭味、无污渍。玻璃镜面保持光亮、无水点、水渍；台面、洗手盆、水龙头、抽风机、要求无污物、无水迹、无杂物、白洁光亮；瓷砖墙面、隔断板、隔断门要保证无污迹、无尘土、无纸末。1分</w:t>
            </w:r>
          </w:p>
          <w:p w14:paraId="1522C2FA">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3.楼梯、扶手每天用毛巾湿擦1次，走廊过道每天清扫一次、干净无灰尘，走廊顶及墙面无蜘蛛网。1分</w:t>
            </w:r>
          </w:p>
          <w:p w14:paraId="2F0FBE6D">
            <w:pPr>
              <w:pStyle w:val="5"/>
              <w:spacing w:after="0" w:line="38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 会议室：会议前后打扫干净，地面每天湿拖一次，无污渍；桌椅物体表面每次开会前用专用毛巾擦拭一次，光亮无污渍、灰尘；玻璃双面及窗台光亮，无水印、无污渍。1分</w:t>
            </w:r>
          </w:p>
          <w:p w14:paraId="504C3F73">
            <w:pPr>
              <w:rPr>
                <w:sz w:val="21"/>
                <w:szCs w:val="21"/>
              </w:rPr>
            </w:pPr>
          </w:p>
          <w:p w14:paraId="2ACB8595">
            <w:pPr>
              <w:pStyle w:val="5"/>
              <w:spacing w:after="0" w:line="380" w:lineRule="exact"/>
              <w:ind w:firstLine="420" w:firstLineChars="200"/>
              <w:rPr>
                <w:rFonts w:ascii="仿宋_GB2312" w:hAnsi="仿宋_GB2312" w:eastAsia="仿宋_GB2312" w:cs="仿宋_GB2312"/>
                <w:sz w:val="21"/>
                <w:szCs w:val="21"/>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7DB1FDBF">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一项不合格扣相应分。</w:t>
            </w: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5D2694B5">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7B819A06">
            <w:pPr>
              <w:pStyle w:val="5"/>
              <w:spacing w:after="0" w:line="380" w:lineRule="exact"/>
              <w:rPr>
                <w:rFonts w:ascii="仿宋_GB2312" w:hAnsi="仿宋_GB2312" w:eastAsia="仿宋_GB2312" w:cs="仿宋_GB2312"/>
                <w:sz w:val="21"/>
                <w:szCs w:val="21"/>
              </w:rPr>
            </w:pPr>
          </w:p>
        </w:tc>
      </w:tr>
      <w:tr w14:paraId="0A2DF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continue"/>
            <w:tcBorders>
              <w:top w:val="single" w:color="000000" w:sz="4" w:space="0"/>
              <w:left w:val="single" w:color="000000" w:sz="4" w:space="0"/>
              <w:bottom w:val="single" w:color="000000" w:sz="4" w:space="0"/>
              <w:right w:val="single" w:color="000000" w:sz="4" w:space="0"/>
            </w:tcBorders>
            <w:noWrap w:val="0"/>
            <w:vAlign w:val="top"/>
          </w:tcPr>
          <w:p w14:paraId="5C3131A1">
            <w:pPr>
              <w:pStyle w:val="5"/>
              <w:spacing w:after="0" w:line="380" w:lineRule="exact"/>
              <w:rPr>
                <w:rFonts w:ascii="仿宋_GB2312" w:hAnsi="仿宋_GB2312" w:eastAsia="仿宋_GB2312" w:cs="仿宋_GB2312"/>
                <w:sz w:val="21"/>
                <w:szCs w:val="21"/>
              </w:rPr>
            </w:pP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39DC7002">
            <w:pPr>
              <w:pStyle w:val="5"/>
              <w:spacing w:after="0" w:line="380" w:lineRule="exact"/>
              <w:ind w:firstLine="420" w:firstLineChars="200"/>
              <w:rPr>
                <w:rFonts w:ascii="仿宋_GB2312" w:hAnsi="仿宋_GB2312" w:eastAsia="仿宋_GB2312" w:cs="仿宋_GB2312"/>
                <w:sz w:val="21"/>
                <w:szCs w:val="21"/>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09C59CB">
            <w:pPr>
              <w:pStyle w:val="5"/>
              <w:spacing w:after="0" w:line="380" w:lineRule="exact"/>
              <w:rPr>
                <w:rFonts w:ascii="仿宋_GB2312" w:hAnsi="仿宋_GB2312" w:eastAsia="仿宋_GB2312" w:cs="仿宋_GB2312"/>
                <w:sz w:val="21"/>
                <w:szCs w:val="21"/>
              </w:rPr>
            </w:pP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6D8C08D6">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1BF05FAA">
            <w:pPr>
              <w:pStyle w:val="5"/>
              <w:spacing w:after="0" w:line="380" w:lineRule="exact"/>
              <w:rPr>
                <w:rFonts w:ascii="仿宋_GB2312" w:hAnsi="仿宋_GB2312" w:eastAsia="仿宋_GB2312" w:cs="仿宋_GB2312"/>
                <w:sz w:val="21"/>
                <w:szCs w:val="21"/>
              </w:rPr>
            </w:pPr>
          </w:p>
        </w:tc>
      </w:tr>
      <w:tr w14:paraId="6417E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BD0471">
            <w:pPr>
              <w:pStyle w:val="5"/>
              <w:spacing w:after="0" w:line="380" w:lineRule="exact"/>
              <w:rPr>
                <w:rFonts w:ascii="仿宋_GB2312" w:hAnsi="仿宋_GB2312" w:eastAsia="仿宋_GB2312" w:cs="仿宋_GB2312"/>
                <w:sz w:val="21"/>
                <w:szCs w:val="21"/>
              </w:rPr>
            </w:pP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195B225E">
            <w:pPr>
              <w:pStyle w:val="5"/>
              <w:spacing w:after="0" w:line="380" w:lineRule="exact"/>
              <w:ind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（四）更衣室、治疗室、楼梯、病房3分</w:t>
            </w:r>
          </w:p>
          <w:p w14:paraId="2CD192EE">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1.各层楼梯、扶手每天用毛巾湿擦1次，走廊过道每天清扫二次、干净无灰尘，走廊顶及墙面无蜘蛛网。0.5分</w:t>
            </w:r>
          </w:p>
          <w:p w14:paraId="50E71476">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 医生、护士站：作业标准要求无污渍、无灰尘。各办公设施完好无损；桌面干净无污渍、无尘土、电脑、电话无污迹；文件柜干净无尘；垃圾筒干净无污；垃圾及时清倒；垃圾袋及时更换。0.5分</w:t>
            </w:r>
          </w:p>
          <w:p w14:paraId="0820665F">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 更衣室：地面光亮无尘；柜台、柜顶无污渍、无灰尘。0.5分</w:t>
            </w:r>
          </w:p>
          <w:p w14:paraId="314926BA">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4.治疗室、换药室：房门及纱门无污渍；玻璃窗双面及窗台无手印、无污渍；窗帘无污渍、无灰尘，每季度拆洗一次，随脏随拆洗；地板表面光亮，无污渍、无灰尘；天花板及照明设备表面光亮、无污渍；诊疗床、病人座椅无污渍、无灰尘；墙壁、踢脚板（包括空调出风口）无手印、无污渍；仪器设备、治疗台、处置台无污渍、无灰尘；洗手台无手印、无污渍。0.5分</w:t>
            </w:r>
          </w:p>
          <w:p w14:paraId="19CC13E5">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5.病房、抢救室：房门、纱门、把手、病床、设备带、宣传盒、仪器、电视机、摇控器、开水壶、床头牌等无污渍、无灰尘；玻璃窗双面及窗口无手印、无污渍；窗帘隔帘无污渍、无灰尘，每季度清洗一次，随脏随拆洗；天花板及照明设备表面光亮无污渍；床头柜、桌子及供氧装置无垃圾、杂物、无污渍、无灰尘；病床上下无灰尘、无污渍；地面干燥，无水渍、垃圾、杂物，要求一柜一巾、一床一巾；墙壁（包括踢脚板、空调出风口）无手印、无污渍；阳台、窗台无灰尘、虫网、杂物；垃圾及时清倒，垃圾框每天清洁一次；卫生间、洗手台无臭味、无手印、无污渍；开水每天打两次，病人有需要时随时供应；终末消毒（包括出院、死亡）符合院内感染控制要求。1分</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4AC0F023">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一项不合格扣相应分。</w:t>
            </w: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5405775A">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4D7CD8CC">
            <w:pPr>
              <w:pStyle w:val="5"/>
              <w:spacing w:after="0" w:line="380" w:lineRule="exact"/>
              <w:rPr>
                <w:rFonts w:ascii="仿宋_GB2312" w:hAnsi="仿宋_GB2312" w:eastAsia="仿宋_GB2312" w:cs="仿宋_GB2312"/>
                <w:sz w:val="21"/>
                <w:szCs w:val="21"/>
              </w:rPr>
            </w:pPr>
          </w:p>
        </w:tc>
      </w:tr>
      <w:tr w14:paraId="7CA6A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continue"/>
            <w:tcBorders>
              <w:top w:val="single" w:color="000000" w:sz="4" w:space="0"/>
              <w:left w:val="single" w:color="000000" w:sz="4" w:space="0"/>
              <w:bottom w:val="single" w:color="000000" w:sz="4" w:space="0"/>
              <w:right w:val="single" w:color="000000" w:sz="4" w:space="0"/>
            </w:tcBorders>
            <w:noWrap w:val="0"/>
            <w:vAlign w:val="top"/>
          </w:tcPr>
          <w:p w14:paraId="188431BE">
            <w:pPr>
              <w:pStyle w:val="5"/>
              <w:spacing w:after="0" w:line="380" w:lineRule="exact"/>
              <w:rPr>
                <w:rFonts w:ascii="仿宋_GB2312" w:hAnsi="仿宋_GB2312" w:eastAsia="仿宋_GB2312" w:cs="仿宋_GB2312"/>
                <w:sz w:val="21"/>
                <w:szCs w:val="21"/>
              </w:rPr>
            </w:pP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63EB929F">
            <w:pPr>
              <w:pStyle w:val="5"/>
              <w:spacing w:after="0" w:line="380" w:lineRule="exact"/>
              <w:ind w:firstLine="422" w:firstLineChars="200"/>
              <w:rPr>
                <w:rFonts w:hint="eastAsia" w:ascii="仿宋_GB2312" w:hAnsi="仿宋_GB2312" w:eastAsia="仿宋_GB2312" w:cs="仿宋_GB2312"/>
                <w:b/>
                <w:bCs/>
                <w:sz w:val="21"/>
                <w:szCs w:val="21"/>
                <w:highlight w:val="yellow"/>
              </w:rPr>
            </w:pPr>
            <w:r>
              <w:rPr>
                <w:rFonts w:hint="eastAsia" w:ascii="仿宋_GB2312" w:hAnsi="仿宋_GB2312" w:eastAsia="仿宋_GB2312" w:cs="仿宋_GB2312"/>
                <w:b/>
                <w:bCs/>
                <w:sz w:val="21"/>
                <w:szCs w:val="21"/>
              </w:rPr>
              <w:t>（五）医生及护士值班室及卫生间3分</w:t>
            </w:r>
          </w:p>
          <w:p w14:paraId="5BA8391A">
            <w:pPr>
              <w:pStyle w:val="5"/>
              <w:spacing w:after="0" w:line="38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 医生及护士值班室：地板、门窗、床无污渍灰尘；卫生间无臭味、无污渍。0.5分</w:t>
            </w:r>
          </w:p>
          <w:p w14:paraId="408E46A9">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 大厅：天花板及照明设备表面光亮无污渍；地面光亮无尘；玻璃门窗光亮、无手印、无污渍；广告、指示牌及开关无手印、无污渍、值班台光亮、无边角干净无杂物无污渍、无尘土，地板光亮；通道扶栏、扶手无手印、无污渍、光亮；广告指示牌及开关无手印、无污渍；玻璃门无手印、无污渍、光亮；走廊内手印、无污渍。0.5分</w:t>
            </w:r>
          </w:p>
          <w:p w14:paraId="6A3CF12C">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走廊通道：天花板、灯罩、墙裙边、排风口清洁干净，无尘、无污、无网状物；墙壁及地脚线无尘土、无手印、无污渍；墙面悬挂物干净、无尘土；地面及摆放物品、文件柜、花盆等物体干净、无尘土，花盆通体干净，盆内无杂物。0.5分</w:t>
            </w:r>
          </w:p>
          <w:p w14:paraId="21792E3E">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4.步行楼梯：电梯级无杂物；楼梯扶手、玻璃双面、墙壁、不锈钢栏无手印和污渍。1分</w:t>
            </w:r>
          </w:p>
          <w:p w14:paraId="40B1CBBC">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5.地板保养： PVC地板正常情况下每半年打蜡一次，蜡面受损时及时打蜡、补蜡；大堂花岗岩地板每月抛光一次，每半年打蜡一次，0.5分</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4F4E5289">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一项不合格扣相应分。</w:t>
            </w: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41DB7EB9">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7934FE9C">
            <w:pPr>
              <w:pStyle w:val="5"/>
              <w:spacing w:after="0" w:line="380" w:lineRule="exact"/>
              <w:rPr>
                <w:rFonts w:ascii="仿宋_GB2312" w:hAnsi="仿宋_GB2312" w:eastAsia="仿宋_GB2312" w:cs="仿宋_GB2312"/>
                <w:sz w:val="21"/>
                <w:szCs w:val="21"/>
              </w:rPr>
            </w:pPr>
          </w:p>
        </w:tc>
      </w:tr>
      <w:tr w14:paraId="0BA58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continue"/>
            <w:tcBorders>
              <w:top w:val="single" w:color="000000" w:sz="4" w:space="0"/>
              <w:left w:val="single" w:color="000000" w:sz="4" w:space="0"/>
              <w:bottom w:val="single" w:color="000000" w:sz="4" w:space="0"/>
              <w:right w:val="single" w:color="000000" w:sz="4" w:space="0"/>
            </w:tcBorders>
            <w:noWrap w:val="0"/>
            <w:vAlign w:val="top"/>
          </w:tcPr>
          <w:p w14:paraId="722DB182">
            <w:pPr>
              <w:pStyle w:val="5"/>
              <w:spacing w:after="0" w:line="380" w:lineRule="exact"/>
              <w:rPr>
                <w:rFonts w:ascii="仿宋_GB2312" w:hAnsi="仿宋_GB2312" w:eastAsia="仿宋_GB2312" w:cs="仿宋_GB2312"/>
                <w:sz w:val="21"/>
                <w:szCs w:val="21"/>
              </w:rPr>
            </w:pP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6E2E1C87">
            <w:pPr>
              <w:pStyle w:val="5"/>
              <w:spacing w:after="0" w:line="38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（六）供应室、手术室4.5分</w:t>
            </w:r>
          </w:p>
          <w:p w14:paraId="6E033611">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供应室房门及纱门无污渍；玻璃窗双面及窗口无手印、无污渍，窗帘每季度拆洗一次；地面光亮、无灰尘；天花板及照明设备表面光亮、无污渍；墙壁（包括踢脚板、空调出风口）无手印、无污渍；仪器、洗手台、无手印、无污渍；下送车、拖鞋及鞋框无污渍、无灰尘；紫外线灯每周擦拭一次。1分</w:t>
            </w:r>
          </w:p>
          <w:p w14:paraId="263F2640">
            <w:pPr>
              <w:pStyle w:val="5"/>
              <w:spacing w:after="0" w:line="38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手术室地板：拖把严格分区专用。（1）非限制区（污染区）：办公室、会议室、值班室、更衣室、更鞋室；（2）半非限制区（清洁区）：器械室、敷料室、洗涤室、手术间外走廊；（3）限制区（无菌区）手术间、洗手间、无菌贮物间、手术间内走廊。三个区域地面每天用500mg/L含氯消毒液湿拖地板两次，手术完毕后及时清理、消毒，无血迹等污渍、无灰尘。1.5分</w:t>
            </w:r>
          </w:p>
          <w:p w14:paraId="440D1479">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 手术室设备、设施、台面及桌椅：物体表面每天用500mg/L含氯消毒液一次，光亮无污渍、无灰尘。0.5分</w:t>
            </w:r>
          </w:p>
          <w:p w14:paraId="1543524C">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4.手术室玻璃窗双面及窗台：每天用专用工具湿擦两次，无污渍、无灰尘。0.5分</w:t>
            </w:r>
          </w:p>
          <w:p w14:paraId="430C7918">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5.手术室墙壁（包括踢脚板、空调出风口）：无污渍、无灰尘。0.5分</w:t>
            </w:r>
          </w:p>
          <w:p w14:paraId="7EB94B81">
            <w:pPr>
              <w:pStyle w:val="5"/>
              <w:spacing w:after="0" w:line="38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6.手术室工作鞋：每天清洗消毒一次，随脏随清洗消毒。0.5分</w:t>
            </w:r>
          </w:p>
          <w:p w14:paraId="6D1F04BF">
            <w:pPr>
              <w:pStyle w:val="5"/>
              <w:spacing w:after="0" w:line="380" w:lineRule="exact"/>
              <w:ind w:firstLine="420" w:firstLineChars="200"/>
              <w:rPr>
                <w:rFonts w:ascii="仿宋_GB2312" w:hAnsi="仿宋_GB2312" w:eastAsia="仿宋_GB2312" w:cs="仿宋_GB2312"/>
                <w:sz w:val="21"/>
                <w:szCs w:val="21"/>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77120028">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一项不合格扣相应分。</w:t>
            </w: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756A3221">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1C1C3628">
            <w:pPr>
              <w:pStyle w:val="5"/>
              <w:spacing w:after="0" w:line="380" w:lineRule="exact"/>
              <w:rPr>
                <w:rFonts w:ascii="仿宋_GB2312" w:hAnsi="仿宋_GB2312" w:eastAsia="仿宋_GB2312" w:cs="仿宋_GB2312"/>
                <w:sz w:val="21"/>
                <w:szCs w:val="21"/>
              </w:rPr>
            </w:pPr>
          </w:p>
        </w:tc>
      </w:tr>
      <w:tr w14:paraId="189D2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continue"/>
            <w:tcBorders>
              <w:top w:val="single" w:color="000000" w:sz="4" w:space="0"/>
              <w:left w:val="single" w:color="000000" w:sz="4" w:space="0"/>
              <w:bottom w:val="single" w:color="000000" w:sz="4" w:space="0"/>
              <w:right w:val="single" w:color="000000" w:sz="4" w:space="0"/>
            </w:tcBorders>
            <w:noWrap w:val="0"/>
            <w:vAlign w:val="top"/>
          </w:tcPr>
          <w:p w14:paraId="546D23A8">
            <w:pPr>
              <w:pStyle w:val="5"/>
              <w:spacing w:after="0" w:line="380" w:lineRule="exact"/>
              <w:rPr>
                <w:rFonts w:ascii="仿宋_GB2312" w:hAnsi="仿宋_GB2312" w:eastAsia="仿宋_GB2312" w:cs="仿宋_GB2312"/>
                <w:sz w:val="21"/>
                <w:szCs w:val="21"/>
              </w:rPr>
            </w:pP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6A70EB75">
            <w:pPr>
              <w:pStyle w:val="5"/>
              <w:spacing w:after="0" w:line="380" w:lineRule="exact"/>
              <w:ind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（七）门诊部6.5分</w:t>
            </w:r>
          </w:p>
          <w:p w14:paraId="3C735CD1">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抢救室、输液室：仪器表面每周用专用毛巾湿擦一次，抢救结束后用500mg/L含氯消毒液湿擦一次；输液架、轮椅、平车、电视机、电视架、输液室座椅、桌面、台面、柜子表面无污渍灰尘；输液杆表面每周用专用毛巾湿擦两次；地板无污渍、无杂物、无垃圾，随脏随拖；诊床每周更换两次床单，平时随脏随换；墙壁（包括踢脚板、空调出风口）：无污渍、无灰尘。0.5分</w:t>
            </w:r>
          </w:p>
          <w:p w14:paraId="3F705655">
            <w:pPr>
              <w:pStyle w:val="5"/>
              <w:spacing w:after="0" w:line="38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 救护车：物体表面每天用专用毛巾湿擦，如有出诊随时保洁。0.5分</w:t>
            </w:r>
          </w:p>
          <w:p w14:paraId="4EB7BA21">
            <w:pPr>
              <w:pStyle w:val="7"/>
              <w:spacing w:line="380" w:lineRule="exact"/>
              <w:rPr>
                <w:rFonts w:hint="eastAsia" w:ascii="仿宋_GB2312" w:hAnsi="仿宋_GB2312" w:eastAsia="仿宋_GB2312" w:cs="仿宋_GB2312"/>
                <w:kern w:val="2"/>
                <w:sz w:val="21"/>
                <w:szCs w:val="21"/>
              </w:rPr>
            </w:pPr>
            <w:r>
              <w:rPr>
                <w:rFonts w:hint="eastAsia" w:ascii="仿宋_GB2312" w:hAnsi="仿宋_GB2312" w:eastAsia="仿宋_GB2312" w:cs="仿宋_GB2312"/>
                <w:sz w:val="21"/>
                <w:szCs w:val="21"/>
              </w:rPr>
              <w:t>3. 门急诊外科处置室、眼科、耳鼻喉科、妇科、手术室、痔疮室：垃圾桶每天常规清理两次，如有特殊外伤病人随时清理；治疗车、柜子、桌子表面无污渍灰尘，随脏随擦，毛巾使用后用0.03%消佳净浸泡30分钟、洗衣粉清洗晾干后才能投入下次使用；治疗室玻璃窗、门、隔离玻璃表面光亮、无手印、无污渍，随脏随擦，毛巾使用后用0.03%消佳净消毒液浸泡30分钟、洗衣粉清洗晾干后才能投入下次使用；地板无污渍、无灰尘，随脏随拖；洗手水池（盆）无污渍；墙壁（包括踢脚板、空调出风口）：无污渍、无灰尘；治疗设备表面无污渍、无灰尘，随脏随清洁。0.5分</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w:t>
            </w:r>
            <w:r>
              <w:rPr>
                <w:rFonts w:hint="eastAsia" w:hAnsi="宋体"/>
                <w:bCs/>
                <w:sz w:val="21"/>
                <w:szCs w:val="21"/>
              </w:rPr>
              <w:t xml:space="preserve"> </w:t>
            </w:r>
            <w:r>
              <w:rPr>
                <w:rFonts w:hint="eastAsia" w:ascii="仿宋_GB2312" w:hAnsi="仿宋_GB2312" w:eastAsia="仿宋_GB2312" w:cs="仿宋_GB2312"/>
                <w:kern w:val="2"/>
                <w:sz w:val="21"/>
                <w:szCs w:val="21"/>
              </w:rPr>
              <w:t>抽血室、各诊室、体检中心：更衣室、医生护士值班室：地板无污渍，随脏随拖；玻璃窗双面及窗口无手印、无污渍；墙壁（包括踢脚板、空调出风口）：无污渍、无灰尘；柜、台面物体表面无污渍灰尘；电脑、显示器、键盘物体表面无污渍灰尘；洗手池及镜面无污渍、光亮。0.5分</w:t>
            </w:r>
          </w:p>
          <w:p w14:paraId="0E87EFFB">
            <w:pPr>
              <w:pStyle w:val="7"/>
              <w:spacing w:line="380" w:lineRule="exact"/>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5.卫生间：每天常规清洗六次（上班、中途、下班）平时随脏随保洁，无臭味，无污渍。0.5分</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6.门诊大厅：天花板及照明设备表面光亮无污渍；地面光亮无尘、无污渍；玻璃门窗光亮、无手印、无污渍；广告、指示牌及开关无手印、无污渍、值班台光亮、无手印、无污渍；值班台无手印、无污渍、光亮。0.5分</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7.抢救室门前大露台：地面无污渍、无垃圾、无灰尘。0.5分</w:t>
            </w:r>
          </w:p>
          <w:p w14:paraId="7E9B42C8">
            <w:pPr>
              <w:pStyle w:val="7"/>
              <w:spacing w:line="380" w:lineRule="exact"/>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8.口腔科：玻璃门、窗、桌子无手印、无污渍、灰尘；地板地面光亮无尘、无污渍；洗手池及镜面无手印、无污渍、光亮；诊室、技工室、消毒室、X光室地面每天下班前用500mg/L含氯消毒液湿拖一次，无污渍、无灰尘；墙壁（包括踢脚板、空调出风口）：无污渍、无灰尘；治疗椅子底部、台面、照明灯罩（管）每天下班前用专用毛巾湿擦一次，无污渍、无灰尘；痰盂每天用刷子配合消毒剂刷洗两次，随脏随消毒；X光机表面无污渍、无灰尘。0.5分</w:t>
            </w:r>
          </w:p>
          <w:p w14:paraId="5CA530CF">
            <w:pPr>
              <w:pStyle w:val="7"/>
              <w:spacing w:line="380" w:lineRule="exact"/>
              <w:rPr>
                <w:rFonts w:ascii="仿宋_GB2312" w:hAnsi="仿宋_GB2312" w:eastAsia="仿宋_GB2312" w:cs="仿宋_GB2312"/>
                <w:sz w:val="21"/>
                <w:szCs w:val="21"/>
              </w:rPr>
            </w:pPr>
            <w:r>
              <w:rPr>
                <w:rFonts w:hint="eastAsia" w:ascii="仿宋_GB2312" w:hAnsi="仿宋_GB2312" w:eastAsia="仿宋_GB2312" w:cs="仿宋_GB2312"/>
                <w:kern w:val="2"/>
                <w:sz w:val="21"/>
                <w:szCs w:val="21"/>
              </w:rPr>
              <w:t>9. 职工活动室：地板地面光亮、无灰尘；洗手池及镜面无手印、无污渍；墙面、踢脚线、隔断玻璃门窗无污渍、无手印；台面及桌椅无污渍、无灰尘。0.5分</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7CCAB613">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一项不合格扣相应分。</w:t>
            </w: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4BAE36C1">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253D1A6E">
            <w:pPr>
              <w:pStyle w:val="5"/>
              <w:spacing w:after="0" w:line="380" w:lineRule="exact"/>
              <w:rPr>
                <w:rFonts w:ascii="仿宋_GB2312" w:hAnsi="仿宋_GB2312" w:eastAsia="仿宋_GB2312" w:cs="仿宋_GB2312"/>
                <w:sz w:val="21"/>
                <w:szCs w:val="21"/>
              </w:rPr>
            </w:pPr>
          </w:p>
        </w:tc>
      </w:tr>
      <w:tr w14:paraId="44BE7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34FCE">
            <w:pPr>
              <w:pStyle w:val="5"/>
              <w:spacing w:after="0" w:line="380" w:lineRule="exact"/>
              <w:rPr>
                <w:rFonts w:ascii="仿宋_GB2312" w:hAnsi="仿宋_GB2312" w:eastAsia="仿宋_GB2312" w:cs="仿宋_GB2312"/>
                <w:sz w:val="21"/>
                <w:szCs w:val="21"/>
              </w:rPr>
            </w:pP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2DA5C90F">
            <w:pPr>
              <w:pStyle w:val="5"/>
              <w:spacing w:after="0" w:line="380" w:lineRule="exact"/>
              <w:ind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（八）康复治疗区，检验科2.5分</w:t>
            </w:r>
          </w:p>
          <w:p w14:paraId="372418E7">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1.办公室：地板地面光亮、无灰尘；洗手池及镜面无手印、无污渍；墙面、踢脚线、隔断玻璃门窗无污渍、无手印；电脑、主机、键盘无污渍、无灰尘；台面及桌椅无污渍、无灰尘。1分</w:t>
            </w:r>
          </w:p>
          <w:p w14:paraId="060E7140">
            <w:pPr>
              <w:pStyle w:val="5"/>
              <w:spacing w:after="0" w:line="38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2.更衣室：地板地面光亮、无灰尘；柜台无污渍、无灰尘。</w:t>
            </w:r>
          </w:p>
          <w:p w14:paraId="549E4550">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0.5分</w:t>
            </w:r>
          </w:p>
          <w:p w14:paraId="25DE8609">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治疗室：房门及纱门无污渍、无灰尘；玻璃窗双面及窗台无手印、无污渍。墙壁、踢脚板（包括空调出风口）无手印、无污渍；治疗仪器、电视机及装备无污渍、无灰尘；卫生间、洗手台无臭味，无污渍、无手印，便池随脏随清洗消毒。0.5分</w:t>
            </w:r>
          </w:p>
          <w:p w14:paraId="5A23CC16">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4.窗帘、理疗室治疗垫、地毯：窗帘每季度拆洗一次，随脏随洗治疗垫每天清洗消毒一次，地毯每月清洗一次。0.5分</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5CE3F7DA">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一项不合格扣相应分。</w:t>
            </w: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7C5A8EA5">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5921B59B">
            <w:pPr>
              <w:pStyle w:val="5"/>
              <w:spacing w:after="0" w:line="380" w:lineRule="exact"/>
              <w:rPr>
                <w:rFonts w:ascii="仿宋_GB2312" w:hAnsi="仿宋_GB2312" w:eastAsia="仿宋_GB2312" w:cs="仿宋_GB2312"/>
                <w:sz w:val="21"/>
                <w:szCs w:val="21"/>
              </w:rPr>
            </w:pPr>
          </w:p>
        </w:tc>
      </w:tr>
      <w:tr w14:paraId="0D72B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91C978">
            <w:pPr>
              <w:pStyle w:val="5"/>
              <w:spacing w:after="0" w:line="380" w:lineRule="exact"/>
              <w:rPr>
                <w:rFonts w:ascii="仿宋_GB2312" w:hAnsi="仿宋_GB2312" w:eastAsia="仿宋_GB2312" w:cs="仿宋_GB2312"/>
                <w:sz w:val="21"/>
                <w:szCs w:val="21"/>
              </w:rPr>
            </w:pPr>
          </w:p>
        </w:tc>
        <w:tc>
          <w:tcPr>
            <w:tcW w:w="6430" w:type="dxa"/>
            <w:tcBorders>
              <w:top w:val="single" w:color="000000" w:sz="4" w:space="0"/>
              <w:left w:val="single" w:color="000000" w:sz="4" w:space="0"/>
              <w:bottom w:val="single" w:color="000000" w:sz="4" w:space="0"/>
              <w:right w:val="single" w:color="000000" w:sz="4" w:space="0"/>
            </w:tcBorders>
            <w:noWrap w:val="0"/>
            <w:vAlign w:val="center"/>
          </w:tcPr>
          <w:p w14:paraId="714B3806">
            <w:pPr>
              <w:pStyle w:val="5"/>
              <w:spacing w:after="0" w:line="380" w:lineRule="exact"/>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（九）医学影像科、胃镜室、功能科、高压氧科6分</w:t>
            </w:r>
          </w:p>
          <w:p w14:paraId="64F0A828">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1.地板、地毯：每天两次湿拖，无污渍、无灰尘，随脏随保洁；拖把使用后用0.03%消佳净消毒液浸泡30分钟、洗衣粉清洗晾干后才能投入下次使用。地毯每月清洗一次，无污渍。0.5分</w:t>
            </w:r>
          </w:p>
          <w:p w14:paraId="21C38AE7">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2.地板保养：PVC地板正常情况下每半年打蜡一次，蜡面受损时及时打蜡、补蜡；大堂花岗岩地板每月抛光一次。0.5分</w:t>
            </w:r>
          </w:p>
          <w:p w14:paraId="6DD7ADFF">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3.设备设施：物体表面无污渍灰尘；不锈钢设施每周用不锈钢保护剂清洁保养一次，无锈迹。0.5分</w:t>
            </w:r>
          </w:p>
          <w:p w14:paraId="175AEB10">
            <w:pPr>
              <w:pStyle w:val="5"/>
              <w:spacing w:after="0" w:line="38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4.天花板及照明设备：表面光亮无污渍、灰尘。0.5分</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 氧舱、舱内架：舱内治疗结束后及时清洁，每月用500mg/L含氯消毒液湿擦一次，并行空气消毒。0.5分</w:t>
            </w:r>
          </w:p>
          <w:p w14:paraId="694A4552">
            <w:pPr>
              <w:pStyle w:val="5"/>
              <w:spacing w:after="0" w:line="38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 墙面及玻璃门窗：玻璃窗双面及窗台无手印、无污渍；墙壁、踢脚板（包括空调出风口）无手印、无污渍；窗帘每季度拆洗一次，随脏随洗。0.5分</w:t>
            </w:r>
          </w:p>
          <w:p w14:paraId="492A37B6">
            <w:pPr>
              <w:pStyle w:val="5"/>
              <w:spacing w:after="0" w:line="38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7.痰盂：每天用刷子配合消毒清洁剂刷洗一次，光亮无污渍。0.5分</w:t>
            </w:r>
          </w:p>
          <w:p w14:paraId="01B52071">
            <w:pPr>
              <w:pStyle w:val="7"/>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rPr>
              <w:t>8.桌面、凳子：每天用专用毛巾擦拭，使用杀菌消毒清洁剂清除污渍、消毒。</w:t>
            </w:r>
            <w:r>
              <w:rPr>
                <w:rFonts w:hint="eastAsia" w:ascii="仿宋_GB2312" w:hAnsi="仿宋_GB2312" w:eastAsia="仿宋_GB2312" w:cs="仿宋_GB2312"/>
                <w:sz w:val="21"/>
                <w:szCs w:val="21"/>
              </w:rPr>
              <w:t>0.5分</w:t>
            </w:r>
          </w:p>
          <w:p w14:paraId="7B21BF84">
            <w:pPr>
              <w:pStyle w:val="7"/>
              <w:spacing w:line="380" w:lineRule="exact"/>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9.洗手池、卫生间：洗手池用专用手巾擦拭，光亮无污渍；卫生间无臭味，无污渍，便池随脏随清洁、消毒。</w:t>
            </w:r>
            <w:r>
              <w:rPr>
                <w:rFonts w:hint="eastAsia" w:ascii="仿宋_GB2312" w:hAnsi="仿宋_GB2312" w:eastAsia="仿宋_GB2312" w:cs="仿宋_GB2312"/>
                <w:sz w:val="21"/>
                <w:szCs w:val="21"/>
              </w:rPr>
              <w:t>0.5分</w:t>
            </w:r>
          </w:p>
          <w:p w14:paraId="7154A2D2">
            <w:pPr>
              <w:pStyle w:val="7"/>
              <w:spacing w:line="380" w:lineRule="exact"/>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 xml:space="preserve"> 10.照片床、片盒、片架：每天用专用毛巾擦拭一次，使用后用清洁消毒剂清洁消毒，干燥备用，无污渍、灰尘。</w:t>
            </w:r>
            <w:r>
              <w:rPr>
                <w:rFonts w:hint="eastAsia" w:ascii="仿宋_GB2312" w:hAnsi="仿宋_GB2312" w:eastAsia="仿宋_GB2312" w:cs="仿宋_GB2312"/>
                <w:sz w:val="21"/>
                <w:szCs w:val="21"/>
              </w:rPr>
              <w:t>0.5分</w:t>
            </w:r>
          </w:p>
          <w:p w14:paraId="5784CF57">
            <w:pPr>
              <w:pStyle w:val="7"/>
              <w:spacing w:line="380" w:lineRule="exact"/>
              <w:rPr>
                <w:rFonts w:ascii="仿宋_GB2312" w:hAnsi="仿宋_GB2312" w:cs="仿宋_GB2312"/>
                <w:sz w:val="21"/>
                <w:szCs w:val="21"/>
              </w:rPr>
            </w:pPr>
            <w:r>
              <w:rPr>
                <w:rFonts w:hint="eastAsia" w:ascii="仿宋_GB2312" w:hAnsi="仿宋_GB2312" w:eastAsia="仿宋_GB2312" w:cs="仿宋_GB2312"/>
                <w:kern w:val="2"/>
                <w:sz w:val="21"/>
                <w:szCs w:val="21"/>
              </w:rPr>
              <w:t>11.片箱、柜子：无污渍、无灰尘。</w:t>
            </w:r>
            <w:r>
              <w:rPr>
                <w:rFonts w:hint="eastAsia" w:ascii="仿宋_GB2312" w:hAnsi="仿宋_GB2312" w:eastAsia="仿宋_GB2312" w:cs="仿宋_GB2312"/>
                <w:sz w:val="21"/>
                <w:szCs w:val="21"/>
              </w:rPr>
              <w:t>0.5分</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12. 步行楼梯、电梯：楼梯通道地面无污渍、无杂物、无垃圾，随脏随拖；楼梯扶手无手印、无污渍；玻璃双面及窗台光亮，无水印、无污渍；墙壁、地脚线无手印、无污渍；不锈钢扶栏无手印、无污渍。</w:t>
            </w:r>
            <w:r>
              <w:rPr>
                <w:rFonts w:hint="eastAsia" w:ascii="仿宋_GB2312" w:hAnsi="仿宋_GB2312" w:eastAsia="仿宋_GB2312" w:cs="仿宋_GB2312"/>
                <w:sz w:val="21"/>
                <w:szCs w:val="21"/>
              </w:rPr>
              <w:t>0.5分</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297A597D">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一项不合格扣相应分。。</w:t>
            </w: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68411362">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72FB3369">
            <w:pPr>
              <w:pStyle w:val="5"/>
              <w:spacing w:after="0" w:line="380" w:lineRule="exact"/>
              <w:rPr>
                <w:rFonts w:ascii="仿宋_GB2312" w:hAnsi="仿宋_GB2312" w:eastAsia="仿宋_GB2312" w:cs="仿宋_GB2312"/>
                <w:sz w:val="21"/>
                <w:szCs w:val="21"/>
              </w:rPr>
            </w:pPr>
          </w:p>
        </w:tc>
      </w:tr>
      <w:tr w14:paraId="56BD4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continue"/>
            <w:tcBorders>
              <w:top w:val="single" w:color="000000" w:sz="4" w:space="0"/>
              <w:left w:val="single" w:color="000000" w:sz="4" w:space="0"/>
              <w:bottom w:val="single" w:color="000000" w:sz="4" w:space="0"/>
              <w:right w:val="single" w:color="000000" w:sz="4" w:space="0"/>
            </w:tcBorders>
            <w:noWrap w:val="0"/>
            <w:vAlign w:val="top"/>
          </w:tcPr>
          <w:p w14:paraId="2924B4DD">
            <w:pPr>
              <w:pStyle w:val="5"/>
              <w:spacing w:after="0" w:line="380" w:lineRule="exact"/>
              <w:rPr>
                <w:rFonts w:ascii="仿宋_GB2312" w:hAnsi="仿宋_GB2312" w:eastAsia="仿宋_GB2312" w:cs="仿宋_GB2312"/>
                <w:sz w:val="21"/>
                <w:szCs w:val="21"/>
              </w:rPr>
            </w:pP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35BF2BDA">
            <w:pPr>
              <w:pStyle w:val="5"/>
              <w:spacing w:after="0" w:line="380" w:lineRule="exact"/>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（十）药剂科（中心药房、药库、西药库、中药房、西药房）4.5分</w:t>
            </w:r>
          </w:p>
          <w:p w14:paraId="04929107">
            <w:pPr>
              <w:pStyle w:val="5"/>
              <w:spacing w:after="0" w:line="380" w:lineRule="exact"/>
              <w:ind w:firstLine="420" w:firstLineChars="200"/>
              <w:rPr>
                <w:rFonts w:hint="eastAsia" w:ascii="仿宋_GB2312" w:hAnsi="仿宋_GB2312" w:eastAsia="仿宋_GB2312" w:cs="仿宋_GB2312"/>
                <w:sz w:val="21"/>
                <w:szCs w:val="21"/>
              </w:rPr>
            </w:pPr>
            <w:r>
              <w:rPr>
                <w:rFonts w:hint="eastAsia"/>
                <w:sz w:val="21"/>
                <w:szCs w:val="21"/>
              </w:rPr>
              <w:t>1</w:t>
            </w:r>
            <w:r>
              <w:rPr>
                <w:rFonts w:hint="eastAsia" w:ascii="仿宋_GB2312" w:hAnsi="仿宋_GB2312" w:eastAsia="仿宋_GB2312" w:cs="仿宋_GB2312"/>
                <w:sz w:val="21"/>
                <w:szCs w:val="21"/>
              </w:rPr>
              <w:t>.洗手池及镜面：洗手池每天用专用毛巾擦拭，无污渍、手印；镜面无水印、无污渍。0.5分</w:t>
            </w:r>
          </w:p>
          <w:p w14:paraId="412F2659">
            <w:pPr>
              <w:pStyle w:val="5"/>
              <w:spacing w:after="0" w:line="38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2.墙面、隔断玻璃窗、踢脚板（包括空调出风口）：无手印、无污渍。窗帘每半年拆洗一次。0.5分</w:t>
            </w:r>
          </w:p>
          <w:p w14:paraId="6AF19E2C">
            <w:pPr>
              <w:pStyle w:val="5"/>
              <w:spacing w:after="0" w:line="38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3.电脑、主机、键盘：每天用专用手巾擦拭清洁一次，物体表面无污渍灰尘。0.5分</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4.台面及桌椅：每天用专用毛巾擦拭消毒二次，物体表面光亮，无污渍、灰尘。0.5分</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5.房门及纱门：每天用专用手巾擦拭清洁一次，无污渍、无灰尘。0.5分</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6. 玻璃窗双面及窗台：每天用专用手巾擦拭清洁一次，无手印、无污渍。0.5分</w:t>
            </w:r>
          </w:p>
          <w:p w14:paraId="57C272B0">
            <w:pPr>
              <w:pStyle w:val="5"/>
              <w:spacing w:after="0" w:line="38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7.发药窗口：每天用专用手巾擦拭清洁一次，光亮无污渍、无灰尘。0.5分</w:t>
            </w:r>
          </w:p>
          <w:p w14:paraId="13166424">
            <w:pPr>
              <w:pStyle w:val="5"/>
              <w:spacing w:after="0" w:line="38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8.天花板及照明设备：表面光亮无污渍、灰尘。0.5分</w:t>
            </w:r>
          </w:p>
          <w:p w14:paraId="5FDEFC5B">
            <w:pPr>
              <w:pStyle w:val="5"/>
              <w:spacing w:after="0" w:line="380" w:lineRule="exact"/>
              <w:ind w:firstLine="420" w:firstLineChars="200"/>
              <w:rPr>
                <w:sz w:val="21"/>
                <w:szCs w:val="21"/>
              </w:rPr>
            </w:pPr>
            <w:r>
              <w:rPr>
                <w:rFonts w:hint="eastAsia" w:ascii="仿宋_GB2312" w:hAnsi="仿宋_GB2312" w:eastAsia="仿宋_GB2312" w:cs="仿宋_GB2312"/>
                <w:sz w:val="21"/>
                <w:szCs w:val="21"/>
              </w:rPr>
              <w:t>9. 药架：每天用专用手巾擦拭清洁一次，光亮无污渍、无灰尘。0.5分</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57563E6">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一项不合格扣相应分。</w:t>
            </w: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3DC5570E">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13E08399">
            <w:pPr>
              <w:pStyle w:val="5"/>
              <w:spacing w:after="0" w:line="380" w:lineRule="exact"/>
              <w:rPr>
                <w:rFonts w:ascii="仿宋_GB2312" w:hAnsi="仿宋_GB2312" w:eastAsia="仿宋_GB2312" w:cs="仿宋_GB2312"/>
                <w:sz w:val="21"/>
                <w:szCs w:val="21"/>
              </w:rPr>
            </w:pPr>
          </w:p>
        </w:tc>
      </w:tr>
      <w:tr w14:paraId="486AB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continue"/>
            <w:tcBorders>
              <w:top w:val="single" w:color="000000" w:sz="4" w:space="0"/>
              <w:left w:val="single" w:color="000000" w:sz="4" w:space="0"/>
              <w:bottom w:val="single" w:color="000000" w:sz="4" w:space="0"/>
              <w:right w:val="single" w:color="000000" w:sz="4" w:space="0"/>
            </w:tcBorders>
            <w:noWrap w:val="0"/>
            <w:vAlign w:val="top"/>
          </w:tcPr>
          <w:p w14:paraId="694F8BCB">
            <w:pPr>
              <w:pStyle w:val="5"/>
              <w:spacing w:after="0" w:line="380" w:lineRule="exact"/>
              <w:rPr>
                <w:rFonts w:ascii="仿宋_GB2312" w:hAnsi="仿宋_GB2312" w:eastAsia="仿宋_GB2312" w:cs="仿宋_GB2312"/>
                <w:sz w:val="21"/>
                <w:szCs w:val="21"/>
              </w:rPr>
            </w:pP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73BAE2DC">
            <w:pPr>
              <w:pStyle w:val="5"/>
              <w:spacing w:after="0" w:line="380" w:lineRule="exact"/>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（十一）共性消毒要求4.5分</w:t>
            </w:r>
          </w:p>
          <w:p w14:paraId="17AD3F1F">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1.观察室、抢救室、治疗室、重症监护室空气消毒同诊室的消毒，地面湿式清扫，保持清洁，遇污染时随时消毒。0.5分</w:t>
            </w:r>
          </w:p>
          <w:p w14:paraId="11E478D6">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2.床头柜一桌一抹布，用后用有效氯500mg/L的含氯消毒剂浸泡消毒，每日擦拭2次，即要求一桌一抹布，一用一消毒，病人出院、转归随时清洁消毒。0.5分</w:t>
            </w:r>
          </w:p>
          <w:p w14:paraId="3DA0317D">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 诊察床、诊桌、平车、轮椅每日消毒1—2次，被血液、体液污染时及时用有效氯500mg/L的含氯消毒液消毒。0.5分</w:t>
            </w:r>
          </w:p>
          <w:p w14:paraId="015882C6">
            <w:pPr>
              <w:pStyle w:val="7"/>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 卫生洁具分开使用，治疗室、办公室、病房、厕所分别设置专用拖布，标记明确，分开清洗，用后消毒，悬挂晾干备用。0.5分</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w:t>
            </w:r>
            <w:r>
              <w:rPr>
                <w:rFonts w:hint="eastAsia" w:hAnsi="宋体"/>
                <w:bCs/>
                <w:sz w:val="21"/>
                <w:szCs w:val="21"/>
              </w:rPr>
              <w:t>特殊保洁场所要求配备专用清洁工具，即一室一拖把，一桌一抹布，用后立即清洗消毒。</w:t>
            </w:r>
            <w:r>
              <w:rPr>
                <w:rFonts w:hint="eastAsia" w:ascii="仿宋_GB2312" w:hAnsi="仿宋_GB2312" w:eastAsia="仿宋_GB2312" w:cs="仿宋_GB2312"/>
                <w:sz w:val="21"/>
                <w:szCs w:val="21"/>
              </w:rPr>
              <w:t>0.5分</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6.</w:t>
            </w:r>
            <w:r>
              <w:rPr>
                <w:rFonts w:hint="eastAsia" w:hAnsi="宋体"/>
                <w:bCs/>
                <w:sz w:val="21"/>
                <w:szCs w:val="21"/>
              </w:rPr>
              <w:t xml:space="preserve"> 有正规的清洁车，保洁用品无乱放消毒各种清洁用具分区固定使用，</w:t>
            </w:r>
            <w:r>
              <w:rPr>
                <w:rFonts w:hint="eastAsia" w:ascii="仿宋_GB2312" w:hAnsi="仿宋_GB2312" w:eastAsia="仿宋_GB2312" w:cs="仿宋_GB2312"/>
                <w:sz w:val="21"/>
                <w:szCs w:val="21"/>
              </w:rPr>
              <w:t>0.5分</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7.生活垃圾置黑色塑料袋内，医疗垃圾置黄色垃圾袋运至指定地点（医疗废物暂存间），医疗废物暂存间每天地面清洁、消毒一次，紫外线照射1小时，保持清洁，生活医疗垃圾日产日清。0.5分</w:t>
            </w:r>
          </w:p>
          <w:p w14:paraId="485C44C0">
            <w:pPr>
              <w:pStyle w:val="7"/>
              <w:spacing w:line="380" w:lineRule="exact"/>
              <w:rPr>
                <w:rFonts w:hAnsi="宋体"/>
                <w:bCs/>
                <w:sz w:val="21"/>
                <w:szCs w:val="21"/>
              </w:rPr>
            </w:pPr>
            <w:r>
              <w:rPr>
                <w:rFonts w:hint="eastAsia" w:ascii="仿宋_GB2312" w:hAnsi="仿宋_GB2312" w:eastAsia="仿宋_GB2312" w:cs="仿宋_GB2312"/>
                <w:sz w:val="21"/>
                <w:szCs w:val="21"/>
              </w:rPr>
              <w:t>8.</w:t>
            </w:r>
            <w:r>
              <w:rPr>
                <w:rFonts w:hint="eastAsia" w:hAnsi="宋体"/>
                <w:bCs/>
                <w:sz w:val="21"/>
                <w:szCs w:val="21"/>
              </w:rPr>
              <w:t>消防门、消防器材、宣传栏、意见箱：每天用专用毛巾擦拭、清洁一次，无手印、无污渍。</w:t>
            </w:r>
            <w:r>
              <w:rPr>
                <w:rFonts w:hint="eastAsia" w:ascii="仿宋_GB2312" w:hAnsi="仿宋_GB2312" w:eastAsia="仿宋_GB2312" w:cs="仿宋_GB2312"/>
                <w:sz w:val="21"/>
                <w:szCs w:val="21"/>
              </w:rPr>
              <w:t>0.5分</w:t>
            </w:r>
          </w:p>
          <w:p w14:paraId="4908B632">
            <w:pPr>
              <w:pStyle w:val="5"/>
              <w:spacing w:after="0" w:line="380" w:lineRule="exact"/>
              <w:ind w:firstLine="420" w:firstLineChars="200"/>
              <w:rPr>
                <w:rFonts w:ascii="仿宋_GB2312" w:hAnsi="仿宋_GB2312" w:eastAsia="仿宋_GB2312" w:cs="仿宋_GB2312"/>
                <w:sz w:val="21"/>
                <w:szCs w:val="21"/>
              </w:rPr>
            </w:pPr>
            <w:r>
              <w:rPr>
                <w:rFonts w:hint="eastAsia" w:eastAsia="仿宋_GB2312"/>
                <w:sz w:val="21"/>
                <w:szCs w:val="21"/>
              </w:rPr>
              <w:t>9.</w:t>
            </w:r>
            <w:r>
              <w:rPr>
                <w:rFonts w:hint="eastAsia" w:hAnsi="宋体"/>
                <w:bCs/>
                <w:sz w:val="21"/>
                <w:szCs w:val="21"/>
              </w:rPr>
              <w:t>公共垃圾桶：每周用清水清洗一次、并擦拭干净，无手印、无污渍。</w:t>
            </w:r>
            <w:r>
              <w:rPr>
                <w:rFonts w:hint="eastAsia" w:ascii="仿宋_GB2312" w:hAnsi="仿宋_GB2312" w:eastAsia="仿宋_GB2312" w:cs="仿宋_GB2312"/>
                <w:sz w:val="21"/>
                <w:szCs w:val="21"/>
              </w:rPr>
              <w:t>0.5分</w:t>
            </w:r>
          </w:p>
        </w:tc>
        <w:tc>
          <w:tcPr>
            <w:tcW w:w="873" w:type="dxa"/>
            <w:tcBorders>
              <w:top w:val="single" w:color="000000" w:sz="4" w:space="0"/>
              <w:left w:val="single" w:color="000000" w:sz="4" w:space="0"/>
              <w:bottom w:val="single" w:color="000000" w:sz="4" w:space="0"/>
              <w:right w:val="single" w:color="auto" w:sz="4" w:space="0"/>
            </w:tcBorders>
            <w:noWrap w:val="0"/>
            <w:vAlign w:val="center"/>
          </w:tcPr>
          <w:p w14:paraId="1B107B8C">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一项不合格扣相应分。。</w:t>
            </w:r>
          </w:p>
        </w:tc>
        <w:tc>
          <w:tcPr>
            <w:tcW w:w="680" w:type="dxa"/>
            <w:tcBorders>
              <w:top w:val="single" w:color="000000" w:sz="4" w:space="0"/>
              <w:left w:val="single" w:color="auto" w:sz="4" w:space="0"/>
              <w:bottom w:val="single" w:color="000000" w:sz="4" w:space="0"/>
              <w:right w:val="single" w:color="auto" w:sz="4" w:space="0"/>
            </w:tcBorders>
            <w:noWrap w:val="0"/>
            <w:vAlign w:val="top"/>
          </w:tcPr>
          <w:p w14:paraId="495BB34A">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auto" w:sz="4" w:space="0"/>
              <w:bottom w:val="single" w:color="000000" w:sz="4" w:space="0"/>
              <w:right w:val="single" w:color="000000" w:sz="4" w:space="0"/>
            </w:tcBorders>
            <w:noWrap w:val="0"/>
            <w:vAlign w:val="top"/>
          </w:tcPr>
          <w:p w14:paraId="08F8AC34">
            <w:pPr>
              <w:pStyle w:val="5"/>
              <w:spacing w:after="0" w:line="380" w:lineRule="exact"/>
              <w:rPr>
                <w:rFonts w:ascii="仿宋_GB2312" w:hAnsi="仿宋_GB2312" w:eastAsia="仿宋_GB2312" w:cs="仿宋_GB2312"/>
                <w:sz w:val="21"/>
                <w:szCs w:val="21"/>
              </w:rPr>
            </w:pPr>
          </w:p>
        </w:tc>
      </w:tr>
      <w:tr w14:paraId="3BDDE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restart"/>
            <w:tcBorders>
              <w:top w:val="single" w:color="000000" w:sz="4" w:space="0"/>
              <w:left w:val="single" w:color="000000" w:sz="4" w:space="0"/>
              <w:bottom w:val="single" w:color="000000" w:sz="4" w:space="0"/>
              <w:right w:val="single" w:color="000000" w:sz="4" w:space="0"/>
            </w:tcBorders>
            <w:noWrap w:val="0"/>
            <w:vAlign w:val="center"/>
          </w:tcPr>
          <w:p w14:paraId="2DF22ECD">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消防、安保服务26分</w:t>
            </w: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40AF5C54">
            <w:pPr>
              <w:pStyle w:val="5"/>
              <w:spacing w:after="0" w:line="380" w:lineRule="exact"/>
              <w:ind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（一）公共秩序维护10分</w:t>
            </w:r>
          </w:p>
          <w:p w14:paraId="61D7F7AE">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1.应建立出入登记制度，做好人员出入登记和管理，发生问题或发现可疑危险品时，应及时处理。3分</w:t>
            </w:r>
          </w:p>
          <w:p w14:paraId="01D8CB97">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2.引导车辆按规定路线行驶、指定停放区域，车库内配置道闸和监控系统，非机动车定点有序停放。2分</w:t>
            </w:r>
          </w:p>
          <w:p w14:paraId="097D9B2E">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3.监控设施应24小时正常运行，保证出入口和内部重点区域的安全监控。监控室收到异常情况报警信号后，应及时报警，并派相关人员第一时间到现场处理。3分</w:t>
            </w:r>
          </w:p>
          <w:p w14:paraId="5FA1A634">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4.视频图像监控资料的保存期限应符合相关规定，按甲方的要求留存。2分</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2B6C0870">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一项不合格扣相应分。</w:t>
            </w: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65D241CC">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7F472A64">
            <w:pPr>
              <w:pStyle w:val="5"/>
              <w:spacing w:after="0" w:line="380" w:lineRule="exact"/>
              <w:rPr>
                <w:rFonts w:ascii="仿宋_GB2312" w:hAnsi="仿宋_GB2312" w:eastAsia="仿宋_GB2312" w:cs="仿宋_GB2312"/>
                <w:sz w:val="21"/>
                <w:szCs w:val="21"/>
              </w:rPr>
            </w:pPr>
          </w:p>
        </w:tc>
      </w:tr>
      <w:tr w14:paraId="240BB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81EB55">
            <w:pPr>
              <w:pStyle w:val="5"/>
              <w:spacing w:after="0" w:line="380" w:lineRule="exact"/>
              <w:rPr>
                <w:rFonts w:ascii="仿宋_GB2312" w:hAnsi="仿宋_GB2312" w:eastAsia="仿宋_GB2312" w:cs="仿宋_GB2312"/>
                <w:sz w:val="21"/>
                <w:szCs w:val="21"/>
              </w:rPr>
            </w:pP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36E9C0B8">
            <w:pPr>
              <w:pStyle w:val="5"/>
              <w:spacing w:after="0" w:line="380" w:lineRule="exact"/>
              <w:ind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（二）消防安全管理9.5分</w:t>
            </w:r>
          </w:p>
          <w:p w14:paraId="6F039A7A">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1.消防设施和器材维护管理和消防控制室应符合要求。0.5分</w:t>
            </w:r>
          </w:p>
          <w:p w14:paraId="655A2B2A">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2.易燃易爆品（非乙方保管的物品除外）设专区专人管理，并应符合消防相关要求。0.5分</w:t>
            </w:r>
          </w:p>
          <w:p w14:paraId="24BD54C7">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3.每月至少开展一次消防检查，检查内容包括消防设施和器材、疏散通道、安全出口及消防车道畅通情况，并做好记录。6分</w:t>
            </w:r>
          </w:p>
          <w:p w14:paraId="16F088FC">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4.对消防安全进行巡查，出现问题应及时整改并上报。0.5分</w:t>
            </w:r>
          </w:p>
          <w:p w14:paraId="70693114">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5.每年至少各组织1次消防安全培训和生产安全培训，每半年至少组织1次消防演练。2分</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463C86B5">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一项不合格扣相应分。</w:t>
            </w: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42868D4F">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2D7136B3">
            <w:pPr>
              <w:pStyle w:val="5"/>
              <w:spacing w:after="0" w:line="380" w:lineRule="exact"/>
              <w:rPr>
                <w:rFonts w:ascii="仿宋_GB2312" w:hAnsi="仿宋_GB2312" w:eastAsia="仿宋_GB2312" w:cs="仿宋_GB2312"/>
                <w:sz w:val="21"/>
                <w:szCs w:val="21"/>
              </w:rPr>
            </w:pPr>
          </w:p>
        </w:tc>
      </w:tr>
      <w:tr w14:paraId="0D2E2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DC84B">
            <w:pPr>
              <w:pStyle w:val="5"/>
              <w:spacing w:after="0" w:line="380" w:lineRule="exact"/>
              <w:rPr>
                <w:rFonts w:ascii="仿宋_GB2312" w:hAnsi="仿宋_GB2312" w:eastAsia="仿宋_GB2312" w:cs="仿宋_GB2312"/>
                <w:sz w:val="21"/>
                <w:szCs w:val="21"/>
              </w:rPr>
            </w:pP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4CDC6653">
            <w:pPr>
              <w:pStyle w:val="5"/>
              <w:spacing w:after="0" w:line="380" w:lineRule="exact"/>
              <w:ind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（三）突发事件处理6.5分</w:t>
            </w:r>
          </w:p>
          <w:p w14:paraId="13A7758C">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1.建立突发事件应急预案体系，包括但不限于电梯困人、紧急会议、火警火灾、突发停电、意外伤害、群体性上访、台风、暴雨及雷电等应急预案。4分</w:t>
            </w:r>
          </w:p>
          <w:p w14:paraId="6990436A">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2.突发事件发生时应立即启动应急预案，迅速展开指挥协调、信息报告、紧急处置、秩序维护、抢险救援、后勤保障等工作，并在第一时间向服务单位和市机关事务管理局汇报处理结果。1分</w:t>
            </w:r>
          </w:p>
          <w:p w14:paraId="55EBD301">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3.突发事件发生后编制突发事件处理报告，完善应急预案，并向服务单位和市机关事务管理局汇报。0.5分</w:t>
            </w:r>
          </w:p>
          <w:p w14:paraId="7D21ACE1">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4.每年至少组织1次突发事件应急演习。1分</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1CEDBDF3">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一项不合格扣相应分。</w:t>
            </w: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55BFB1F7">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61DE19CC">
            <w:pPr>
              <w:pStyle w:val="5"/>
              <w:spacing w:after="0" w:line="380" w:lineRule="exact"/>
              <w:rPr>
                <w:rFonts w:ascii="仿宋_GB2312" w:hAnsi="仿宋_GB2312" w:eastAsia="仿宋_GB2312" w:cs="仿宋_GB2312"/>
                <w:sz w:val="21"/>
                <w:szCs w:val="21"/>
              </w:rPr>
            </w:pPr>
          </w:p>
        </w:tc>
      </w:tr>
      <w:tr w14:paraId="7506C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restart"/>
            <w:tcBorders>
              <w:top w:val="single" w:color="000000" w:sz="4" w:space="0"/>
              <w:left w:val="single" w:color="000000" w:sz="4" w:space="0"/>
              <w:bottom w:val="single" w:color="000000" w:sz="4" w:space="0"/>
              <w:right w:val="single" w:color="000000" w:sz="4" w:space="0"/>
            </w:tcBorders>
            <w:noWrap w:val="0"/>
            <w:vAlign w:val="center"/>
          </w:tcPr>
          <w:p w14:paraId="31F93351">
            <w:pPr>
              <w:pStyle w:val="5"/>
              <w:spacing w:after="0"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绿化6分</w:t>
            </w: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75CEB961">
            <w:pPr>
              <w:pStyle w:val="5"/>
              <w:spacing w:after="0" w:line="380" w:lineRule="exact"/>
              <w:ind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（一）基本要求2分</w:t>
            </w:r>
          </w:p>
          <w:p w14:paraId="68D9A4BE">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1.根据季节和气候状况，进行浇灌、施肥、修剪和松土等养护。0.5分</w:t>
            </w:r>
          </w:p>
          <w:p w14:paraId="5B1EB817">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2.绿化养护作业现场应放置明显标识，保证施工人员和过往行人的安全。0.5分</w:t>
            </w:r>
          </w:p>
          <w:p w14:paraId="1982789F">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3.绿化养护时产生的垃圾应随产随清，室外绿化养护期内应lOO％存活。1分</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7AB62038">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一项不合格扣相应分。</w:t>
            </w: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0794D73A">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0DC8EB0C">
            <w:pPr>
              <w:pStyle w:val="5"/>
              <w:spacing w:after="0" w:line="380" w:lineRule="exact"/>
              <w:rPr>
                <w:rFonts w:ascii="仿宋_GB2312" w:hAnsi="仿宋_GB2312" w:eastAsia="仿宋_GB2312" w:cs="仿宋_GB2312"/>
                <w:sz w:val="21"/>
                <w:szCs w:val="21"/>
              </w:rPr>
            </w:pPr>
          </w:p>
        </w:tc>
      </w:tr>
      <w:tr w14:paraId="553E6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17F3DF">
            <w:pPr>
              <w:pStyle w:val="5"/>
              <w:spacing w:after="0" w:line="380" w:lineRule="exact"/>
              <w:rPr>
                <w:rFonts w:ascii="仿宋_GB2312" w:hAnsi="仿宋_GB2312" w:eastAsia="仿宋_GB2312" w:cs="仿宋_GB2312"/>
                <w:sz w:val="21"/>
                <w:szCs w:val="21"/>
              </w:rPr>
            </w:pP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3D61E97E">
            <w:pPr>
              <w:pStyle w:val="5"/>
              <w:spacing w:after="0" w:line="380" w:lineRule="exact"/>
              <w:ind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（二）室内绿化1分</w:t>
            </w:r>
          </w:p>
          <w:p w14:paraId="65FC91A0">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1.植株长势良好，无残枝、黄叶，花朵饱满、无萎蔫、无积灰，托盘内无积水。0.5分</w:t>
            </w:r>
          </w:p>
          <w:p w14:paraId="7CD7125C">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2.应定期施肥浇水，出现病虫害问题应及时进行治理养护。0.5分</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4E5B5DB">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一项不合格扣0.5分。</w:t>
            </w: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4083A15D">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2F42639F">
            <w:pPr>
              <w:pStyle w:val="5"/>
              <w:spacing w:after="0" w:line="380" w:lineRule="exact"/>
              <w:rPr>
                <w:rFonts w:ascii="仿宋_GB2312" w:hAnsi="仿宋_GB2312" w:eastAsia="仿宋_GB2312" w:cs="仿宋_GB2312"/>
                <w:sz w:val="21"/>
                <w:szCs w:val="21"/>
              </w:rPr>
            </w:pPr>
          </w:p>
        </w:tc>
      </w:tr>
      <w:tr w14:paraId="3D631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8A29A5">
            <w:pPr>
              <w:pStyle w:val="5"/>
              <w:spacing w:after="0" w:line="380" w:lineRule="exact"/>
              <w:rPr>
                <w:rFonts w:ascii="仿宋_GB2312" w:hAnsi="仿宋_GB2312" w:eastAsia="仿宋_GB2312" w:cs="仿宋_GB2312"/>
                <w:sz w:val="21"/>
                <w:szCs w:val="21"/>
              </w:rPr>
            </w:pP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1426C2CF">
            <w:pPr>
              <w:pStyle w:val="5"/>
              <w:spacing w:after="0" w:line="380" w:lineRule="exact"/>
              <w:ind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（三）室外绿化2分</w:t>
            </w:r>
          </w:p>
          <w:p w14:paraId="74683A19">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1.乔木丰满健壮、生长良好，灌木枝叶紧密圆整，无脱节、无枯枝。0.5分</w:t>
            </w:r>
          </w:p>
          <w:p w14:paraId="64A4F511">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2.草坪生长整齐，清洁美观，修剪高度一致，覆盖率高。0.5分</w:t>
            </w:r>
          </w:p>
          <w:p w14:paraId="303D0EB9">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3.花卉色彩鲜艳，摆放造型新颖，无杂草、无枯死。0.5分</w:t>
            </w:r>
          </w:p>
          <w:p w14:paraId="1463959B">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4.雨、台风等特殊天气前，应派专人巡查，及时加固、支撑、修剪高大乔木，排除安全隐患。冬季做好绿植保温措施。0.5分</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17E8C31D">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一项不合格扣0.5分。</w:t>
            </w: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2E501F42">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1AB993F9">
            <w:pPr>
              <w:pStyle w:val="5"/>
              <w:spacing w:after="0" w:line="380" w:lineRule="exact"/>
              <w:rPr>
                <w:rFonts w:ascii="仿宋_GB2312" w:hAnsi="仿宋_GB2312" w:eastAsia="仿宋_GB2312" w:cs="仿宋_GB2312"/>
                <w:sz w:val="21"/>
                <w:szCs w:val="21"/>
              </w:rPr>
            </w:pPr>
          </w:p>
        </w:tc>
      </w:tr>
      <w:tr w14:paraId="7A50F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D7B603">
            <w:pPr>
              <w:pStyle w:val="5"/>
              <w:spacing w:after="0" w:line="380" w:lineRule="exact"/>
              <w:rPr>
                <w:rFonts w:ascii="仿宋_GB2312" w:hAnsi="仿宋_GB2312" w:eastAsia="仿宋_GB2312" w:cs="仿宋_GB2312"/>
                <w:sz w:val="21"/>
                <w:szCs w:val="21"/>
              </w:rPr>
            </w:pP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761A1A81">
            <w:pPr>
              <w:pStyle w:val="5"/>
              <w:spacing w:after="0" w:line="380" w:lineRule="exact"/>
              <w:ind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（四）病虫害治理1分</w:t>
            </w:r>
          </w:p>
          <w:p w14:paraId="1B1F7692">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1.根据病虫害发生规律实施综合治理。0.5分</w:t>
            </w:r>
          </w:p>
          <w:p w14:paraId="503A985D">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2.定期检查病虫害情况，病虫害防治率100％，危害率应低于5％。0.5分</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7338B8A5">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一项不合格扣0.5分。</w:t>
            </w: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1D8ADA77">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2030E5DB">
            <w:pPr>
              <w:pStyle w:val="5"/>
              <w:spacing w:after="0" w:line="380" w:lineRule="exact"/>
              <w:rPr>
                <w:rFonts w:ascii="仿宋_GB2312" w:hAnsi="仿宋_GB2312" w:eastAsia="仿宋_GB2312" w:cs="仿宋_GB2312"/>
                <w:sz w:val="21"/>
                <w:szCs w:val="21"/>
              </w:rPr>
            </w:pPr>
          </w:p>
        </w:tc>
      </w:tr>
      <w:tr w14:paraId="28B21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restart"/>
            <w:tcBorders>
              <w:top w:val="single" w:color="000000" w:sz="4" w:space="0"/>
              <w:left w:val="single" w:color="000000" w:sz="4" w:space="0"/>
              <w:bottom w:val="single" w:color="000000" w:sz="4" w:space="0"/>
              <w:right w:val="single" w:color="000000" w:sz="4" w:space="0"/>
            </w:tcBorders>
            <w:noWrap w:val="0"/>
            <w:vAlign w:val="center"/>
          </w:tcPr>
          <w:p w14:paraId="56169407">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设施设备维护11.5分</w:t>
            </w: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4577E4D1">
            <w:pPr>
              <w:pStyle w:val="5"/>
              <w:spacing w:after="0" w:line="380" w:lineRule="exact"/>
              <w:ind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（一）基本要求5分</w:t>
            </w:r>
          </w:p>
          <w:p w14:paraId="41FFD4DD">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1.设施设备环境和场所应具备防雷电、防火灾、防日晒、防高温、防潮湿、防腐蚀、防噪音等功能，保证设施设备安全、稳定运行（非乙方原因除外）。0.5分</w:t>
            </w:r>
          </w:p>
          <w:p w14:paraId="7FD8C3AE">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2.应在显著位置张贴各类设施设备管理制度、紧急联系方式、设备标识、安全防护和警示标识等。1.5分</w:t>
            </w:r>
          </w:p>
          <w:p w14:paraId="5BC4C450">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3.建立现场管理、设施设备台账，根据设施设备运行情况，制定月、季、年度维护保养计划。0.5分</w:t>
            </w:r>
          </w:p>
          <w:p w14:paraId="5B5B9CCA">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4.应对重点设施设备进行巡检，设置巡检周期、路线、内容和要求，如实记录运行参数和状况。1分</w:t>
            </w:r>
          </w:p>
          <w:p w14:paraId="7FF13D1C">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5.设施设备损坏应及时安排维修，并做好检查维修记录。维修时应放置警示标志，维修完毕后进行调试，及时清理现场。特种设备由具有资质的专业性机构维修养护，物业公司进行日常管理。0.5分</w:t>
            </w:r>
          </w:p>
          <w:p w14:paraId="211A7F38">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6.制订定期与不定期的设施设备维保计划，加强日常维护保养工作，如需维修或到期更新应及时报告甲方并申请。1分</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A225FA2">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一项不合格扣相应分。</w:t>
            </w: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593A0DD4">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3FB8DE6E">
            <w:pPr>
              <w:pStyle w:val="5"/>
              <w:spacing w:after="0" w:line="380" w:lineRule="exact"/>
              <w:rPr>
                <w:rFonts w:ascii="仿宋_GB2312" w:hAnsi="仿宋_GB2312" w:eastAsia="仿宋_GB2312" w:cs="仿宋_GB2312"/>
                <w:sz w:val="21"/>
                <w:szCs w:val="21"/>
              </w:rPr>
            </w:pPr>
          </w:p>
        </w:tc>
      </w:tr>
      <w:tr w14:paraId="2E57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7F4C47">
            <w:pPr>
              <w:pStyle w:val="5"/>
              <w:spacing w:after="0" w:line="380" w:lineRule="exact"/>
              <w:rPr>
                <w:rFonts w:ascii="仿宋_GB2312" w:hAnsi="仿宋_GB2312" w:eastAsia="仿宋_GB2312" w:cs="仿宋_GB2312"/>
                <w:sz w:val="21"/>
                <w:szCs w:val="21"/>
              </w:rPr>
            </w:pP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1A83C4AA">
            <w:pPr>
              <w:pStyle w:val="5"/>
              <w:spacing w:after="0" w:line="380" w:lineRule="exact"/>
              <w:ind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（二）能源管理1分</w:t>
            </w:r>
          </w:p>
          <w:p w14:paraId="49E65420">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1.应根据气候变化、工作性质和基地的需求，调整设施设备的启停时间、运行参数，制定合理的节能运行计划（非乙方管理的除外）。0.5分</w:t>
            </w:r>
          </w:p>
          <w:p w14:paraId="1D89504B">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2.应对重点用能设备的能源消耗及利用效率进行监控，定期进行能源统计和分析，采取措施进行改善，实现节能减排。0.5分</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AC16702">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一项不合格扣0.5分。</w:t>
            </w: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3C069FEB">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2107EC5D">
            <w:pPr>
              <w:pStyle w:val="5"/>
              <w:spacing w:after="0" w:line="380" w:lineRule="exact"/>
              <w:rPr>
                <w:rFonts w:ascii="仿宋_GB2312" w:hAnsi="仿宋_GB2312" w:eastAsia="仿宋_GB2312" w:cs="仿宋_GB2312"/>
                <w:sz w:val="21"/>
                <w:szCs w:val="21"/>
              </w:rPr>
            </w:pPr>
          </w:p>
        </w:tc>
      </w:tr>
      <w:tr w14:paraId="08DE0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A3C030">
            <w:pPr>
              <w:pStyle w:val="5"/>
              <w:spacing w:after="0" w:line="380" w:lineRule="exact"/>
              <w:rPr>
                <w:rFonts w:ascii="仿宋_GB2312" w:hAnsi="仿宋_GB2312" w:eastAsia="仿宋_GB2312" w:cs="仿宋_GB2312"/>
                <w:sz w:val="21"/>
                <w:szCs w:val="21"/>
              </w:rPr>
            </w:pP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4707D8EC">
            <w:pPr>
              <w:pStyle w:val="5"/>
              <w:spacing w:after="0" w:line="380" w:lineRule="exact"/>
              <w:ind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（四）供配电系统3分</w:t>
            </w:r>
          </w:p>
          <w:p w14:paraId="341C0960">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1.高(低)压变(配)电柜操作应运行正常，各类表计显示正常，功率因数自动补偿电容器(组)、有源滤波系统等运行正常，自动切换准确可靠（非乙方管理的除外）。0.5分</w:t>
            </w:r>
          </w:p>
          <w:p w14:paraId="5BCD51AA">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2.各类照明灯具、泛光照明系统、应急供电系统、供用电设备设施(包括配电箱柜、桥架、井道、分电箱、开关、插座等)应运行正常。0.5分</w:t>
            </w:r>
          </w:p>
          <w:p w14:paraId="1AC7A842">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3.建立配送电运行制度、电气维修制度和配电房管理制度。0.5分</w:t>
            </w:r>
          </w:p>
          <w:p w14:paraId="1F000A86">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4.应委托具有检验资质的单位进行预防性试验。0.5分</w:t>
            </w:r>
          </w:p>
          <w:p w14:paraId="4B1B8EF2">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5.建立24小时运行值班监控制度，对供电范围内的电气设备定期巡视，对低压配电柜、配电箱、控制柜及线路等进行重点监测，至少每半天巡视一次各机房配电设备运行情况，定期进行检查、维护和清洁，并做好记录。0.5分</w:t>
            </w:r>
          </w:p>
          <w:p w14:paraId="1C8EA5DF">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6.出现故障时，物业管理单位、物业使用单位和物业服务单位应第一时间进行指挥调度，维修人员应及时到场，判断故障原因，并进行维修。0.5分</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34199112">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一项不合格扣0.5分。</w:t>
            </w: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285D627D">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742F5CBB">
            <w:pPr>
              <w:pStyle w:val="5"/>
              <w:spacing w:after="0" w:line="380" w:lineRule="exact"/>
              <w:rPr>
                <w:rFonts w:ascii="仿宋_GB2312" w:hAnsi="仿宋_GB2312" w:eastAsia="仿宋_GB2312" w:cs="仿宋_GB2312"/>
                <w:sz w:val="21"/>
                <w:szCs w:val="21"/>
              </w:rPr>
            </w:pPr>
          </w:p>
        </w:tc>
      </w:tr>
      <w:tr w14:paraId="2150C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5EC83">
            <w:pPr>
              <w:pStyle w:val="5"/>
              <w:spacing w:after="0" w:line="380" w:lineRule="exact"/>
              <w:rPr>
                <w:rFonts w:ascii="仿宋_GB2312" w:hAnsi="仿宋_GB2312" w:eastAsia="仿宋_GB2312" w:cs="仿宋_GB2312"/>
                <w:sz w:val="21"/>
                <w:szCs w:val="21"/>
              </w:rPr>
            </w:pP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23D362DE">
            <w:pPr>
              <w:pStyle w:val="5"/>
              <w:spacing w:after="0" w:line="380" w:lineRule="exact"/>
              <w:ind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（五）空调维护2.5</w:t>
            </w:r>
          </w:p>
          <w:p w14:paraId="0EB6442C">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1.保证空调通风系统安全运行和正常使用，无超标噪音和严重滴漏水现象。0.5分</w:t>
            </w:r>
          </w:p>
          <w:p w14:paraId="18FF1329">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2.定期对冷冻水、冷却水系统进行杀菌灭藻处理及除腐锈、除油化学清洗。0.5分</w:t>
            </w:r>
          </w:p>
          <w:p w14:paraId="75FA3866">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3.每季度对空调新风机、排气阀进行系统维护保养。每年冬夏两次对空调系统、暖通系统进行全面检查和清洗，空调通风系统清洗应符合要求。0.5分</w:t>
            </w:r>
          </w:p>
          <w:p w14:paraId="2E43469A">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4.分体式空调应定期巡查挂机和室外支架是否稳固。0.5分</w:t>
            </w:r>
          </w:p>
          <w:p w14:paraId="40A18C47">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5.空调通风系统出现运行故障后，维修人员应及时到达现场维修，并记录存档，零修合格率100％。0.5分</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58C3A0D4">
            <w:pPr>
              <w:pStyle w:val="5"/>
              <w:spacing w:after="0"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一项不合格扣0.5分。</w:t>
            </w: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0BAA28DD">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0836F8BA">
            <w:pPr>
              <w:pStyle w:val="5"/>
              <w:spacing w:after="0" w:line="380" w:lineRule="exact"/>
              <w:rPr>
                <w:rFonts w:ascii="仿宋_GB2312" w:hAnsi="仿宋_GB2312" w:eastAsia="仿宋_GB2312" w:cs="仿宋_GB2312"/>
                <w:sz w:val="21"/>
                <w:szCs w:val="21"/>
              </w:rPr>
            </w:pPr>
          </w:p>
        </w:tc>
      </w:tr>
      <w:tr w14:paraId="3A2AD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3F25E0">
            <w:pPr>
              <w:pStyle w:val="5"/>
              <w:spacing w:after="0" w:line="380" w:lineRule="exact"/>
              <w:rPr>
                <w:rFonts w:ascii="仿宋_GB2312" w:hAnsi="仿宋_GB2312" w:eastAsia="仿宋_GB2312" w:cs="仿宋_GB2312"/>
                <w:sz w:val="21"/>
                <w:szCs w:val="21"/>
              </w:rPr>
            </w:pPr>
          </w:p>
        </w:tc>
        <w:tc>
          <w:tcPr>
            <w:tcW w:w="6430" w:type="dxa"/>
            <w:tcBorders>
              <w:top w:val="single" w:color="000000" w:sz="4" w:space="0"/>
              <w:left w:val="single" w:color="000000" w:sz="4" w:space="0"/>
              <w:bottom w:val="single" w:color="000000" w:sz="4" w:space="0"/>
              <w:right w:val="single" w:color="000000" w:sz="4" w:space="0"/>
            </w:tcBorders>
            <w:noWrap w:val="0"/>
            <w:vAlign w:val="top"/>
          </w:tcPr>
          <w:p w14:paraId="34CADD1D">
            <w:pPr>
              <w:pStyle w:val="5"/>
              <w:spacing w:after="0" w:line="380" w:lineRule="exact"/>
              <w:ind w:firstLine="420" w:firstLineChars="200"/>
              <w:rPr>
                <w:rFonts w:ascii="仿宋_GB2312" w:hAnsi="仿宋_GB2312" w:eastAsia="仿宋_GB2312" w:cs="仿宋_GB2312"/>
                <w:sz w:val="21"/>
                <w:szCs w:val="21"/>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2D88DC2B">
            <w:pPr>
              <w:pStyle w:val="5"/>
              <w:spacing w:after="0" w:line="380" w:lineRule="exact"/>
              <w:rPr>
                <w:rFonts w:ascii="仿宋_GB2312" w:hAnsi="仿宋_GB2312" w:eastAsia="仿宋_GB2312" w:cs="仿宋_GB2312"/>
                <w:sz w:val="21"/>
                <w:szCs w:val="21"/>
              </w:rPr>
            </w:pPr>
          </w:p>
        </w:tc>
        <w:tc>
          <w:tcPr>
            <w:tcW w:w="680" w:type="dxa"/>
            <w:tcBorders>
              <w:top w:val="single" w:color="000000" w:sz="4" w:space="0"/>
              <w:left w:val="single" w:color="000000" w:sz="4" w:space="0"/>
              <w:bottom w:val="single" w:color="000000" w:sz="4" w:space="0"/>
              <w:right w:val="single" w:color="000000" w:sz="4" w:space="0"/>
            </w:tcBorders>
            <w:noWrap w:val="0"/>
            <w:vAlign w:val="top"/>
          </w:tcPr>
          <w:p w14:paraId="2CA571CA">
            <w:pPr>
              <w:pStyle w:val="5"/>
              <w:spacing w:after="0" w:line="380" w:lineRule="exact"/>
              <w:rPr>
                <w:rFonts w:ascii="仿宋_GB2312" w:hAnsi="仿宋_GB2312" w:eastAsia="仿宋_GB2312" w:cs="仿宋_GB2312"/>
                <w:sz w:val="21"/>
                <w:szCs w:val="21"/>
              </w:rPr>
            </w:pPr>
          </w:p>
        </w:tc>
        <w:tc>
          <w:tcPr>
            <w:tcW w:w="716" w:type="dxa"/>
            <w:tcBorders>
              <w:top w:val="single" w:color="000000" w:sz="4" w:space="0"/>
              <w:left w:val="single" w:color="000000" w:sz="4" w:space="0"/>
              <w:bottom w:val="single" w:color="000000" w:sz="4" w:space="0"/>
              <w:right w:val="single" w:color="000000" w:sz="4" w:space="0"/>
            </w:tcBorders>
            <w:noWrap w:val="0"/>
            <w:vAlign w:val="top"/>
          </w:tcPr>
          <w:p w14:paraId="2E36B330">
            <w:pPr>
              <w:pStyle w:val="5"/>
              <w:spacing w:after="0" w:line="380" w:lineRule="exact"/>
              <w:rPr>
                <w:rFonts w:ascii="仿宋_GB2312" w:hAnsi="仿宋_GB2312" w:eastAsia="仿宋_GB2312" w:cs="仿宋_GB2312"/>
                <w:sz w:val="21"/>
                <w:szCs w:val="21"/>
              </w:rPr>
            </w:pPr>
          </w:p>
        </w:tc>
      </w:tr>
      <w:tr w14:paraId="166F7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791" w:type="dxa"/>
            <w:gridSpan w:val="5"/>
            <w:tcBorders>
              <w:top w:val="single" w:color="000000" w:sz="4" w:space="0"/>
              <w:left w:val="single" w:color="000000" w:sz="4" w:space="0"/>
              <w:bottom w:val="single" w:color="000000" w:sz="4" w:space="0"/>
              <w:right w:val="single" w:color="000000" w:sz="4" w:space="0"/>
            </w:tcBorders>
            <w:noWrap w:val="0"/>
            <w:vAlign w:val="center"/>
          </w:tcPr>
          <w:p w14:paraId="188DE46C">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考核要求</w:t>
            </w:r>
          </w:p>
          <w:p w14:paraId="47F98FB0">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每月度至少开展1次监督考核，执行“日巡查、周检查、月考核”的考核机制。巡查发现的问题，甲方发放整改通知书并全程跟踪整改进度。整改通知书参见附表，年内发放整改通知书10次以上的，一次扣完5分，计算在第四季度总分。</w:t>
            </w:r>
          </w:p>
          <w:p w14:paraId="57C59878">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2.每月</w:t>
            </w:r>
            <w:r>
              <w:rPr>
                <w:rFonts w:ascii="仿宋_GB2312" w:hAnsi="仿宋_GB2312" w:eastAsia="仿宋_GB2312" w:cs="仿宋_GB2312"/>
                <w:sz w:val="21"/>
                <w:szCs w:val="21"/>
              </w:rPr>
              <w:t>汇总考核结果不足9</w:t>
            </w:r>
            <w:r>
              <w:rPr>
                <w:rFonts w:hint="eastAsia" w:ascii="仿宋_GB2312" w:hAnsi="仿宋_GB2312" w:eastAsia="仿宋_GB2312" w:cs="仿宋_GB2312"/>
                <w:sz w:val="21"/>
                <w:szCs w:val="21"/>
              </w:rPr>
              <w:t>5</w:t>
            </w:r>
            <w:r>
              <w:rPr>
                <w:rFonts w:ascii="仿宋_GB2312" w:hAnsi="仿宋_GB2312" w:eastAsia="仿宋_GB2312" w:cs="仿宋_GB2312"/>
                <w:sz w:val="21"/>
                <w:szCs w:val="21"/>
              </w:rPr>
              <w:t>分，每少1分扣减当</w:t>
            </w:r>
            <w:r>
              <w:rPr>
                <w:rFonts w:hint="eastAsia" w:ascii="仿宋_GB2312" w:hAnsi="仿宋_GB2312" w:eastAsia="仿宋_GB2312" w:cs="仿宋_GB2312"/>
                <w:sz w:val="21"/>
                <w:szCs w:val="21"/>
              </w:rPr>
              <w:t>月</w:t>
            </w:r>
            <w:r>
              <w:rPr>
                <w:rFonts w:ascii="仿宋_GB2312" w:hAnsi="仿宋_GB2312" w:eastAsia="仿宋_GB2312" w:cs="仿宋_GB2312"/>
                <w:sz w:val="21"/>
                <w:szCs w:val="21"/>
              </w:rPr>
              <w:t>服务费</w:t>
            </w:r>
            <w:r>
              <w:rPr>
                <w:rFonts w:hint="eastAsia" w:ascii="仿宋_GB2312" w:hAnsi="仿宋_GB2312" w:eastAsia="仿宋_GB2312" w:cs="仿宋_GB2312"/>
                <w:sz w:val="21"/>
                <w:szCs w:val="21"/>
              </w:rPr>
              <w:t>5</w:t>
            </w:r>
            <w:r>
              <w:rPr>
                <w:rFonts w:ascii="仿宋_GB2312" w:hAnsi="仿宋_GB2312" w:eastAsia="仿宋_GB2312" w:cs="仿宋_GB2312"/>
                <w:sz w:val="21"/>
                <w:szCs w:val="21"/>
              </w:rPr>
              <w:t>00元</w:t>
            </w:r>
            <w:r>
              <w:rPr>
                <w:rFonts w:hint="eastAsia" w:ascii="仿宋_GB2312" w:hAnsi="仿宋_GB2312" w:eastAsia="仿宋_GB2312" w:cs="仿宋_GB2312"/>
                <w:sz w:val="21"/>
                <w:szCs w:val="21"/>
              </w:rPr>
              <w:t>，每季</w:t>
            </w:r>
            <w:r>
              <w:rPr>
                <w:rFonts w:ascii="仿宋_GB2312" w:hAnsi="仿宋_GB2312" w:eastAsia="仿宋_GB2312" w:cs="仿宋_GB2312"/>
                <w:sz w:val="21"/>
                <w:szCs w:val="21"/>
              </w:rPr>
              <w:t>汇总考核结果不足90分，每少1分扣减当</w:t>
            </w:r>
            <w:r>
              <w:rPr>
                <w:rFonts w:hint="eastAsia" w:ascii="仿宋_GB2312" w:hAnsi="仿宋_GB2312" w:eastAsia="仿宋_GB2312" w:cs="仿宋_GB2312"/>
                <w:sz w:val="21"/>
                <w:szCs w:val="21"/>
              </w:rPr>
              <w:t>月</w:t>
            </w:r>
            <w:r>
              <w:rPr>
                <w:rFonts w:ascii="仿宋_GB2312" w:hAnsi="仿宋_GB2312" w:eastAsia="仿宋_GB2312" w:cs="仿宋_GB2312"/>
                <w:sz w:val="21"/>
                <w:szCs w:val="21"/>
              </w:rPr>
              <w:t>服务费1000（在支付服务费时扣除，如当</w:t>
            </w:r>
            <w:r>
              <w:rPr>
                <w:rFonts w:hint="eastAsia" w:ascii="仿宋_GB2312" w:hAnsi="仿宋_GB2312" w:eastAsia="仿宋_GB2312" w:cs="仿宋_GB2312"/>
                <w:sz w:val="21"/>
                <w:szCs w:val="21"/>
              </w:rPr>
              <w:t>月</w:t>
            </w:r>
            <w:r>
              <w:rPr>
                <w:rFonts w:ascii="仿宋_GB2312" w:hAnsi="仿宋_GB2312" w:eastAsia="仿宋_GB2312" w:cs="仿宋_GB2312"/>
                <w:sz w:val="21"/>
                <w:szCs w:val="21"/>
              </w:rPr>
              <w:t>发生其他扣款的，一并扣除）。</w:t>
            </w:r>
            <w:r>
              <w:rPr>
                <w:rFonts w:hint="eastAsia" w:ascii="仿宋_GB2312" w:hAnsi="仿宋_GB2312" w:eastAsia="仿宋_GB2312" w:cs="仿宋_GB2312"/>
                <w:sz w:val="21"/>
                <w:szCs w:val="21"/>
              </w:rPr>
              <w:t>疫情防控工作不按要求做到位的，每发现一次，直接扣500元。</w:t>
            </w:r>
            <w:r>
              <w:rPr>
                <w:rFonts w:ascii="仿宋_GB2312" w:hAnsi="仿宋_GB2312" w:eastAsia="仿宋_GB2312" w:cs="仿宋_GB2312"/>
                <w:sz w:val="21"/>
                <w:szCs w:val="21"/>
              </w:rPr>
              <w:t>物业服务企业要对被扣分值的相应项目，按服务标准在10天内予以整改，如不及时整改或整改不到位，在下月检查考核时按所列分值加倍扣分。如年度考核平均分达不到85分的，为考核不合格。考核不合格的，采购方有权要求供应商进行整改，整改后仍达不到要求的，采购方有权提前解除服务合同。</w:t>
            </w:r>
          </w:p>
          <w:p w14:paraId="54DA96DC">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3.月度考核小组成员由凭祥市人民医院和服务单位召集。</w:t>
            </w:r>
          </w:p>
          <w:p w14:paraId="0DB4ED1D">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4.出现以下安全管理责任事故的情形，物业公司应立即整改，并按合同约定接受处罚：</w:t>
            </w:r>
          </w:p>
          <w:p w14:paraId="520AFC82">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（1）发生火灾事故，经消防部门认定负重大责任的情形；</w:t>
            </w:r>
          </w:p>
          <w:p w14:paraId="4CD0A6D4">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（2）组织高空作业或装修施工，发生人员伤亡事故（直接责任不在物业公司除外）的情形；</w:t>
            </w:r>
          </w:p>
          <w:p w14:paraId="4B9E79C9">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（3）因工作人员操作失误或管理疏漏，造成空调、消防设施设备、供水等重大设备严重故障，致使正常办公受到严重影响的情形；</w:t>
            </w:r>
          </w:p>
          <w:p w14:paraId="316E69C1">
            <w:pPr>
              <w:pStyle w:val="5"/>
              <w:spacing w:after="0" w:line="3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（4）其它被认定的严重责任事故。</w:t>
            </w:r>
          </w:p>
        </w:tc>
      </w:tr>
    </w:tbl>
    <w:p w14:paraId="53915D80">
      <w:pPr>
        <w:pStyle w:val="5"/>
        <w:spacing w:line="50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检查组成员：</w:t>
      </w:r>
    </w:p>
    <w:p w14:paraId="1E4BC10D">
      <w:pPr>
        <w:pStyle w:val="5"/>
        <w:spacing w:line="500" w:lineRule="exact"/>
        <w:ind w:firstLine="420" w:firstLineChars="20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受检单位负责人：</w:t>
      </w:r>
    </w:p>
    <w:p w14:paraId="1E0CDE02">
      <w:pPr>
        <w:pStyle w:val="5"/>
        <w:spacing w:line="500" w:lineRule="exact"/>
        <w:ind w:firstLine="420" w:firstLineChars="20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年   月   日</w:t>
      </w:r>
    </w:p>
    <w:p w14:paraId="707E7658">
      <w:pPr>
        <w:pStyle w:val="5"/>
        <w:spacing w:line="500" w:lineRule="exact"/>
        <w:ind w:firstLine="420" w:firstLineChars="200"/>
        <w:rPr>
          <w:rFonts w:ascii="方正小标宋简体" w:hAnsi="方正小标宋简体" w:eastAsia="方正小标宋简体" w:cs="方正小标宋简体"/>
          <w:bCs/>
          <w:color w:val="000000"/>
          <w:sz w:val="21"/>
          <w:szCs w:val="21"/>
        </w:rPr>
      </w:pPr>
      <w:r>
        <w:rPr>
          <w:rFonts w:hint="eastAsia" w:ascii="仿宋_GB2312" w:hAnsi="仿宋_GB2312" w:eastAsia="仿宋_GB2312" w:cs="仿宋_GB2312"/>
          <w:bCs/>
          <w:color w:val="000000"/>
          <w:sz w:val="21"/>
          <w:szCs w:val="21"/>
        </w:rPr>
        <w:br w:type="page"/>
      </w:r>
      <w:r>
        <w:rPr>
          <w:rFonts w:hint="eastAsia" w:ascii="方正小标宋简体" w:hAnsi="方正小标宋简体" w:eastAsia="方正小标宋简体" w:cs="方正小标宋简体"/>
          <w:bCs/>
          <w:color w:val="000000"/>
          <w:sz w:val="21"/>
          <w:szCs w:val="21"/>
        </w:rPr>
        <w:t xml:space="preserve">附件3 </w:t>
      </w:r>
    </w:p>
    <w:p w14:paraId="157DCD67">
      <w:pPr>
        <w:pStyle w:val="5"/>
        <w:spacing w:line="500" w:lineRule="exact"/>
        <w:ind w:firstLine="420" w:firstLineChars="200"/>
        <w:jc w:val="center"/>
        <w:rPr>
          <w:rFonts w:ascii="方正小标宋简体" w:hAnsi="方正小标宋简体" w:eastAsia="方正小标宋简体" w:cs="方正小标宋简体"/>
          <w:bCs/>
          <w:color w:val="000000"/>
          <w:sz w:val="21"/>
          <w:szCs w:val="21"/>
        </w:rPr>
      </w:pPr>
      <w:r>
        <w:rPr>
          <w:rFonts w:hint="eastAsia" w:ascii="方正小标宋简体" w:hAnsi="方正小标宋简体" w:eastAsia="方正小标宋简体" w:cs="方正小标宋简体"/>
          <w:bCs/>
          <w:color w:val="000000"/>
          <w:sz w:val="21"/>
          <w:szCs w:val="21"/>
        </w:rPr>
        <w:t>工作整改通知书</w:t>
      </w:r>
    </w:p>
    <w:tbl>
      <w:tblPr>
        <w:tblStyle w:val="14"/>
        <w:tblW w:w="94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0"/>
        <w:gridCol w:w="7184"/>
      </w:tblGrid>
      <w:tr w14:paraId="5B951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trPr>
        <w:tc>
          <w:tcPr>
            <w:tcW w:w="9414" w:type="dxa"/>
            <w:gridSpan w:val="2"/>
            <w:tcBorders>
              <w:top w:val="single" w:color="000000" w:sz="4" w:space="0"/>
              <w:left w:val="single" w:color="000000" w:sz="4" w:space="0"/>
              <w:bottom w:val="single" w:color="000000" w:sz="4" w:space="0"/>
              <w:right w:val="single" w:color="000000" w:sz="4" w:space="0"/>
            </w:tcBorders>
            <w:noWrap w:val="0"/>
            <w:vAlign w:val="top"/>
          </w:tcPr>
          <w:p w14:paraId="3CC259E1">
            <w:pPr>
              <w:pStyle w:val="5"/>
              <w:spacing w:line="500" w:lineRule="exact"/>
              <w:rPr>
                <w:rFonts w:ascii="仿宋_GB2312" w:hAnsi="仿宋_GB2312" w:eastAsia="仿宋_GB2312" w:cs="仿宋_GB2312"/>
                <w:color w:val="000000"/>
                <w:sz w:val="21"/>
                <w:szCs w:val="21"/>
              </w:rPr>
            </w:pPr>
          </w:p>
          <w:p w14:paraId="2263125F">
            <w:pPr>
              <w:pStyle w:val="5"/>
              <w:spacing w:line="500" w:lineRule="exact"/>
              <w:rPr>
                <w:rFonts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u w:val="single"/>
              </w:rPr>
              <w:t xml:space="preserve">            ：</w:t>
            </w:r>
          </w:p>
          <w:p w14:paraId="0A1A8F5A">
            <w:pPr>
              <w:pStyle w:val="5"/>
              <w:spacing w:line="500" w:lineRule="exact"/>
              <w:ind w:firstLine="420" w:firstLineChars="200"/>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我单位在巡查中发现存在下列故障（隐患），现通知你单位，请尽快采取措施整改和消除隐患，并在消除隐患后书面告知我单位。</w:t>
            </w:r>
          </w:p>
        </w:tc>
      </w:tr>
      <w:tr w14:paraId="04F82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2230" w:type="dxa"/>
            <w:tcBorders>
              <w:top w:val="single" w:color="000000" w:sz="4" w:space="0"/>
              <w:left w:val="single" w:color="000000" w:sz="4" w:space="0"/>
              <w:bottom w:val="single" w:color="000000" w:sz="4" w:space="0"/>
              <w:right w:val="single" w:color="000000" w:sz="4" w:space="0"/>
            </w:tcBorders>
            <w:noWrap w:val="0"/>
            <w:vAlign w:val="top"/>
          </w:tcPr>
          <w:p w14:paraId="690F3634">
            <w:pPr>
              <w:pStyle w:val="5"/>
              <w:spacing w:line="50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整改时间</w:t>
            </w:r>
          </w:p>
        </w:tc>
        <w:tc>
          <w:tcPr>
            <w:tcW w:w="7184" w:type="dxa"/>
            <w:tcBorders>
              <w:top w:val="single" w:color="000000" w:sz="4" w:space="0"/>
              <w:left w:val="single" w:color="000000" w:sz="4" w:space="0"/>
              <w:bottom w:val="single" w:color="000000" w:sz="4" w:space="0"/>
              <w:right w:val="single" w:color="000000" w:sz="4" w:space="0"/>
            </w:tcBorders>
            <w:noWrap w:val="0"/>
            <w:vAlign w:val="top"/>
          </w:tcPr>
          <w:p w14:paraId="5DF4393C">
            <w:pPr>
              <w:pStyle w:val="5"/>
              <w:spacing w:line="50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故障（隐患）</w:t>
            </w:r>
          </w:p>
        </w:tc>
      </w:tr>
      <w:tr w14:paraId="60D19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9" w:hRule="atLeast"/>
        </w:trPr>
        <w:tc>
          <w:tcPr>
            <w:tcW w:w="2230" w:type="dxa"/>
            <w:tcBorders>
              <w:top w:val="single" w:color="000000" w:sz="4" w:space="0"/>
              <w:left w:val="single" w:color="000000" w:sz="4" w:space="0"/>
              <w:bottom w:val="single" w:color="000000" w:sz="4" w:space="0"/>
              <w:right w:val="single" w:color="000000" w:sz="4" w:space="0"/>
            </w:tcBorders>
            <w:noWrap w:val="0"/>
            <w:vAlign w:val="top"/>
          </w:tcPr>
          <w:p w14:paraId="679068D4">
            <w:pPr>
              <w:pStyle w:val="5"/>
              <w:spacing w:line="500" w:lineRule="exact"/>
              <w:rPr>
                <w:rFonts w:ascii="仿宋_GB2312" w:hAnsi="仿宋_GB2312" w:eastAsia="仿宋_GB2312" w:cs="仿宋_GB2312"/>
                <w:color w:val="000000"/>
                <w:sz w:val="21"/>
                <w:szCs w:val="21"/>
              </w:rPr>
            </w:pPr>
          </w:p>
          <w:p w14:paraId="17DC727D">
            <w:pPr>
              <w:pStyle w:val="5"/>
              <w:spacing w:line="500" w:lineRule="exact"/>
              <w:ind w:firstLine="420" w:firstLineChars="200"/>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立即整改项</w:t>
            </w:r>
          </w:p>
        </w:tc>
        <w:tc>
          <w:tcPr>
            <w:tcW w:w="7184" w:type="dxa"/>
            <w:tcBorders>
              <w:top w:val="single" w:color="000000" w:sz="4" w:space="0"/>
              <w:left w:val="single" w:color="000000" w:sz="4" w:space="0"/>
              <w:bottom w:val="single" w:color="000000" w:sz="4" w:space="0"/>
              <w:right w:val="single" w:color="000000" w:sz="4" w:space="0"/>
            </w:tcBorders>
            <w:noWrap w:val="0"/>
            <w:vAlign w:val="top"/>
          </w:tcPr>
          <w:p w14:paraId="677ABF6D">
            <w:pPr>
              <w:pStyle w:val="5"/>
              <w:spacing w:line="500" w:lineRule="exact"/>
              <w:rPr>
                <w:rFonts w:ascii="仿宋_GB2312" w:hAnsi="仿宋_GB2312" w:eastAsia="仿宋_GB2312" w:cs="仿宋_GB2312"/>
                <w:color w:val="000000"/>
                <w:sz w:val="21"/>
                <w:szCs w:val="21"/>
              </w:rPr>
            </w:pPr>
          </w:p>
        </w:tc>
      </w:tr>
      <w:tr w14:paraId="62277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2" w:hRule="atLeast"/>
        </w:trPr>
        <w:tc>
          <w:tcPr>
            <w:tcW w:w="2230" w:type="dxa"/>
            <w:tcBorders>
              <w:top w:val="single" w:color="000000" w:sz="4" w:space="0"/>
              <w:left w:val="single" w:color="000000" w:sz="4" w:space="0"/>
              <w:bottom w:val="single" w:color="000000" w:sz="4" w:space="0"/>
              <w:right w:val="single" w:color="000000" w:sz="4" w:space="0"/>
            </w:tcBorders>
            <w:noWrap w:val="0"/>
            <w:vAlign w:val="top"/>
          </w:tcPr>
          <w:p w14:paraId="705BE4AA">
            <w:pPr>
              <w:pStyle w:val="5"/>
              <w:spacing w:line="500" w:lineRule="exact"/>
              <w:rPr>
                <w:rFonts w:ascii="仿宋_GB2312" w:hAnsi="仿宋_GB2312" w:eastAsia="仿宋_GB2312" w:cs="仿宋_GB2312"/>
                <w:color w:val="000000"/>
                <w:sz w:val="21"/>
                <w:szCs w:val="21"/>
              </w:rPr>
            </w:pPr>
          </w:p>
          <w:p w14:paraId="30DAAE91">
            <w:pPr>
              <w:pStyle w:val="5"/>
              <w:spacing w:line="500" w:lineRule="exact"/>
              <w:ind w:firstLine="420" w:firstLineChars="200"/>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限期整改项</w:t>
            </w:r>
          </w:p>
        </w:tc>
        <w:tc>
          <w:tcPr>
            <w:tcW w:w="7184" w:type="dxa"/>
            <w:tcBorders>
              <w:top w:val="single" w:color="000000" w:sz="4" w:space="0"/>
              <w:left w:val="single" w:color="000000" w:sz="4" w:space="0"/>
              <w:bottom w:val="single" w:color="000000" w:sz="4" w:space="0"/>
              <w:right w:val="single" w:color="000000" w:sz="4" w:space="0"/>
            </w:tcBorders>
            <w:noWrap w:val="0"/>
            <w:vAlign w:val="top"/>
          </w:tcPr>
          <w:p w14:paraId="08AF73B9">
            <w:pPr>
              <w:pStyle w:val="5"/>
              <w:spacing w:line="500" w:lineRule="exact"/>
              <w:rPr>
                <w:rFonts w:ascii="仿宋_GB2312" w:hAnsi="仿宋_GB2312" w:eastAsia="仿宋_GB2312" w:cs="仿宋_GB2312"/>
                <w:color w:val="000000"/>
                <w:sz w:val="21"/>
                <w:szCs w:val="21"/>
              </w:rPr>
            </w:pPr>
          </w:p>
        </w:tc>
      </w:tr>
      <w:tr w14:paraId="7DEDA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9" w:hRule="atLeast"/>
        </w:trPr>
        <w:tc>
          <w:tcPr>
            <w:tcW w:w="9414" w:type="dxa"/>
            <w:gridSpan w:val="2"/>
            <w:tcBorders>
              <w:top w:val="single" w:color="000000" w:sz="4" w:space="0"/>
              <w:left w:val="single" w:color="000000" w:sz="4" w:space="0"/>
              <w:bottom w:val="single" w:color="000000" w:sz="4" w:space="0"/>
              <w:right w:val="single" w:color="000000" w:sz="4" w:space="0"/>
            </w:tcBorders>
            <w:noWrap w:val="0"/>
            <w:vAlign w:val="top"/>
          </w:tcPr>
          <w:p w14:paraId="527D2CD5">
            <w:pPr>
              <w:pStyle w:val="5"/>
              <w:spacing w:line="500" w:lineRule="exact"/>
              <w:ind w:firstLine="420" w:firstLineChars="200"/>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巡查经办人：</w:t>
            </w:r>
          </w:p>
          <w:p w14:paraId="1D6D1DF6">
            <w:pPr>
              <w:pStyle w:val="5"/>
              <w:spacing w:line="500" w:lineRule="exact"/>
              <w:rPr>
                <w:rFonts w:ascii="仿宋_GB2312" w:hAnsi="仿宋_GB2312" w:eastAsia="仿宋_GB2312" w:cs="仿宋_GB2312"/>
                <w:color w:val="000000"/>
                <w:sz w:val="21"/>
                <w:szCs w:val="21"/>
              </w:rPr>
            </w:pPr>
          </w:p>
          <w:p w14:paraId="04493DD4">
            <w:pPr>
              <w:pStyle w:val="5"/>
              <w:spacing w:line="500" w:lineRule="exact"/>
              <w:ind w:firstLine="420" w:firstLineChars="200"/>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物业签收人：</w:t>
            </w:r>
          </w:p>
          <w:p w14:paraId="6A2AEB4B">
            <w:pPr>
              <w:pStyle w:val="5"/>
              <w:spacing w:line="500" w:lineRule="exact"/>
              <w:rPr>
                <w:rFonts w:ascii="仿宋_GB2312" w:hAnsi="仿宋_GB2312" w:eastAsia="仿宋_GB2312" w:cs="仿宋_GB2312"/>
                <w:color w:val="000000"/>
                <w:sz w:val="21"/>
                <w:szCs w:val="21"/>
              </w:rPr>
            </w:pPr>
          </w:p>
          <w:p w14:paraId="2AFE565F">
            <w:pPr>
              <w:pStyle w:val="5"/>
              <w:spacing w:line="500" w:lineRule="exact"/>
              <w:ind w:firstLine="420" w:firstLineChars="200"/>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签收时间：    年  月   日</w:t>
            </w:r>
          </w:p>
        </w:tc>
      </w:tr>
    </w:tbl>
    <w:p w14:paraId="64710858">
      <w:pPr>
        <w:pStyle w:val="5"/>
        <w:spacing w:line="500" w:lineRule="exact"/>
        <w:rPr>
          <w:rFonts w:ascii="仿宋_GB2312" w:hAnsi="仿宋_GB2312" w:eastAsia="仿宋_GB2312" w:cs="仿宋_GB2312"/>
          <w:color w:val="000000"/>
          <w:sz w:val="21"/>
          <w:szCs w:val="21"/>
        </w:rPr>
      </w:pPr>
    </w:p>
    <w:p w14:paraId="0B67D424">
      <w:pPr>
        <w:pStyle w:val="5"/>
        <w:spacing w:line="500" w:lineRule="exact"/>
        <w:rPr>
          <w:rFonts w:ascii="仿宋_GB2312" w:hAnsi="仿宋_GB2312" w:eastAsia="仿宋_GB2312" w:cs="仿宋_GB2312"/>
          <w:color w:val="000000"/>
          <w:sz w:val="21"/>
          <w:szCs w:val="21"/>
        </w:rPr>
      </w:pPr>
    </w:p>
    <w:p w14:paraId="027D53BC">
      <w:pPr>
        <w:rPr>
          <w:rFonts w:ascii="仿宋_GB2312" w:hAnsi="仿宋_GB2312" w:eastAsia="仿宋_GB2312" w:cs="仿宋_GB2312"/>
          <w:color w:val="000000"/>
          <w:sz w:val="21"/>
          <w:szCs w:val="21"/>
        </w:rPr>
      </w:pPr>
    </w:p>
    <w:p w14:paraId="6CE013AD">
      <w:pPr>
        <w:pStyle w:val="5"/>
        <w:spacing w:line="500" w:lineRule="exact"/>
        <w:rPr>
          <w:rStyle w:val="56"/>
          <w:rFonts w:ascii="黑体" w:hAnsi="黑体" w:eastAsia="黑体" w:cs="黑体"/>
          <w:color w:val="000000"/>
          <w:sz w:val="21"/>
          <w:szCs w:val="21"/>
        </w:rPr>
      </w:pPr>
      <w:r>
        <w:rPr>
          <w:rStyle w:val="56"/>
          <w:rFonts w:hint="eastAsia" w:ascii="黑体" w:hAnsi="黑体" w:eastAsia="黑体" w:cs="黑体"/>
          <w:color w:val="000000"/>
          <w:sz w:val="21"/>
          <w:szCs w:val="21"/>
        </w:rPr>
        <w:t>附件4</w:t>
      </w:r>
    </w:p>
    <w:p w14:paraId="017000B2">
      <w:pPr>
        <w:pStyle w:val="5"/>
        <w:spacing w:line="500" w:lineRule="exact"/>
        <w:ind w:firstLine="420" w:firstLineChars="200"/>
        <w:jc w:val="center"/>
        <w:rPr>
          <w:rFonts w:ascii="方正小标宋简体" w:hAnsi="方正小标宋简体" w:eastAsia="方正小标宋简体" w:cs="方正小标宋简体"/>
          <w:bCs/>
          <w:color w:val="000000"/>
          <w:sz w:val="21"/>
          <w:szCs w:val="21"/>
        </w:rPr>
      </w:pPr>
      <w:r>
        <w:rPr>
          <w:rFonts w:hint="eastAsia" w:ascii="方正小标宋简体" w:hAnsi="方正小标宋简体" w:eastAsia="方正小标宋简体" w:cs="方正小标宋简体"/>
          <w:bCs/>
          <w:color w:val="000000"/>
          <w:sz w:val="21"/>
          <w:szCs w:val="21"/>
        </w:rPr>
        <w:t>月度物业检查记录表</w:t>
      </w:r>
    </w:p>
    <w:tbl>
      <w:tblPr>
        <w:tblStyle w:val="14"/>
        <w:tblW w:w="94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0"/>
        <w:gridCol w:w="8322"/>
      </w:tblGrid>
      <w:tr w14:paraId="70D9F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6" w:hRule="atLeast"/>
          <w:jc w:val="center"/>
        </w:trPr>
        <w:tc>
          <w:tcPr>
            <w:tcW w:w="9432" w:type="dxa"/>
            <w:gridSpan w:val="2"/>
            <w:noWrap w:val="0"/>
            <w:vAlign w:val="top"/>
          </w:tcPr>
          <w:p w14:paraId="05D55478">
            <w:pPr>
              <w:spacing w:line="500" w:lineRule="exact"/>
              <w:ind w:firstLine="420" w:firstLineChars="200"/>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检查时间：           年      月      日                                    </w:t>
            </w:r>
          </w:p>
          <w:p w14:paraId="4E685DD9">
            <w:pPr>
              <w:spacing w:line="500" w:lineRule="exact"/>
              <w:rPr>
                <w:rFonts w:ascii="仿宋_GB2312" w:hAnsi="仿宋_GB2312" w:eastAsia="仿宋_GB2312" w:cs="仿宋_GB2312"/>
                <w:color w:val="000000"/>
                <w:sz w:val="21"/>
                <w:szCs w:val="21"/>
              </w:rPr>
            </w:pPr>
          </w:p>
          <w:p w14:paraId="4A100CC5">
            <w:pPr>
              <w:spacing w:line="500" w:lineRule="exact"/>
              <w:ind w:firstLine="420" w:firstLineChars="200"/>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受检公司： </w:t>
            </w:r>
          </w:p>
          <w:p w14:paraId="3FECCCA3">
            <w:pPr>
              <w:spacing w:line="500" w:lineRule="exact"/>
              <w:rPr>
                <w:rFonts w:ascii="仿宋_GB2312" w:hAnsi="仿宋_GB2312" w:eastAsia="仿宋_GB2312" w:cs="仿宋_GB2312"/>
                <w:color w:val="000000"/>
                <w:sz w:val="21"/>
                <w:szCs w:val="21"/>
              </w:rPr>
            </w:pPr>
          </w:p>
        </w:tc>
      </w:tr>
      <w:tr w14:paraId="1E58F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6" w:hRule="atLeast"/>
          <w:jc w:val="center"/>
        </w:trPr>
        <w:tc>
          <w:tcPr>
            <w:tcW w:w="1110" w:type="dxa"/>
            <w:noWrap w:val="0"/>
            <w:vAlign w:val="top"/>
          </w:tcPr>
          <w:p w14:paraId="7F79DC40">
            <w:pPr>
              <w:spacing w:line="500" w:lineRule="exact"/>
              <w:rPr>
                <w:rFonts w:ascii="仿宋_GB2312" w:hAnsi="仿宋_GB2312" w:eastAsia="仿宋_GB2312" w:cs="仿宋_GB2312"/>
                <w:color w:val="000000"/>
                <w:sz w:val="21"/>
                <w:szCs w:val="21"/>
              </w:rPr>
            </w:pPr>
          </w:p>
          <w:p w14:paraId="2C23F3F1">
            <w:pPr>
              <w:spacing w:line="50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存在问题及扣分情况</w:t>
            </w:r>
          </w:p>
        </w:tc>
        <w:tc>
          <w:tcPr>
            <w:tcW w:w="8322" w:type="dxa"/>
            <w:noWrap w:val="0"/>
            <w:vAlign w:val="top"/>
          </w:tcPr>
          <w:p w14:paraId="521C51BA">
            <w:pPr>
              <w:spacing w:line="500" w:lineRule="exact"/>
              <w:rPr>
                <w:rFonts w:ascii="仿宋_GB2312" w:hAnsi="仿宋_GB2312" w:eastAsia="仿宋_GB2312" w:cs="仿宋_GB2312"/>
                <w:color w:val="000000"/>
                <w:sz w:val="21"/>
                <w:szCs w:val="21"/>
              </w:rPr>
            </w:pPr>
          </w:p>
        </w:tc>
      </w:tr>
      <w:tr w14:paraId="3DE2E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2" w:hRule="atLeast"/>
          <w:jc w:val="center"/>
        </w:trPr>
        <w:tc>
          <w:tcPr>
            <w:tcW w:w="9432" w:type="dxa"/>
            <w:gridSpan w:val="2"/>
            <w:noWrap w:val="0"/>
            <w:vAlign w:val="top"/>
          </w:tcPr>
          <w:p w14:paraId="55C42B6A">
            <w:pPr>
              <w:spacing w:line="500" w:lineRule="exact"/>
              <w:rPr>
                <w:rFonts w:ascii="仿宋_GB2312" w:hAnsi="仿宋_GB2312" w:eastAsia="仿宋_GB2312" w:cs="仿宋_GB2312"/>
                <w:color w:val="000000"/>
                <w:sz w:val="21"/>
                <w:szCs w:val="21"/>
              </w:rPr>
            </w:pPr>
          </w:p>
          <w:p w14:paraId="02397E0C">
            <w:pPr>
              <w:spacing w:line="500" w:lineRule="exact"/>
              <w:ind w:firstLine="420" w:firstLineChars="200"/>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检查组成员：     </w:t>
            </w:r>
          </w:p>
        </w:tc>
      </w:tr>
      <w:tr w14:paraId="7B4C1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jc w:val="center"/>
        </w:trPr>
        <w:tc>
          <w:tcPr>
            <w:tcW w:w="9432" w:type="dxa"/>
            <w:gridSpan w:val="2"/>
            <w:noWrap w:val="0"/>
            <w:vAlign w:val="top"/>
          </w:tcPr>
          <w:p w14:paraId="3680D6D1">
            <w:pPr>
              <w:spacing w:line="50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物业负责人：</w:t>
            </w:r>
          </w:p>
          <w:p w14:paraId="7396E46B">
            <w:pPr>
              <w:spacing w:line="50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签字</w:t>
            </w:r>
          </w:p>
        </w:tc>
      </w:tr>
    </w:tbl>
    <w:p w14:paraId="040B855A">
      <w:pPr>
        <w:pStyle w:val="13"/>
        <w:ind w:firstLine="0" w:firstLineChars="0"/>
        <w:rPr>
          <w:sz w:val="21"/>
          <w:szCs w:val="21"/>
        </w:rPr>
      </w:pPr>
    </w:p>
    <w:p w14:paraId="3CB4A036">
      <w:pPr>
        <w:rPr>
          <w:sz w:val="21"/>
          <w:szCs w:val="21"/>
        </w:rPr>
      </w:pPr>
    </w:p>
    <w:p w14:paraId="2975F36E">
      <w:pPr>
        <w:pStyle w:val="19"/>
        <w:ind w:firstLine="562"/>
        <w:rPr>
          <w:rFonts w:eastAsia="宋体"/>
          <w:b/>
          <w:bCs/>
          <w:sz w:val="21"/>
          <w:szCs w:val="21"/>
          <w:lang w:eastAsia="zh-CN"/>
        </w:rPr>
      </w:pPr>
    </w:p>
    <w:p w14:paraId="19F500CA">
      <w:pPr>
        <w:pStyle w:val="19"/>
        <w:ind w:firstLine="562"/>
        <w:rPr>
          <w:rFonts w:eastAsia="宋体"/>
          <w:b/>
          <w:bCs/>
          <w:sz w:val="21"/>
          <w:szCs w:val="21"/>
          <w:lang w:eastAsia="zh-CN"/>
        </w:rPr>
      </w:pPr>
    </w:p>
    <w:p w14:paraId="33E571F8">
      <w:pPr>
        <w:pStyle w:val="19"/>
        <w:ind w:firstLine="562"/>
        <w:rPr>
          <w:rFonts w:eastAsia="宋体"/>
          <w:b/>
          <w:bCs/>
          <w:sz w:val="21"/>
          <w:szCs w:val="21"/>
          <w:lang w:eastAsia="zh-CN"/>
        </w:rPr>
      </w:pPr>
    </w:p>
    <w:p w14:paraId="7485BEB2">
      <w:pPr>
        <w:pStyle w:val="19"/>
        <w:ind w:firstLine="562"/>
        <w:rPr>
          <w:rFonts w:eastAsia="宋体"/>
          <w:b/>
          <w:bCs/>
          <w:sz w:val="21"/>
          <w:szCs w:val="21"/>
          <w:lang w:eastAsia="zh-CN"/>
        </w:rPr>
      </w:pPr>
    </w:p>
    <w:p w14:paraId="081A0864">
      <w:pPr>
        <w:pStyle w:val="19"/>
        <w:ind w:firstLine="562"/>
        <w:rPr>
          <w:rFonts w:eastAsia="宋体"/>
          <w:b/>
          <w:bCs/>
          <w:sz w:val="28"/>
          <w:szCs w:val="28"/>
          <w:lang w:eastAsia="zh-CN"/>
        </w:rPr>
      </w:pPr>
    </w:p>
    <w:p w14:paraId="2A482645">
      <w:pPr>
        <w:pStyle w:val="19"/>
        <w:ind w:firstLine="562"/>
        <w:rPr>
          <w:rFonts w:eastAsia="宋体"/>
          <w:b/>
          <w:bCs/>
          <w:sz w:val="28"/>
          <w:szCs w:val="28"/>
          <w:lang w:eastAsia="zh-CN"/>
        </w:rPr>
      </w:pPr>
    </w:p>
    <w:p w14:paraId="3EA52B0C">
      <w:pPr>
        <w:pStyle w:val="19"/>
        <w:ind w:firstLine="562"/>
        <w:rPr>
          <w:rFonts w:eastAsia="宋体"/>
          <w:b/>
          <w:bCs/>
          <w:sz w:val="28"/>
          <w:szCs w:val="28"/>
          <w:lang w:eastAsia="zh-CN"/>
        </w:rPr>
      </w:pPr>
    </w:p>
    <w:p w14:paraId="14354938">
      <w:pPr>
        <w:pStyle w:val="19"/>
        <w:ind w:firstLine="562"/>
        <w:rPr>
          <w:rFonts w:eastAsia="宋体"/>
          <w:b/>
          <w:bCs/>
          <w:sz w:val="28"/>
          <w:szCs w:val="28"/>
          <w:lang w:eastAsia="zh-CN"/>
        </w:rPr>
      </w:pPr>
    </w:p>
    <w:p w14:paraId="5EC0B5F8">
      <w:pPr>
        <w:pStyle w:val="19"/>
        <w:ind w:firstLine="562"/>
        <w:rPr>
          <w:rFonts w:eastAsia="宋体"/>
          <w:b/>
          <w:bCs/>
          <w:sz w:val="28"/>
          <w:szCs w:val="28"/>
          <w:lang w:eastAsia="zh-CN"/>
        </w:rPr>
      </w:pPr>
    </w:p>
    <w:p w14:paraId="5BB604F0">
      <w:pPr>
        <w:pStyle w:val="19"/>
        <w:ind w:firstLine="562"/>
        <w:rPr>
          <w:rFonts w:eastAsia="宋体"/>
          <w:b/>
          <w:bCs/>
          <w:sz w:val="28"/>
          <w:szCs w:val="28"/>
          <w:lang w:eastAsia="zh-CN"/>
        </w:rPr>
      </w:pPr>
    </w:p>
    <w:p w14:paraId="362574BB">
      <w:pPr>
        <w:pStyle w:val="19"/>
        <w:ind w:firstLine="562"/>
        <w:rPr>
          <w:rFonts w:eastAsia="宋体"/>
          <w:b/>
          <w:bCs/>
          <w:sz w:val="28"/>
          <w:szCs w:val="28"/>
          <w:lang w:eastAsia="zh-CN"/>
        </w:rPr>
      </w:pPr>
    </w:p>
    <w:p w14:paraId="627A1DBC">
      <w:pPr>
        <w:pStyle w:val="19"/>
        <w:ind w:firstLine="562"/>
        <w:rPr>
          <w:rFonts w:eastAsia="宋体"/>
          <w:b/>
          <w:bCs/>
          <w:sz w:val="28"/>
          <w:szCs w:val="28"/>
          <w:lang w:eastAsia="zh-CN"/>
        </w:rPr>
      </w:pPr>
    </w:p>
    <w:p w14:paraId="6CCB0609">
      <w:pPr>
        <w:pStyle w:val="19"/>
        <w:ind w:firstLine="562"/>
        <w:rPr>
          <w:rFonts w:eastAsia="宋体"/>
          <w:b/>
          <w:bCs/>
          <w:sz w:val="28"/>
          <w:szCs w:val="28"/>
          <w:lang w:eastAsia="zh-CN"/>
        </w:rPr>
      </w:pPr>
    </w:p>
    <w:p w14:paraId="3D61F89D">
      <w:pPr>
        <w:pStyle w:val="19"/>
        <w:ind w:firstLine="562"/>
        <w:rPr>
          <w:rFonts w:eastAsia="宋体"/>
          <w:b/>
          <w:bCs/>
          <w:sz w:val="28"/>
          <w:szCs w:val="28"/>
          <w:lang w:eastAsia="zh-CN"/>
        </w:rPr>
      </w:pPr>
    </w:p>
    <w:p w14:paraId="14D5520F">
      <w:pPr>
        <w:pStyle w:val="19"/>
        <w:ind w:firstLine="562"/>
        <w:rPr>
          <w:rFonts w:eastAsia="宋体"/>
          <w:b/>
          <w:bCs/>
          <w:sz w:val="28"/>
          <w:szCs w:val="28"/>
          <w:lang w:eastAsia="zh-CN"/>
        </w:rPr>
      </w:pPr>
    </w:p>
    <w:p w14:paraId="4B214E16">
      <w:pPr>
        <w:pStyle w:val="19"/>
        <w:ind w:firstLine="562"/>
        <w:rPr>
          <w:rFonts w:eastAsia="宋体"/>
          <w:b/>
          <w:bCs/>
          <w:sz w:val="28"/>
          <w:szCs w:val="28"/>
          <w:lang w:eastAsia="zh-CN"/>
        </w:rPr>
      </w:pPr>
    </w:p>
    <w:p w14:paraId="3473D2FB">
      <w:pPr>
        <w:pStyle w:val="19"/>
        <w:ind w:firstLine="562"/>
        <w:rPr>
          <w:rFonts w:eastAsia="宋体"/>
          <w:b/>
          <w:bCs/>
          <w:sz w:val="28"/>
          <w:szCs w:val="28"/>
          <w:lang w:eastAsia="zh-CN"/>
        </w:rPr>
      </w:pPr>
    </w:p>
    <w:p w14:paraId="2D766654">
      <w:pPr>
        <w:pStyle w:val="19"/>
        <w:ind w:firstLine="562"/>
        <w:rPr>
          <w:rFonts w:eastAsia="宋体"/>
          <w:b/>
          <w:bCs/>
          <w:sz w:val="28"/>
          <w:szCs w:val="28"/>
          <w:lang w:eastAsia="zh-CN"/>
        </w:rPr>
      </w:pPr>
    </w:p>
    <w:p w14:paraId="1D448178">
      <w:pPr>
        <w:pStyle w:val="19"/>
        <w:ind w:firstLine="562"/>
        <w:rPr>
          <w:rFonts w:eastAsia="宋体"/>
          <w:b/>
          <w:bCs/>
          <w:sz w:val="28"/>
          <w:szCs w:val="28"/>
          <w:lang w:eastAsia="zh-CN"/>
        </w:rPr>
      </w:pPr>
    </w:p>
    <w:p w14:paraId="183E3176">
      <w:pPr>
        <w:pStyle w:val="35"/>
        <w:spacing w:before="4800" w:after="0"/>
        <w:ind w:firstLine="883" w:firstLineChars="200"/>
        <w:rPr>
          <w:b/>
          <w:bCs/>
          <w:sz w:val="44"/>
          <w:szCs w:val="44"/>
        </w:rPr>
      </w:pPr>
    </w:p>
    <w:p w14:paraId="6EC7FF9D">
      <w:pPr>
        <w:pStyle w:val="35"/>
        <w:spacing w:before="4800" w:after="0"/>
        <w:ind w:firstLine="883" w:firstLineChars="200"/>
        <w:rPr>
          <w:b/>
          <w:bCs/>
          <w:sz w:val="44"/>
          <w:szCs w:val="44"/>
        </w:rPr>
      </w:pPr>
      <w:r>
        <w:rPr>
          <w:b/>
          <w:bCs/>
          <w:sz w:val="44"/>
          <w:szCs w:val="44"/>
        </w:rPr>
        <w:t>第七章质疑、投诉材料格式</w:t>
      </w:r>
    </w:p>
    <w:p w14:paraId="0DA0F739">
      <w:pPr>
        <w:pStyle w:val="41"/>
        <w:keepNext/>
        <w:keepLines/>
        <w:spacing w:after="0"/>
        <w:ind w:firstLine="643" w:firstLineChars="200"/>
        <w:rPr>
          <w:b/>
          <w:bCs/>
          <w:sz w:val="32"/>
          <w:szCs w:val="32"/>
        </w:rPr>
      </w:pPr>
      <w:bookmarkStart w:id="382" w:name="bookmark524"/>
      <w:bookmarkStart w:id="383" w:name="bookmark525"/>
      <w:bookmarkStart w:id="384" w:name="bookmark523"/>
      <w:r>
        <w:rPr>
          <w:b/>
          <w:bCs/>
          <w:sz w:val="32"/>
          <w:szCs w:val="32"/>
        </w:rPr>
        <w:t>质疑函（格式）</w:t>
      </w:r>
      <w:bookmarkEnd w:id="382"/>
      <w:bookmarkEnd w:id="383"/>
      <w:bookmarkEnd w:id="384"/>
    </w:p>
    <w:p w14:paraId="3DAC5EAF">
      <w:pPr>
        <w:pStyle w:val="37"/>
        <w:tabs>
          <w:tab w:val="left" w:pos="530"/>
        </w:tabs>
        <w:spacing w:line="455" w:lineRule="exact"/>
        <w:ind w:firstLine="422" w:firstLineChars="200"/>
        <w:rPr>
          <w:b/>
          <w:bCs/>
          <w:sz w:val="21"/>
          <w:szCs w:val="21"/>
        </w:rPr>
      </w:pPr>
      <w:bookmarkStart w:id="385" w:name="bookmark526"/>
      <w:r>
        <w:rPr>
          <w:b/>
          <w:bCs/>
          <w:sz w:val="21"/>
          <w:szCs w:val="21"/>
          <w:lang w:val="en-US" w:eastAsia="zh-CN" w:bidi="en-US"/>
        </w:rPr>
        <w:t>一</w:t>
      </w:r>
      <w:bookmarkEnd w:id="385"/>
      <w:r>
        <w:rPr>
          <w:b/>
          <w:bCs/>
          <w:sz w:val="21"/>
          <w:szCs w:val="21"/>
        </w:rPr>
        <w:t>、</w:t>
      </w:r>
      <w:r>
        <w:rPr>
          <w:b/>
          <w:bCs/>
          <w:sz w:val="21"/>
          <w:szCs w:val="21"/>
        </w:rPr>
        <w:tab/>
      </w:r>
      <w:r>
        <w:rPr>
          <w:rFonts w:hint="eastAsia"/>
          <w:b/>
          <w:bCs/>
          <w:sz w:val="21"/>
          <w:szCs w:val="21"/>
          <w:lang w:eastAsia="zh-CN"/>
        </w:rPr>
        <w:t>质疑</w:t>
      </w:r>
      <w:r>
        <w:rPr>
          <w:b/>
          <w:bCs/>
          <w:sz w:val="21"/>
          <w:szCs w:val="21"/>
        </w:rPr>
        <w:t>供应商基本信息：</w:t>
      </w:r>
    </w:p>
    <w:p w14:paraId="5256231E">
      <w:pPr>
        <w:pStyle w:val="37"/>
        <w:tabs>
          <w:tab w:val="left" w:pos="6105"/>
        </w:tabs>
        <w:spacing w:line="455" w:lineRule="exact"/>
        <w:ind w:firstLine="420" w:firstLineChars="200"/>
        <w:rPr>
          <w:sz w:val="21"/>
          <w:szCs w:val="21"/>
        </w:rPr>
      </w:pPr>
      <w:r>
        <w:rPr>
          <w:sz w:val="21"/>
          <w:szCs w:val="21"/>
        </w:rPr>
        <w:t>质疑供应商：</w:t>
      </w:r>
      <w:r>
        <w:rPr>
          <w:sz w:val="21"/>
          <w:szCs w:val="21"/>
          <w:u w:val="single"/>
        </w:rPr>
        <w:t xml:space="preserve"> </w:t>
      </w:r>
      <w:r>
        <w:rPr>
          <w:sz w:val="21"/>
          <w:szCs w:val="21"/>
          <w:u w:val="single"/>
        </w:rPr>
        <w:tab/>
      </w:r>
    </w:p>
    <w:p w14:paraId="0E0F2533">
      <w:pPr>
        <w:pStyle w:val="37"/>
        <w:tabs>
          <w:tab w:val="left" w:pos="5745"/>
          <w:tab w:val="left" w:pos="8625"/>
        </w:tabs>
        <w:spacing w:line="455" w:lineRule="exact"/>
        <w:ind w:firstLine="420" w:firstLineChars="200"/>
        <w:rPr>
          <w:sz w:val="21"/>
          <w:szCs w:val="21"/>
        </w:rPr>
      </w:pPr>
      <w:r>
        <w:rPr>
          <w:sz w:val="21"/>
          <w:szCs w:val="21"/>
        </w:rPr>
        <w:t>地址：</w:t>
      </w:r>
      <w:r>
        <w:rPr>
          <w:sz w:val="21"/>
          <w:szCs w:val="21"/>
          <w:u w:val="single"/>
        </w:rPr>
        <w:t xml:space="preserve"> </w:t>
      </w:r>
      <w:r>
        <w:rPr>
          <w:sz w:val="21"/>
          <w:szCs w:val="21"/>
          <w:u w:val="single"/>
        </w:rPr>
        <w:tab/>
      </w:r>
      <w:r>
        <w:rPr>
          <w:sz w:val="21"/>
          <w:szCs w:val="21"/>
        </w:rPr>
        <w:t>邮编：</w:t>
      </w:r>
      <w:r>
        <w:rPr>
          <w:sz w:val="21"/>
          <w:szCs w:val="21"/>
          <w:u w:val="single"/>
        </w:rPr>
        <w:t xml:space="preserve"> </w:t>
      </w:r>
      <w:r>
        <w:rPr>
          <w:sz w:val="21"/>
          <w:szCs w:val="21"/>
          <w:u w:val="single"/>
        </w:rPr>
        <w:tab/>
      </w:r>
    </w:p>
    <w:p w14:paraId="435CE1E3">
      <w:pPr>
        <w:pStyle w:val="37"/>
        <w:tabs>
          <w:tab w:val="left" w:pos="3465"/>
          <w:tab w:val="left" w:pos="6705"/>
        </w:tabs>
        <w:spacing w:line="455" w:lineRule="exact"/>
        <w:ind w:firstLine="420" w:firstLineChars="200"/>
        <w:rPr>
          <w:sz w:val="21"/>
          <w:szCs w:val="21"/>
        </w:rPr>
      </w:pPr>
      <w:r>
        <w:rPr>
          <w:sz w:val="21"/>
          <w:szCs w:val="21"/>
          <w:lang w:val="zh-CN" w:eastAsia="zh-CN" w:bidi="zh-CN"/>
        </w:rPr>
        <w:t>联系人</w:t>
      </w:r>
      <w:r>
        <w:rPr>
          <w:sz w:val="21"/>
          <w:szCs w:val="21"/>
          <w:u w:val="single"/>
        </w:rPr>
        <w:t xml:space="preserve"> </w:t>
      </w:r>
      <w:r>
        <w:rPr>
          <w:sz w:val="21"/>
          <w:szCs w:val="21"/>
          <w:u w:val="single"/>
        </w:rPr>
        <w:tab/>
      </w:r>
      <w:r>
        <w:rPr>
          <w:sz w:val="21"/>
          <w:szCs w:val="21"/>
        </w:rPr>
        <w:t>联系电话：</w:t>
      </w:r>
      <w:r>
        <w:rPr>
          <w:sz w:val="21"/>
          <w:szCs w:val="21"/>
          <w:u w:val="single"/>
        </w:rPr>
        <w:t xml:space="preserve"> </w:t>
      </w:r>
      <w:r>
        <w:rPr>
          <w:sz w:val="21"/>
          <w:szCs w:val="21"/>
          <w:u w:val="single"/>
        </w:rPr>
        <w:tab/>
      </w:r>
    </w:p>
    <w:p w14:paraId="7898B505">
      <w:pPr>
        <w:pStyle w:val="37"/>
        <w:tabs>
          <w:tab w:val="left" w:pos="3825"/>
        </w:tabs>
        <w:spacing w:line="455" w:lineRule="exact"/>
        <w:ind w:firstLine="420" w:firstLineChars="200"/>
        <w:rPr>
          <w:sz w:val="21"/>
          <w:szCs w:val="21"/>
        </w:rPr>
      </w:pPr>
      <w:r>
        <w:rPr>
          <w:sz w:val="21"/>
          <w:szCs w:val="21"/>
        </w:rPr>
        <w:t>授权代表：</w:t>
      </w:r>
      <w:r>
        <w:rPr>
          <w:sz w:val="21"/>
          <w:szCs w:val="21"/>
          <w:u w:val="single"/>
        </w:rPr>
        <w:t xml:space="preserve"> </w:t>
      </w:r>
      <w:r>
        <w:rPr>
          <w:sz w:val="21"/>
          <w:szCs w:val="21"/>
          <w:u w:val="single"/>
        </w:rPr>
        <w:tab/>
      </w:r>
    </w:p>
    <w:p w14:paraId="748E3E0E">
      <w:pPr>
        <w:pStyle w:val="37"/>
        <w:tabs>
          <w:tab w:val="left" w:pos="3825"/>
        </w:tabs>
        <w:spacing w:line="455" w:lineRule="exact"/>
        <w:ind w:firstLine="420" w:firstLineChars="200"/>
        <w:rPr>
          <w:sz w:val="21"/>
          <w:szCs w:val="21"/>
        </w:rPr>
      </w:pPr>
      <w:r>
        <w:rPr>
          <w:sz w:val="21"/>
          <w:szCs w:val="21"/>
        </w:rPr>
        <w:t>联系电话：</w:t>
      </w:r>
      <w:r>
        <w:rPr>
          <w:sz w:val="21"/>
          <w:szCs w:val="21"/>
          <w:u w:val="single"/>
        </w:rPr>
        <w:t xml:space="preserve"> </w:t>
      </w:r>
      <w:r>
        <w:rPr>
          <w:sz w:val="21"/>
          <w:szCs w:val="21"/>
          <w:u w:val="single"/>
        </w:rPr>
        <w:tab/>
      </w:r>
    </w:p>
    <w:p w14:paraId="097B28B4">
      <w:pPr>
        <w:pStyle w:val="37"/>
        <w:tabs>
          <w:tab w:val="left" w:pos="2745"/>
          <w:tab w:val="left" w:pos="5625"/>
        </w:tabs>
        <w:spacing w:after="180" w:line="455" w:lineRule="exact"/>
        <w:ind w:firstLine="420" w:firstLineChars="200"/>
        <w:rPr>
          <w:sz w:val="21"/>
          <w:szCs w:val="21"/>
        </w:rPr>
      </w:pPr>
      <w:r>
        <w:rPr>
          <w:sz w:val="21"/>
          <w:szCs w:val="21"/>
        </w:rPr>
        <w:t>地址：</w:t>
      </w:r>
      <w:r>
        <w:rPr>
          <w:sz w:val="21"/>
          <w:szCs w:val="21"/>
          <w:u w:val="single"/>
        </w:rPr>
        <w:t xml:space="preserve"> </w:t>
      </w:r>
      <w:r>
        <w:rPr>
          <w:sz w:val="21"/>
          <w:szCs w:val="21"/>
          <w:u w:val="single"/>
        </w:rPr>
        <w:tab/>
      </w:r>
      <w:r>
        <w:rPr>
          <w:sz w:val="21"/>
          <w:szCs w:val="21"/>
        </w:rPr>
        <w:t>邮编：</w:t>
      </w:r>
      <w:r>
        <w:rPr>
          <w:sz w:val="21"/>
          <w:szCs w:val="21"/>
          <w:u w:val="single"/>
        </w:rPr>
        <w:t xml:space="preserve"> </w:t>
      </w:r>
      <w:r>
        <w:rPr>
          <w:sz w:val="21"/>
          <w:szCs w:val="21"/>
          <w:u w:val="single"/>
        </w:rPr>
        <w:tab/>
      </w:r>
    </w:p>
    <w:p w14:paraId="2A911358">
      <w:pPr>
        <w:pStyle w:val="41"/>
        <w:keepNext/>
        <w:keepLines/>
        <w:tabs>
          <w:tab w:val="left" w:pos="530"/>
        </w:tabs>
        <w:spacing w:after="0"/>
        <w:ind w:firstLine="422" w:firstLineChars="200"/>
        <w:jc w:val="left"/>
        <w:rPr>
          <w:b/>
          <w:bCs/>
          <w:sz w:val="32"/>
          <w:szCs w:val="32"/>
          <w:lang w:eastAsia="zh-CN"/>
        </w:rPr>
      </w:pPr>
      <w:bookmarkStart w:id="386" w:name="bookmark529"/>
      <w:bookmarkStart w:id="387" w:name="bookmark528"/>
      <w:bookmarkStart w:id="388" w:name="bookmark530"/>
      <w:bookmarkStart w:id="389" w:name="bookmark527"/>
      <w:r>
        <w:rPr>
          <w:b/>
          <w:bCs/>
          <w:sz w:val="21"/>
          <w:szCs w:val="21"/>
        </w:rPr>
        <w:t>二</w:t>
      </w:r>
      <w:bookmarkEnd w:id="386"/>
      <w:r>
        <w:rPr>
          <w:b/>
          <w:bCs/>
          <w:sz w:val="21"/>
          <w:szCs w:val="21"/>
        </w:rPr>
        <w:t>、</w:t>
      </w:r>
      <w:bookmarkEnd w:id="387"/>
      <w:bookmarkEnd w:id="388"/>
      <w:bookmarkEnd w:id="389"/>
      <w:r>
        <w:rPr>
          <w:rFonts w:hint="eastAsia"/>
          <w:b/>
          <w:bCs/>
          <w:sz w:val="21"/>
          <w:szCs w:val="21"/>
          <w:lang w:eastAsia="zh-CN"/>
        </w:rPr>
        <w:t>质疑项目基本情况：</w:t>
      </w:r>
    </w:p>
    <w:p w14:paraId="5E3E47AC">
      <w:pPr>
        <w:pStyle w:val="37"/>
        <w:tabs>
          <w:tab w:val="left" w:pos="6345"/>
        </w:tabs>
        <w:spacing w:line="455" w:lineRule="exact"/>
        <w:ind w:firstLine="420" w:firstLineChars="200"/>
        <w:rPr>
          <w:sz w:val="21"/>
          <w:szCs w:val="21"/>
        </w:rPr>
      </w:pPr>
      <w:r>
        <w:rPr>
          <w:sz w:val="21"/>
          <w:szCs w:val="21"/>
        </w:rPr>
        <w:t>质疑项目的名称：</w:t>
      </w:r>
      <w:r>
        <w:rPr>
          <w:sz w:val="21"/>
          <w:szCs w:val="21"/>
          <w:u w:val="single"/>
        </w:rPr>
        <w:t xml:space="preserve"> </w:t>
      </w:r>
      <w:r>
        <w:rPr>
          <w:sz w:val="21"/>
          <w:szCs w:val="21"/>
          <w:u w:val="single"/>
        </w:rPr>
        <w:tab/>
      </w:r>
    </w:p>
    <w:p w14:paraId="6C32480A">
      <w:pPr>
        <w:pStyle w:val="37"/>
        <w:tabs>
          <w:tab w:val="left" w:pos="6345"/>
        </w:tabs>
        <w:spacing w:line="455" w:lineRule="exact"/>
        <w:ind w:firstLine="420" w:firstLineChars="200"/>
        <w:rPr>
          <w:sz w:val="21"/>
          <w:szCs w:val="21"/>
        </w:rPr>
      </w:pPr>
      <w:r>
        <w:rPr>
          <w:sz w:val="21"/>
          <w:szCs w:val="21"/>
        </w:rPr>
        <w:t>质疑项目的编号：</w:t>
      </w:r>
      <w:r>
        <w:rPr>
          <w:sz w:val="21"/>
          <w:szCs w:val="21"/>
          <w:u w:val="single"/>
        </w:rPr>
        <w:t xml:space="preserve"> </w:t>
      </w:r>
      <w:r>
        <w:rPr>
          <w:sz w:val="21"/>
          <w:szCs w:val="21"/>
          <w:u w:val="single"/>
        </w:rPr>
        <w:tab/>
      </w:r>
    </w:p>
    <w:p w14:paraId="67DFF643">
      <w:pPr>
        <w:pStyle w:val="37"/>
        <w:tabs>
          <w:tab w:val="left" w:pos="6345"/>
        </w:tabs>
        <w:spacing w:line="455" w:lineRule="exact"/>
        <w:ind w:firstLine="420" w:firstLineChars="200"/>
        <w:rPr>
          <w:sz w:val="21"/>
          <w:szCs w:val="21"/>
        </w:rPr>
      </w:pPr>
      <w:r>
        <w:rPr>
          <w:sz w:val="21"/>
          <w:szCs w:val="21"/>
        </w:rPr>
        <w:t>釆购人名称：</w:t>
      </w:r>
      <w:r>
        <w:rPr>
          <w:sz w:val="21"/>
          <w:szCs w:val="21"/>
          <w:u w:val="single"/>
        </w:rPr>
        <w:t xml:space="preserve"> </w:t>
      </w:r>
      <w:r>
        <w:rPr>
          <w:sz w:val="21"/>
          <w:szCs w:val="21"/>
          <w:u w:val="single"/>
        </w:rPr>
        <w:tab/>
      </w:r>
    </w:p>
    <w:p w14:paraId="26099F01">
      <w:pPr>
        <w:pStyle w:val="37"/>
        <w:spacing w:line="455" w:lineRule="exact"/>
        <w:ind w:firstLine="420" w:firstLineChars="200"/>
        <w:rPr>
          <w:sz w:val="21"/>
          <w:szCs w:val="21"/>
        </w:rPr>
      </w:pPr>
      <w:r>
        <w:rPr>
          <w:sz w:val="21"/>
          <w:szCs w:val="21"/>
        </w:rPr>
        <w:t>质疑事项：</w:t>
      </w:r>
    </w:p>
    <w:p w14:paraId="7212AD04">
      <w:pPr>
        <w:pStyle w:val="37"/>
        <w:tabs>
          <w:tab w:val="left" w:pos="7890"/>
        </w:tabs>
        <w:spacing w:line="455" w:lineRule="exact"/>
        <w:ind w:firstLine="420" w:firstLineChars="200"/>
        <w:rPr>
          <w:sz w:val="21"/>
          <w:szCs w:val="21"/>
        </w:rPr>
      </w:pPr>
      <w:r>
        <w:rPr>
          <w:sz w:val="21"/>
          <w:szCs w:val="21"/>
        </w:rPr>
        <w:t>口釆购文件 釆购文件获取日期：</w:t>
      </w:r>
      <w:r>
        <w:rPr>
          <w:sz w:val="21"/>
          <w:szCs w:val="21"/>
          <w:u w:val="single"/>
        </w:rPr>
        <w:t xml:space="preserve"> </w:t>
      </w:r>
      <w:r>
        <w:rPr>
          <w:sz w:val="21"/>
          <w:szCs w:val="21"/>
          <w:u w:val="single"/>
        </w:rPr>
        <w:tab/>
      </w:r>
    </w:p>
    <w:p w14:paraId="6D0EF527">
      <w:pPr>
        <w:pStyle w:val="37"/>
        <w:spacing w:line="455" w:lineRule="exact"/>
        <w:ind w:firstLine="420" w:firstLineChars="200"/>
        <w:rPr>
          <w:sz w:val="21"/>
          <w:szCs w:val="21"/>
        </w:rPr>
      </w:pPr>
      <w:r>
        <w:rPr>
          <w:sz w:val="21"/>
          <w:szCs w:val="21"/>
        </w:rPr>
        <w:t>口釆购过程</w:t>
      </w:r>
    </w:p>
    <w:p w14:paraId="33B420C3">
      <w:pPr>
        <w:pStyle w:val="37"/>
        <w:spacing w:line="455" w:lineRule="exact"/>
        <w:ind w:firstLine="420" w:firstLineChars="200"/>
        <w:rPr>
          <w:sz w:val="21"/>
          <w:szCs w:val="21"/>
        </w:rPr>
      </w:pPr>
      <w:r>
        <w:rPr>
          <w:sz w:val="21"/>
          <w:szCs w:val="21"/>
        </w:rPr>
        <w:t>口成交结果</w:t>
      </w:r>
    </w:p>
    <w:p w14:paraId="42C86A1D">
      <w:pPr>
        <w:pStyle w:val="37"/>
        <w:tabs>
          <w:tab w:val="left" w:pos="530"/>
        </w:tabs>
        <w:spacing w:line="455" w:lineRule="exact"/>
        <w:ind w:firstLine="422" w:firstLineChars="200"/>
        <w:rPr>
          <w:b/>
          <w:bCs/>
          <w:sz w:val="21"/>
          <w:szCs w:val="21"/>
        </w:rPr>
      </w:pPr>
      <w:bookmarkStart w:id="390" w:name="bookmark531"/>
      <w:r>
        <w:rPr>
          <w:b/>
          <w:bCs/>
          <w:sz w:val="21"/>
          <w:szCs w:val="21"/>
        </w:rPr>
        <w:t>三</w:t>
      </w:r>
      <w:bookmarkEnd w:id="390"/>
      <w:r>
        <w:rPr>
          <w:b/>
          <w:bCs/>
          <w:sz w:val="21"/>
          <w:szCs w:val="21"/>
        </w:rPr>
        <w:t>、</w:t>
      </w:r>
      <w:r>
        <w:rPr>
          <w:b/>
          <w:bCs/>
          <w:sz w:val="21"/>
          <w:szCs w:val="21"/>
        </w:rPr>
        <w:tab/>
      </w:r>
      <w:r>
        <w:rPr>
          <w:b/>
          <w:bCs/>
          <w:sz w:val="21"/>
          <w:szCs w:val="21"/>
        </w:rPr>
        <w:t>质疑事项具体内容</w:t>
      </w:r>
    </w:p>
    <w:p w14:paraId="27349A4A">
      <w:pPr>
        <w:pStyle w:val="37"/>
        <w:tabs>
          <w:tab w:val="left" w:pos="9120"/>
        </w:tabs>
        <w:spacing w:line="455" w:lineRule="exact"/>
        <w:ind w:firstLine="420" w:firstLineChars="200"/>
        <w:rPr>
          <w:sz w:val="21"/>
          <w:szCs w:val="21"/>
        </w:rPr>
      </w:pPr>
      <w:r>
        <w:rPr>
          <w:sz w:val="21"/>
          <w:szCs w:val="21"/>
        </w:rPr>
        <w:t>质疑事项1:</w:t>
      </w:r>
      <w:r>
        <w:rPr>
          <w:sz w:val="21"/>
          <w:szCs w:val="21"/>
          <w:u w:val="single"/>
        </w:rPr>
        <w:t xml:space="preserve"> </w:t>
      </w:r>
      <w:r>
        <w:rPr>
          <w:sz w:val="21"/>
          <w:szCs w:val="21"/>
          <w:u w:val="single"/>
        </w:rPr>
        <w:tab/>
      </w:r>
      <w:r>
        <w:rPr>
          <w:sz w:val="21"/>
          <w:szCs w:val="21"/>
        </w:rPr>
        <w:t xml:space="preserve"> </w:t>
      </w:r>
    </w:p>
    <w:p w14:paraId="69B57FA9">
      <w:pPr>
        <w:pStyle w:val="37"/>
        <w:tabs>
          <w:tab w:val="left" w:pos="9120"/>
        </w:tabs>
        <w:spacing w:line="455" w:lineRule="exact"/>
        <w:ind w:firstLine="420" w:firstLineChars="200"/>
        <w:rPr>
          <w:sz w:val="21"/>
          <w:szCs w:val="21"/>
        </w:rPr>
      </w:pPr>
      <w:r>
        <w:rPr>
          <w:sz w:val="21"/>
          <w:szCs w:val="21"/>
        </w:rPr>
        <w:t>事实依据：</w:t>
      </w:r>
      <w:r>
        <w:rPr>
          <w:sz w:val="21"/>
          <w:szCs w:val="21"/>
          <w:u w:val="single"/>
        </w:rPr>
        <w:t xml:space="preserve"> </w:t>
      </w:r>
      <w:r>
        <w:rPr>
          <w:sz w:val="21"/>
          <w:szCs w:val="21"/>
          <w:u w:val="single"/>
        </w:rPr>
        <w:tab/>
      </w:r>
      <w:r>
        <w:rPr>
          <w:sz w:val="21"/>
          <w:szCs w:val="21"/>
        </w:rPr>
        <w:t xml:space="preserve"> </w:t>
      </w:r>
    </w:p>
    <w:p w14:paraId="292F45A9">
      <w:pPr>
        <w:pStyle w:val="37"/>
        <w:tabs>
          <w:tab w:val="left" w:pos="9120"/>
        </w:tabs>
        <w:spacing w:line="455" w:lineRule="exact"/>
        <w:ind w:firstLine="420" w:firstLineChars="200"/>
        <w:rPr>
          <w:sz w:val="21"/>
          <w:szCs w:val="21"/>
        </w:rPr>
      </w:pPr>
      <w:r>
        <w:rPr>
          <w:sz w:val="21"/>
          <w:szCs w:val="21"/>
        </w:rPr>
        <w:t>法律依据：</w:t>
      </w:r>
      <w:r>
        <w:rPr>
          <w:sz w:val="21"/>
          <w:szCs w:val="21"/>
          <w:u w:val="single"/>
        </w:rPr>
        <w:t xml:space="preserve"> </w:t>
      </w:r>
      <w:r>
        <w:rPr>
          <w:sz w:val="21"/>
          <w:szCs w:val="21"/>
          <w:u w:val="single"/>
        </w:rPr>
        <w:tab/>
      </w:r>
      <w:r>
        <w:rPr>
          <w:sz w:val="21"/>
          <w:szCs w:val="21"/>
        </w:rPr>
        <w:t xml:space="preserve"> </w:t>
      </w:r>
    </w:p>
    <w:p w14:paraId="164906F5">
      <w:pPr>
        <w:pStyle w:val="37"/>
        <w:tabs>
          <w:tab w:val="left" w:pos="9120"/>
        </w:tabs>
        <w:spacing w:line="455" w:lineRule="exact"/>
        <w:ind w:firstLine="420" w:firstLineChars="200"/>
        <w:rPr>
          <w:sz w:val="21"/>
          <w:szCs w:val="21"/>
        </w:rPr>
      </w:pPr>
      <w:r>
        <w:rPr>
          <w:sz w:val="21"/>
          <w:szCs w:val="21"/>
        </w:rPr>
        <w:t>质疑事项2</w:t>
      </w:r>
    </w:p>
    <w:p w14:paraId="573A43C7">
      <w:pPr>
        <w:pStyle w:val="37"/>
        <w:tabs>
          <w:tab w:val="left" w:pos="9120"/>
        </w:tabs>
        <w:spacing w:line="455" w:lineRule="exact"/>
        <w:ind w:firstLine="420" w:firstLineChars="200"/>
        <w:rPr>
          <w:sz w:val="21"/>
          <w:szCs w:val="21"/>
          <w:lang w:val="en-US" w:eastAsia="zh-CN"/>
        </w:rPr>
      </w:pPr>
      <w:r>
        <w:rPr>
          <w:rFonts w:hint="eastAsia"/>
          <w:sz w:val="21"/>
          <w:szCs w:val="21"/>
          <w:lang w:val="en-US" w:eastAsia="zh-CN"/>
        </w:rPr>
        <w:t>.....</w:t>
      </w:r>
    </w:p>
    <w:p w14:paraId="1EF347DB">
      <w:pPr>
        <w:pStyle w:val="37"/>
        <w:tabs>
          <w:tab w:val="left" w:pos="530"/>
        </w:tabs>
        <w:spacing w:line="455" w:lineRule="exact"/>
        <w:ind w:firstLine="422" w:firstLineChars="200"/>
        <w:rPr>
          <w:b/>
          <w:bCs/>
          <w:sz w:val="21"/>
          <w:szCs w:val="21"/>
        </w:rPr>
      </w:pPr>
      <w:bookmarkStart w:id="391" w:name="bookmark532"/>
      <w:r>
        <w:rPr>
          <w:b/>
          <w:bCs/>
          <w:sz w:val="21"/>
          <w:szCs w:val="21"/>
        </w:rPr>
        <w:t>四</w:t>
      </w:r>
      <w:bookmarkEnd w:id="391"/>
      <w:r>
        <w:rPr>
          <w:b/>
          <w:bCs/>
          <w:sz w:val="21"/>
          <w:szCs w:val="21"/>
        </w:rPr>
        <w:t>、</w:t>
      </w:r>
      <w:r>
        <w:rPr>
          <w:b/>
          <w:bCs/>
          <w:sz w:val="21"/>
          <w:szCs w:val="21"/>
        </w:rPr>
        <w:tab/>
      </w:r>
      <w:r>
        <w:rPr>
          <w:b/>
          <w:bCs/>
          <w:sz w:val="21"/>
          <w:szCs w:val="21"/>
        </w:rPr>
        <w:t>与质疑事项相关的质疑请求：</w:t>
      </w:r>
    </w:p>
    <w:p w14:paraId="043D6275">
      <w:pPr>
        <w:pStyle w:val="37"/>
        <w:tabs>
          <w:tab w:val="left" w:pos="8385"/>
        </w:tabs>
        <w:spacing w:after="440" w:line="455" w:lineRule="exact"/>
        <w:ind w:firstLine="420" w:firstLineChars="200"/>
        <w:rPr>
          <w:sz w:val="21"/>
          <w:szCs w:val="21"/>
        </w:rPr>
      </w:pPr>
      <w:r>
        <w:rPr>
          <w:sz w:val="21"/>
          <w:szCs w:val="21"/>
        </w:rPr>
        <w:t>请求：</w:t>
      </w:r>
      <w:r>
        <w:rPr>
          <w:sz w:val="21"/>
          <w:szCs w:val="21"/>
          <w:u w:val="single"/>
        </w:rPr>
        <w:t xml:space="preserve"> </w:t>
      </w:r>
      <w:r>
        <w:rPr>
          <w:sz w:val="21"/>
          <w:szCs w:val="21"/>
          <w:u w:val="single"/>
        </w:rPr>
        <w:tab/>
      </w:r>
    </w:p>
    <w:p w14:paraId="1DDADEC5">
      <w:pPr>
        <w:pStyle w:val="37"/>
        <w:tabs>
          <w:tab w:val="left" w:pos="6330"/>
        </w:tabs>
        <w:spacing w:after="500" w:line="455" w:lineRule="exact"/>
        <w:ind w:firstLine="420" w:firstLineChars="200"/>
        <w:rPr>
          <w:sz w:val="21"/>
          <w:szCs w:val="21"/>
        </w:rPr>
      </w:pPr>
      <w:r>
        <w:rPr>
          <w:sz w:val="21"/>
          <w:szCs w:val="21"/>
        </w:rPr>
        <w:t>签字（签章）：</w:t>
      </w:r>
      <w:r>
        <w:rPr>
          <w:sz w:val="21"/>
          <w:szCs w:val="21"/>
        </w:rPr>
        <w:tab/>
      </w:r>
      <w:r>
        <w:rPr>
          <w:sz w:val="21"/>
          <w:szCs w:val="21"/>
        </w:rPr>
        <w:t>公章：</w:t>
      </w:r>
    </w:p>
    <w:p w14:paraId="71138C38">
      <w:pPr>
        <w:pStyle w:val="37"/>
        <w:spacing w:after="1120" w:line="455" w:lineRule="exact"/>
        <w:ind w:firstLine="420" w:firstLineChars="200"/>
        <w:rPr>
          <w:sz w:val="21"/>
          <w:szCs w:val="21"/>
        </w:rPr>
      </w:pPr>
      <w:r>
        <w:rPr>
          <w:sz w:val="21"/>
          <w:szCs w:val="21"/>
        </w:rPr>
        <w:t>日期：</w:t>
      </w:r>
    </w:p>
    <w:p w14:paraId="748EB4DA">
      <w:pPr>
        <w:pStyle w:val="37"/>
        <w:spacing w:line="240" w:lineRule="auto"/>
        <w:ind w:firstLine="422" w:firstLineChars="200"/>
        <w:rPr>
          <w:b/>
          <w:bCs/>
          <w:sz w:val="21"/>
          <w:szCs w:val="21"/>
        </w:rPr>
      </w:pPr>
      <w:r>
        <w:rPr>
          <w:b/>
          <w:bCs/>
          <w:sz w:val="21"/>
          <w:szCs w:val="21"/>
        </w:rPr>
        <w:t>说明:</w:t>
      </w:r>
    </w:p>
    <w:p w14:paraId="7CE35529">
      <w:pPr>
        <w:pStyle w:val="29"/>
        <w:numPr>
          <w:ilvl w:val="0"/>
          <w:numId w:val="29"/>
        </w:numPr>
        <w:tabs>
          <w:tab w:val="left" w:pos="715"/>
        </w:tabs>
        <w:spacing w:after="0" w:line="470" w:lineRule="exact"/>
        <w:ind w:firstLine="562" w:firstLineChars="200"/>
        <w:jc w:val="both"/>
        <w:rPr>
          <w:b/>
          <w:bCs/>
          <w:sz w:val="28"/>
          <w:szCs w:val="28"/>
        </w:rPr>
      </w:pPr>
      <w:bookmarkStart w:id="392" w:name="bookmark533"/>
      <w:bookmarkEnd w:id="392"/>
      <w:r>
        <w:rPr>
          <w:b/>
          <w:bCs/>
          <w:sz w:val="28"/>
          <w:szCs w:val="28"/>
        </w:rPr>
        <w:t>供应商提岀质疑时，应提交质疑函和必要的证明材料。</w:t>
      </w:r>
    </w:p>
    <w:p w14:paraId="48329994">
      <w:pPr>
        <w:pStyle w:val="29"/>
        <w:numPr>
          <w:ilvl w:val="0"/>
          <w:numId w:val="29"/>
        </w:numPr>
        <w:tabs>
          <w:tab w:val="left" w:pos="725"/>
        </w:tabs>
        <w:spacing w:after="0" w:line="470" w:lineRule="exact"/>
        <w:ind w:firstLine="562" w:firstLineChars="200"/>
        <w:jc w:val="both"/>
        <w:rPr>
          <w:b/>
          <w:bCs/>
          <w:sz w:val="28"/>
          <w:szCs w:val="28"/>
        </w:rPr>
      </w:pPr>
      <w:bookmarkStart w:id="393" w:name="bookmark534"/>
      <w:bookmarkEnd w:id="393"/>
      <w:r>
        <w:rPr>
          <w:b/>
          <w:bCs/>
          <w:sz w:val="28"/>
          <w:szCs w:val="28"/>
        </w:rPr>
        <w:t>质疑供应商若</w:t>
      </w:r>
      <w:r>
        <w:rPr>
          <w:rFonts w:hint="eastAsia"/>
          <w:b/>
          <w:bCs/>
          <w:sz w:val="28"/>
          <w:szCs w:val="28"/>
          <w:lang w:eastAsia="zh-CN"/>
        </w:rPr>
        <w:t>委托</w:t>
      </w:r>
      <w:r>
        <w:rPr>
          <w:b/>
          <w:bCs/>
          <w:sz w:val="28"/>
          <w:szCs w:val="28"/>
        </w:rPr>
        <w:t>代理人进行质疑的，质疑函应按要求列明</w:t>
      </w:r>
      <w:r>
        <w:rPr>
          <w:b/>
          <w:bCs/>
          <w:sz w:val="28"/>
          <w:szCs w:val="28"/>
          <w:lang w:val="zh-CN" w:eastAsia="zh-CN" w:bidi="zh-CN"/>
        </w:rPr>
        <w:t>“授权</w:t>
      </w:r>
      <w:r>
        <w:rPr>
          <w:b/>
          <w:bCs/>
          <w:sz w:val="28"/>
          <w:szCs w:val="28"/>
        </w:rPr>
        <w:t>代表”的有关内容, 并在附件中提交由质疑供应商签署的授权委托书。授</w:t>
      </w:r>
      <w:r>
        <w:rPr>
          <w:b/>
          <w:bCs/>
          <w:sz w:val="28"/>
          <w:szCs w:val="28"/>
          <w:lang w:val="zh-CN" w:eastAsia="zh-CN" w:bidi="zh-CN"/>
        </w:rPr>
        <w:t>权</w:t>
      </w:r>
      <w:r>
        <w:rPr>
          <w:rFonts w:hint="eastAsia"/>
          <w:b/>
          <w:bCs/>
          <w:sz w:val="28"/>
          <w:szCs w:val="28"/>
          <w:lang w:val="zh-CN" w:eastAsia="zh-CN" w:bidi="zh-CN"/>
        </w:rPr>
        <w:t>委托</w:t>
      </w:r>
      <w:r>
        <w:rPr>
          <w:b/>
          <w:bCs/>
          <w:sz w:val="28"/>
          <w:szCs w:val="28"/>
          <w:lang w:val="zh-CN" w:eastAsia="zh-CN" w:bidi="zh-CN"/>
        </w:rPr>
        <w:t>书</w:t>
      </w:r>
      <w:r>
        <w:rPr>
          <w:b/>
          <w:bCs/>
          <w:sz w:val="28"/>
          <w:szCs w:val="28"/>
        </w:rPr>
        <w:t>应载明代理人的姓名或者名称、代理事项、具体权限、期限和相关事项。</w:t>
      </w:r>
    </w:p>
    <w:p w14:paraId="532E1FF0">
      <w:pPr>
        <w:pStyle w:val="29"/>
        <w:numPr>
          <w:ilvl w:val="0"/>
          <w:numId w:val="29"/>
        </w:numPr>
        <w:tabs>
          <w:tab w:val="left" w:pos="730"/>
        </w:tabs>
        <w:spacing w:after="0" w:line="470" w:lineRule="exact"/>
        <w:ind w:firstLine="562" w:firstLineChars="200"/>
        <w:jc w:val="both"/>
        <w:rPr>
          <w:b/>
          <w:bCs/>
          <w:sz w:val="28"/>
          <w:szCs w:val="28"/>
        </w:rPr>
      </w:pPr>
      <w:bookmarkStart w:id="394" w:name="bookmark535"/>
      <w:bookmarkEnd w:id="394"/>
      <w:r>
        <w:rPr>
          <w:b/>
          <w:bCs/>
          <w:sz w:val="28"/>
          <w:szCs w:val="28"/>
        </w:rPr>
        <w:t>质疑函的质疑事项应具体、明确，并有必要的事实</w:t>
      </w:r>
      <w:r>
        <w:rPr>
          <w:rFonts w:hint="eastAsia"/>
          <w:b/>
          <w:bCs/>
          <w:sz w:val="28"/>
          <w:szCs w:val="28"/>
          <w:lang w:eastAsia="zh-CN"/>
        </w:rPr>
        <w:t>依据</w:t>
      </w:r>
      <w:r>
        <w:rPr>
          <w:b/>
          <w:bCs/>
          <w:sz w:val="28"/>
          <w:szCs w:val="28"/>
        </w:rPr>
        <w:t>和法律</w:t>
      </w:r>
      <w:r>
        <w:rPr>
          <w:rFonts w:hint="eastAsia"/>
          <w:b/>
          <w:bCs/>
          <w:sz w:val="28"/>
          <w:szCs w:val="28"/>
          <w:lang w:eastAsia="zh-CN"/>
        </w:rPr>
        <w:t>依据</w:t>
      </w:r>
      <w:r>
        <w:rPr>
          <w:b/>
          <w:bCs/>
          <w:sz w:val="28"/>
          <w:szCs w:val="28"/>
        </w:rPr>
        <w:t>。</w:t>
      </w:r>
    </w:p>
    <w:p w14:paraId="2C4DF330">
      <w:pPr>
        <w:pStyle w:val="29"/>
        <w:numPr>
          <w:ilvl w:val="0"/>
          <w:numId w:val="29"/>
        </w:numPr>
        <w:tabs>
          <w:tab w:val="left" w:pos="730"/>
        </w:tabs>
        <w:spacing w:after="0" w:line="470" w:lineRule="exact"/>
        <w:ind w:firstLine="562" w:firstLineChars="200"/>
        <w:jc w:val="both"/>
        <w:rPr>
          <w:b/>
          <w:bCs/>
          <w:sz w:val="28"/>
          <w:szCs w:val="28"/>
        </w:rPr>
      </w:pPr>
      <w:bookmarkStart w:id="395" w:name="bookmark536"/>
      <w:bookmarkEnd w:id="395"/>
      <w:r>
        <w:rPr>
          <w:b/>
          <w:bCs/>
          <w:sz w:val="28"/>
          <w:szCs w:val="28"/>
        </w:rPr>
        <w:t>质疑函的质疑请求应与质疑事项相关。</w:t>
      </w:r>
    </w:p>
    <w:p w14:paraId="4196AAC3">
      <w:pPr>
        <w:pStyle w:val="29"/>
        <w:numPr>
          <w:ilvl w:val="0"/>
          <w:numId w:val="29"/>
        </w:numPr>
        <w:tabs>
          <w:tab w:val="left" w:pos="725"/>
        </w:tabs>
        <w:spacing w:after="0" w:line="470" w:lineRule="exact"/>
        <w:ind w:firstLine="562" w:firstLineChars="200"/>
        <w:jc w:val="both"/>
        <w:rPr>
          <w:b/>
          <w:bCs/>
          <w:sz w:val="28"/>
          <w:szCs w:val="28"/>
        </w:rPr>
        <w:sectPr>
          <w:pgSz w:w="11900" w:h="16840"/>
          <w:pgMar w:top="1060" w:right="980" w:bottom="1150" w:left="1245" w:header="632" w:footer="1020" w:gutter="0"/>
          <w:cols w:space="720" w:num="1"/>
          <w:docGrid w:linePitch="360" w:charSpace="0"/>
        </w:sectPr>
      </w:pPr>
      <w:bookmarkStart w:id="396" w:name="bookmark537"/>
      <w:bookmarkEnd w:id="396"/>
      <w:r>
        <w:rPr>
          <w:b/>
          <w:bCs/>
          <w:sz w:val="28"/>
          <w:szCs w:val="28"/>
        </w:rPr>
        <w:t>质疑供应商为法人或者其</w:t>
      </w:r>
      <w:r>
        <w:rPr>
          <w:rFonts w:hint="eastAsia"/>
          <w:b/>
          <w:bCs/>
          <w:sz w:val="28"/>
          <w:szCs w:val="28"/>
          <w:lang w:eastAsia="zh-CN"/>
        </w:rPr>
        <w:t>他组织</w:t>
      </w:r>
      <w:r>
        <w:rPr>
          <w:b/>
          <w:bCs/>
          <w:sz w:val="28"/>
          <w:szCs w:val="28"/>
        </w:rPr>
        <w:t>的，质疑函应由法定代表人、主要负责人，或者其授权</w:t>
      </w:r>
      <w:r>
        <w:rPr>
          <w:rFonts w:hint="eastAsia"/>
          <w:b/>
          <w:bCs/>
          <w:sz w:val="28"/>
          <w:szCs w:val="28"/>
          <w:lang w:eastAsia="zh-CN"/>
        </w:rPr>
        <w:t>代表签字或者</w:t>
      </w:r>
      <w:r>
        <w:rPr>
          <w:b/>
          <w:bCs/>
          <w:sz w:val="28"/>
          <w:szCs w:val="28"/>
        </w:rPr>
        <w:t>盖章，并加</w:t>
      </w:r>
      <w:r>
        <w:rPr>
          <w:rFonts w:hint="eastAsia"/>
          <w:b/>
          <w:bCs/>
          <w:sz w:val="28"/>
          <w:szCs w:val="28"/>
          <w:lang w:eastAsia="zh-CN"/>
        </w:rPr>
        <w:t>盖公章</w:t>
      </w:r>
      <w:r>
        <w:rPr>
          <w:b/>
          <w:bCs/>
          <w:sz w:val="28"/>
          <w:szCs w:val="28"/>
        </w:rPr>
        <w:t>。</w:t>
      </w:r>
    </w:p>
    <w:p w14:paraId="3102B00B">
      <w:pPr>
        <w:pStyle w:val="41"/>
        <w:keepNext/>
        <w:keepLines/>
        <w:spacing w:after="180"/>
        <w:ind w:firstLine="602" w:firstLineChars="200"/>
        <w:rPr>
          <w:b/>
          <w:bCs/>
        </w:rPr>
      </w:pPr>
      <w:bookmarkStart w:id="397" w:name="bookmark540"/>
      <w:bookmarkStart w:id="398" w:name="bookmark538"/>
      <w:bookmarkStart w:id="399" w:name="bookmark539"/>
      <w:r>
        <w:rPr>
          <w:b/>
          <w:bCs/>
        </w:rPr>
        <w:t>投诉书（格式）</w:t>
      </w:r>
      <w:bookmarkEnd w:id="397"/>
    </w:p>
    <w:p w14:paraId="022234D0">
      <w:pPr>
        <w:pStyle w:val="41"/>
        <w:keepNext/>
        <w:keepLines/>
        <w:spacing w:after="0"/>
        <w:ind w:firstLine="562" w:firstLineChars="200"/>
        <w:jc w:val="left"/>
        <w:rPr>
          <w:b/>
          <w:bCs/>
          <w:sz w:val="28"/>
          <w:szCs w:val="28"/>
          <w:lang w:eastAsia="zh-CN"/>
        </w:rPr>
      </w:pPr>
      <w:bookmarkStart w:id="400" w:name="bookmark541"/>
      <w:r>
        <w:rPr>
          <w:b/>
          <w:bCs/>
          <w:sz w:val="28"/>
          <w:szCs w:val="28"/>
          <w:lang w:val="en-US" w:eastAsia="zh-CN" w:bidi="en-US"/>
        </w:rPr>
        <w:t>一</w:t>
      </w:r>
      <w:r>
        <w:rPr>
          <w:b/>
          <w:bCs/>
          <w:sz w:val="28"/>
          <w:szCs w:val="28"/>
        </w:rPr>
        <w:t>、</w:t>
      </w:r>
      <w:bookmarkEnd w:id="398"/>
      <w:bookmarkEnd w:id="399"/>
      <w:bookmarkEnd w:id="400"/>
      <w:r>
        <w:rPr>
          <w:rFonts w:hint="eastAsia"/>
          <w:b/>
          <w:bCs/>
          <w:sz w:val="28"/>
          <w:szCs w:val="28"/>
          <w:lang w:eastAsia="zh-CN"/>
        </w:rPr>
        <w:t>投诉相关主体基本情况：</w:t>
      </w:r>
    </w:p>
    <w:p w14:paraId="2810C15A">
      <w:pPr>
        <w:pStyle w:val="37"/>
        <w:tabs>
          <w:tab w:val="left" w:pos="6225"/>
          <w:tab w:val="left" w:pos="6585"/>
          <w:tab w:val="left" w:pos="9615"/>
        </w:tabs>
        <w:spacing w:line="465" w:lineRule="exact"/>
        <w:ind w:left="480" w:firstLineChars="200"/>
        <w:jc w:val="both"/>
      </w:pPr>
      <w:r>
        <w:t>供应商：</w:t>
      </w:r>
      <w:r>
        <w:rPr>
          <w:u w:val="single"/>
        </w:rPr>
        <w:t xml:space="preserve"> </w:t>
      </w:r>
      <w:r>
        <w:rPr>
          <w:u w:val="single"/>
        </w:rPr>
        <w:tab/>
      </w:r>
      <w:r>
        <w:t xml:space="preserve"> </w:t>
      </w:r>
    </w:p>
    <w:p w14:paraId="38E167FD">
      <w:pPr>
        <w:pStyle w:val="37"/>
        <w:tabs>
          <w:tab w:val="left" w:pos="6225"/>
          <w:tab w:val="left" w:pos="6585"/>
          <w:tab w:val="left" w:pos="9615"/>
        </w:tabs>
        <w:spacing w:line="465" w:lineRule="exact"/>
        <w:ind w:left="480" w:firstLineChars="200"/>
        <w:jc w:val="both"/>
      </w:pPr>
      <w:r>
        <w:t>地址：</w:t>
      </w:r>
      <w:r>
        <w:rPr>
          <w:u w:val="single"/>
        </w:rPr>
        <w:t xml:space="preserve"> </w:t>
      </w:r>
      <w:r>
        <w:rPr>
          <w:u w:val="single"/>
        </w:rPr>
        <w:tab/>
      </w:r>
      <w:r>
        <w:t>邮编：</w:t>
      </w:r>
      <w:r>
        <w:rPr>
          <w:u w:val="single"/>
        </w:rPr>
        <w:t xml:space="preserve"> </w:t>
      </w:r>
      <w:r>
        <w:rPr>
          <w:u w:val="single"/>
        </w:rPr>
        <w:tab/>
      </w:r>
      <w:r>
        <w:t xml:space="preserve"> 法定代表人/主要负责人：</w:t>
      </w:r>
      <w:r>
        <w:rPr>
          <w:u w:val="single"/>
        </w:rPr>
        <w:t xml:space="preserve"> </w:t>
      </w:r>
      <w:r>
        <w:rPr>
          <w:u w:val="single"/>
        </w:rPr>
        <w:tab/>
      </w:r>
      <w:r>
        <w:t xml:space="preserve"> </w:t>
      </w:r>
    </w:p>
    <w:p w14:paraId="6C6C7EB9">
      <w:pPr>
        <w:pStyle w:val="37"/>
        <w:tabs>
          <w:tab w:val="left" w:pos="6225"/>
          <w:tab w:val="left" w:pos="6585"/>
          <w:tab w:val="left" w:pos="9615"/>
        </w:tabs>
        <w:spacing w:line="465" w:lineRule="exact"/>
        <w:ind w:left="480" w:firstLineChars="200"/>
        <w:jc w:val="both"/>
      </w:pPr>
      <w:r>
        <w:t>联系电话：</w:t>
      </w:r>
      <w:r>
        <w:rPr>
          <w:u w:val="single"/>
        </w:rPr>
        <w:t xml:space="preserve"> </w:t>
      </w:r>
      <w:r>
        <w:rPr>
          <w:u w:val="single"/>
        </w:rPr>
        <w:tab/>
      </w:r>
    </w:p>
    <w:p w14:paraId="7A201513">
      <w:pPr>
        <w:pStyle w:val="37"/>
        <w:tabs>
          <w:tab w:val="left" w:pos="6585"/>
          <w:tab w:val="left" w:pos="9615"/>
        </w:tabs>
        <w:spacing w:line="465" w:lineRule="exact"/>
        <w:ind w:firstLineChars="200"/>
      </w:pPr>
      <w:r>
        <w:t>授权代表：</w:t>
      </w:r>
      <w:r>
        <w:rPr>
          <w:u w:val="single"/>
        </w:rPr>
        <w:t xml:space="preserve"> </w:t>
      </w:r>
      <w:r>
        <w:rPr>
          <w:u w:val="single"/>
        </w:rPr>
        <w:tab/>
      </w:r>
      <w:r>
        <w:t>联系电话：</w:t>
      </w:r>
      <w:r>
        <w:rPr>
          <w:u w:val="single"/>
        </w:rPr>
        <w:t xml:space="preserve"> </w:t>
      </w:r>
      <w:r>
        <w:rPr>
          <w:u w:val="single"/>
        </w:rPr>
        <w:tab/>
      </w:r>
    </w:p>
    <w:p w14:paraId="46235636">
      <w:pPr>
        <w:pStyle w:val="37"/>
        <w:tabs>
          <w:tab w:val="left" w:pos="8385"/>
        </w:tabs>
        <w:spacing w:line="465" w:lineRule="exact"/>
        <w:ind w:firstLineChars="200"/>
      </w:pPr>
      <w:r>
        <w:t>地址：</w:t>
      </w:r>
      <w:r>
        <w:rPr>
          <w:u w:val="single"/>
        </w:rPr>
        <w:t xml:space="preserve"> </w:t>
      </w:r>
      <w:r>
        <w:rPr>
          <w:u w:val="single"/>
        </w:rPr>
        <w:tab/>
      </w:r>
    </w:p>
    <w:p w14:paraId="6456B666">
      <w:pPr>
        <w:pStyle w:val="37"/>
        <w:tabs>
          <w:tab w:val="left" w:pos="2250"/>
        </w:tabs>
        <w:spacing w:line="465" w:lineRule="exact"/>
        <w:ind w:firstLineChars="200"/>
      </w:pPr>
      <w:r>
        <w:t>邮编：</w:t>
      </w:r>
      <w:r>
        <w:rPr>
          <w:u w:val="single"/>
        </w:rPr>
        <w:t xml:space="preserve"> </w:t>
      </w:r>
      <w:r>
        <w:rPr>
          <w:u w:val="single"/>
        </w:rPr>
        <w:tab/>
      </w:r>
    </w:p>
    <w:p w14:paraId="04BF231B">
      <w:pPr>
        <w:pStyle w:val="37"/>
        <w:spacing w:line="465" w:lineRule="exact"/>
        <w:ind w:firstLineChars="200"/>
      </w:pPr>
      <w:r>
        <w:t>被投诉人1：</w:t>
      </w:r>
    </w:p>
    <w:p w14:paraId="390B1D41">
      <w:pPr>
        <w:pStyle w:val="37"/>
        <w:tabs>
          <w:tab w:val="left" w:pos="8385"/>
        </w:tabs>
        <w:spacing w:line="465" w:lineRule="exact"/>
        <w:ind w:firstLineChars="200"/>
      </w:pPr>
      <w:r>
        <w:t>地址：</w:t>
      </w:r>
      <w:r>
        <w:rPr>
          <w:u w:val="single"/>
        </w:rPr>
        <w:t xml:space="preserve"> </w:t>
      </w:r>
      <w:r>
        <w:rPr>
          <w:u w:val="single"/>
        </w:rPr>
        <w:tab/>
      </w:r>
    </w:p>
    <w:p w14:paraId="1529AD22">
      <w:pPr>
        <w:pStyle w:val="37"/>
        <w:tabs>
          <w:tab w:val="left" w:pos="2250"/>
        </w:tabs>
        <w:spacing w:line="465" w:lineRule="exact"/>
        <w:ind w:firstLineChars="200"/>
      </w:pPr>
      <w:r>
        <w:t>邮编：</w:t>
      </w:r>
      <w:r>
        <w:rPr>
          <w:u w:val="single"/>
        </w:rPr>
        <w:t xml:space="preserve"> </w:t>
      </w:r>
      <w:r>
        <w:rPr>
          <w:u w:val="single"/>
        </w:rPr>
        <w:tab/>
      </w:r>
    </w:p>
    <w:p w14:paraId="64A3A979">
      <w:pPr>
        <w:pStyle w:val="37"/>
        <w:tabs>
          <w:tab w:val="left" w:pos="7185"/>
          <w:tab w:val="left" w:pos="9615"/>
        </w:tabs>
        <w:spacing w:line="465" w:lineRule="exact"/>
        <w:ind w:left="480" w:firstLineChars="200"/>
        <w:jc w:val="both"/>
      </w:pPr>
      <w:r>
        <w:rPr>
          <w:lang w:val="zh-CN" w:eastAsia="zh-CN" w:bidi="zh-CN"/>
        </w:rPr>
        <w:t>联系人</w:t>
      </w:r>
      <w:r>
        <w:rPr>
          <w:u w:val="single"/>
        </w:rPr>
        <w:t xml:space="preserve"> </w:t>
      </w:r>
      <w:r>
        <w:rPr>
          <w:u w:val="single"/>
        </w:rPr>
        <w:tab/>
      </w:r>
      <w:r>
        <w:t>联系电话：</w:t>
      </w:r>
      <w:r>
        <w:rPr>
          <w:u w:val="single"/>
        </w:rPr>
        <w:t xml:space="preserve"> </w:t>
      </w:r>
      <w:r>
        <w:rPr>
          <w:u w:val="single"/>
        </w:rPr>
        <w:tab/>
      </w:r>
      <w:r>
        <w:t xml:space="preserve"> 被投诉人2：</w:t>
      </w:r>
    </w:p>
    <w:p w14:paraId="10677E11">
      <w:pPr>
        <w:pStyle w:val="37"/>
        <w:tabs>
          <w:tab w:val="left" w:leader="dot" w:pos="-680"/>
        </w:tabs>
        <w:spacing w:line="465" w:lineRule="exact"/>
        <w:ind w:firstLineChars="200"/>
        <w:rPr>
          <w:lang w:val="en-US" w:eastAsia="zh-CN"/>
        </w:rPr>
      </w:pPr>
      <w:r>
        <w:rPr>
          <w:rFonts w:hint="eastAsia"/>
          <w:lang w:val="en-US" w:eastAsia="zh-CN"/>
        </w:rPr>
        <w:t>......</w:t>
      </w:r>
    </w:p>
    <w:p w14:paraId="37BE1943">
      <w:pPr>
        <w:pStyle w:val="37"/>
        <w:tabs>
          <w:tab w:val="left" w:pos="6705"/>
          <w:tab w:val="left" w:pos="9615"/>
        </w:tabs>
        <w:spacing w:after="180" w:line="465" w:lineRule="exact"/>
        <w:ind w:left="480" w:firstLineChars="200"/>
        <w:jc w:val="both"/>
      </w:pPr>
      <w:r>
        <w:t>相关供应商：</w:t>
      </w:r>
      <w:r>
        <w:rPr>
          <w:u w:val="single"/>
        </w:rPr>
        <w:t xml:space="preserve"> </w:t>
      </w:r>
      <w:r>
        <w:rPr>
          <w:u w:val="single"/>
        </w:rPr>
        <w:tab/>
      </w:r>
      <w:r>
        <w:t xml:space="preserve"> </w:t>
      </w:r>
    </w:p>
    <w:p w14:paraId="1BC398BD">
      <w:pPr>
        <w:pStyle w:val="37"/>
        <w:tabs>
          <w:tab w:val="left" w:pos="6705"/>
          <w:tab w:val="left" w:pos="9615"/>
        </w:tabs>
        <w:spacing w:after="180" w:line="465" w:lineRule="exact"/>
        <w:ind w:left="480" w:firstLineChars="200"/>
        <w:jc w:val="both"/>
      </w:pPr>
      <w:r>
        <w:t>地址：</w:t>
      </w:r>
      <w:r>
        <w:rPr>
          <w:u w:val="single"/>
        </w:rPr>
        <w:t xml:space="preserve"> </w:t>
      </w:r>
      <w:r>
        <w:rPr>
          <w:u w:val="single"/>
        </w:rPr>
        <w:tab/>
      </w:r>
      <w:r>
        <w:t>邮编：</w:t>
      </w:r>
      <w:r>
        <w:rPr>
          <w:u w:val="single"/>
        </w:rPr>
        <w:t xml:space="preserve"> </w:t>
      </w:r>
      <w:r>
        <w:rPr>
          <w:u w:val="single"/>
        </w:rPr>
        <w:tab/>
      </w:r>
      <w:r>
        <w:t xml:space="preserve"> </w:t>
      </w:r>
      <w:r>
        <w:rPr>
          <w:lang w:val="zh-CN" w:eastAsia="zh-CN" w:bidi="zh-CN"/>
        </w:rPr>
        <w:t>联系人</w:t>
      </w:r>
      <w:r>
        <w:rPr>
          <w:u w:val="single"/>
        </w:rPr>
        <w:t xml:space="preserve"> </w:t>
      </w:r>
      <w:r>
        <w:rPr>
          <w:u w:val="single"/>
        </w:rPr>
        <w:tab/>
      </w:r>
      <w:r>
        <w:t>联系电话：</w:t>
      </w:r>
      <w:r>
        <w:rPr>
          <w:u w:val="single"/>
        </w:rPr>
        <w:t xml:space="preserve"> </w:t>
      </w:r>
      <w:r>
        <w:rPr>
          <w:u w:val="single"/>
        </w:rPr>
        <w:tab/>
      </w:r>
    </w:p>
    <w:p w14:paraId="2E24BFB0">
      <w:pPr>
        <w:pStyle w:val="41"/>
        <w:keepNext/>
        <w:keepLines/>
        <w:tabs>
          <w:tab w:val="left" w:pos="1695"/>
        </w:tabs>
        <w:spacing w:after="0"/>
        <w:ind w:firstLine="562" w:firstLineChars="200"/>
        <w:jc w:val="left"/>
        <w:rPr>
          <w:b/>
          <w:bCs/>
          <w:sz w:val="44"/>
          <w:szCs w:val="44"/>
          <w:lang w:eastAsia="zh-CN"/>
        </w:rPr>
      </w:pPr>
      <w:bookmarkStart w:id="401" w:name="bookmark544"/>
      <w:bookmarkStart w:id="402" w:name="bookmark545"/>
      <w:bookmarkStart w:id="403" w:name="bookmark542"/>
      <w:bookmarkStart w:id="404" w:name="bookmark543"/>
      <w:r>
        <w:rPr>
          <w:b/>
          <w:bCs/>
          <w:sz w:val="28"/>
          <w:szCs w:val="28"/>
        </w:rPr>
        <w:t>二</w:t>
      </w:r>
      <w:bookmarkEnd w:id="401"/>
      <w:r>
        <w:rPr>
          <w:b/>
          <w:bCs/>
          <w:sz w:val="28"/>
          <w:szCs w:val="28"/>
        </w:rPr>
        <w:t>、</w:t>
      </w:r>
      <w:bookmarkEnd w:id="402"/>
      <w:bookmarkEnd w:id="403"/>
      <w:bookmarkEnd w:id="404"/>
      <w:r>
        <w:rPr>
          <w:rFonts w:hint="eastAsia"/>
          <w:b/>
          <w:bCs/>
          <w:sz w:val="28"/>
          <w:szCs w:val="28"/>
          <w:lang w:eastAsia="zh-CN"/>
        </w:rPr>
        <w:t>投诉项目基本情况：</w:t>
      </w:r>
    </w:p>
    <w:p w14:paraId="499F1410">
      <w:pPr>
        <w:pStyle w:val="37"/>
        <w:tabs>
          <w:tab w:val="left" w:pos="7425"/>
          <w:tab w:val="left" w:pos="9600"/>
        </w:tabs>
        <w:spacing w:line="465" w:lineRule="exact"/>
        <w:ind w:left="480" w:firstLineChars="200"/>
        <w:jc w:val="both"/>
      </w:pPr>
      <w:r>
        <w:t>釆购项目的名称：</w:t>
      </w:r>
      <w:r>
        <w:rPr>
          <w:u w:val="single"/>
        </w:rPr>
        <w:t xml:space="preserve"> </w:t>
      </w:r>
      <w:r>
        <w:rPr>
          <w:u w:val="single"/>
        </w:rPr>
        <w:tab/>
      </w:r>
      <w:r>
        <w:t xml:space="preserve"> </w:t>
      </w:r>
    </w:p>
    <w:p w14:paraId="4E8ED139">
      <w:pPr>
        <w:pStyle w:val="37"/>
        <w:tabs>
          <w:tab w:val="left" w:pos="7425"/>
          <w:tab w:val="left" w:pos="9600"/>
        </w:tabs>
        <w:spacing w:line="465" w:lineRule="exact"/>
        <w:ind w:left="480" w:firstLineChars="200"/>
        <w:jc w:val="both"/>
      </w:pPr>
      <w:r>
        <w:t>釆购项目的编号：</w:t>
      </w:r>
      <w:r>
        <w:rPr>
          <w:u w:val="single"/>
        </w:rPr>
        <w:t xml:space="preserve"> </w:t>
      </w:r>
      <w:r>
        <w:rPr>
          <w:u w:val="single"/>
        </w:rPr>
        <w:tab/>
      </w:r>
    </w:p>
    <w:p w14:paraId="4AD48436">
      <w:pPr>
        <w:pStyle w:val="37"/>
        <w:tabs>
          <w:tab w:val="left" w:pos="9600"/>
        </w:tabs>
        <w:spacing w:after="180" w:line="465" w:lineRule="exact"/>
        <w:ind w:left="480" w:firstLineChars="200"/>
        <w:jc w:val="both"/>
      </w:pPr>
      <w:r>
        <w:t>釆购人名称：</w:t>
      </w:r>
      <w:r>
        <w:rPr>
          <w:u w:val="single"/>
        </w:rPr>
        <w:t xml:space="preserve"> </w:t>
      </w:r>
      <w:r>
        <w:rPr>
          <w:u w:val="single"/>
        </w:rPr>
        <w:tab/>
      </w:r>
      <w:r>
        <w:t xml:space="preserve"> 代理机构名称：</w:t>
      </w:r>
      <w:r>
        <w:rPr>
          <w:u w:val="single"/>
        </w:rPr>
        <w:t xml:space="preserve"> </w:t>
      </w:r>
      <w:r>
        <w:rPr>
          <w:u w:val="single"/>
        </w:rPr>
        <w:tab/>
      </w:r>
      <w:r>
        <w:t xml:space="preserve"> 招标文件公告：</w:t>
      </w:r>
      <w:r>
        <w:rPr>
          <w:u w:val="single"/>
        </w:rPr>
        <w:t>是</w:t>
      </w:r>
      <w:r>
        <w:rPr>
          <w:rFonts w:hint="eastAsia"/>
          <w:u w:val="single"/>
          <w:lang w:val="en-US" w:eastAsia="zh-CN"/>
        </w:rPr>
        <w:t>/否</w:t>
      </w:r>
      <w:r>
        <w:t xml:space="preserve">公告期限： </w:t>
      </w:r>
      <w:r>
        <w:rPr>
          <w:u w:val="single"/>
        </w:rPr>
        <w:t xml:space="preserve"> </w:t>
      </w:r>
      <w:r>
        <w:rPr>
          <w:u w:val="single"/>
        </w:rPr>
        <w:tab/>
      </w:r>
      <w:r>
        <w:t xml:space="preserve"> 釆购结果公告：</w:t>
      </w:r>
      <w:r>
        <w:rPr>
          <w:u w:val="single"/>
        </w:rPr>
        <w:t>是/否</w:t>
      </w:r>
      <w:r>
        <w:t>公告期限:</w:t>
      </w:r>
      <w:r>
        <w:rPr>
          <w:u w:val="single"/>
        </w:rPr>
        <w:t xml:space="preserve"> </w:t>
      </w:r>
      <w:r>
        <w:rPr>
          <w:u w:val="single"/>
        </w:rPr>
        <w:tab/>
      </w:r>
    </w:p>
    <w:p w14:paraId="71E154A7">
      <w:pPr>
        <w:pStyle w:val="41"/>
        <w:keepNext/>
        <w:keepLines/>
        <w:tabs>
          <w:tab w:val="left" w:pos="1695"/>
        </w:tabs>
        <w:spacing w:after="0"/>
        <w:ind w:firstLine="562" w:firstLineChars="200"/>
        <w:jc w:val="left"/>
        <w:rPr>
          <w:b/>
          <w:bCs/>
          <w:sz w:val="28"/>
          <w:szCs w:val="28"/>
          <w:lang w:eastAsia="zh-CN"/>
        </w:rPr>
      </w:pPr>
      <w:bookmarkStart w:id="405" w:name="bookmark548"/>
      <w:bookmarkStart w:id="406" w:name="bookmark547"/>
      <w:bookmarkStart w:id="407" w:name="bookmark549"/>
      <w:bookmarkStart w:id="408" w:name="bookmark546"/>
      <w:r>
        <w:rPr>
          <w:rFonts w:hint="eastAsia"/>
          <w:b/>
          <w:bCs/>
          <w:sz w:val="28"/>
          <w:szCs w:val="28"/>
          <w:lang w:eastAsia="zh-CN"/>
        </w:rPr>
        <w:t>三</w:t>
      </w:r>
      <w:bookmarkEnd w:id="405"/>
      <w:r>
        <w:rPr>
          <w:rFonts w:hint="eastAsia"/>
          <w:b/>
          <w:bCs/>
          <w:sz w:val="28"/>
          <w:szCs w:val="28"/>
          <w:lang w:eastAsia="zh-CN"/>
        </w:rPr>
        <w:t>、质疑基本情况</w:t>
      </w:r>
      <w:bookmarkEnd w:id="406"/>
      <w:bookmarkEnd w:id="407"/>
      <w:bookmarkEnd w:id="408"/>
    </w:p>
    <w:p w14:paraId="02CDE261">
      <w:pPr>
        <w:pStyle w:val="37"/>
        <w:tabs>
          <w:tab w:val="left" w:pos="2145"/>
          <w:tab w:val="left" w:pos="7935"/>
        </w:tabs>
        <w:spacing w:line="450" w:lineRule="exact"/>
        <w:ind w:firstLineChars="200"/>
        <w:jc w:val="both"/>
      </w:pPr>
      <w:r>
        <w:t>投诉人于</w:t>
      </w:r>
      <w:r>
        <w:rPr>
          <w:u w:val="single"/>
        </w:rPr>
        <w:t xml:space="preserve"> </w:t>
      </w:r>
      <w:r>
        <w:rPr>
          <w:u w:val="single"/>
        </w:rPr>
        <w:tab/>
      </w:r>
      <w:r>
        <w:t>年</w:t>
      </w:r>
      <w:r>
        <w:rPr>
          <w:rFonts w:hint="eastAsia"/>
          <w:lang w:val="en-US" w:eastAsia="zh-CN"/>
        </w:rPr>
        <w:t>___</w:t>
      </w:r>
      <w:r>
        <w:t>月</w:t>
      </w:r>
      <w:r>
        <w:rPr>
          <w:rFonts w:hint="eastAsia"/>
          <w:lang w:val="en-US" w:eastAsia="zh-CN"/>
        </w:rPr>
        <w:t>___</w:t>
      </w:r>
      <w:r>
        <w:t>日，向</w:t>
      </w:r>
      <w:r>
        <w:rPr>
          <w:u w:val="single"/>
        </w:rPr>
        <w:t xml:space="preserve"> </w:t>
      </w:r>
      <w:r>
        <w:rPr>
          <w:u w:val="single"/>
        </w:rPr>
        <w:tab/>
      </w:r>
      <w:r>
        <w:t>提岀质疑，质疑事项为：</w:t>
      </w:r>
      <w:r>
        <w:rPr>
          <w:rFonts w:hint="eastAsia"/>
          <w:u w:val="single"/>
          <w:lang w:val="en-US" w:eastAsia="zh-CN"/>
        </w:rPr>
        <w:t xml:space="preserve"> </w:t>
      </w:r>
      <w:r>
        <w:rPr>
          <w:u w:val="single"/>
        </w:rPr>
        <w:tab/>
      </w:r>
      <w:r>
        <w:rPr>
          <w:u w:val="single"/>
        </w:rPr>
        <w:tab/>
      </w:r>
      <w:r>
        <w:t xml:space="preserve"> </w:t>
      </w:r>
    </w:p>
    <w:p w14:paraId="10982F5B">
      <w:pPr>
        <w:pStyle w:val="29"/>
        <w:tabs>
          <w:tab w:val="left" w:pos="3240"/>
        </w:tabs>
        <w:spacing w:after="0" w:line="480" w:lineRule="exact"/>
        <w:ind w:firstLine="420" w:firstLineChars="200"/>
        <w:jc w:val="both"/>
        <w:rPr>
          <w:sz w:val="21"/>
          <w:szCs w:val="21"/>
        </w:rPr>
      </w:pPr>
      <w:r>
        <w:rPr>
          <w:sz w:val="21"/>
          <w:szCs w:val="21"/>
        </w:rPr>
        <w:t>釆购入/代理机构于</w:t>
      </w:r>
      <w:r>
        <w:rPr>
          <w:rFonts w:hint="eastAsia"/>
          <w:sz w:val="21"/>
          <w:szCs w:val="21"/>
          <w:lang w:val="en-US" w:eastAsia="zh-CN"/>
        </w:rPr>
        <w:t>_____</w:t>
      </w:r>
      <w:r>
        <w:rPr>
          <w:sz w:val="21"/>
          <w:szCs w:val="21"/>
        </w:rPr>
        <w:t>年</w:t>
      </w:r>
      <w:r>
        <w:rPr>
          <w:u w:val="single"/>
        </w:rPr>
        <w:tab/>
      </w:r>
      <w:r>
        <w:rPr>
          <w:rFonts w:hint="eastAsia"/>
          <w:u w:val="single"/>
          <w:lang w:val="en-US" w:eastAsia="zh-CN"/>
        </w:rPr>
        <w:t xml:space="preserve">  </w:t>
      </w:r>
      <w:r>
        <w:rPr>
          <w:sz w:val="21"/>
          <w:szCs w:val="21"/>
        </w:rPr>
        <w:t>月</w:t>
      </w:r>
      <w:r>
        <w:rPr>
          <w:rFonts w:hint="eastAsia"/>
          <w:sz w:val="21"/>
          <w:szCs w:val="21"/>
          <w:lang w:val="en-US" w:eastAsia="zh-CN"/>
        </w:rPr>
        <w:t>____</w:t>
      </w:r>
      <w:r>
        <w:rPr>
          <w:sz w:val="21"/>
          <w:szCs w:val="21"/>
        </w:rPr>
        <w:t>日，就质疑事项作岀了答复/没有在法定期限内作岀答复。</w:t>
      </w:r>
    </w:p>
    <w:p w14:paraId="159D29A3">
      <w:pPr>
        <w:pStyle w:val="29"/>
        <w:tabs>
          <w:tab w:val="left" w:pos="895"/>
        </w:tabs>
        <w:spacing w:after="0" w:line="480" w:lineRule="exact"/>
        <w:ind w:firstLine="442" w:firstLineChars="200"/>
        <w:jc w:val="both"/>
        <w:rPr>
          <w:b/>
          <w:bCs/>
          <w:sz w:val="22"/>
          <w:szCs w:val="22"/>
        </w:rPr>
      </w:pPr>
      <w:bookmarkStart w:id="409" w:name="bookmark550"/>
    </w:p>
    <w:p w14:paraId="041A0C7F">
      <w:pPr>
        <w:pStyle w:val="29"/>
        <w:tabs>
          <w:tab w:val="left" w:pos="895"/>
        </w:tabs>
        <w:spacing w:after="0" w:line="480" w:lineRule="exact"/>
        <w:ind w:firstLine="442" w:firstLineChars="200"/>
        <w:jc w:val="both"/>
        <w:rPr>
          <w:b/>
          <w:bCs/>
          <w:sz w:val="22"/>
          <w:szCs w:val="22"/>
        </w:rPr>
      </w:pPr>
      <w:r>
        <w:rPr>
          <w:b/>
          <w:bCs/>
          <w:sz w:val="22"/>
          <w:szCs w:val="22"/>
        </w:rPr>
        <w:t>四</w:t>
      </w:r>
      <w:bookmarkEnd w:id="409"/>
      <w:r>
        <w:rPr>
          <w:b/>
          <w:bCs/>
          <w:sz w:val="22"/>
          <w:szCs w:val="22"/>
        </w:rPr>
        <w:t>、</w:t>
      </w:r>
      <w:r>
        <w:rPr>
          <w:b/>
          <w:bCs/>
          <w:sz w:val="22"/>
          <w:szCs w:val="22"/>
        </w:rPr>
        <w:tab/>
      </w:r>
      <w:r>
        <w:rPr>
          <w:b/>
          <w:bCs/>
          <w:sz w:val="22"/>
          <w:szCs w:val="22"/>
        </w:rPr>
        <w:t>投诉事项具体内容</w:t>
      </w:r>
    </w:p>
    <w:p w14:paraId="704F17F2">
      <w:pPr>
        <w:pStyle w:val="29"/>
        <w:tabs>
          <w:tab w:val="left" w:pos="9500"/>
        </w:tabs>
        <w:spacing w:after="0" w:line="480" w:lineRule="exact"/>
        <w:ind w:firstLine="420" w:firstLineChars="200"/>
        <w:jc w:val="both"/>
        <w:rPr>
          <w:sz w:val="21"/>
          <w:szCs w:val="21"/>
        </w:rPr>
      </w:pPr>
      <w:r>
        <w:rPr>
          <w:sz w:val="21"/>
          <w:szCs w:val="21"/>
        </w:rPr>
        <w:t xml:space="preserve">投诉事项1: </w:t>
      </w:r>
      <w:r>
        <w:rPr>
          <w:sz w:val="21"/>
          <w:szCs w:val="21"/>
        </w:rPr>
        <w:tab/>
      </w:r>
    </w:p>
    <w:p w14:paraId="18649588">
      <w:pPr>
        <w:pStyle w:val="29"/>
        <w:pBdr>
          <w:bottom w:val="single" w:color="auto" w:sz="4" w:space="0"/>
        </w:pBdr>
        <w:tabs>
          <w:tab w:val="left" w:pos="8015"/>
          <w:tab w:val="left" w:pos="8030"/>
        </w:tabs>
        <w:spacing w:after="500" w:line="480" w:lineRule="exact"/>
        <w:ind w:left="380" w:firstLine="420" w:firstLineChars="200"/>
        <w:jc w:val="both"/>
        <w:rPr>
          <w:sz w:val="21"/>
          <w:szCs w:val="21"/>
        </w:rPr>
      </w:pPr>
      <w:r>
        <w:rPr>
          <w:sz w:val="21"/>
          <w:szCs w:val="21"/>
        </w:rPr>
        <w:t>事实依据：</w:t>
      </w:r>
      <w:r>
        <w:rPr>
          <w:sz w:val="21"/>
          <w:szCs w:val="21"/>
        </w:rPr>
        <w:tab/>
      </w:r>
    </w:p>
    <w:p w14:paraId="1F13FB30">
      <w:pPr>
        <w:pStyle w:val="29"/>
        <w:tabs>
          <w:tab w:val="left" w:pos="9515"/>
        </w:tabs>
        <w:spacing w:after="540" w:line="480" w:lineRule="exact"/>
        <w:ind w:firstLine="420" w:firstLineChars="200"/>
        <w:jc w:val="both"/>
        <w:rPr>
          <w:sz w:val="21"/>
          <w:szCs w:val="21"/>
        </w:rPr>
      </w:pPr>
      <w:r>
        <w:rPr>
          <w:sz w:val="21"/>
          <w:szCs w:val="21"/>
        </w:rPr>
        <w:t>法律依据：</w:t>
      </w:r>
      <w:r>
        <w:rPr>
          <w:sz w:val="21"/>
          <w:szCs w:val="21"/>
        </w:rPr>
        <w:tab/>
      </w:r>
    </w:p>
    <w:p w14:paraId="3F8099FD">
      <w:pPr>
        <w:pStyle w:val="29"/>
        <w:spacing w:after="0"/>
        <w:ind w:firstLine="420" w:firstLineChars="200"/>
        <w:jc w:val="both"/>
        <w:rPr>
          <w:sz w:val="21"/>
          <w:szCs w:val="21"/>
        </w:rPr>
      </w:pPr>
      <w:r>
        <w:rPr>
          <w:sz w:val="21"/>
          <w:szCs w:val="21"/>
        </w:rPr>
        <w:t>投诉事项2</w:t>
      </w:r>
    </w:p>
    <w:p w14:paraId="70BD9782">
      <w:pPr>
        <w:pStyle w:val="29"/>
        <w:spacing w:after="0"/>
        <w:ind w:firstLine="420" w:firstLineChars="200"/>
        <w:jc w:val="both"/>
        <w:rPr>
          <w:sz w:val="21"/>
          <w:szCs w:val="21"/>
          <w:lang w:val="en-US" w:eastAsia="zh-CN"/>
        </w:rPr>
      </w:pPr>
      <w:r>
        <w:rPr>
          <w:rFonts w:hint="eastAsia"/>
          <w:sz w:val="21"/>
          <w:szCs w:val="21"/>
          <w:lang w:val="en-US" w:eastAsia="zh-CN"/>
        </w:rPr>
        <w:t>......</w:t>
      </w:r>
    </w:p>
    <w:p w14:paraId="50953877">
      <w:pPr>
        <w:pStyle w:val="29"/>
        <w:tabs>
          <w:tab w:val="left" w:pos="910"/>
        </w:tabs>
        <w:spacing w:after="0" w:line="480" w:lineRule="exact"/>
        <w:ind w:firstLine="482" w:firstLineChars="200"/>
        <w:jc w:val="both"/>
        <w:rPr>
          <w:b/>
          <w:bCs/>
          <w:sz w:val="24"/>
          <w:szCs w:val="24"/>
        </w:rPr>
      </w:pPr>
      <w:bookmarkStart w:id="410" w:name="bookmark551"/>
      <w:r>
        <w:rPr>
          <w:b/>
          <w:bCs/>
          <w:sz w:val="24"/>
          <w:szCs w:val="24"/>
        </w:rPr>
        <w:t>五</w:t>
      </w:r>
      <w:bookmarkEnd w:id="410"/>
      <w:r>
        <w:rPr>
          <w:b/>
          <w:bCs/>
          <w:sz w:val="24"/>
          <w:szCs w:val="24"/>
        </w:rPr>
        <w:t>、</w:t>
      </w:r>
      <w:r>
        <w:rPr>
          <w:b/>
          <w:bCs/>
          <w:sz w:val="24"/>
          <w:szCs w:val="24"/>
        </w:rPr>
        <w:tab/>
      </w:r>
      <w:r>
        <w:rPr>
          <w:b/>
          <w:bCs/>
          <w:sz w:val="24"/>
          <w:szCs w:val="24"/>
        </w:rPr>
        <w:t>与投诉事项相关的投诉请求：</w:t>
      </w:r>
    </w:p>
    <w:p w14:paraId="34B9A8DE">
      <w:pPr>
        <w:pStyle w:val="29"/>
        <w:tabs>
          <w:tab w:val="left" w:pos="9500"/>
        </w:tabs>
        <w:spacing w:after="440" w:line="480" w:lineRule="exact"/>
        <w:ind w:firstLine="420" w:firstLineChars="200"/>
        <w:jc w:val="both"/>
      </w:pPr>
      <w:r>
        <w:rPr>
          <w:sz w:val="21"/>
          <w:szCs w:val="21"/>
        </w:rPr>
        <w:t xml:space="preserve">请求： </w:t>
      </w:r>
      <w:r>
        <w:rPr>
          <w:u w:val="single"/>
        </w:rPr>
        <w:tab/>
      </w:r>
      <w:r>
        <w:t xml:space="preserve"> </w:t>
      </w:r>
      <w:r>
        <w:rPr>
          <w:sz w:val="21"/>
          <w:szCs w:val="21"/>
        </w:rPr>
        <w:tab/>
      </w:r>
    </w:p>
    <w:p w14:paraId="10CE161B">
      <w:pPr>
        <w:pStyle w:val="29"/>
        <w:tabs>
          <w:tab w:val="left" w:pos="6710"/>
        </w:tabs>
        <w:spacing w:after="440" w:line="480" w:lineRule="exact"/>
        <w:ind w:firstLine="480" w:firstLineChars="200"/>
        <w:jc w:val="both"/>
        <w:rPr>
          <w:sz w:val="24"/>
          <w:szCs w:val="24"/>
        </w:rPr>
      </w:pPr>
      <w:r>
        <w:rPr>
          <w:sz w:val="24"/>
          <w:szCs w:val="24"/>
        </w:rPr>
        <w:t>签字（签章）：</w:t>
      </w:r>
      <w:r>
        <w:rPr>
          <w:sz w:val="24"/>
          <w:szCs w:val="24"/>
        </w:rPr>
        <w:tab/>
      </w:r>
      <w:r>
        <w:rPr>
          <w:sz w:val="24"/>
          <w:szCs w:val="24"/>
        </w:rPr>
        <w:t>公章：</w:t>
      </w:r>
    </w:p>
    <w:p w14:paraId="58501592">
      <w:pPr>
        <w:pStyle w:val="29"/>
        <w:spacing w:after="920" w:line="480" w:lineRule="exact"/>
        <w:ind w:firstLine="480" w:firstLineChars="200"/>
        <w:jc w:val="both"/>
        <w:rPr>
          <w:sz w:val="24"/>
          <w:szCs w:val="24"/>
        </w:rPr>
      </w:pPr>
      <w:r>
        <w:rPr>
          <w:sz w:val="24"/>
          <w:szCs w:val="24"/>
        </w:rPr>
        <w:t>日期：</w:t>
      </w:r>
    </w:p>
    <w:p w14:paraId="39176C12">
      <w:pPr>
        <w:pStyle w:val="29"/>
        <w:spacing w:after="0" w:line="460" w:lineRule="exact"/>
        <w:ind w:firstLine="562" w:firstLineChars="200"/>
        <w:jc w:val="both"/>
        <w:rPr>
          <w:b/>
          <w:bCs/>
          <w:sz w:val="28"/>
          <w:szCs w:val="28"/>
        </w:rPr>
      </w:pPr>
      <w:r>
        <w:rPr>
          <w:b/>
          <w:bCs/>
          <w:sz w:val="28"/>
          <w:szCs w:val="28"/>
        </w:rPr>
        <w:t>说明：</w:t>
      </w:r>
    </w:p>
    <w:p w14:paraId="6A7FBDDC">
      <w:pPr>
        <w:pStyle w:val="29"/>
        <w:numPr>
          <w:ilvl w:val="0"/>
          <w:numId w:val="30"/>
        </w:numPr>
        <w:tabs>
          <w:tab w:val="left" w:pos="725"/>
        </w:tabs>
        <w:spacing w:after="0" w:line="460" w:lineRule="exact"/>
        <w:ind w:firstLine="482" w:firstLineChars="200"/>
        <w:jc w:val="both"/>
        <w:rPr>
          <w:b/>
          <w:bCs/>
          <w:sz w:val="24"/>
          <w:szCs w:val="24"/>
        </w:rPr>
      </w:pPr>
      <w:bookmarkStart w:id="411" w:name="bookmark552"/>
      <w:bookmarkEnd w:id="411"/>
      <w:r>
        <w:rPr>
          <w:b/>
          <w:bCs/>
          <w:sz w:val="24"/>
          <w:szCs w:val="24"/>
        </w:rPr>
        <w:t>投诉人提起投诉时，应当提交投诉书和必要的证明材料，并按照被投诉人和与投诉事</w:t>
      </w:r>
      <w:r>
        <w:rPr>
          <w:rFonts w:hint="eastAsia"/>
          <w:b/>
          <w:bCs/>
          <w:sz w:val="24"/>
          <w:szCs w:val="24"/>
          <w:lang w:val="en-US" w:eastAsia="zh-CN"/>
        </w:rPr>
        <w:t>项有</w:t>
      </w:r>
      <w:r>
        <w:rPr>
          <w:b/>
          <w:bCs/>
          <w:sz w:val="24"/>
          <w:szCs w:val="24"/>
        </w:rPr>
        <w:t>关的供应商</w:t>
      </w:r>
      <w:r>
        <w:rPr>
          <w:rFonts w:hint="eastAsia"/>
          <w:b/>
          <w:bCs/>
          <w:sz w:val="24"/>
          <w:szCs w:val="24"/>
          <w:lang w:eastAsia="zh-CN"/>
        </w:rPr>
        <w:t>数量提供投诉书副本。</w:t>
      </w:r>
    </w:p>
    <w:p w14:paraId="44D6D083">
      <w:pPr>
        <w:pStyle w:val="29"/>
        <w:numPr>
          <w:ilvl w:val="0"/>
          <w:numId w:val="30"/>
        </w:numPr>
        <w:tabs>
          <w:tab w:val="left" w:pos="725"/>
        </w:tabs>
        <w:spacing w:after="0" w:line="460" w:lineRule="exact"/>
        <w:ind w:firstLine="482" w:firstLineChars="200"/>
        <w:jc w:val="both"/>
        <w:rPr>
          <w:b/>
          <w:bCs/>
          <w:sz w:val="24"/>
          <w:szCs w:val="24"/>
        </w:rPr>
      </w:pPr>
      <w:bookmarkStart w:id="412" w:name="bookmark553"/>
      <w:bookmarkEnd w:id="412"/>
      <w:r>
        <w:rPr>
          <w:b/>
          <w:bCs/>
          <w:sz w:val="24"/>
          <w:szCs w:val="24"/>
        </w:rPr>
        <w:t>投诉人若</w:t>
      </w:r>
      <w:r>
        <w:rPr>
          <w:rFonts w:hint="eastAsia"/>
          <w:b/>
          <w:bCs/>
          <w:sz w:val="24"/>
          <w:szCs w:val="24"/>
          <w:lang w:eastAsia="zh-CN"/>
        </w:rPr>
        <w:t>委托</w:t>
      </w:r>
      <w:r>
        <w:rPr>
          <w:b/>
          <w:bCs/>
          <w:sz w:val="24"/>
          <w:szCs w:val="24"/>
        </w:rPr>
        <w:t>代理人进行投诉的，投诉书应按要求列明</w:t>
      </w:r>
      <w:r>
        <w:rPr>
          <w:b/>
          <w:bCs/>
          <w:sz w:val="24"/>
          <w:szCs w:val="24"/>
          <w:lang w:val="zh-CN" w:eastAsia="zh-CN" w:bidi="zh-CN"/>
        </w:rPr>
        <w:t>“授权</w:t>
      </w:r>
      <w:r>
        <w:rPr>
          <w:b/>
          <w:bCs/>
          <w:sz w:val="24"/>
          <w:szCs w:val="24"/>
        </w:rPr>
        <w:t>代表"的有关内容，并 在附件中提交由投诉人签署的</w:t>
      </w:r>
      <w:r>
        <w:rPr>
          <w:b/>
          <w:bCs/>
          <w:sz w:val="24"/>
          <w:szCs w:val="24"/>
          <w:lang w:val="zh-CN" w:eastAsia="zh-CN" w:bidi="zh-CN"/>
        </w:rPr>
        <w:t>授权</w:t>
      </w:r>
      <w:r>
        <w:rPr>
          <w:rFonts w:hint="eastAsia"/>
          <w:b/>
          <w:bCs/>
          <w:sz w:val="24"/>
          <w:szCs w:val="24"/>
          <w:lang w:val="zh-CN" w:eastAsia="zh-CN" w:bidi="zh-CN"/>
        </w:rPr>
        <w:t>委托</w:t>
      </w:r>
      <w:r>
        <w:rPr>
          <w:b/>
          <w:bCs/>
          <w:sz w:val="24"/>
          <w:szCs w:val="24"/>
        </w:rPr>
        <w:t>书。</w:t>
      </w:r>
      <w:r>
        <w:rPr>
          <w:b/>
          <w:bCs/>
          <w:sz w:val="24"/>
          <w:szCs w:val="24"/>
          <w:lang w:val="zh-CN" w:eastAsia="zh-CN" w:bidi="zh-CN"/>
        </w:rPr>
        <w:t>授权</w:t>
      </w:r>
      <w:r>
        <w:rPr>
          <w:rFonts w:hint="eastAsia"/>
          <w:b/>
          <w:bCs/>
          <w:sz w:val="24"/>
          <w:szCs w:val="24"/>
          <w:lang w:val="zh-CN" w:eastAsia="zh-CN" w:bidi="zh-CN"/>
        </w:rPr>
        <w:t>委托</w:t>
      </w:r>
      <w:r>
        <w:rPr>
          <w:b/>
          <w:bCs/>
          <w:sz w:val="24"/>
          <w:szCs w:val="24"/>
        </w:rPr>
        <w:t>应当载明代理人的姓名或者名称、代 理事项、具体权限、期限和相关事项。</w:t>
      </w:r>
    </w:p>
    <w:p w14:paraId="36C862C5">
      <w:pPr>
        <w:pStyle w:val="29"/>
        <w:numPr>
          <w:ilvl w:val="0"/>
          <w:numId w:val="30"/>
        </w:numPr>
        <w:tabs>
          <w:tab w:val="left" w:pos="730"/>
        </w:tabs>
        <w:spacing w:after="0" w:line="460" w:lineRule="exact"/>
        <w:ind w:firstLine="482" w:firstLineChars="200"/>
        <w:jc w:val="both"/>
        <w:rPr>
          <w:b/>
          <w:bCs/>
          <w:sz w:val="24"/>
          <w:szCs w:val="24"/>
        </w:rPr>
      </w:pPr>
      <w:bookmarkStart w:id="413" w:name="bookmark554"/>
      <w:bookmarkEnd w:id="413"/>
      <w:r>
        <w:rPr>
          <w:b/>
          <w:bCs/>
          <w:sz w:val="24"/>
          <w:szCs w:val="24"/>
        </w:rPr>
        <w:t>投诉书应简要列明质疑事项，质疑函、质疑答复等作为附件材料提供。</w:t>
      </w:r>
    </w:p>
    <w:p w14:paraId="21F5756F">
      <w:pPr>
        <w:pStyle w:val="29"/>
        <w:spacing w:after="0" w:line="460" w:lineRule="exact"/>
        <w:ind w:firstLine="482" w:firstLineChars="200"/>
        <w:jc w:val="both"/>
        <w:rPr>
          <w:b/>
          <w:bCs/>
          <w:sz w:val="24"/>
          <w:szCs w:val="24"/>
        </w:rPr>
      </w:pPr>
      <w:r>
        <w:rPr>
          <w:rFonts w:hint="eastAsia" w:ascii="Times New Roman" w:hAnsi="Times New Roman" w:cs="Times New Roman"/>
          <w:b/>
          <w:bCs/>
          <w:sz w:val="24"/>
          <w:szCs w:val="24"/>
          <w:lang w:val="en-US" w:eastAsia="zh-CN"/>
        </w:rPr>
        <w:t>4.</w:t>
      </w:r>
      <w:r>
        <w:rPr>
          <w:b/>
          <w:bCs/>
          <w:sz w:val="24"/>
          <w:szCs w:val="24"/>
        </w:rPr>
        <w:t>投诉书的投诉事项应具体、明确，并有必要的</w:t>
      </w:r>
      <w:r>
        <w:rPr>
          <w:b/>
          <w:bCs/>
          <w:sz w:val="24"/>
          <w:szCs w:val="24"/>
          <w:lang w:val="zh-CN" w:eastAsia="zh-CN" w:bidi="zh-CN"/>
        </w:rPr>
        <w:t>事实</w:t>
      </w:r>
      <w:r>
        <w:rPr>
          <w:rFonts w:hint="eastAsia"/>
          <w:b/>
          <w:bCs/>
          <w:sz w:val="24"/>
          <w:szCs w:val="24"/>
          <w:lang w:val="zh-CN" w:eastAsia="zh-CN" w:bidi="zh-CN"/>
        </w:rPr>
        <w:t>依据</w:t>
      </w:r>
      <w:r>
        <w:rPr>
          <w:b/>
          <w:bCs/>
          <w:sz w:val="24"/>
          <w:szCs w:val="24"/>
        </w:rPr>
        <w:t>和法律</w:t>
      </w:r>
      <w:r>
        <w:rPr>
          <w:rFonts w:hint="eastAsia"/>
          <w:b/>
          <w:bCs/>
          <w:sz w:val="24"/>
          <w:szCs w:val="24"/>
          <w:lang w:val="en-US" w:eastAsia="zh-CN" w:bidi="en-US"/>
        </w:rPr>
        <w:t>依</w:t>
      </w:r>
      <w:r>
        <w:rPr>
          <w:b/>
          <w:bCs/>
          <w:sz w:val="24"/>
          <w:szCs w:val="24"/>
        </w:rPr>
        <w:t>据。</w:t>
      </w:r>
    </w:p>
    <w:p w14:paraId="7570F561">
      <w:pPr>
        <w:pStyle w:val="29"/>
        <w:numPr>
          <w:ilvl w:val="0"/>
          <w:numId w:val="31"/>
        </w:numPr>
        <w:tabs>
          <w:tab w:val="left" w:pos="730"/>
        </w:tabs>
        <w:spacing w:after="180" w:line="460" w:lineRule="exact"/>
        <w:ind w:firstLine="482" w:firstLineChars="200"/>
        <w:jc w:val="both"/>
        <w:rPr>
          <w:b/>
          <w:bCs/>
          <w:sz w:val="24"/>
          <w:szCs w:val="24"/>
        </w:rPr>
      </w:pPr>
      <w:bookmarkStart w:id="414" w:name="bookmark556"/>
      <w:bookmarkEnd w:id="414"/>
      <w:r>
        <w:rPr>
          <w:b/>
          <w:bCs/>
          <w:sz w:val="24"/>
          <w:szCs w:val="24"/>
        </w:rPr>
        <w:t>投诉书的投诉请求应与投诉事项相关。</w:t>
      </w:r>
    </w:p>
    <w:p w14:paraId="01E6619B">
      <w:pPr>
        <w:pStyle w:val="29"/>
        <w:tabs>
          <w:tab w:val="left" w:pos="-725"/>
          <w:tab w:val="left" w:pos="200"/>
        </w:tabs>
        <w:spacing w:after="180" w:line="300" w:lineRule="exact"/>
        <w:ind w:left="460" w:firstLine="482" w:firstLineChars="200"/>
        <w:jc w:val="both"/>
        <w:rPr>
          <w:b/>
          <w:bCs/>
          <w:sz w:val="24"/>
          <w:szCs w:val="24"/>
        </w:rPr>
      </w:pPr>
      <w:bookmarkStart w:id="415" w:name="bookmark557"/>
      <w:bookmarkEnd w:id="415"/>
      <w:r>
        <w:rPr>
          <w:rFonts w:hint="eastAsia"/>
          <w:b/>
          <w:bCs/>
          <w:sz w:val="24"/>
          <w:szCs w:val="24"/>
          <w:lang w:val="en-US" w:eastAsia="zh-CN"/>
        </w:rPr>
        <w:t>6.</w:t>
      </w:r>
      <w:r>
        <w:rPr>
          <w:b/>
          <w:bCs/>
          <w:sz w:val="24"/>
          <w:szCs w:val="24"/>
        </w:rPr>
        <w:t>投诉人为法人或者</w:t>
      </w:r>
      <w:r>
        <w:rPr>
          <w:b/>
          <w:bCs/>
          <w:sz w:val="24"/>
          <w:szCs w:val="24"/>
          <w:lang w:val="zh-CN" w:eastAsia="zh-CN" w:bidi="zh-CN"/>
        </w:rPr>
        <w:t>其他</w:t>
      </w:r>
      <w:r>
        <w:rPr>
          <w:rFonts w:hint="eastAsia"/>
          <w:b/>
          <w:bCs/>
          <w:sz w:val="24"/>
          <w:szCs w:val="24"/>
          <w:lang w:val="zh-CN" w:eastAsia="zh-CN" w:bidi="zh-CN"/>
        </w:rPr>
        <w:t>组织</w:t>
      </w:r>
      <w:r>
        <w:rPr>
          <w:b/>
          <w:bCs/>
          <w:sz w:val="24"/>
          <w:szCs w:val="24"/>
        </w:rPr>
        <w:t>的，投诉书应由法定代表人、主要负责人，或者其授权代</w:t>
      </w:r>
      <w:r>
        <w:rPr>
          <w:rFonts w:hint="eastAsia"/>
          <w:b/>
          <w:bCs/>
          <w:sz w:val="24"/>
          <w:szCs w:val="24"/>
          <w:lang w:eastAsia="zh-CN"/>
        </w:rPr>
        <w:t>表签字或者盖章，并加盖公章。</w:t>
      </w:r>
      <w:r>
        <w:rPr>
          <w:b/>
          <w:bCs/>
          <w:sz w:val="24"/>
          <w:szCs w:val="24"/>
        </w:rPr>
        <w:t xml:space="preserve"> </w:t>
      </w:r>
      <w:r>
        <w:rPr>
          <w:b/>
          <w:bCs/>
          <w:sz w:val="24"/>
          <w:szCs w:val="24"/>
          <w:u w:val="single"/>
        </w:rPr>
        <w:t xml:space="preserve"> </w:t>
      </w:r>
    </w:p>
    <w:sectPr>
      <w:footerReference r:id="rId41" w:type="default"/>
      <w:footerReference r:id="rId42" w:type="even"/>
      <w:pgSz w:w="11900" w:h="16840"/>
      <w:pgMar w:top="965" w:right="1090" w:bottom="1115" w:left="1105" w:header="537" w:footer="85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宋体..摺夋.">
    <w:altName w:val="宋体"/>
    <w:panose1 w:val="00000000000000000000"/>
    <w:charset w:val="86"/>
    <w:family w:val="roman"/>
    <w:pitch w:val="default"/>
    <w:sig w:usb0="00000000" w:usb1="00000000" w:usb2="00000010" w:usb3="00000000" w:csb0="00040000" w:csb1="00000000"/>
  </w:font>
  <w:font w:name="Times New Roman)">
    <w:altName w:val="Times New Roman"/>
    <w:panose1 w:val="00000000000000000000"/>
    <w:charset w:val="00"/>
    <w:family w:val="auto"/>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6AE7D">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A1B56">
    <w:pPr>
      <w:spacing w:line="1" w:lineRule="exact"/>
    </w:pPr>
    <w:r>
      <w:rPr>
        <w:lang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5CC7D">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085CC7D">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BE7DF">
    <w:pPr>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34701">
    <w:pPr>
      <w:spacing w:line="1" w:lineRule="exact"/>
    </w:pPr>
    <w:r>
      <w:rPr>
        <w:lang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13538">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vceotAgAAV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pvceotAgAAVwQAAA4AAAAAAAAAAQAgAAAAHwEAAGRycy9lMm9Eb2MueG1sUEsFBgAAAAAG&#10;AAYAWQEAAL4FAAAAAA==&#10;">
              <v:fill on="f" focussize="0,0"/>
              <v:stroke on="f" weight="0.5pt"/>
              <v:imagedata o:title=""/>
              <o:lock v:ext="edit" aspectratio="f"/>
              <v:textbox inset="0mm,0mm,0mm,0mm" style="mso-fit-shape-to-text:t;">
                <w:txbxContent>
                  <w:p w14:paraId="18913538">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7287">
    <w:pPr>
      <w:spacing w:line="1" w:lineRule="exac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777C2">
    <w:pPr>
      <w:spacing w:line="1" w:lineRule="exact"/>
    </w:pPr>
    <w:r>
      <w:rPr>
        <w:lang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F8158">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iIqotAgAAV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IiIqotAgAAVwQAAA4AAAAAAAAAAQAgAAAAHwEAAGRycy9lMm9Eb2MueG1sUEsFBgAAAAAG&#10;AAYAWQEAAL4FAAAAAA==&#10;">
              <v:fill on="f" focussize="0,0"/>
              <v:stroke on="f" weight="0.5pt"/>
              <v:imagedata o:title=""/>
              <o:lock v:ext="edit" aspectratio="f"/>
              <v:textbox inset="0mm,0mm,0mm,0mm" style="mso-fit-shape-to-text:t;">
                <w:txbxContent>
                  <w:p w14:paraId="2C8F8158">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87468">
    <w:pPr>
      <w:spacing w:line="1" w:lineRule="exact"/>
    </w:pPr>
    <w:r>
      <w:rPr>
        <w:lang w:eastAsia="zh-CN" w:bidi="ar-SA"/>
      </w:rPr>
      <mc:AlternateContent>
        <mc:Choice Requires="wps">
          <w:drawing>
            <wp:anchor distT="0" distB="0" distL="0" distR="0" simplePos="0" relativeHeight="251661312" behindDoc="1" locked="0" layoutInCell="1" allowOverlap="1">
              <wp:simplePos x="0" y="0"/>
              <wp:positionH relativeFrom="page">
                <wp:posOffset>3707765</wp:posOffset>
              </wp:positionH>
              <wp:positionV relativeFrom="page">
                <wp:posOffset>9994900</wp:posOffset>
              </wp:positionV>
              <wp:extent cx="95250" cy="85725"/>
              <wp:effectExtent l="0" t="0" r="0" b="0"/>
              <wp:wrapNone/>
              <wp:docPr id="7" name="Shape 33"/>
              <wp:cNvGraphicFramePr/>
              <a:graphic xmlns:a="http://schemas.openxmlformats.org/drawingml/2006/main">
                <a:graphicData uri="http://schemas.microsoft.com/office/word/2010/wordprocessingShape">
                  <wps:wsp>
                    <wps:cNvSpPr txBox="1"/>
                    <wps:spPr>
                      <a:xfrm>
                        <a:off x="0" y="0"/>
                        <a:ext cx="95250" cy="85725"/>
                      </a:xfrm>
                      <a:prstGeom prst="rect">
                        <a:avLst/>
                      </a:prstGeom>
                      <a:noFill/>
                    </wps:spPr>
                    <wps:txbx>
                      <w:txbxContent>
                        <w:p w14:paraId="38B6351B">
                          <w:pPr>
                            <w:pStyle w:val="47"/>
                            <w:rPr>
                              <w:sz w:val="18"/>
                              <w:szCs w:val="18"/>
                            </w:rPr>
                          </w:pPr>
                          <w:r>
                            <w:fldChar w:fldCharType="begin"/>
                          </w:r>
                          <w:r>
                            <w:instrText xml:space="preserve"> PAGE \* MERGEFORMAT </w:instrText>
                          </w:r>
                          <w:r>
                            <w:fldChar w:fldCharType="separate"/>
                          </w:r>
                          <w:r>
                            <w:rPr>
                              <w:b/>
                              <w:bCs/>
                              <w:i w:val="0"/>
                              <w:iCs w:val="0"/>
                              <w:sz w:val="18"/>
                              <w:szCs w:val="18"/>
                            </w:rPr>
                            <w:t>#</w:t>
                          </w:r>
                          <w:r>
                            <w:rPr>
                              <w:b/>
                              <w:bCs/>
                              <w:i w:val="0"/>
                              <w:iCs w:val="0"/>
                              <w:sz w:val="18"/>
                              <w:szCs w:val="18"/>
                            </w:rPr>
                            <w:fldChar w:fldCharType="end"/>
                          </w:r>
                        </w:p>
                      </w:txbxContent>
                    </wps:txbx>
                    <wps:bodyPr wrap="none" lIns="0" tIns="0" rIns="0" bIns="0">
                      <a:spAutoFit/>
                    </wps:bodyPr>
                  </wps:wsp>
                </a:graphicData>
              </a:graphic>
            </wp:anchor>
          </w:drawing>
        </mc:Choice>
        <mc:Fallback>
          <w:pict>
            <v:shape id="Shape 33" o:spid="_x0000_s1026" o:spt="202" type="#_x0000_t202" style="position:absolute;left:0pt;margin-left:291.95pt;margin-top:787pt;height:6.75pt;width:7.5pt;mso-position-horizontal-relative:page;mso-position-vertical-relative:page;mso-wrap-style:none;z-index:-251655168;mso-width-relative:page;mso-height-relative:page;" filled="f" stroked="f" coordsize="21600,21600" o:gfxdata="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rGqUbXAAAA&#10;DQEAAA8AAAAAAAAAAQAgAAAAIgAAAGRycy9kb3ducmV2LnhtbFBLAQIUABQAAAAIAIdO4kA1mmhn&#10;rAEAAG4DAAAOAAAAAAAAAAEAIAAAACYBAABkcnMvZTJvRG9jLnhtbFBLBQYAAAAABgAGAFkBAABE&#10;BQAAAAA=&#10;">
              <v:fill on="f" focussize="0,0"/>
              <v:stroke on="f"/>
              <v:imagedata o:title=""/>
              <o:lock v:ext="edit" aspectratio="f"/>
              <v:textbox inset="0mm,0mm,0mm,0mm" style="mso-fit-shape-to-text:t;">
                <w:txbxContent>
                  <w:p w14:paraId="38B6351B">
                    <w:pPr>
                      <w:pStyle w:val="47"/>
                      <w:rPr>
                        <w:sz w:val="18"/>
                        <w:szCs w:val="18"/>
                      </w:rPr>
                    </w:pPr>
                    <w:r>
                      <w:fldChar w:fldCharType="begin"/>
                    </w:r>
                    <w:r>
                      <w:instrText xml:space="preserve"> PAGE \* MERGEFORMAT </w:instrText>
                    </w:r>
                    <w:r>
                      <w:fldChar w:fldCharType="separate"/>
                    </w:r>
                    <w:r>
                      <w:rPr>
                        <w:b/>
                        <w:bCs/>
                        <w:i w:val="0"/>
                        <w:iCs w:val="0"/>
                        <w:sz w:val="18"/>
                        <w:szCs w:val="18"/>
                      </w:rPr>
                      <w:t>#</w:t>
                    </w:r>
                    <w:r>
                      <w:rPr>
                        <w:b/>
                        <w:bCs/>
                        <w:i w:val="0"/>
                        <w:iCs w:val="0"/>
                        <w:sz w:val="18"/>
                        <w:szCs w:val="18"/>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11A7D">
    <w:pPr>
      <w:spacing w:line="1" w:lineRule="exact"/>
    </w:pPr>
    <w:r>
      <w:rPr>
        <w:lang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41591">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ij4t8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Pi3ywCAABXBAAADgAAAAAAAAABACAAAAAfAQAAZHJzL2Uyb0RvYy54bWxQSwUGAAAAAAYA&#10;BgBZAQAAvQUAAAAA&#10;">
              <v:fill on="f" focussize="0,0"/>
              <v:stroke on="f" weight="0.5pt"/>
              <v:imagedata o:title=""/>
              <o:lock v:ext="edit" aspectratio="f"/>
              <v:textbox inset="0mm,0mm,0mm,0mm" style="mso-fit-shape-to-text:t;">
                <w:txbxContent>
                  <w:p w14:paraId="2FB41591">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C6CA2">
    <w:pPr>
      <w:spacing w:line="1" w:lineRule="exac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69FE6">
    <w:pPr>
      <w:pStyle w:val="9"/>
      <w:jc w:val="center"/>
    </w:pPr>
    <w:r>
      <w:rPr>
        <w:lang w:eastAsia="zh-CN"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88EAC">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usZ8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Os3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DusZ8tAgAAVwQAAA4AAAAAAAAAAQAgAAAAHwEAAGRycy9lMm9Eb2MueG1sUEsFBgAAAAAG&#10;AAYAWQEAAL4FAAAAAA==&#10;">
              <v:fill on="f" focussize="0,0"/>
              <v:stroke on="f" weight="0.5pt"/>
              <v:imagedata o:title=""/>
              <o:lock v:ext="edit" aspectratio="f"/>
              <v:textbox inset="0mm,0mm,0mm,0mm" style="mso-fit-shape-to-text:t;">
                <w:txbxContent>
                  <w:p w14:paraId="14588EAC">
                    <w:pPr>
                      <w:pStyle w:val="9"/>
                    </w:pPr>
                    <w:r>
                      <w:fldChar w:fldCharType="begin"/>
                    </w:r>
                    <w:r>
                      <w:instrText xml:space="preserve"> PAGE  \* MERGEFORMAT </w:instrText>
                    </w:r>
                    <w:r>
                      <w:fldChar w:fldCharType="separate"/>
                    </w:r>
                    <w:r>
                      <w:t>46</w:t>
                    </w:r>
                    <w:r>
                      <w:fldChar w:fldCharType="end"/>
                    </w:r>
                  </w:p>
                </w:txbxContent>
              </v:textbox>
            </v:shape>
          </w:pict>
        </mc:Fallback>
      </mc:AlternateContent>
    </w:r>
  </w:p>
  <w:p w14:paraId="032722A7">
    <w:pPr>
      <w:pStyle w:val="9"/>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69DB4">
    <w:pPr>
      <w:spacing w:line="1" w:lineRule="exact"/>
    </w:pPr>
    <w:r>
      <w:rPr>
        <w:lang w:eastAsia="zh-CN" w:bidi="ar-S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3905A">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243905A">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103BD">
    <w:pPr>
      <w:spacing w:line="1" w:lineRule="exact"/>
    </w:pPr>
    <w:r>
      <w:rPr>
        <w:lang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323FC">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E67A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e8TrsCwCAABXBAAADgAAAAAAAAABACAAAAAfAQAAZHJzL2Uyb0RvYy54bWxQSwUGAAAAAAYA&#10;BgBZAQAAvQUAAAAA&#10;">
              <v:fill on="f" focussize="0,0"/>
              <v:stroke on="f" weight="0.5pt"/>
              <v:imagedata o:title=""/>
              <o:lock v:ext="edit" aspectratio="f"/>
              <v:textbox inset="0mm,0mm,0mm,0mm" style="mso-fit-shape-to-text:t;">
                <w:txbxContent>
                  <w:p w14:paraId="490323FC">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9A519">
    <w:pPr>
      <w:spacing w:line="1" w:lineRule="exac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9B888">
    <w:pPr>
      <w:spacing w:line="1" w:lineRule="exact"/>
    </w:pPr>
    <w:r>
      <w:rPr>
        <w:lang w:eastAsia="zh-CN" w:bidi="ar-SA"/>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F7166">
                          <w:pPr>
                            <w:pStyle w:val="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DEF7166">
                    <w:pPr>
                      <w:pStyle w:val="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0A243">
    <w:pPr>
      <w:spacing w:line="1" w:lineRule="exact"/>
    </w:pPr>
    <w:r>
      <w:rPr>
        <w:lang w:eastAsia="zh-CN" w:bidi="ar-SA"/>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9D58F">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zF+A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Wx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IMxfgKwIAAFcEAAAOAAAAAAAAAAEAIAAAAB8BAABkcnMvZTJvRG9jLnhtbFBLBQYAAAAABgAG&#10;AFkBAAC8BQAAAAA=&#10;">
              <v:fill on="f" focussize="0,0"/>
              <v:stroke on="f" weight="0.5pt"/>
              <v:imagedata o:title=""/>
              <o:lock v:ext="edit" aspectratio="f"/>
              <v:textbox inset="0mm,0mm,0mm,0mm" style="mso-fit-shape-to-text:t;">
                <w:txbxContent>
                  <w:p w14:paraId="0BA9D58F">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3485D">
    <w:pPr>
      <w:spacing w:line="1" w:lineRule="exac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37DAE">
    <w:pPr>
      <w:spacing w:line="1" w:lineRule="exact"/>
    </w:pPr>
    <w:r>
      <w:rPr>
        <w:lang w:eastAsia="zh-CN" w:bidi="ar-SA"/>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D83CB">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l4i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8OXiICwCAABXBAAADgAAAAAAAAABACAAAAAfAQAAZHJzL2Uyb0RvYy54bWxQSwUGAAAAAAYA&#10;BgBZAQAAvQUAAAAA&#10;">
              <v:fill on="f" focussize="0,0"/>
              <v:stroke on="f" weight="0.5pt"/>
              <v:imagedata o:title=""/>
              <o:lock v:ext="edit" aspectratio="f"/>
              <v:textbox inset="0mm,0mm,0mm,0mm" style="mso-fit-shape-to-text:t;">
                <w:txbxContent>
                  <w:p w14:paraId="08AD83CB">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821C9">
    <w:pPr>
      <w:spacing w:line="1" w:lineRule="exact"/>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750A4">
    <w:pPr>
      <w:spacing w:line="1" w:lineRule="exact"/>
    </w:pPr>
    <w:r>
      <w:rPr>
        <w:lang w:eastAsia="zh-CN" w:bidi="ar-SA"/>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7AE5F">
                          <w:pPr>
                            <w:pStyle w:val="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osWA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iosWAtAgAAVwQAAA4AAAAAAAAAAQAgAAAAHwEAAGRycy9lMm9Eb2MueG1sUEsFBgAAAAAG&#10;AAYAWQEAAL4FAAAAAA==&#10;">
              <v:fill on="f" focussize="0,0"/>
              <v:stroke on="f" weight="0.5pt"/>
              <v:imagedata o:title=""/>
              <o:lock v:ext="edit" aspectratio="f"/>
              <v:textbox inset="0mm,0mm,0mm,0mm" style="mso-fit-shape-to-text:t;">
                <w:txbxContent>
                  <w:p w14:paraId="52E7AE5F">
                    <w:pPr>
                      <w:pStyle w:val="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ACBF3">
    <w:pPr>
      <w:spacing w:line="1" w:lineRule="exact"/>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839EC">
    <w:pPr>
      <w:spacing w:line="1" w:lineRule="exact"/>
    </w:pPr>
    <w:r>
      <w:rPr>
        <w:lang w:eastAsia="zh-CN" w:bidi="ar-SA"/>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0A279">
                          <w:pPr>
                            <w:pStyle w:val="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OeHo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FOeHotAgAAVwQAAA4AAAAAAAAAAQAgAAAAHwEAAGRycy9lMm9Eb2MueG1sUEsFBgAAAAAG&#10;AAYAWQEAAL4FAAAAAA==&#10;">
              <v:fill on="f" focussize="0,0"/>
              <v:stroke on="f" weight="0.5pt"/>
              <v:imagedata o:title=""/>
              <o:lock v:ext="edit" aspectratio="f"/>
              <v:textbox inset="0mm,0mm,0mm,0mm" style="mso-fit-shape-to-text:t;">
                <w:txbxContent>
                  <w:p w14:paraId="2480A279">
                    <w:pPr>
                      <w:pStyle w:val="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19501">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72A11">
    <w:pPr>
      <w:spacing w:line="1" w:lineRule="exact"/>
    </w:pPr>
    <w:r>
      <w:rPr>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C467D">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D5C467D">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87D5C">
    <w:pPr>
      <w:spacing w:line="1" w:lineRule="exact"/>
    </w:pPr>
    <w:r>
      <w:rPr>
        <w:lang w:eastAsia="zh-CN" w:bidi="ar-SA"/>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F779D">
                          <w:pPr>
                            <w:pStyle w:val="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DKzo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kDKzotAgAAVwQAAA4AAAAAAAAAAQAgAAAAHwEAAGRycy9lMm9Eb2MueG1sUEsFBgAAAAAG&#10;AAYAWQEAAL4FAAAAAA==&#10;">
              <v:fill on="f" focussize="0,0"/>
              <v:stroke on="f" weight="0.5pt"/>
              <v:imagedata o:title=""/>
              <o:lock v:ext="edit" aspectratio="f"/>
              <v:textbox inset="0mm,0mm,0mm,0mm" style="mso-fit-shape-to-text:t;">
                <w:txbxContent>
                  <w:p w14:paraId="2C5F779D">
                    <w:pPr>
                      <w:pStyle w:val="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65812">
    <w:pPr>
      <w:spacing w:line="1" w:lineRule="exact"/>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33C8C">
    <w:pPr>
      <w:spacing w:line="1" w:lineRule="exact"/>
    </w:pPr>
    <w:r>
      <w:rPr>
        <w:lang w:eastAsia="zh-CN" w:bidi="ar-SA"/>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6C869">
                          <w:pPr>
                            <w:pStyle w:val="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V3vo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u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EdXe+iwCAABXBAAADgAAAAAAAAABACAAAAAfAQAAZHJzL2Uyb0RvYy54bWxQSwUGAAAAAAYA&#10;BgBZAQAAvQUAAAAA&#10;">
              <v:fill on="f" focussize="0,0"/>
              <v:stroke on="f" weight="0.5pt"/>
              <v:imagedata o:title=""/>
              <o:lock v:ext="edit" aspectratio="f"/>
              <v:textbox inset="0mm,0mm,0mm,0mm" style="mso-fit-shape-to-text:t;">
                <w:txbxContent>
                  <w:p w14:paraId="2EC6C869">
                    <w:pPr>
                      <w:pStyle w:val="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411CF">
    <w:pPr>
      <w:spacing w:line="1" w:lineRule="exact"/>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D0833">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7A8F3A">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a8Vaw6AgAAc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aW9fs&#10;6v4BJtGysNH3lsc0USpvl/sAaZPiUaBeFXQqHjCLqWfnvYnD/uc5RT3+V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WvFWsOgIAAHMEAAAOAAAAAAAAAAEAIAAAAB8BAABkcnMvZTJvRG9j&#10;LnhtbFBLBQYAAAAABgAGAFkBAADLBQAAAAA=&#10;">
              <v:fill on="f" focussize="0,0"/>
              <v:stroke on="f" weight="0.5pt"/>
              <v:imagedata o:title=""/>
              <o:lock v:ext="edit" aspectratio="f"/>
              <v:textbox inset="0mm,0mm,0mm,0mm" style="mso-fit-shape-to-text:t;">
                <w:txbxContent>
                  <w:p w14:paraId="297A8F3A">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76162">
    <w:pPr>
      <w:spacing w:line="1" w:lineRule="exact"/>
    </w:pPr>
    <w:r>
      <w:rPr>
        <w:lang w:eastAsia="zh-CN" w:bidi="ar-SA"/>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10BEE">
                          <w:pPr>
                            <w:pStyle w:val="9"/>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ZTc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IxlNzywCAABXBAAADgAAAAAAAAABACAAAAAfAQAAZHJzL2Uyb0RvYy54bWxQSwUGAAAAAAYA&#10;BgBZAQAAvQUAAAAA&#10;">
              <v:fill on="f" focussize="0,0"/>
              <v:stroke on="f" weight="0.5pt"/>
              <v:imagedata o:title=""/>
              <o:lock v:ext="edit" aspectratio="f"/>
              <v:textbox inset="0mm,0mm,0mm,0mm" style="mso-fit-shape-to-text:t;">
                <w:txbxContent>
                  <w:p w14:paraId="5B510BEE">
                    <w:pPr>
                      <w:pStyle w:val="9"/>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85643">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4801D">
    <w:r>
      <w:rPr>
        <w:lang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9F38B">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JuPAsAgAAVw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4m48CwCAABXBAAADgAAAAAAAAABACAAAAAfAQAAZHJzL2Uyb0RvYy54bWxQSwUGAAAAAAYA&#10;BgBZAQAAvQUAAAAA&#10;">
              <v:fill on="f" focussize="0,0"/>
              <v:stroke on="f" weight="0.5pt"/>
              <v:imagedata o:title=""/>
              <o:lock v:ext="edit" aspectratio="f"/>
              <v:textbox inset="0mm,0mm,0mm,0mm" style="mso-fit-shape-to-text:t;">
                <w:txbxContent>
                  <w:p w14:paraId="04F9F38B">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C68A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82624">
    <w:pPr>
      <w:spacing w:line="1" w:lineRule="exact"/>
    </w:pPr>
    <w:r>
      <w:rPr>
        <w:lang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E5D21">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fTTA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tfTTAtAgAAVwQAAA4AAAAAAAAAAQAgAAAAHwEAAGRycy9lMm9Eb2MueG1sUEsFBgAAAAAG&#10;AAYAWQEAAL4FAAAAAA==&#10;">
              <v:fill on="f" focussize="0,0"/>
              <v:stroke on="f" weight="0.5pt"/>
              <v:imagedata o:title=""/>
              <o:lock v:ext="edit" aspectratio="f"/>
              <v:textbox inset="0mm,0mm,0mm,0mm" style="mso-fit-shape-to-text:t;">
                <w:txbxContent>
                  <w:p w14:paraId="1ACE5D21">
                    <w:pPr>
                      <w:pStyle w:val="9"/>
                    </w:pPr>
                    <w:r>
                      <w:fldChar w:fldCharType="begin"/>
                    </w:r>
                    <w:r>
                      <w:instrText xml:space="preserve"> PAGE  \* MERGEFORMAT </w:instrText>
                    </w:r>
                    <w:r>
                      <w:fldChar w:fldCharType="separate"/>
                    </w:r>
                    <w:r>
                      <w:t>14</w:t>
                    </w:r>
                    <w:r>
                      <w:fldChar w:fldCharType="end"/>
                    </w:r>
                  </w:p>
                </w:txbxContent>
              </v:textbox>
            </v:shape>
          </w:pict>
        </mc:Fallback>
      </mc:AlternateContent>
    </w:r>
    <w:r>
      <w:rPr>
        <w:lang w:eastAsia="zh-CN" w:bidi="ar-SA"/>
      </w:rPr>
      <mc:AlternateContent>
        <mc:Choice Requires="wps">
          <w:drawing>
            <wp:anchor distT="0" distB="0" distL="0" distR="0" simplePos="0" relativeHeight="251660288" behindDoc="1" locked="0" layoutInCell="1" allowOverlap="1">
              <wp:simplePos x="0" y="0"/>
              <wp:positionH relativeFrom="page">
                <wp:posOffset>3529330</wp:posOffset>
              </wp:positionH>
              <wp:positionV relativeFrom="page">
                <wp:posOffset>9994900</wp:posOffset>
              </wp:positionV>
              <wp:extent cx="224790" cy="76200"/>
              <wp:effectExtent l="0" t="0" r="0" b="0"/>
              <wp:wrapNone/>
              <wp:docPr id="3" name="Shape 3"/>
              <wp:cNvGraphicFramePr/>
              <a:graphic xmlns:a="http://schemas.openxmlformats.org/drawingml/2006/main">
                <a:graphicData uri="http://schemas.microsoft.com/office/word/2010/wordprocessingShape">
                  <wps:wsp>
                    <wps:cNvSpPr txBox="1"/>
                    <wps:spPr>
                      <a:xfrm flipH="1">
                        <a:off x="0" y="0"/>
                        <a:ext cx="224790" cy="76200"/>
                      </a:xfrm>
                      <a:prstGeom prst="rect">
                        <a:avLst/>
                      </a:prstGeom>
                      <a:noFill/>
                    </wps:spPr>
                    <wps:txbx>
                      <w:txbxContent>
                        <w:p w14:paraId="3ED7A761">
                          <w:pPr>
                            <w:pStyle w:val="39"/>
                            <w:rPr>
                              <w:sz w:val="22"/>
                              <w:szCs w:val="22"/>
                            </w:rPr>
                          </w:pPr>
                          <w:r>
                            <w:rPr>
                              <w:i/>
                              <w:iCs/>
                              <w:sz w:val="22"/>
                              <w:szCs w:val="22"/>
                            </w:rPr>
                            <w:t>2</w:t>
                          </w:r>
                        </w:p>
                      </w:txbxContent>
                    </wps:txbx>
                    <wps:bodyPr wrap="square" lIns="0" tIns="0" rIns="0" bIns="0">
                      <a:noAutofit/>
                    </wps:bodyPr>
                  </wps:wsp>
                </a:graphicData>
              </a:graphic>
            </wp:anchor>
          </w:drawing>
        </mc:Choice>
        <mc:Fallback>
          <w:pict>
            <v:shape id="Shape 3" o:spid="_x0000_s1026" o:spt="202" type="#_x0000_t202" style="position:absolute;left:0pt;flip:x;margin-left:277.9pt;margin-top:787pt;height:6pt;width:17.7pt;mso-position-horizontal-relative:page;mso-position-vertical-relative:page;z-index:-251656192;mso-width-relative:page;mso-height-relative:page;" filled="f" stroked="f" coordsize="21600,21600" o:gfxdata="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ZWkQN2gAAAA0BAAAPAAAAAAAAAAEAIAAAACIAAABkcnMvZG93bnJldi54bWxQSwECFAAUAAAA&#10;CACHTuJAtYRzSrMBAAB6AwAADgAAAAAAAAABACAAAAApAQAAZHJzL2Uyb0RvYy54bWxQSwUGAAAA&#10;AAYABgBZAQAATgUAAAAA&#10;">
              <v:fill on="f" focussize="0,0"/>
              <v:stroke on="f"/>
              <v:imagedata o:title=""/>
              <o:lock v:ext="edit" aspectratio="f"/>
              <v:textbox inset="0mm,0mm,0mm,0mm">
                <w:txbxContent>
                  <w:p w14:paraId="3ED7A761">
                    <w:pPr>
                      <w:pStyle w:val="39"/>
                      <w:rPr>
                        <w:sz w:val="22"/>
                        <w:szCs w:val="22"/>
                      </w:rPr>
                    </w:pPr>
                    <w:r>
                      <w:rPr>
                        <w:i/>
                        <w:iCs/>
                        <w:sz w:val="22"/>
                        <w:szCs w:val="22"/>
                      </w:rPr>
                      <w:t>2</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4943">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3754120</wp:posOffset>
              </wp:positionH>
              <wp:positionV relativeFrom="page">
                <wp:posOffset>9994900</wp:posOffset>
              </wp:positionV>
              <wp:extent cx="47625" cy="95250"/>
              <wp:effectExtent l="0" t="0" r="0" b="0"/>
              <wp:wrapNone/>
              <wp:docPr id="5" name="Shape 5"/>
              <wp:cNvGraphicFramePr/>
              <a:graphic xmlns:a="http://schemas.openxmlformats.org/drawingml/2006/main">
                <a:graphicData uri="http://schemas.microsoft.com/office/word/2010/wordprocessingShape">
                  <wps:wsp>
                    <wps:cNvSpPr txBox="1"/>
                    <wps:spPr>
                      <a:xfrm>
                        <a:off x="0" y="0"/>
                        <a:ext cx="47625" cy="95250"/>
                      </a:xfrm>
                      <a:prstGeom prst="rect">
                        <a:avLst/>
                      </a:prstGeom>
                      <a:noFill/>
                    </wps:spPr>
                    <wps:txbx>
                      <w:txbxContent>
                        <w:p w14:paraId="5EF0141F">
                          <w:pPr>
                            <w:pStyle w:val="39"/>
                            <w:rPr>
                              <w:sz w:val="22"/>
                              <w:szCs w:val="22"/>
                            </w:rPr>
                          </w:pPr>
                          <w:r>
                            <w:rPr>
                              <w:i/>
                              <w:iCs/>
                              <w:sz w:val="22"/>
                              <w:szCs w:val="22"/>
                            </w:rPr>
                            <w:t>2</w:t>
                          </w:r>
                        </w:p>
                      </w:txbxContent>
                    </wps:txbx>
                    <wps:bodyPr wrap="none" lIns="0" tIns="0" rIns="0" bIns="0">
                      <a:spAutoFit/>
                    </wps:bodyPr>
                  </wps:wsp>
                </a:graphicData>
              </a:graphic>
            </wp:anchor>
          </w:drawing>
        </mc:Choice>
        <mc:Fallback>
          <w:pict>
            <v:shape id="Shape 5" o:spid="_x0000_s1026" o:spt="202" type="#_x0000_t202" style="position:absolute;left:0pt;margin-left:295.6pt;margin-top:787pt;height:7.5pt;width:3.75pt;mso-position-horizontal-relative:page;mso-position-vertical-relative:page;mso-wrap-style:none;z-index:-251657216;mso-width-relative:page;mso-height-relative:page;" filled="f" stroked="f" coordsize="21600,21600" o:gfxdata="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vAbpv2AAA&#10;AA0BAAAPAAAAAAAAAAEAIAAAACIAAABkcnMvZG93bnJldi54bWxQSwECFAAUAAAACACHTuJAmbPW&#10;rawBAABtAwAADgAAAAAAAAABACAAAAAnAQAAZHJzL2Uyb0RvYy54bWxQSwUGAAAAAAYABgBZAQAA&#10;RQUAAAAA&#10;">
              <v:fill on="f" focussize="0,0"/>
              <v:stroke on="f"/>
              <v:imagedata o:title=""/>
              <o:lock v:ext="edit" aspectratio="f"/>
              <v:textbox inset="0mm,0mm,0mm,0mm" style="mso-fit-shape-to-text:t;">
                <w:txbxContent>
                  <w:p w14:paraId="5EF0141F">
                    <w:pPr>
                      <w:pStyle w:val="39"/>
                      <w:rPr>
                        <w:sz w:val="22"/>
                        <w:szCs w:val="22"/>
                      </w:rPr>
                    </w:pPr>
                    <w:r>
                      <w:rPr>
                        <w:i/>
                        <w:iCs/>
                        <w:sz w:val="22"/>
                        <w:szCs w:val="22"/>
                      </w:rPr>
                      <w:t>2</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6D02B">
    <w:pPr>
      <w:spacing w:line="1" w:lineRule="exact"/>
    </w:pPr>
    <w:r>
      <w:rPr>
        <w:lang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32D14">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SHnA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MSHnAtAgAAVwQAAA4AAAAAAAAAAQAgAAAAHwEAAGRycy9lMm9Eb2MueG1sUEsFBgAAAAAG&#10;AAYAWQEAAL4FAAAAAA==&#10;">
              <v:fill on="f" focussize="0,0"/>
              <v:stroke on="f" weight="0.5pt"/>
              <v:imagedata o:title=""/>
              <o:lock v:ext="edit" aspectratio="f"/>
              <v:textbox inset="0mm,0mm,0mm,0mm" style="mso-fit-shape-to-text:t;">
                <w:txbxContent>
                  <w:p w14:paraId="75432D14">
                    <w:pPr>
                      <w:pStyle w:val="9"/>
                    </w:pPr>
                    <w:r>
                      <w:fldChar w:fldCharType="begin"/>
                    </w:r>
                    <w:r>
                      <w:instrText xml:space="preserve"> PAGE  \* MERGEFORMAT </w:instrText>
                    </w:r>
                    <w:r>
                      <w:fldChar w:fldCharType="separate"/>
                    </w:r>
                    <w:r>
                      <w:t>15</w:t>
                    </w:r>
                    <w:r>
                      <w:fldChar w:fldCharType="end"/>
                    </w:r>
                  </w:p>
                </w:txbxContent>
              </v:textbox>
            </v:shape>
          </w:pict>
        </mc:Fallback>
      </mc:AlternateContent>
    </w:r>
    <w:r>
      <w:rPr>
        <w:lang w:eastAsia="zh-CN" w:bidi="ar-SA"/>
      </w:rPr>
      <mc:AlternateContent>
        <mc:Choice Requires="wps">
          <w:drawing>
            <wp:anchor distT="0" distB="0" distL="0" distR="0" simplePos="0" relativeHeight="251663360" behindDoc="1" locked="0" layoutInCell="1" allowOverlap="1">
              <wp:simplePos x="0" y="0"/>
              <wp:positionH relativeFrom="page">
                <wp:posOffset>3529330</wp:posOffset>
              </wp:positionH>
              <wp:positionV relativeFrom="page">
                <wp:posOffset>9994900</wp:posOffset>
              </wp:positionV>
              <wp:extent cx="224790" cy="76200"/>
              <wp:effectExtent l="0" t="0" r="0" b="0"/>
              <wp:wrapNone/>
              <wp:docPr id="46" name="Shape 3"/>
              <wp:cNvGraphicFramePr/>
              <a:graphic xmlns:a="http://schemas.openxmlformats.org/drawingml/2006/main">
                <a:graphicData uri="http://schemas.microsoft.com/office/word/2010/wordprocessingShape">
                  <wps:wsp>
                    <wps:cNvSpPr txBox="1"/>
                    <wps:spPr>
                      <a:xfrm flipH="1">
                        <a:off x="0" y="0"/>
                        <a:ext cx="224790" cy="76200"/>
                      </a:xfrm>
                      <a:prstGeom prst="rect">
                        <a:avLst/>
                      </a:prstGeom>
                      <a:noFill/>
                    </wps:spPr>
                    <wps:txbx>
                      <w:txbxContent>
                        <w:p w14:paraId="38B265B4">
                          <w:pPr>
                            <w:pStyle w:val="39"/>
                            <w:rPr>
                              <w:sz w:val="22"/>
                              <w:szCs w:val="22"/>
                            </w:rPr>
                          </w:pPr>
                          <w:r>
                            <w:rPr>
                              <w:i/>
                              <w:iCs/>
                              <w:sz w:val="22"/>
                              <w:szCs w:val="22"/>
                            </w:rPr>
                            <w:t>2</w:t>
                          </w:r>
                        </w:p>
                      </w:txbxContent>
                    </wps:txbx>
                    <wps:bodyPr wrap="square" lIns="0" tIns="0" rIns="0" bIns="0">
                      <a:noAutofit/>
                    </wps:bodyPr>
                  </wps:wsp>
                </a:graphicData>
              </a:graphic>
            </wp:anchor>
          </w:drawing>
        </mc:Choice>
        <mc:Fallback>
          <w:pict>
            <v:shape id="Shape 3" o:spid="_x0000_s1026" o:spt="202" type="#_x0000_t202" style="position:absolute;left:0pt;flip:x;margin-left:277.9pt;margin-top:787pt;height:6pt;width:17.7pt;mso-position-horizontal-relative:page;mso-position-vertical-relative:page;z-index:-251653120;mso-width-relative:page;mso-height-relative:page;" filled="f" stroked="f" coordsize="21600,21600" o:gfxdata="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ZWkQN2gAAAA0BAAAPAAAAAAAAAAEAIAAAACIAAABkcnMvZG93bnJldi54bWxQSwECFAAUAAAA&#10;CACHTuJAHBTxSrMBAAB7AwAADgAAAAAAAAABACAAAAApAQAAZHJzL2Uyb0RvYy54bWxQSwUGAAAA&#10;AAYABgBZAQAATgUAAAAA&#10;">
              <v:fill on="f" focussize="0,0"/>
              <v:stroke on="f"/>
              <v:imagedata o:title=""/>
              <o:lock v:ext="edit" aspectratio="f"/>
              <v:textbox inset="0mm,0mm,0mm,0mm">
                <w:txbxContent>
                  <w:p w14:paraId="38B265B4">
                    <w:pPr>
                      <w:pStyle w:val="39"/>
                      <w:rPr>
                        <w:sz w:val="22"/>
                        <w:szCs w:val="22"/>
                      </w:rPr>
                    </w:pPr>
                    <w:r>
                      <w:rPr>
                        <w:i/>
                        <w:iCs/>
                        <w:sz w:val="22"/>
                        <w:szCs w:val="22"/>
                      </w:rPr>
                      <w:t>2</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8CDE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5D8C9">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CA5BD">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3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
    <w:nsid w:val="845B5372"/>
    <w:multiLevelType w:val="singleLevel"/>
    <w:tmpl w:val="845B5372"/>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9288B902"/>
    <w:multiLevelType w:val="singleLevel"/>
    <w:tmpl w:val="9288B902"/>
    <w:lvl w:ilvl="0" w:tentative="0">
      <w:start w:val="24"/>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
    <w:nsid w:val="9C8AC8EF"/>
    <w:multiLevelType w:val="singleLevel"/>
    <w:tmpl w:val="9C8AC8EF"/>
    <w:lvl w:ilvl="0" w:tentative="0">
      <w:start w:val="5"/>
      <w:numFmt w:val="decimal"/>
      <w:lvlText w:val="%1."/>
      <w:lvlJc w:val="left"/>
      <w:pPr>
        <w:ind w:left="20"/>
      </w:pPr>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nsid w:val="B0F1ACD9"/>
    <w:multiLevelType w:val="singleLevel"/>
    <w:tmpl w:val="B0F1ACD9"/>
    <w:lvl w:ilvl="0" w:tentative="0">
      <w:start w:val="15"/>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5">
    <w:nsid w:val="BE923771"/>
    <w:multiLevelType w:val="singleLevel"/>
    <w:tmpl w:val="BE923771"/>
    <w:lvl w:ilvl="0" w:tentative="0">
      <w:start w:val="18"/>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6">
    <w:nsid w:val="CF092B84"/>
    <w:multiLevelType w:val="singleLevel"/>
    <w:tmpl w:val="CF092B8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7">
    <w:nsid w:val="D7F9FE59"/>
    <w:multiLevelType w:val="singleLevel"/>
    <w:tmpl w:val="D7F9FE59"/>
    <w:lvl w:ilvl="0" w:tentative="0">
      <w:start w:val="5"/>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8">
    <w:nsid w:val="E1443036"/>
    <w:multiLevelType w:val="singleLevel"/>
    <w:tmpl w:val="E1443036"/>
    <w:lvl w:ilvl="0" w:tentative="0">
      <w:start w:val="2"/>
      <w:numFmt w:val="decimal"/>
      <w:suff w:val="nothing"/>
      <w:lvlText w:val="%1）"/>
      <w:lvlJc w:val="left"/>
    </w:lvl>
  </w:abstractNum>
  <w:abstractNum w:abstractNumId="9">
    <w:nsid w:val="F3FB02F1"/>
    <w:multiLevelType w:val="singleLevel"/>
    <w:tmpl w:val="F3FB02F1"/>
    <w:lvl w:ilvl="0" w:tentative="0">
      <w:start w:val="1"/>
      <w:numFmt w:val="chineseCounting"/>
      <w:suff w:val="nothing"/>
      <w:lvlText w:val="%1、"/>
      <w:lvlJc w:val="left"/>
      <w:rPr>
        <w:rFonts w:hint="eastAsia"/>
      </w:rPr>
    </w:lvl>
  </w:abstractNum>
  <w:abstractNum w:abstractNumId="10">
    <w:nsid w:val="F4B5D9F5"/>
    <w:multiLevelType w:val="singleLevel"/>
    <w:tmpl w:val="F4B5D9F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1">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
    <w:nsid w:val="03A63A41"/>
    <w:multiLevelType w:val="singleLevel"/>
    <w:tmpl w:val="03A63A41"/>
    <w:lvl w:ilvl="0" w:tentative="0">
      <w:start w:val="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3">
    <w:nsid w:val="0F9F9CCA"/>
    <w:multiLevelType w:val="singleLevel"/>
    <w:tmpl w:val="0F9F9CC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4">
    <w:nsid w:val="1ACDE60F"/>
    <w:multiLevelType w:val="singleLevel"/>
    <w:tmpl w:val="1ACDE60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5">
    <w:nsid w:val="1C257C7B"/>
    <w:multiLevelType w:val="singleLevel"/>
    <w:tmpl w:val="1C257C7B"/>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6">
    <w:nsid w:val="243FCF68"/>
    <w:multiLevelType w:val="singleLevel"/>
    <w:tmpl w:val="243FCF68"/>
    <w:lvl w:ilvl="0" w:tentative="0">
      <w:start w:val="3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7">
    <w:nsid w:val="2470EC97"/>
    <w:multiLevelType w:val="singleLevel"/>
    <w:tmpl w:val="2470EC97"/>
    <w:lvl w:ilvl="0" w:tentative="0">
      <w:start w:val="7"/>
      <w:numFmt w:val="decimal"/>
      <w:lvlText w:val="2.%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8">
    <w:nsid w:val="27930B57"/>
    <w:multiLevelType w:val="singleLevel"/>
    <w:tmpl w:val="27930B57"/>
    <w:lvl w:ilvl="0" w:tentative="0">
      <w:start w:val="4"/>
      <w:numFmt w:val="chineseCounting"/>
      <w:suff w:val="space"/>
      <w:lvlText w:val="第%1章"/>
      <w:lvlJc w:val="left"/>
      <w:rPr>
        <w:rFonts w:hint="eastAsia"/>
      </w:rPr>
    </w:lvl>
  </w:abstractNum>
  <w:abstractNum w:abstractNumId="19">
    <w:nsid w:val="2A8F537B"/>
    <w:multiLevelType w:val="singleLevel"/>
    <w:tmpl w:val="2A8F537B"/>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20">
    <w:nsid w:val="322D85CA"/>
    <w:multiLevelType w:val="singleLevel"/>
    <w:tmpl w:val="322D85C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1">
    <w:nsid w:val="35E83B33"/>
    <w:multiLevelType w:val="singleLevel"/>
    <w:tmpl w:val="35E83B3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2">
    <w:nsid w:val="46A08BB8"/>
    <w:multiLevelType w:val="singleLevel"/>
    <w:tmpl w:val="46A08BB8"/>
    <w:lvl w:ilvl="0" w:tentative="0">
      <w:start w:val="1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3">
    <w:nsid w:val="4C1BAE26"/>
    <w:multiLevelType w:val="singleLevel"/>
    <w:tmpl w:val="4C1BAE26"/>
    <w:lvl w:ilvl="0" w:tentative="0">
      <w:start w:val="9"/>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24">
    <w:nsid w:val="4D4DC07F"/>
    <w:multiLevelType w:val="multilevel"/>
    <w:tmpl w:val="4D4DC07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lvl w:ilvl="1" w:tentative="0">
      <w:start w:val="4"/>
      <w:numFmt w:val="decimal"/>
      <w:lvlText w:val="%1.%2"/>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4D94DA66"/>
    <w:multiLevelType w:val="singleLevel"/>
    <w:tmpl w:val="4D94DA66"/>
    <w:lvl w:ilvl="0" w:tentative="0">
      <w:start w:val="3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6">
    <w:nsid w:val="5FFFB1A7"/>
    <w:multiLevelType w:val="singleLevel"/>
    <w:tmpl w:val="5FFFB1A7"/>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27">
    <w:nsid w:val="629F7852"/>
    <w:multiLevelType w:val="singleLevel"/>
    <w:tmpl w:val="629F7852"/>
    <w:lvl w:ilvl="0" w:tentative="0">
      <w:start w:val="1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8">
    <w:nsid w:val="77ECEA79"/>
    <w:multiLevelType w:val="singleLevel"/>
    <w:tmpl w:val="77ECEA79"/>
    <w:lvl w:ilvl="0" w:tentative="0">
      <w:start w:val="1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9">
    <w:nsid w:val="7C246926"/>
    <w:multiLevelType w:val="singleLevel"/>
    <w:tmpl w:val="7C246926"/>
    <w:lvl w:ilvl="0" w:tentative="0">
      <w:start w:val="1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30">
    <w:nsid w:val="7DEC2089"/>
    <w:multiLevelType w:val="singleLevel"/>
    <w:tmpl w:val="7DEC2089"/>
    <w:lvl w:ilvl="0" w:tentative="0">
      <w:start w:val="29"/>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num w:numId="1">
    <w:abstractNumId w:val="11"/>
  </w:num>
  <w:num w:numId="2">
    <w:abstractNumId w:val="6"/>
  </w:num>
  <w:num w:numId="3">
    <w:abstractNumId w:val="9"/>
  </w:num>
  <w:num w:numId="4">
    <w:abstractNumId w:val="19"/>
  </w:num>
  <w:num w:numId="5">
    <w:abstractNumId w:val="24"/>
  </w:num>
  <w:num w:numId="6">
    <w:abstractNumId w:val="10"/>
  </w:num>
  <w:num w:numId="7">
    <w:abstractNumId w:val="17"/>
  </w:num>
  <w:num w:numId="8">
    <w:abstractNumId w:val="7"/>
  </w:num>
  <w:num w:numId="9">
    <w:abstractNumId w:val="3"/>
  </w:num>
  <w:num w:numId="10">
    <w:abstractNumId w:val="23"/>
  </w:num>
  <w:num w:numId="11">
    <w:abstractNumId w:val="4"/>
  </w:num>
  <w:num w:numId="12">
    <w:abstractNumId w:val="29"/>
  </w:num>
  <w:num w:numId="13">
    <w:abstractNumId w:val="22"/>
  </w:num>
  <w:num w:numId="14">
    <w:abstractNumId w:val="28"/>
  </w:num>
  <w:num w:numId="15">
    <w:abstractNumId w:val="5"/>
  </w:num>
  <w:num w:numId="16">
    <w:abstractNumId w:val="27"/>
  </w:num>
  <w:num w:numId="17">
    <w:abstractNumId w:val="2"/>
  </w:num>
  <w:num w:numId="18">
    <w:abstractNumId w:val="30"/>
  </w:num>
  <w:num w:numId="19">
    <w:abstractNumId w:val="0"/>
  </w:num>
  <w:num w:numId="20">
    <w:abstractNumId w:val="16"/>
  </w:num>
  <w:num w:numId="21">
    <w:abstractNumId w:val="25"/>
  </w:num>
  <w:num w:numId="22">
    <w:abstractNumId w:val="18"/>
  </w:num>
  <w:num w:numId="23">
    <w:abstractNumId w:val="8"/>
  </w:num>
  <w:num w:numId="24">
    <w:abstractNumId w:val="1"/>
  </w:num>
  <w:num w:numId="25">
    <w:abstractNumId w:val="14"/>
  </w:num>
  <w:num w:numId="26">
    <w:abstractNumId w:val="26"/>
  </w:num>
  <w:num w:numId="27">
    <w:abstractNumId w:val="20"/>
  </w:num>
  <w:num w:numId="28">
    <w:abstractNumId w:val="15"/>
  </w:num>
  <w:num w:numId="29">
    <w:abstractNumId w:val="13"/>
  </w:num>
  <w:num w:numId="30">
    <w:abstractNumId w:val="2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lMmUzYWUxYWExNDMxMWJlYTRhYmQ2MDRlYWZiMTkifQ=="/>
  </w:docVars>
  <w:rsids>
    <w:rsidRoot w:val="004A5156"/>
    <w:rsid w:val="000C1FF9"/>
    <w:rsid w:val="000D64BE"/>
    <w:rsid w:val="001B223C"/>
    <w:rsid w:val="001F60BF"/>
    <w:rsid w:val="00391626"/>
    <w:rsid w:val="003A4436"/>
    <w:rsid w:val="00486F40"/>
    <w:rsid w:val="004874D5"/>
    <w:rsid w:val="004A5156"/>
    <w:rsid w:val="00546066"/>
    <w:rsid w:val="005B0E73"/>
    <w:rsid w:val="006B2E85"/>
    <w:rsid w:val="00724552"/>
    <w:rsid w:val="00725075"/>
    <w:rsid w:val="00755DF0"/>
    <w:rsid w:val="00816543"/>
    <w:rsid w:val="008F256E"/>
    <w:rsid w:val="009F4C1B"/>
    <w:rsid w:val="00A535B0"/>
    <w:rsid w:val="00BB208E"/>
    <w:rsid w:val="00BC3A1F"/>
    <w:rsid w:val="00C528D4"/>
    <w:rsid w:val="00C7181E"/>
    <w:rsid w:val="00C8029A"/>
    <w:rsid w:val="00E15234"/>
    <w:rsid w:val="00F3569F"/>
    <w:rsid w:val="00F46B18"/>
    <w:rsid w:val="00FF56BA"/>
    <w:rsid w:val="00FF67FB"/>
    <w:rsid w:val="0109481F"/>
    <w:rsid w:val="010D7DD7"/>
    <w:rsid w:val="011614FB"/>
    <w:rsid w:val="01170C55"/>
    <w:rsid w:val="01211AD4"/>
    <w:rsid w:val="0127533C"/>
    <w:rsid w:val="013639E3"/>
    <w:rsid w:val="015C48BA"/>
    <w:rsid w:val="017C2792"/>
    <w:rsid w:val="018111CE"/>
    <w:rsid w:val="01B03E72"/>
    <w:rsid w:val="01B97F5E"/>
    <w:rsid w:val="01BF5575"/>
    <w:rsid w:val="01CC4F1B"/>
    <w:rsid w:val="01E0373D"/>
    <w:rsid w:val="01E44FDB"/>
    <w:rsid w:val="01FD42EF"/>
    <w:rsid w:val="01FF0067"/>
    <w:rsid w:val="02052A74"/>
    <w:rsid w:val="021317A6"/>
    <w:rsid w:val="02155410"/>
    <w:rsid w:val="02213D1D"/>
    <w:rsid w:val="022655F4"/>
    <w:rsid w:val="022B2C0A"/>
    <w:rsid w:val="02477318"/>
    <w:rsid w:val="02663C42"/>
    <w:rsid w:val="02702D13"/>
    <w:rsid w:val="028409E0"/>
    <w:rsid w:val="0287444F"/>
    <w:rsid w:val="02891E9A"/>
    <w:rsid w:val="02A73659"/>
    <w:rsid w:val="02A8425B"/>
    <w:rsid w:val="02AE7397"/>
    <w:rsid w:val="02B349AE"/>
    <w:rsid w:val="02CA510D"/>
    <w:rsid w:val="02FF5E45"/>
    <w:rsid w:val="03190CB5"/>
    <w:rsid w:val="0321413B"/>
    <w:rsid w:val="032558AB"/>
    <w:rsid w:val="0337738D"/>
    <w:rsid w:val="034321D6"/>
    <w:rsid w:val="03443858"/>
    <w:rsid w:val="034F69DC"/>
    <w:rsid w:val="03563CB7"/>
    <w:rsid w:val="035D7AD7"/>
    <w:rsid w:val="036353BF"/>
    <w:rsid w:val="03836A76"/>
    <w:rsid w:val="03914CEF"/>
    <w:rsid w:val="03962305"/>
    <w:rsid w:val="03A964DC"/>
    <w:rsid w:val="03BE4A34"/>
    <w:rsid w:val="03C5532D"/>
    <w:rsid w:val="03D41080"/>
    <w:rsid w:val="04011D3F"/>
    <w:rsid w:val="04043713"/>
    <w:rsid w:val="04247911"/>
    <w:rsid w:val="0432329F"/>
    <w:rsid w:val="043A5387"/>
    <w:rsid w:val="04425FE9"/>
    <w:rsid w:val="04501303"/>
    <w:rsid w:val="04763EE5"/>
    <w:rsid w:val="04BE5FB8"/>
    <w:rsid w:val="04D23811"/>
    <w:rsid w:val="04E46248"/>
    <w:rsid w:val="04EE6171"/>
    <w:rsid w:val="04F55751"/>
    <w:rsid w:val="05025778"/>
    <w:rsid w:val="05031314"/>
    <w:rsid w:val="050D4849"/>
    <w:rsid w:val="052A53FB"/>
    <w:rsid w:val="053022E6"/>
    <w:rsid w:val="05322502"/>
    <w:rsid w:val="054C45DC"/>
    <w:rsid w:val="054F6A7F"/>
    <w:rsid w:val="05500BDA"/>
    <w:rsid w:val="055C757F"/>
    <w:rsid w:val="056326BB"/>
    <w:rsid w:val="05696C71"/>
    <w:rsid w:val="05712B5F"/>
    <w:rsid w:val="05746676"/>
    <w:rsid w:val="057523EE"/>
    <w:rsid w:val="05894AA4"/>
    <w:rsid w:val="0599432F"/>
    <w:rsid w:val="05A36F5B"/>
    <w:rsid w:val="05A50F26"/>
    <w:rsid w:val="05A93523"/>
    <w:rsid w:val="05AB48A4"/>
    <w:rsid w:val="05B20F4D"/>
    <w:rsid w:val="05B747B5"/>
    <w:rsid w:val="05BA4024"/>
    <w:rsid w:val="05C56ED2"/>
    <w:rsid w:val="05D90C34"/>
    <w:rsid w:val="05E11832"/>
    <w:rsid w:val="05FD48BE"/>
    <w:rsid w:val="06014EF3"/>
    <w:rsid w:val="06023D8D"/>
    <w:rsid w:val="061C2154"/>
    <w:rsid w:val="061D5695"/>
    <w:rsid w:val="063D2496"/>
    <w:rsid w:val="06517C6D"/>
    <w:rsid w:val="066429F1"/>
    <w:rsid w:val="067F1668"/>
    <w:rsid w:val="067F1E72"/>
    <w:rsid w:val="0681314D"/>
    <w:rsid w:val="06824DC3"/>
    <w:rsid w:val="068E19BA"/>
    <w:rsid w:val="069A210C"/>
    <w:rsid w:val="06B64A6C"/>
    <w:rsid w:val="06BA630B"/>
    <w:rsid w:val="06BC6527"/>
    <w:rsid w:val="06DB7512"/>
    <w:rsid w:val="06E527EC"/>
    <w:rsid w:val="06E635A4"/>
    <w:rsid w:val="06EB355B"/>
    <w:rsid w:val="06F04422"/>
    <w:rsid w:val="06F7755F"/>
    <w:rsid w:val="07091040"/>
    <w:rsid w:val="07117EF5"/>
    <w:rsid w:val="0726579E"/>
    <w:rsid w:val="0747626D"/>
    <w:rsid w:val="074917EE"/>
    <w:rsid w:val="074B78AB"/>
    <w:rsid w:val="07520C39"/>
    <w:rsid w:val="07571DAC"/>
    <w:rsid w:val="075A7AEE"/>
    <w:rsid w:val="076F5347"/>
    <w:rsid w:val="07846919"/>
    <w:rsid w:val="078828AD"/>
    <w:rsid w:val="07944DAE"/>
    <w:rsid w:val="07994871"/>
    <w:rsid w:val="07A34FF1"/>
    <w:rsid w:val="07A82607"/>
    <w:rsid w:val="07AD2313"/>
    <w:rsid w:val="07B2792A"/>
    <w:rsid w:val="07B62F76"/>
    <w:rsid w:val="07BB67DE"/>
    <w:rsid w:val="07C03F9F"/>
    <w:rsid w:val="07D01B5E"/>
    <w:rsid w:val="07D57174"/>
    <w:rsid w:val="07DE427B"/>
    <w:rsid w:val="07E86EA8"/>
    <w:rsid w:val="07EC2E3C"/>
    <w:rsid w:val="07FB4E2D"/>
    <w:rsid w:val="07FB6BDB"/>
    <w:rsid w:val="08033CE1"/>
    <w:rsid w:val="08057A5A"/>
    <w:rsid w:val="080A32C2"/>
    <w:rsid w:val="08147C9D"/>
    <w:rsid w:val="0825634E"/>
    <w:rsid w:val="083D5445"/>
    <w:rsid w:val="084D31AF"/>
    <w:rsid w:val="0861467A"/>
    <w:rsid w:val="0869623A"/>
    <w:rsid w:val="086E55FF"/>
    <w:rsid w:val="087370B9"/>
    <w:rsid w:val="088F37C7"/>
    <w:rsid w:val="089E16EA"/>
    <w:rsid w:val="08B66FA6"/>
    <w:rsid w:val="08D11570"/>
    <w:rsid w:val="08DE088F"/>
    <w:rsid w:val="08E21B49"/>
    <w:rsid w:val="08E91129"/>
    <w:rsid w:val="091837BC"/>
    <w:rsid w:val="091E7022"/>
    <w:rsid w:val="0923288D"/>
    <w:rsid w:val="095C18FB"/>
    <w:rsid w:val="095C7B4D"/>
    <w:rsid w:val="095F3199"/>
    <w:rsid w:val="0969226A"/>
    <w:rsid w:val="097D1872"/>
    <w:rsid w:val="098B21E0"/>
    <w:rsid w:val="09A72BAB"/>
    <w:rsid w:val="09AA0EBB"/>
    <w:rsid w:val="09BC683E"/>
    <w:rsid w:val="09C86F91"/>
    <w:rsid w:val="09D27E0F"/>
    <w:rsid w:val="09E0077E"/>
    <w:rsid w:val="09E21CC2"/>
    <w:rsid w:val="0A0A1B74"/>
    <w:rsid w:val="0A1F722F"/>
    <w:rsid w:val="0A285C81"/>
    <w:rsid w:val="0A297B0D"/>
    <w:rsid w:val="0A40746F"/>
    <w:rsid w:val="0A456833"/>
    <w:rsid w:val="0A5B7E05"/>
    <w:rsid w:val="0A747118"/>
    <w:rsid w:val="0A7B04A7"/>
    <w:rsid w:val="0A8A3BC6"/>
    <w:rsid w:val="0A8D5403"/>
    <w:rsid w:val="0A921402"/>
    <w:rsid w:val="0A951569"/>
    <w:rsid w:val="0A977BD6"/>
    <w:rsid w:val="0AA51080"/>
    <w:rsid w:val="0AAF5095"/>
    <w:rsid w:val="0AB522C9"/>
    <w:rsid w:val="0ACE05D7"/>
    <w:rsid w:val="0ADA341F"/>
    <w:rsid w:val="0AE023EE"/>
    <w:rsid w:val="0AE61DC4"/>
    <w:rsid w:val="0AE71698"/>
    <w:rsid w:val="0AF85654"/>
    <w:rsid w:val="0AFA3217"/>
    <w:rsid w:val="0AFF4C34"/>
    <w:rsid w:val="0B006DDA"/>
    <w:rsid w:val="0B057476"/>
    <w:rsid w:val="0B1526A9"/>
    <w:rsid w:val="0B260413"/>
    <w:rsid w:val="0B304CAB"/>
    <w:rsid w:val="0B404F3C"/>
    <w:rsid w:val="0B511704"/>
    <w:rsid w:val="0B5703F8"/>
    <w:rsid w:val="0B6727D9"/>
    <w:rsid w:val="0B6D4B72"/>
    <w:rsid w:val="0B705B32"/>
    <w:rsid w:val="0B837613"/>
    <w:rsid w:val="0B8D66E4"/>
    <w:rsid w:val="0B9226B9"/>
    <w:rsid w:val="0B932F92"/>
    <w:rsid w:val="0B9B3C6F"/>
    <w:rsid w:val="0BA13F3D"/>
    <w:rsid w:val="0BA53447"/>
    <w:rsid w:val="0BAA1044"/>
    <w:rsid w:val="0BB974D9"/>
    <w:rsid w:val="0BBA6DAD"/>
    <w:rsid w:val="0BF73B5D"/>
    <w:rsid w:val="0C3F506F"/>
    <w:rsid w:val="0C4A0AE8"/>
    <w:rsid w:val="0C5745FC"/>
    <w:rsid w:val="0C632FA1"/>
    <w:rsid w:val="0C673C16"/>
    <w:rsid w:val="0C6D542D"/>
    <w:rsid w:val="0C893BBA"/>
    <w:rsid w:val="0C895D6D"/>
    <w:rsid w:val="0C917B0E"/>
    <w:rsid w:val="0C937D2A"/>
    <w:rsid w:val="0CC57C7C"/>
    <w:rsid w:val="0CC62C69"/>
    <w:rsid w:val="0CD93263"/>
    <w:rsid w:val="0CE642FD"/>
    <w:rsid w:val="0CF67611"/>
    <w:rsid w:val="0CF804C6"/>
    <w:rsid w:val="0D076022"/>
    <w:rsid w:val="0D124B42"/>
    <w:rsid w:val="0D181FDD"/>
    <w:rsid w:val="0D197B03"/>
    <w:rsid w:val="0D246BD4"/>
    <w:rsid w:val="0D272085"/>
    <w:rsid w:val="0D314E4D"/>
    <w:rsid w:val="0D417786"/>
    <w:rsid w:val="0D441024"/>
    <w:rsid w:val="0D4B5BBA"/>
    <w:rsid w:val="0D5004E9"/>
    <w:rsid w:val="0D5D5C42"/>
    <w:rsid w:val="0D6A70B1"/>
    <w:rsid w:val="0D782A7C"/>
    <w:rsid w:val="0D7A67F4"/>
    <w:rsid w:val="0D7F205C"/>
    <w:rsid w:val="0D8458C4"/>
    <w:rsid w:val="0D887163"/>
    <w:rsid w:val="0D8E6743"/>
    <w:rsid w:val="0D9A3BE1"/>
    <w:rsid w:val="0DAB10A3"/>
    <w:rsid w:val="0DD95C10"/>
    <w:rsid w:val="0DE3083D"/>
    <w:rsid w:val="0DEE45AB"/>
    <w:rsid w:val="0DF91E0E"/>
    <w:rsid w:val="0DFE11D3"/>
    <w:rsid w:val="0E0C604A"/>
    <w:rsid w:val="0E174934"/>
    <w:rsid w:val="0E1862CA"/>
    <w:rsid w:val="0E1F739B"/>
    <w:rsid w:val="0E3966AF"/>
    <w:rsid w:val="0E417312"/>
    <w:rsid w:val="0E5A03D3"/>
    <w:rsid w:val="0E6E22BA"/>
    <w:rsid w:val="0E8272A8"/>
    <w:rsid w:val="0E843362"/>
    <w:rsid w:val="0E891F70"/>
    <w:rsid w:val="0E9F27DC"/>
    <w:rsid w:val="0EA77ABC"/>
    <w:rsid w:val="0EAA3109"/>
    <w:rsid w:val="0EC00B7E"/>
    <w:rsid w:val="0EC3241C"/>
    <w:rsid w:val="0EC51CF1"/>
    <w:rsid w:val="0ECC307F"/>
    <w:rsid w:val="0ECE5049"/>
    <w:rsid w:val="0ED87BDD"/>
    <w:rsid w:val="0EE26D46"/>
    <w:rsid w:val="0EE43CB0"/>
    <w:rsid w:val="0EF12AE6"/>
    <w:rsid w:val="0EFD148A"/>
    <w:rsid w:val="0F0071CD"/>
    <w:rsid w:val="0F040A6B"/>
    <w:rsid w:val="0F0F11BE"/>
    <w:rsid w:val="0F1669F0"/>
    <w:rsid w:val="0F2033CB"/>
    <w:rsid w:val="0F225395"/>
    <w:rsid w:val="0F2D4D68"/>
    <w:rsid w:val="0F320FE9"/>
    <w:rsid w:val="0F400F04"/>
    <w:rsid w:val="0F4E7F38"/>
    <w:rsid w:val="0F586024"/>
    <w:rsid w:val="0F587009"/>
    <w:rsid w:val="0F67724C"/>
    <w:rsid w:val="0F844944"/>
    <w:rsid w:val="0F9022FF"/>
    <w:rsid w:val="0F933B9D"/>
    <w:rsid w:val="0FB13EBD"/>
    <w:rsid w:val="0FB6339F"/>
    <w:rsid w:val="0FBD0C1A"/>
    <w:rsid w:val="0FC60169"/>
    <w:rsid w:val="0FCD5301"/>
    <w:rsid w:val="0FD43F87"/>
    <w:rsid w:val="0FF00FEF"/>
    <w:rsid w:val="0FF24D67"/>
    <w:rsid w:val="101316C6"/>
    <w:rsid w:val="10233173"/>
    <w:rsid w:val="102D5D9F"/>
    <w:rsid w:val="1034712E"/>
    <w:rsid w:val="10352221"/>
    <w:rsid w:val="103A670E"/>
    <w:rsid w:val="105772C0"/>
    <w:rsid w:val="105B0B5E"/>
    <w:rsid w:val="106B68C8"/>
    <w:rsid w:val="107C6D27"/>
    <w:rsid w:val="10874F4E"/>
    <w:rsid w:val="1088747A"/>
    <w:rsid w:val="109160DD"/>
    <w:rsid w:val="10967DE9"/>
    <w:rsid w:val="10A32505"/>
    <w:rsid w:val="10AA5642"/>
    <w:rsid w:val="10B21C22"/>
    <w:rsid w:val="10B9762E"/>
    <w:rsid w:val="10BB33AB"/>
    <w:rsid w:val="10F40505"/>
    <w:rsid w:val="10F44B0F"/>
    <w:rsid w:val="10FB5E9E"/>
    <w:rsid w:val="10FD7E68"/>
    <w:rsid w:val="10FE773C"/>
    <w:rsid w:val="110274F6"/>
    <w:rsid w:val="11124F95"/>
    <w:rsid w:val="11166833"/>
    <w:rsid w:val="112B266E"/>
    <w:rsid w:val="11317B11"/>
    <w:rsid w:val="11390774"/>
    <w:rsid w:val="114C7209"/>
    <w:rsid w:val="114E3E15"/>
    <w:rsid w:val="114F61E9"/>
    <w:rsid w:val="114F7F97"/>
    <w:rsid w:val="11651569"/>
    <w:rsid w:val="11667325"/>
    <w:rsid w:val="116C28F7"/>
    <w:rsid w:val="11892FE3"/>
    <w:rsid w:val="118B5BAD"/>
    <w:rsid w:val="119165F3"/>
    <w:rsid w:val="11951E4E"/>
    <w:rsid w:val="11976CDB"/>
    <w:rsid w:val="119A7465"/>
    <w:rsid w:val="119D51A7"/>
    <w:rsid w:val="11C0042C"/>
    <w:rsid w:val="11D0732A"/>
    <w:rsid w:val="11E132E5"/>
    <w:rsid w:val="11ED6F4D"/>
    <w:rsid w:val="11EE77B0"/>
    <w:rsid w:val="11F254F3"/>
    <w:rsid w:val="120B35A2"/>
    <w:rsid w:val="122E4E77"/>
    <w:rsid w:val="12301B77"/>
    <w:rsid w:val="123753C0"/>
    <w:rsid w:val="123A29F6"/>
    <w:rsid w:val="12503FC7"/>
    <w:rsid w:val="12524FF3"/>
    <w:rsid w:val="12541D09"/>
    <w:rsid w:val="125654DF"/>
    <w:rsid w:val="12592623"/>
    <w:rsid w:val="12BE09F5"/>
    <w:rsid w:val="12CB18A0"/>
    <w:rsid w:val="12D70C28"/>
    <w:rsid w:val="12DA2A20"/>
    <w:rsid w:val="12DA4048"/>
    <w:rsid w:val="12DD1CFF"/>
    <w:rsid w:val="12E772E4"/>
    <w:rsid w:val="12F72695"/>
    <w:rsid w:val="12FE16DE"/>
    <w:rsid w:val="130628D8"/>
    <w:rsid w:val="130C6140"/>
    <w:rsid w:val="13141499"/>
    <w:rsid w:val="13160D6D"/>
    <w:rsid w:val="132F0440"/>
    <w:rsid w:val="13347445"/>
    <w:rsid w:val="13433B2C"/>
    <w:rsid w:val="134C0C32"/>
    <w:rsid w:val="13547AE7"/>
    <w:rsid w:val="135877CC"/>
    <w:rsid w:val="1360023A"/>
    <w:rsid w:val="137155C8"/>
    <w:rsid w:val="137E6912"/>
    <w:rsid w:val="138008DC"/>
    <w:rsid w:val="139231D1"/>
    <w:rsid w:val="13A445CA"/>
    <w:rsid w:val="13B862C8"/>
    <w:rsid w:val="13C06F2A"/>
    <w:rsid w:val="13E42C19"/>
    <w:rsid w:val="13E70A52"/>
    <w:rsid w:val="13E72709"/>
    <w:rsid w:val="13EE1CD2"/>
    <w:rsid w:val="13FB7F63"/>
    <w:rsid w:val="13FD2D48"/>
    <w:rsid w:val="14023AEF"/>
    <w:rsid w:val="141A663B"/>
    <w:rsid w:val="141D612B"/>
    <w:rsid w:val="14213E6D"/>
    <w:rsid w:val="142B4CEC"/>
    <w:rsid w:val="14397409"/>
    <w:rsid w:val="1448764C"/>
    <w:rsid w:val="14524026"/>
    <w:rsid w:val="145600FE"/>
    <w:rsid w:val="1461426A"/>
    <w:rsid w:val="1483471D"/>
    <w:rsid w:val="14A10B0A"/>
    <w:rsid w:val="14A32AD4"/>
    <w:rsid w:val="14AB1989"/>
    <w:rsid w:val="14AB3737"/>
    <w:rsid w:val="14BA1BCC"/>
    <w:rsid w:val="14D7277E"/>
    <w:rsid w:val="14EA425F"/>
    <w:rsid w:val="14EF3F6B"/>
    <w:rsid w:val="14F7697C"/>
    <w:rsid w:val="15001CD4"/>
    <w:rsid w:val="151D55BB"/>
    <w:rsid w:val="151D670E"/>
    <w:rsid w:val="151F5388"/>
    <w:rsid w:val="152A0AFF"/>
    <w:rsid w:val="15311E8E"/>
    <w:rsid w:val="154716B1"/>
    <w:rsid w:val="155519AF"/>
    <w:rsid w:val="15655FDB"/>
    <w:rsid w:val="15657D89"/>
    <w:rsid w:val="156C736A"/>
    <w:rsid w:val="156F6E5A"/>
    <w:rsid w:val="159A4C5C"/>
    <w:rsid w:val="15AA7E92"/>
    <w:rsid w:val="15B628D3"/>
    <w:rsid w:val="15B8610B"/>
    <w:rsid w:val="15B9206A"/>
    <w:rsid w:val="15CC1BB7"/>
    <w:rsid w:val="15D867AD"/>
    <w:rsid w:val="15DA6281"/>
    <w:rsid w:val="15DB629E"/>
    <w:rsid w:val="15DF5D8E"/>
    <w:rsid w:val="15E61E15"/>
    <w:rsid w:val="15F1786F"/>
    <w:rsid w:val="15F33C85"/>
    <w:rsid w:val="15FD7FC2"/>
    <w:rsid w:val="160C28FB"/>
    <w:rsid w:val="16243949"/>
    <w:rsid w:val="162809F5"/>
    <w:rsid w:val="162E461F"/>
    <w:rsid w:val="16377978"/>
    <w:rsid w:val="16445BF1"/>
    <w:rsid w:val="16481B85"/>
    <w:rsid w:val="16500A3A"/>
    <w:rsid w:val="1653552D"/>
    <w:rsid w:val="167A1613"/>
    <w:rsid w:val="169A1CB5"/>
    <w:rsid w:val="169C77DB"/>
    <w:rsid w:val="169F388D"/>
    <w:rsid w:val="16A11295"/>
    <w:rsid w:val="16A36DBB"/>
    <w:rsid w:val="16AE1F94"/>
    <w:rsid w:val="16EB2510"/>
    <w:rsid w:val="16ED47B4"/>
    <w:rsid w:val="16F119F4"/>
    <w:rsid w:val="16FA3299"/>
    <w:rsid w:val="17125CEF"/>
    <w:rsid w:val="17143815"/>
    <w:rsid w:val="171A0BFF"/>
    <w:rsid w:val="17231CAA"/>
    <w:rsid w:val="173914CE"/>
    <w:rsid w:val="17441B82"/>
    <w:rsid w:val="17514A69"/>
    <w:rsid w:val="175C51BC"/>
    <w:rsid w:val="176522C3"/>
    <w:rsid w:val="176F4EEF"/>
    <w:rsid w:val="177249E0"/>
    <w:rsid w:val="17773DA4"/>
    <w:rsid w:val="177E5132"/>
    <w:rsid w:val="17832749"/>
    <w:rsid w:val="17836BED"/>
    <w:rsid w:val="17885FB1"/>
    <w:rsid w:val="178A7F75"/>
    <w:rsid w:val="17B15357"/>
    <w:rsid w:val="17BB6387"/>
    <w:rsid w:val="17BE72B6"/>
    <w:rsid w:val="17CF6669"/>
    <w:rsid w:val="17E05CBA"/>
    <w:rsid w:val="17E21B65"/>
    <w:rsid w:val="17E53404"/>
    <w:rsid w:val="17EA04AD"/>
    <w:rsid w:val="180715CC"/>
    <w:rsid w:val="180F2C2F"/>
    <w:rsid w:val="18147845"/>
    <w:rsid w:val="18153CE9"/>
    <w:rsid w:val="183238FD"/>
    <w:rsid w:val="18365A0D"/>
    <w:rsid w:val="183F48C2"/>
    <w:rsid w:val="18413536"/>
    <w:rsid w:val="184243B2"/>
    <w:rsid w:val="18452B6C"/>
    <w:rsid w:val="18463EA2"/>
    <w:rsid w:val="185145F5"/>
    <w:rsid w:val="18624A54"/>
    <w:rsid w:val="18781E14"/>
    <w:rsid w:val="187A57A0"/>
    <w:rsid w:val="189664AC"/>
    <w:rsid w:val="18AB1F57"/>
    <w:rsid w:val="18DC0363"/>
    <w:rsid w:val="18F753CF"/>
    <w:rsid w:val="190857DE"/>
    <w:rsid w:val="1912647A"/>
    <w:rsid w:val="192A37C4"/>
    <w:rsid w:val="19320A2F"/>
    <w:rsid w:val="19566367"/>
    <w:rsid w:val="196038C1"/>
    <w:rsid w:val="19670574"/>
    <w:rsid w:val="196A0064"/>
    <w:rsid w:val="196D545F"/>
    <w:rsid w:val="196F567B"/>
    <w:rsid w:val="197113F3"/>
    <w:rsid w:val="19800B96"/>
    <w:rsid w:val="19800E9C"/>
    <w:rsid w:val="198B3B37"/>
    <w:rsid w:val="199724DC"/>
    <w:rsid w:val="199E386A"/>
    <w:rsid w:val="19AF3CC9"/>
    <w:rsid w:val="19B0657B"/>
    <w:rsid w:val="19B83658"/>
    <w:rsid w:val="19BF141C"/>
    <w:rsid w:val="19C92283"/>
    <w:rsid w:val="19C92FDD"/>
    <w:rsid w:val="19CA28B1"/>
    <w:rsid w:val="19D21766"/>
    <w:rsid w:val="19DB18E2"/>
    <w:rsid w:val="19DD0836"/>
    <w:rsid w:val="19DE635C"/>
    <w:rsid w:val="19E03E83"/>
    <w:rsid w:val="19E73463"/>
    <w:rsid w:val="19FE5F37"/>
    <w:rsid w:val="1A2C531A"/>
    <w:rsid w:val="1A426566"/>
    <w:rsid w:val="1A53040C"/>
    <w:rsid w:val="1A587EBD"/>
    <w:rsid w:val="1A78230D"/>
    <w:rsid w:val="1A815666"/>
    <w:rsid w:val="1A951111"/>
    <w:rsid w:val="1A9F3D3E"/>
    <w:rsid w:val="1AAE21D3"/>
    <w:rsid w:val="1AB0025A"/>
    <w:rsid w:val="1AB65DFE"/>
    <w:rsid w:val="1AC60382"/>
    <w:rsid w:val="1ACD2659"/>
    <w:rsid w:val="1AD31580"/>
    <w:rsid w:val="1AE17EB2"/>
    <w:rsid w:val="1AF06347"/>
    <w:rsid w:val="1AFB339F"/>
    <w:rsid w:val="1B0342CC"/>
    <w:rsid w:val="1B03607B"/>
    <w:rsid w:val="1B0D6EF9"/>
    <w:rsid w:val="1B106DCC"/>
    <w:rsid w:val="1B124510"/>
    <w:rsid w:val="1B1C538E"/>
    <w:rsid w:val="1B1F4E7E"/>
    <w:rsid w:val="1B4641B9"/>
    <w:rsid w:val="1B4D5548"/>
    <w:rsid w:val="1B590390"/>
    <w:rsid w:val="1B59616B"/>
    <w:rsid w:val="1B6603B7"/>
    <w:rsid w:val="1B662AAD"/>
    <w:rsid w:val="1B6805D3"/>
    <w:rsid w:val="1B71553B"/>
    <w:rsid w:val="1B7500EC"/>
    <w:rsid w:val="1B85597B"/>
    <w:rsid w:val="1B8B0DEF"/>
    <w:rsid w:val="1B9273FE"/>
    <w:rsid w:val="1B9403E7"/>
    <w:rsid w:val="1B9F38C9"/>
    <w:rsid w:val="1B9F61CC"/>
    <w:rsid w:val="1B9F6BCF"/>
    <w:rsid w:val="1BA01B1B"/>
    <w:rsid w:val="1BA3160C"/>
    <w:rsid w:val="1BAF1D5E"/>
    <w:rsid w:val="1BB455C7"/>
    <w:rsid w:val="1BCF6FEE"/>
    <w:rsid w:val="1BD17F27"/>
    <w:rsid w:val="1BD25A4D"/>
    <w:rsid w:val="1BDB6FF7"/>
    <w:rsid w:val="1BE7599C"/>
    <w:rsid w:val="1BE834C2"/>
    <w:rsid w:val="1BFD6F6E"/>
    <w:rsid w:val="1C224D00"/>
    <w:rsid w:val="1C362480"/>
    <w:rsid w:val="1C654B13"/>
    <w:rsid w:val="1C67088B"/>
    <w:rsid w:val="1C691C46"/>
    <w:rsid w:val="1C8A6328"/>
    <w:rsid w:val="1C915908"/>
    <w:rsid w:val="1C9C36AC"/>
    <w:rsid w:val="1CB735C0"/>
    <w:rsid w:val="1CBD494F"/>
    <w:rsid w:val="1CC7757C"/>
    <w:rsid w:val="1CDF6673"/>
    <w:rsid w:val="1CFD1B8F"/>
    <w:rsid w:val="1D0C50A7"/>
    <w:rsid w:val="1D0E0D07"/>
    <w:rsid w:val="1D1502E7"/>
    <w:rsid w:val="1D1A3B4F"/>
    <w:rsid w:val="1D305121"/>
    <w:rsid w:val="1D352737"/>
    <w:rsid w:val="1D407FCF"/>
    <w:rsid w:val="1D4110DC"/>
    <w:rsid w:val="1D4604A0"/>
    <w:rsid w:val="1D4C5C00"/>
    <w:rsid w:val="1D552869"/>
    <w:rsid w:val="1D5F1023"/>
    <w:rsid w:val="1D76769F"/>
    <w:rsid w:val="1D7A639C"/>
    <w:rsid w:val="1D7C0366"/>
    <w:rsid w:val="1D7D3EDE"/>
    <w:rsid w:val="1D7F1C04"/>
    <w:rsid w:val="1D81772B"/>
    <w:rsid w:val="1D84721B"/>
    <w:rsid w:val="1D882867"/>
    <w:rsid w:val="1D8F1E47"/>
    <w:rsid w:val="1D9C178E"/>
    <w:rsid w:val="1D9C6F32"/>
    <w:rsid w:val="1DB418AE"/>
    <w:rsid w:val="1DBC4C07"/>
    <w:rsid w:val="1DBE097F"/>
    <w:rsid w:val="1DC15D79"/>
    <w:rsid w:val="1DD45AAC"/>
    <w:rsid w:val="1DE32B34"/>
    <w:rsid w:val="1E035F26"/>
    <w:rsid w:val="1E075E82"/>
    <w:rsid w:val="1E133217"/>
    <w:rsid w:val="1E1660C5"/>
    <w:rsid w:val="1E1862E1"/>
    <w:rsid w:val="1E197963"/>
    <w:rsid w:val="1E1D50BF"/>
    <w:rsid w:val="1E29229C"/>
    <w:rsid w:val="1E312EFF"/>
    <w:rsid w:val="1E3612D0"/>
    <w:rsid w:val="1E566E09"/>
    <w:rsid w:val="1E6037E4"/>
    <w:rsid w:val="1E7159F1"/>
    <w:rsid w:val="1E761259"/>
    <w:rsid w:val="1E7734D0"/>
    <w:rsid w:val="1ED02718"/>
    <w:rsid w:val="1EF7049F"/>
    <w:rsid w:val="1EFC175F"/>
    <w:rsid w:val="1F06438B"/>
    <w:rsid w:val="1F0E4FEE"/>
    <w:rsid w:val="1F212F73"/>
    <w:rsid w:val="1F525822"/>
    <w:rsid w:val="1F59624F"/>
    <w:rsid w:val="1F6410B2"/>
    <w:rsid w:val="1F7F7C9A"/>
    <w:rsid w:val="1F8964E6"/>
    <w:rsid w:val="1F947BE9"/>
    <w:rsid w:val="1F963122"/>
    <w:rsid w:val="1FAD0CAB"/>
    <w:rsid w:val="1FAF67D1"/>
    <w:rsid w:val="1FB56DC7"/>
    <w:rsid w:val="1FC95A99"/>
    <w:rsid w:val="1FCA360B"/>
    <w:rsid w:val="1FDF698A"/>
    <w:rsid w:val="1FE12702"/>
    <w:rsid w:val="1FE67D19"/>
    <w:rsid w:val="1FEB3581"/>
    <w:rsid w:val="2007558A"/>
    <w:rsid w:val="201C7BDE"/>
    <w:rsid w:val="202A22FB"/>
    <w:rsid w:val="202F278A"/>
    <w:rsid w:val="203171E6"/>
    <w:rsid w:val="20517888"/>
    <w:rsid w:val="20541126"/>
    <w:rsid w:val="205A6AB8"/>
    <w:rsid w:val="20607ACB"/>
    <w:rsid w:val="206C2914"/>
    <w:rsid w:val="20735A50"/>
    <w:rsid w:val="207417C9"/>
    <w:rsid w:val="20895274"/>
    <w:rsid w:val="208A2D9A"/>
    <w:rsid w:val="20967991"/>
    <w:rsid w:val="209B0B03"/>
    <w:rsid w:val="20AE6A88"/>
    <w:rsid w:val="20B0298F"/>
    <w:rsid w:val="20B322F1"/>
    <w:rsid w:val="20BD69AE"/>
    <w:rsid w:val="20BD6CCC"/>
    <w:rsid w:val="20CE0ED9"/>
    <w:rsid w:val="20D52267"/>
    <w:rsid w:val="20DD55C0"/>
    <w:rsid w:val="20DF4E94"/>
    <w:rsid w:val="20E26732"/>
    <w:rsid w:val="20E93F65"/>
    <w:rsid w:val="20E95D13"/>
    <w:rsid w:val="20F344A7"/>
    <w:rsid w:val="210172ED"/>
    <w:rsid w:val="211A4903"/>
    <w:rsid w:val="2122115B"/>
    <w:rsid w:val="21333432"/>
    <w:rsid w:val="215D225D"/>
    <w:rsid w:val="21635AC5"/>
    <w:rsid w:val="216E446A"/>
    <w:rsid w:val="21731A80"/>
    <w:rsid w:val="21815F4B"/>
    <w:rsid w:val="21916C5A"/>
    <w:rsid w:val="219E4D4F"/>
    <w:rsid w:val="21A47E8B"/>
    <w:rsid w:val="21CD5D30"/>
    <w:rsid w:val="21E5009C"/>
    <w:rsid w:val="21FB3F4F"/>
    <w:rsid w:val="22001566"/>
    <w:rsid w:val="220A3C81"/>
    <w:rsid w:val="220F0F3B"/>
    <w:rsid w:val="2217065D"/>
    <w:rsid w:val="2221328A"/>
    <w:rsid w:val="223F0B3B"/>
    <w:rsid w:val="22446336"/>
    <w:rsid w:val="22460F43"/>
    <w:rsid w:val="224F7DF7"/>
    <w:rsid w:val="225F78FB"/>
    <w:rsid w:val="226D77EE"/>
    <w:rsid w:val="226E336C"/>
    <w:rsid w:val="22701852"/>
    <w:rsid w:val="2280357B"/>
    <w:rsid w:val="22880EF6"/>
    <w:rsid w:val="228A0E2F"/>
    <w:rsid w:val="22963C78"/>
    <w:rsid w:val="229B431D"/>
    <w:rsid w:val="22A1482E"/>
    <w:rsid w:val="22A52998"/>
    <w:rsid w:val="22BA0ADB"/>
    <w:rsid w:val="22C64F8A"/>
    <w:rsid w:val="22E22A19"/>
    <w:rsid w:val="22E449E3"/>
    <w:rsid w:val="22E83DA8"/>
    <w:rsid w:val="22EF46E3"/>
    <w:rsid w:val="22F7419C"/>
    <w:rsid w:val="230D5405"/>
    <w:rsid w:val="230E7CB2"/>
    <w:rsid w:val="231B23CF"/>
    <w:rsid w:val="231E77CA"/>
    <w:rsid w:val="233174FD"/>
    <w:rsid w:val="23531B69"/>
    <w:rsid w:val="235963F9"/>
    <w:rsid w:val="235A4CA6"/>
    <w:rsid w:val="235F050E"/>
    <w:rsid w:val="23613B99"/>
    <w:rsid w:val="236E0751"/>
    <w:rsid w:val="23906EBC"/>
    <w:rsid w:val="23A37941"/>
    <w:rsid w:val="23D04F68"/>
    <w:rsid w:val="23D36806"/>
    <w:rsid w:val="23D74548"/>
    <w:rsid w:val="23DE7685"/>
    <w:rsid w:val="23DF51AB"/>
    <w:rsid w:val="23EB6BEB"/>
    <w:rsid w:val="23FA1FE5"/>
    <w:rsid w:val="240D7F6A"/>
    <w:rsid w:val="24262DDA"/>
    <w:rsid w:val="242C41B9"/>
    <w:rsid w:val="242E1C8E"/>
    <w:rsid w:val="24466FD8"/>
    <w:rsid w:val="244F40DF"/>
    <w:rsid w:val="24594F5D"/>
    <w:rsid w:val="245B0CD5"/>
    <w:rsid w:val="2460453E"/>
    <w:rsid w:val="246A53BC"/>
    <w:rsid w:val="246B4024"/>
    <w:rsid w:val="246B4C91"/>
    <w:rsid w:val="24773635"/>
    <w:rsid w:val="247B55C5"/>
    <w:rsid w:val="249B5576"/>
    <w:rsid w:val="24A106B2"/>
    <w:rsid w:val="24A7216D"/>
    <w:rsid w:val="24A81A41"/>
    <w:rsid w:val="24B258B6"/>
    <w:rsid w:val="24B46A5E"/>
    <w:rsid w:val="24BB1774"/>
    <w:rsid w:val="24BD373E"/>
    <w:rsid w:val="24D942F0"/>
    <w:rsid w:val="25084F27"/>
    <w:rsid w:val="250A26FB"/>
    <w:rsid w:val="250A44A9"/>
    <w:rsid w:val="250F51E8"/>
    <w:rsid w:val="2513335E"/>
    <w:rsid w:val="251470D6"/>
    <w:rsid w:val="25227A45"/>
    <w:rsid w:val="25237319"/>
    <w:rsid w:val="2524556B"/>
    <w:rsid w:val="253D03DB"/>
    <w:rsid w:val="254B6F9C"/>
    <w:rsid w:val="254F010E"/>
    <w:rsid w:val="255045B2"/>
    <w:rsid w:val="255B4D05"/>
    <w:rsid w:val="25652662"/>
    <w:rsid w:val="258F5F3B"/>
    <w:rsid w:val="25973F8F"/>
    <w:rsid w:val="259D3570"/>
    <w:rsid w:val="25A20B86"/>
    <w:rsid w:val="25A77F4A"/>
    <w:rsid w:val="25A93F7B"/>
    <w:rsid w:val="25AB6454"/>
    <w:rsid w:val="25B720F2"/>
    <w:rsid w:val="25BC1ADE"/>
    <w:rsid w:val="25C1725E"/>
    <w:rsid w:val="25CB1092"/>
    <w:rsid w:val="25D54AB7"/>
    <w:rsid w:val="25F27417"/>
    <w:rsid w:val="25FD7B6A"/>
    <w:rsid w:val="260333D3"/>
    <w:rsid w:val="261F3F85"/>
    <w:rsid w:val="26415CA9"/>
    <w:rsid w:val="265A320F"/>
    <w:rsid w:val="266B71CA"/>
    <w:rsid w:val="2670658E"/>
    <w:rsid w:val="26760048"/>
    <w:rsid w:val="267C4F33"/>
    <w:rsid w:val="26865DB2"/>
    <w:rsid w:val="268A58A2"/>
    <w:rsid w:val="26926505"/>
    <w:rsid w:val="26942845"/>
    <w:rsid w:val="269B7AAF"/>
    <w:rsid w:val="269E759F"/>
    <w:rsid w:val="26A7581D"/>
    <w:rsid w:val="26A85D28"/>
    <w:rsid w:val="26AA5502"/>
    <w:rsid w:val="26B02F45"/>
    <w:rsid w:val="26B06A6F"/>
    <w:rsid w:val="26BB2CCC"/>
    <w:rsid w:val="26BC7A25"/>
    <w:rsid w:val="26C0182E"/>
    <w:rsid w:val="26C30DB4"/>
    <w:rsid w:val="26CD39E1"/>
    <w:rsid w:val="26D62895"/>
    <w:rsid w:val="26E34FB2"/>
    <w:rsid w:val="270218DC"/>
    <w:rsid w:val="271E248E"/>
    <w:rsid w:val="2725381D"/>
    <w:rsid w:val="27314844"/>
    <w:rsid w:val="27335F39"/>
    <w:rsid w:val="2753038A"/>
    <w:rsid w:val="275723F9"/>
    <w:rsid w:val="275B2D9A"/>
    <w:rsid w:val="27604855"/>
    <w:rsid w:val="276C31F9"/>
    <w:rsid w:val="277C2A42"/>
    <w:rsid w:val="27962024"/>
    <w:rsid w:val="279938C3"/>
    <w:rsid w:val="27A52AD9"/>
    <w:rsid w:val="27AF30E6"/>
    <w:rsid w:val="27BA199F"/>
    <w:rsid w:val="27CB7C5C"/>
    <w:rsid w:val="27D52B4D"/>
    <w:rsid w:val="27D8088F"/>
    <w:rsid w:val="27E12C26"/>
    <w:rsid w:val="27E92A9C"/>
    <w:rsid w:val="27E95A97"/>
    <w:rsid w:val="27F906E2"/>
    <w:rsid w:val="27FA25B3"/>
    <w:rsid w:val="28013942"/>
    <w:rsid w:val="2810627B"/>
    <w:rsid w:val="28164F13"/>
    <w:rsid w:val="28247630"/>
    <w:rsid w:val="282615FA"/>
    <w:rsid w:val="282674A0"/>
    <w:rsid w:val="282835C4"/>
    <w:rsid w:val="28285372"/>
    <w:rsid w:val="282E04AF"/>
    <w:rsid w:val="2835183D"/>
    <w:rsid w:val="28520641"/>
    <w:rsid w:val="286363AA"/>
    <w:rsid w:val="28687E65"/>
    <w:rsid w:val="287E31E4"/>
    <w:rsid w:val="28893937"/>
    <w:rsid w:val="28902F18"/>
    <w:rsid w:val="289610A9"/>
    <w:rsid w:val="28AB1AFF"/>
    <w:rsid w:val="28AC5FA3"/>
    <w:rsid w:val="28B46E7E"/>
    <w:rsid w:val="28BE5577"/>
    <w:rsid w:val="28CD5F1A"/>
    <w:rsid w:val="28CF3C81"/>
    <w:rsid w:val="28D22F6D"/>
    <w:rsid w:val="28D41056"/>
    <w:rsid w:val="28D63020"/>
    <w:rsid w:val="28E63C6B"/>
    <w:rsid w:val="28EB63A0"/>
    <w:rsid w:val="28EF5E90"/>
    <w:rsid w:val="28FE4325"/>
    <w:rsid w:val="290849C8"/>
    <w:rsid w:val="2919115F"/>
    <w:rsid w:val="2922754B"/>
    <w:rsid w:val="29257B04"/>
    <w:rsid w:val="292C49EE"/>
    <w:rsid w:val="293146FB"/>
    <w:rsid w:val="2953641F"/>
    <w:rsid w:val="29567CBD"/>
    <w:rsid w:val="2964062C"/>
    <w:rsid w:val="29656152"/>
    <w:rsid w:val="29785E86"/>
    <w:rsid w:val="29826D04"/>
    <w:rsid w:val="2987256D"/>
    <w:rsid w:val="29910CF5"/>
    <w:rsid w:val="29935237"/>
    <w:rsid w:val="299B6018"/>
    <w:rsid w:val="29A0718A"/>
    <w:rsid w:val="29A46C7B"/>
    <w:rsid w:val="29CE321F"/>
    <w:rsid w:val="29F6324E"/>
    <w:rsid w:val="29FA0F90"/>
    <w:rsid w:val="2A0140CD"/>
    <w:rsid w:val="2A125362"/>
    <w:rsid w:val="2A314286"/>
    <w:rsid w:val="2A3A313B"/>
    <w:rsid w:val="2A4E308A"/>
    <w:rsid w:val="2A603758"/>
    <w:rsid w:val="2A6074A9"/>
    <w:rsid w:val="2A61691A"/>
    <w:rsid w:val="2A6C51C3"/>
    <w:rsid w:val="2A6E7289"/>
    <w:rsid w:val="2A7228D5"/>
    <w:rsid w:val="2A8B1BE9"/>
    <w:rsid w:val="2A955A31"/>
    <w:rsid w:val="2A992557"/>
    <w:rsid w:val="2AB70C30"/>
    <w:rsid w:val="2AC5334C"/>
    <w:rsid w:val="2AD01CF1"/>
    <w:rsid w:val="2ADB491E"/>
    <w:rsid w:val="2AE31A25"/>
    <w:rsid w:val="2AEF5F7E"/>
    <w:rsid w:val="2AF54269"/>
    <w:rsid w:val="2B071CF2"/>
    <w:rsid w:val="2B084FE7"/>
    <w:rsid w:val="2B2067D5"/>
    <w:rsid w:val="2B25203D"/>
    <w:rsid w:val="2B2A31B0"/>
    <w:rsid w:val="2B2C517A"/>
    <w:rsid w:val="2B2D7113"/>
    <w:rsid w:val="2B381D70"/>
    <w:rsid w:val="2B42499D"/>
    <w:rsid w:val="2B4645B4"/>
    <w:rsid w:val="2B4D0762"/>
    <w:rsid w:val="2B5D794D"/>
    <w:rsid w:val="2B6C37C8"/>
    <w:rsid w:val="2B702DFC"/>
    <w:rsid w:val="2B906F6D"/>
    <w:rsid w:val="2B940F71"/>
    <w:rsid w:val="2BA07916"/>
    <w:rsid w:val="2BA54F2C"/>
    <w:rsid w:val="2BB26C9C"/>
    <w:rsid w:val="2BB60EE7"/>
    <w:rsid w:val="2BBB64FD"/>
    <w:rsid w:val="2BC76C50"/>
    <w:rsid w:val="2BDE3F9A"/>
    <w:rsid w:val="2BE21CDC"/>
    <w:rsid w:val="2BEC0BF4"/>
    <w:rsid w:val="2BED5C9C"/>
    <w:rsid w:val="2BF437BD"/>
    <w:rsid w:val="2BF81500"/>
    <w:rsid w:val="2BFD6B16"/>
    <w:rsid w:val="2C097269"/>
    <w:rsid w:val="2C0D4D5A"/>
    <w:rsid w:val="2C0E2AD1"/>
    <w:rsid w:val="2C155C0E"/>
    <w:rsid w:val="2C161986"/>
    <w:rsid w:val="2C2E5B16"/>
    <w:rsid w:val="2C3512D8"/>
    <w:rsid w:val="2C4368D7"/>
    <w:rsid w:val="2C4E2ECE"/>
    <w:rsid w:val="2C5129BE"/>
    <w:rsid w:val="2C677855"/>
    <w:rsid w:val="2C6D364C"/>
    <w:rsid w:val="2C712816"/>
    <w:rsid w:val="2C73502A"/>
    <w:rsid w:val="2C7F56C9"/>
    <w:rsid w:val="2C862667"/>
    <w:rsid w:val="2C9C632F"/>
    <w:rsid w:val="2C9F3729"/>
    <w:rsid w:val="2C9F5E1F"/>
    <w:rsid w:val="2CA34020"/>
    <w:rsid w:val="2CB86F50"/>
    <w:rsid w:val="2CC31B0E"/>
    <w:rsid w:val="2CC719A5"/>
    <w:rsid w:val="2CC87124"/>
    <w:rsid w:val="2CDE06F5"/>
    <w:rsid w:val="2CE349C6"/>
    <w:rsid w:val="2CE61358"/>
    <w:rsid w:val="2CEB696E"/>
    <w:rsid w:val="2CF0517B"/>
    <w:rsid w:val="2CFD3CD4"/>
    <w:rsid w:val="2D0A7A82"/>
    <w:rsid w:val="2D180FBF"/>
    <w:rsid w:val="2D2B7558"/>
    <w:rsid w:val="2D3259F3"/>
    <w:rsid w:val="2D483DC1"/>
    <w:rsid w:val="2D4F7BF3"/>
    <w:rsid w:val="2D662499"/>
    <w:rsid w:val="2D684463"/>
    <w:rsid w:val="2D6E2A3E"/>
    <w:rsid w:val="2D6F134E"/>
    <w:rsid w:val="2D6F69D3"/>
    <w:rsid w:val="2D74105A"/>
    <w:rsid w:val="2D83129D"/>
    <w:rsid w:val="2D87193E"/>
    <w:rsid w:val="2D880661"/>
    <w:rsid w:val="2DA03BFD"/>
    <w:rsid w:val="2DA059AB"/>
    <w:rsid w:val="2DC93154"/>
    <w:rsid w:val="2DCC2C44"/>
    <w:rsid w:val="2DCE1D05"/>
    <w:rsid w:val="2DD85145"/>
    <w:rsid w:val="2DE47F8D"/>
    <w:rsid w:val="2DF301D1"/>
    <w:rsid w:val="2DF71E5C"/>
    <w:rsid w:val="2E1A575D"/>
    <w:rsid w:val="2E24038A"/>
    <w:rsid w:val="2E243587"/>
    <w:rsid w:val="2E2B455B"/>
    <w:rsid w:val="2E340DC2"/>
    <w:rsid w:val="2E4A5917"/>
    <w:rsid w:val="2E5B7B24"/>
    <w:rsid w:val="2E5C7415"/>
    <w:rsid w:val="2E5D5EBC"/>
    <w:rsid w:val="2E61338C"/>
    <w:rsid w:val="2E6C3ADF"/>
    <w:rsid w:val="2E750BE6"/>
    <w:rsid w:val="2E7F6685"/>
    <w:rsid w:val="2E8452CD"/>
    <w:rsid w:val="2EC540EE"/>
    <w:rsid w:val="2ECE479A"/>
    <w:rsid w:val="2EDA6C9B"/>
    <w:rsid w:val="2EF45F61"/>
    <w:rsid w:val="2EFB1163"/>
    <w:rsid w:val="2F104DB2"/>
    <w:rsid w:val="2F1321AD"/>
    <w:rsid w:val="2F1523C9"/>
    <w:rsid w:val="2F2A5E74"/>
    <w:rsid w:val="2F3F2FA2"/>
    <w:rsid w:val="2F4341DA"/>
    <w:rsid w:val="2F650C5A"/>
    <w:rsid w:val="2F7215C9"/>
    <w:rsid w:val="2F7C5FA4"/>
    <w:rsid w:val="2F934C89"/>
    <w:rsid w:val="2FAB0637"/>
    <w:rsid w:val="2FAF45CB"/>
    <w:rsid w:val="2FBB3FC4"/>
    <w:rsid w:val="2FBE480E"/>
    <w:rsid w:val="2FC17DB5"/>
    <w:rsid w:val="2FE22D93"/>
    <w:rsid w:val="2FF42ED4"/>
    <w:rsid w:val="2FF470AC"/>
    <w:rsid w:val="30006BD5"/>
    <w:rsid w:val="30161F54"/>
    <w:rsid w:val="30182170"/>
    <w:rsid w:val="301B52FC"/>
    <w:rsid w:val="301F52AD"/>
    <w:rsid w:val="302048A5"/>
    <w:rsid w:val="30211C76"/>
    <w:rsid w:val="302C79CA"/>
    <w:rsid w:val="302E3742"/>
    <w:rsid w:val="3037278B"/>
    <w:rsid w:val="30405223"/>
    <w:rsid w:val="30420F9B"/>
    <w:rsid w:val="30442F65"/>
    <w:rsid w:val="30465410"/>
    <w:rsid w:val="304765B2"/>
    <w:rsid w:val="30536D05"/>
    <w:rsid w:val="30566554"/>
    <w:rsid w:val="305807BF"/>
    <w:rsid w:val="3058256D"/>
    <w:rsid w:val="305F1B4D"/>
    <w:rsid w:val="3081665F"/>
    <w:rsid w:val="3088087C"/>
    <w:rsid w:val="308E41E1"/>
    <w:rsid w:val="3091782D"/>
    <w:rsid w:val="30977539"/>
    <w:rsid w:val="309826FE"/>
    <w:rsid w:val="30A12166"/>
    <w:rsid w:val="30A752A2"/>
    <w:rsid w:val="30A9726C"/>
    <w:rsid w:val="30BF439A"/>
    <w:rsid w:val="30CA4937"/>
    <w:rsid w:val="30CB0F91"/>
    <w:rsid w:val="30D342E9"/>
    <w:rsid w:val="30D36DCC"/>
    <w:rsid w:val="30EE4C7F"/>
    <w:rsid w:val="30F20773"/>
    <w:rsid w:val="30F753D6"/>
    <w:rsid w:val="30F93D50"/>
    <w:rsid w:val="30FD3114"/>
    <w:rsid w:val="310426F5"/>
    <w:rsid w:val="31046251"/>
    <w:rsid w:val="31056E89"/>
    <w:rsid w:val="3112096E"/>
    <w:rsid w:val="31197F4E"/>
    <w:rsid w:val="311A3CC6"/>
    <w:rsid w:val="311D7312"/>
    <w:rsid w:val="312E4D7E"/>
    <w:rsid w:val="31402EBF"/>
    <w:rsid w:val="3145331D"/>
    <w:rsid w:val="314E49B7"/>
    <w:rsid w:val="315216B2"/>
    <w:rsid w:val="315E1E05"/>
    <w:rsid w:val="315F16D9"/>
    <w:rsid w:val="317057B1"/>
    <w:rsid w:val="31717D8A"/>
    <w:rsid w:val="31813D45"/>
    <w:rsid w:val="318A49A8"/>
    <w:rsid w:val="3190205C"/>
    <w:rsid w:val="3196159F"/>
    <w:rsid w:val="319770C5"/>
    <w:rsid w:val="31A0241D"/>
    <w:rsid w:val="31B21A1E"/>
    <w:rsid w:val="31B934DF"/>
    <w:rsid w:val="31C0486E"/>
    <w:rsid w:val="31CA56EC"/>
    <w:rsid w:val="31CB6D6E"/>
    <w:rsid w:val="31CD6F8B"/>
    <w:rsid w:val="31D9592F"/>
    <w:rsid w:val="31F44517"/>
    <w:rsid w:val="320A7897"/>
    <w:rsid w:val="32180206"/>
    <w:rsid w:val="321F5F89"/>
    <w:rsid w:val="322748ED"/>
    <w:rsid w:val="32333292"/>
    <w:rsid w:val="32335040"/>
    <w:rsid w:val="323A7858"/>
    <w:rsid w:val="323D4800"/>
    <w:rsid w:val="324616E0"/>
    <w:rsid w:val="324803BF"/>
    <w:rsid w:val="32491521"/>
    <w:rsid w:val="32494863"/>
    <w:rsid w:val="325356E2"/>
    <w:rsid w:val="325B4596"/>
    <w:rsid w:val="3287538B"/>
    <w:rsid w:val="329A50BF"/>
    <w:rsid w:val="329F4483"/>
    <w:rsid w:val="32A0644D"/>
    <w:rsid w:val="32A25D21"/>
    <w:rsid w:val="32AC1573"/>
    <w:rsid w:val="32B617CD"/>
    <w:rsid w:val="32E12CEE"/>
    <w:rsid w:val="32E97DF4"/>
    <w:rsid w:val="32EB3B6C"/>
    <w:rsid w:val="32EB76C8"/>
    <w:rsid w:val="32F97D0C"/>
    <w:rsid w:val="33022C64"/>
    <w:rsid w:val="3310712F"/>
    <w:rsid w:val="33185FE3"/>
    <w:rsid w:val="33244988"/>
    <w:rsid w:val="334703EE"/>
    <w:rsid w:val="335E433E"/>
    <w:rsid w:val="335E60EC"/>
    <w:rsid w:val="335F00B6"/>
    <w:rsid w:val="3361798A"/>
    <w:rsid w:val="337551E4"/>
    <w:rsid w:val="33883169"/>
    <w:rsid w:val="338B0EAB"/>
    <w:rsid w:val="33957634"/>
    <w:rsid w:val="33A1247D"/>
    <w:rsid w:val="33A9542D"/>
    <w:rsid w:val="33C43410"/>
    <w:rsid w:val="33D22636"/>
    <w:rsid w:val="33E04D53"/>
    <w:rsid w:val="33E12879"/>
    <w:rsid w:val="33E17357"/>
    <w:rsid w:val="33F0036B"/>
    <w:rsid w:val="34012F1B"/>
    <w:rsid w:val="34014CC9"/>
    <w:rsid w:val="342509B8"/>
    <w:rsid w:val="34272982"/>
    <w:rsid w:val="344F6221"/>
    <w:rsid w:val="345117AD"/>
    <w:rsid w:val="34565015"/>
    <w:rsid w:val="345D63A4"/>
    <w:rsid w:val="34605E94"/>
    <w:rsid w:val="346773D9"/>
    <w:rsid w:val="347A68F0"/>
    <w:rsid w:val="347D07F4"/>
    <w:rsid w:val="34840FE9"/>
    <w:rsid w:val="348A2F11"/>
    <w:rsid w:val="3491429F"/>
    <w:rsid w:val="349B6ECC"/>
    <w:rsid w:val="34A02734"/>
    <w:rsid w:val="34A13C1D"/>
    <w:rsid w:val="34B47F8E"/>
    <w:rsid w:val="34BD1FB8"/>
    <w:rsid w:val="34C9720C"/>
    <w:rsid w:val="34E00D83"/>
    <w:rsid w:val="34E70363"/>
    <w:rsid w:val="34F34F5A"/>
    <w:rsid w:val="34FF745B"/>
    <w:rsid w:val="350C1B78"/>
    <w:rsid w:val="353115DE"/>
    <w:rsid w:val="354F32F4"/>
    <w:rsid w:val="35577297"/>
    <w:rsid w:val="35675000"/>
    <w:rsid w:val="3593164E"/>
    <w:rsid w:val="359E4EC6"/>
    <w:rsid w:val="35A16764"/>
    <w:rsid w:val="35A61FCC"/>
    <w:rsid w:val="35A87E67"/>
    <w:rsid w:val="35C0308E"/>
    <w:rsid w:val="35C12962"/>
    <w:rsid w:val="35C94129"/>
    <w:rsid w:val="35CE6E2D"/>
    <w:rsid w:val="35EF3357"/>
    <w:rsid w:val="362311BF"/>
    <w:rsid w:val="36341386"/>
    <w:rsid w:val="363E2205"/>
    <w:rsid w:val="364D069A"/>
    <w:rsid w:val="36624145"/>
    <w:rsid w:val="36702C58"/>
    <w:rsid w:val="368D6CE8"/>
    <w:rsid w:val="36A209E6"/>
    <w:rsid w:val="36CA5847"/>
    <w:rsid w:val="36CC7811"/>
    <w:rsid w:val="36E36908"/>
    <w:rsid w:val="36E7464B"/>
    <w:rsid w:val="36EB413B"/>
    <w:rsid w:val="36FF1994"/>
    <w:rsid w:val="37060F75"/>
    <w:rsid w:val="370A20E7"/>
    <w:rsid w:val="37113FF6"/>
    <w:rsid w:val="37357164"/>
    <w:rsid w:val="37377380"/>
    <w:rsid w:val="375D490D"/>
    <w:rsid w:val="3765217E"/>
    <w:rsid w:val="376617D2"/>
    <w:rsid w:val="376E2676"/>
    <w:rsid w:val="37955E55"/>
    <w:rsid w:val="37C31F61"/>
    <w:rsid w:val="37C33DE3"/>
    <w:rsid w:val="37CA01F4"/>
    <w:rsid w:val="37D050DF"/>
    <w:rsid w:val="37EA43F2"/>
    <w:rsid w:val="37FA03AE"/>
    <w:rsid w:val="37FC4126"/>
    <w:rsid w:val="38222A28"/>
    <w:rsid w:val="382471D8"/>
    <w:rsid w:val="382A2A41"/>
    <w:rsid w:val="383513E6"/>
    <w:rsid w:val="38392E3A"/>
    <w:rsid w:val="3845787B"/>
    <w:rsid w:val="38471845"/>
    <w:rsid w:val="38563836"/>
    <w:rsid w:val="387719FE"/>
    <w:rsid w:val="38966328"/>
    <w:rsid w:val="38A50319"/>
    <w:rsid w:val="38A81BB8"/>
    <w:rsid w:val="38AB1402"/>
    <w:rsid w:val="38AD56B2"/>
    <w:rsid w:val="38B93DC5"/>
    <w:rsid w:val="38BE762D"/>
    <w:rsid w:val="38CF5396"/>
    <w:rsid w:val="38D86941"/>
    <w:rsid w:val="38D96215"/>
    <w:rsid w:val="38D97FC3"/>
    <w:rsid w:val="38DC1E4F"/>
    <w:rsid w:val="38DD5D05"/>
    <w:rsid w:val="38F56D2F"/>
    <w:rsid w:val="38FD48BB"/>
    <w:rsid w:val="390557F8"/>
    <w:rsid w:val="390D49C6"/>
    <w:rsid w:val="390E2362"/>
    <w:rsid w:val="390F1C37"/>
    <w:rsid w:val="391159AF"/>
    <w:rsid w:val="39276F80"/>
    <w:rsid w:val="3928049D"/>
    <w:rsid w:val="393B0C7E"/>
    <w:rsid w:val="395132AA"/>
    <w:rsid w:val="39550C35"/>
    <w:rsid w:val="396226AE"/>
    <w:rsid w:val="396F6EDD"/>
    <w:rsid w:val="39706B79"/>
    <w:rsid w:val="39755F3E"/>
    <w:rsid w:val="397877DC"/>
    <w:rsid w:val="398443D3"/>
    <w:rsid w:val="39873EC3"/>
    <w:rsid w:val="398E34A3"/>
    <w:rsid w:val="398F0D20"/>
    <w:rsid w:val="39904B26"/>
    <w:rsid w:val="39913728"/>
    <w:rsid w:val="39930ABA"/>
    <w:rsid w:val="39A60883"/>
    <w:rsid w:val="39A87231"/>
    <w:rsid w:val="39AE1450"/>
    <w:rsid w:val="39B36A66"/>
    <w:rsid w:val="39BA7DF4"/>
    <w:rsid w:val="39C62C3D"/>
    <w:rsid w:val="39C90037"/>
    <w:rsid w:val="39CA329F"/>
    <w:rsid w:val="39CC3879"/>
    <w:rsid w:val="39CD7B28"/>
    <w:rsid w:val="39D92970"/>
    <w:rsid w:val="39DE1D35"/>
    <w:rsid w:val="39DF5AAD"/>
    <w:rsid w:val="39E135D3"/>
    <w:rsid w:val="39E46F19"/>
    <w:rsid w:val="39E57B8C"/>
    <w:rsid w:val="39E906DA"/>
    <w:rsid w:val="3A140C9F"/>
    <w:rsid w:val="3A256A47"/>
    <w:rsid w:val="3A6F0BDF"/>
    <w:rsid w:val="3A7601BF"/>
    <w:rsid w:val="3A766411"/>
    <w:rsid w:val="3A79380C"/>
    <w:rsid w:val="3A7D77A0"/>
    <w:rsid w:val="3A887EF3"/>
    <w:rsid w:val="3AA45590"/>
    <w:rsid w:val="3AAC3BE1"/>
    <w:rsid w:val="3AC3419F"/>
    <w:rsid w:val="3AD15273"/>
    <w:rsid w:val="3ADE7B13"/>
    <w:rsid w:val="3B0C28D2"/>
    <w:rsid w:val="3B0C6285"/>
    <w:rsid w:val="3B0E03F8"/>
    <w:rsid w:val="3B1479D8"/>
    <w:rsid w:val="3B2C4D22"/>
    <w:rsid w:val="3B316114"/>
    <w:rsid w:val="3B334302"/>
    <w:rsid w:val="3B3911ED"/>
    <w:rsid w:val="3B430BBC"/>
    <w:rsid w:val="3B502D53"/>
    <w:rsid w:val="3B5928F8"/>
    <w:rsid w:val="3B595AEE"/>
    <w:rsid w:val="3B5D137F"/>
    <w:rsid w:val="3B600651"/>
    <w:rsid w:val="3B620744"/>
    <w:rsid w:val="3B7641EF"/>
    <w:rsid w:val="3B8561E0"/>
    <w:rsid w:val="3B946CD8"/>
    <w:rsid w:val="3BAC7C11"/>
    <w:rsid w:val="3BC211E2"/>
    <w:rsid w:val="3BC9468F"/>
    <w:rsid w:val="3BCB0097"/>
    <w:rsid w:val="3BF27D19"/>
    <w:rsid w:val="3BF50BF3"/>
    <w:rsid w:val="3BF910A8"/>
    <w:rsid w:val="3C027831"/>
    <w:rsid w:val="3C0E2679"/>
    <w:rsid w:val="3C0F2531"/>
    <w:rsid w:val="3C1001A0"/>
    <w:rsid w:val="3C131A3E"/>
    <w:rsid w:val="3C17152E"/>
    <w:rsid w:val="3C221C81"/>
    <w:rsid w:val="3C2B6D87"/>
    <w:rsid w:val="3C414DBC"/>
    <w:rsid w:val="3C5F2ED5"/>
    <w:rsid w:val="3C6436E5"/>
    <w:rsid w:val="3C710BAA"/>
    <w:rsid w:val="3C77021F"/>
    <w:rsid w:val="3C9630FC"/>
    <w:rsid w:val="3CA134EE"/>
    <w:rsid w:val="3CAF79B9"/>
    <w:rsid w:val="3CBA05A8"/>
    <w:rsid w:val="3CC571DC"/>
    <w:rsid w:val="3CCA65A0"/>
    <w:rsid w:val="3CCD6091"/>
    <w:rsid w:val="3CDE029E"/>
    <w:rsid w:val="3CF11D7F"/>
    <w:rsid w:val="3D046A05"/>
    <w:rsid w:val="3D08605E"/>
    <w:rsid w:val="3D0870C9"/>
    <w:rsid w:val="3D250FBF"/>
    <w:rsid w:val="3D251A29"/>
    <w:rsid w:val="3D314871"/>
    <w:rsid w:val="3D564D67"/>
    <w:rsid w:val="3D595B76"/>
    <w:rsid w:val="3D65451B"/>
    <w:rsid w:val="3D6E7325"/>
    <w:rsid w:val="3D734E8A"/>
    <w:rsid w:val="3D8C7CFA"/>
    <w:rsid w:val="3D8E5820"/>
    <w:rsid w:val="3D9D69DF"/>
    <w:rsid w:val="3DAA0180"/>
    <w:rsid w:val="3DC079A3"/>
    <w:rsid w:val="3DC1064B"/>
    <w:rsid w:val="3DC56D68"/>
    <w:rsid w:val="3DC96858"/>
    <w:rsid w:val="3DD376D7"/>
    <w:rsid w:val="3DD86A9B"/>
    <w:rsid w:val="3DEB0EC4"/>
    <w:rsid w:val="3DF43239"/>
    <w:rsid w:val="3DF81EAF"/>
    <w:rsid w:val="3DF8713D"/>
    <w:rsid w:val="3E175815"/>
    <w:rsid w:val="3E1C107E"/>
    <w:rsid w:val="3E3C34CE"/>
    <w:rsid w:val="3E491296"/>
    <w:rsid w:val="3E4A3B29"/>
    <w:rsid w:val="3E566615"/>
    <w:rsid w:val="3E703177"/>
    <w:rsid w:val="3E7574E5"/>
    <w:rsid w:val="3E7C7D6E"/>
    <w:rsid w:val="3EB43064"/>
    <w:rsid w:val="3EB72B54"/>
    <w:rsid w:val="3EBA4C37"/>
    <w:rsid w:val="3EE86C72"/>
    <w:rsid w:val="3EF62190"/>
    <w:rsid w:val="3EF75647"/>
    <w:rsid w:val="3F0454AC"/>
    <w:rsid w:val="3F0833B0"/>
    <w:rsid w:val="3F0A537A"/>
    <w:rsid w:val="3F163D1F"/>
    <w:rsid w:val="3F214472"/>
    <w:rsid w:val="3F2301EA"/>
    <w:rsid w:val="3F2A5A1C"/>
    <w:rsid w:val="3F2C3542"/>
    <w:rsid w:val="3F32042D"/>
    <w:rsid w:val="3F3C678D"/>
    <w:rsid w:val="3F584337"/>
    <w:rsid w:val="3F616160"/>
    <w:rsid w:val="3F631B80"/>
    <w:rsid w:val="3F6355AE"/>
    <w:rsid w:val="3F6E3B5B"/>
    <w:rsid w:val="3F7A3757"/>
    <w:rsid w:val="3F7E3672"/>
    <w:rsid w:val="3F835B55"/>
    <w:rsid w:val="3F980BD8"/>
    <w:rsid w:val="3FB3156E"/>
    <w:rsid w:val="3FC1012F"/>
    <w:rsid w:val="3FC45529"/>
    <w:rsid w:val="3FDF5019"/>
    <w:rsid w:val="3FE45BCB"/>
    <w:rsid w:val="3FF43934"/>
    <w:rsid w:val="3FF63F1F"/>
    <w:rsid w:val="3FFE4076"/>
    <w:rsid w:val="4001677D"/>
    <w:rsid w:val="401A339B"/>
    <w:rsid w:val="401C4183"/>
    <w:rsid w:val="401D732F"/>
    <w:rsid w:val="40316936"/>
    <w:rsid w:val="40436D96"/>
    <w:rsid w:val="40493C80"/>
    <w:rsid w:val="406311E6"/>
    <w:rsid w:val="40657D71"/>
    <w:rsid w:val="40694322"/>
    <w:rsid w:val="406960D0"/>
    <w:rsid w:val="40752CC7"/>
    <w:rsid w:val="407C4056"/>
    <w:rsid w:val="409273D5"/>
    <w:rsid w:val="409C46F8"/>
    <w:rsid w:val="409D5D7A"/>
    <w:rsid w:val="40AB152F"/>
    <w:rsid w:val="40B41CFD"/>
    <w:rsid w:val="40BE01CA"/>
    <w:rsid w:val="40CA0A76"/>
    <w:rsid w:val="40CB28E7"/>
    <w:rsid w:val="40DA0D7C"/>
    <w:rsid w:val="40F24318"/>
    <w:rsid w:val="4114428E"/>
    <w:rsid w:val="411E6EBB"/>
    <w:rsid w:val="413A50CC"/>
    <w:rsid w:val="414D77A0"/>
    <w:rsid w:val="4153520E"/>
    <w:rsid w:val="41562AF9"/>
    <w:rsid w:val="41872CB2"/>
    <w:rsid w:val="418E2292"/>
    <w:rsid w:val="41A41AB6"/>
    <w:rsid w:val="41AF3FB7"/>
    <w:rsid w:val="41B01A29"/>
    <w:rsid w:val="41B220EF"/>
    <w:rsid w:val="41B65345"/>
    <w:rsid w:val="41C37A62"/>
    <w:rsid w:val="41CC2DBB"/>
    <w:rsid w:val="41E9396D"/>
    <w:rsid w:val="41F52311"/>
    <w:rsid w:val="42073DF3"/>
    <w:rsid w:val="420B38E3"/>
    <w:rsid w:val="42156510"/>
    <w:rsid w:val="421F113C"/>
    <w:rsid w:val="422259CE"/>
    <w:rsid w:val="4224656E"/>
    <w:rsid w:val="422C1AAB"/>
    <w:rsid w:val="42334BE8"/>
    <w:rsid w:val="42355B4F"/>
    <w:rsid w:val="423D15C3"/>
    <w:rsid w:val="42404F2E"/>
    <w:rsid w:val="42495E5D"/>
    <w:rsid w:val="42674891"/>
    <w:rsid w:val="426B25D4"/>
    <w:rsid w:val="4272038F"/>
    <w:rsid w:val="42843695"/>
    <w:rsid w:val="4286584E"/>
    <w:rsid w:val="428822E5"/>
    <w:rsid w:val="42894808"/>
    <w:rsid w:val="428B67D2"/>
    <w:rsid w:val="42980EEF"/>
    <w:rsid w:val="42BE6BA7"/>
    <w:rsid w:val="42C341BE"/>
    <w:rsid w:val="42C5274B"/>
    <w:rsid w:val="42D4470F"/>
    <w:rsid w:val="42D9578F"/>
    <w:rsid w:val="42D9753D"/>
    <w:rsid w:val="42DC527F"/>
    <w:rsid w:val="42DC702D"/>
    <w:rsid w:val="42EE5DB7"/>
    <w:rsid w:val="43075BF2"/>
    <w:rsid w:val="430D368B"/>
    <w:rsid w:val="43170066"/>
    <w:rsid w:val="43186A9F"/>
    <w:rsid w:val="434068EF"/>
    <w:rsid w:val="4341692C"/>
    <w:rsid w:val="43432C09"/>
    <w:rsid w:val="435734CA"/>
    <w:rsid w:val="43631F42"/>
    <w:rsid w:val="436C03B1"/>
    <w:rsid w:val="437D25BE"/>
    <w:rsid w:val="437E1E93"/>
    <w:rsid w:val="438B4E9F"/>
    <w:rsid w:val="43B32ED5"/>
    <w:rsid w:val="43C57AC2"/>
    <w:rsid w:val="43D23F8D"/>
    <w:rsid w:val="43F839F3"/>
    <w:rsid w:val="44016A40"/>
    <w:rsid w:val="44110F59"/>
    <w:rsid w:val="4420119C"/>
    <w:rsid w:val="44250560"/>
    <w:rsid w:val="442F6DCF"/>
    <w:rsid w:val="44330ECF"/>
    <w:rsid w:val="44337121"/>
    <w:rsid w:val="4436276D"/>
    <w:rsid w:val="44384737"/>
    <w:rsid w:val="444C01E3"/>
    <w:rsid w:val="44670B79"/>
    <w:rsid w:val="446B0669"/>
    <w:rsid w:val="447119F7"/>
    <w:rsid w:val="4475773A"/>
    <w:rsid w:val="44775260"/>
    <w:rsid w:val="44775DAC"/>
    <w:rsid w:val="447C0AC8"/>
    <w:rsid w:val="4484797D"/>
    <w:rsid w:val="449F47B6"/>
    <w:rsid w:val="449F6565"/>
    <w:rsid w:val="44A1408B"/>
    <w:rsid w:val="44AE67A8"/>
    <w:rsid w:val="44B10046"/>
    <w:rsid w:val="44B30262"/>
    <w:rsid w:val="44B72A72"/>
    <w:rsid w:val="44CC6C2E"/>
    <w:rsid w:val="44D11480"/>
    <w:rsid w:val="44D4636E"/>
    <w:rsid w:val="44DC68F6"/>
    <w:rsid w:val="44DF5D96"/>
    <w:rsid w:val="44F05012"/>
    <w:rsid w:val="44F52628"/>
    <w:rsid w:val="45214FD6"/>
    <w:rsid w:val="45315E04"/>
    <w:rsid w:val="454442BA"/>
    <w:rsid w:val="45572A7F"/>
    <w:rsid w:val="456066B7"/>
    <w:rsid w:val="4577303D"/>
    <w:rsid w:val="45857508"/>
    <w:rsid w:val="45870AF1"/>
    <w:rsid w:val="45941E41"/>
    <w:rsid w:val="4597723C"/>
    <w:rsid w:val="45A02594"/>
    <w:rsid w:val="45A51959"/>
    <w:rsid w:val="45A9410F"/>
    <w:rsid w:val="45B8042E"/>
    <w:rsid w:val="45B918A8"/>
    <w:rsid w:val="45BB4E4A"/>
    <w:rsid w:val="45C06792"/>
    <w:rsid w:val="45C1250B"/>
    <w:rsid w:val="45C51884"/>
    <w:rsid w:val="45D1274E"/>
    <w:rsid w:val="45D64105"/>
    <w:rsid w:val="45DB1516"/>
    <w:rsid w:val="45DB4BF3"/>
    <w:rsid w:val="45FC1A9A"/>
    <w:rsid w:val="46003033"/>
    <w:rsid w:val="46117743"/>
    <w:rsid w:val="46205483"/>
    <w:rsid w:val="46252A99"/>
    <w:rsid w:val="46284338"/>
    <w:rsid w:val="462E7BA0"/>
    <w:rsid w:val="462F56C6"/>
    <w:rsid w:val="46310FCF"/>
    <w:rsid w:val="46357180"/>
    <w:rsid w:val="46444796"/>
    <w:rsid w:val="464473C4"/>
    <w:rsid w:val="4654512D"/>
    <w:rsid w:val="465B64BB"/>
    <w:rsid w:val="46640381"/>
    <w:rsid w:val="46737CA9"/>
    <w:rsid w:val="4675640E"/>
    <w:rsid w:val="467665EB"/>
    <w:rsid w:val="467812D2"/>
    <w:rsid w:val="467B6B5D"/>
    <w:rsid w:val="467F3637"/>
    <w:rsid w:val="46804174"/>
    <w:rsid w:val="4698714F"/>
    <w:rsid w:val="46AB7B7E"/>
    <w:rsid w:val="46AC31BB"/>
    <w:rsid w:val="46BD6ED3"/>
    <w:rsid w:val="46C44060"/>
    <w:rsid w:val="46D70238"/>
    <w:rsid w:val="46DC584E"/>
    <w:rsid w:val="46DD13C5"/>
    <w:rsid w:val="46DD3374"/>
    <w:rsid w:val="46ED1CFF"/>
    <w:rsid w:val="46ED6F24"/>
    <w:rsid w:val="46FD23E0"/>
    <w:rsid w:val="47044481"/>
    <w:rsid w:val="470B6133"/>
    <w:rsid w:val="470E352E"/>
    <w:rsid w:val="47226FEC"/>
    <w:rsid w:val="47356D0C"/>
    <w:rsid w:val="473A4323"/>
    <w:rsid w:val="473C009B"/>
    <w:rsid w:val="47523D62"/>
    <w:rsid w:val="4760647F"/>
    <w:rsid w:val="47640517"/>
    <w:rsid w:val="47712392"/>
    <w:rsid w:val="4784789F"/>
    <w:rsid w:val="47877EE9"/>
    <w:rsid w:val="478832E0"/>
    <w:rsid w:val="4799729B"/>
    <w:rsid w:val="47BC11DC"/>
    <w:rsid w:val="47CB7671"/>
    <w:rsid w:val="47E726FC"/>
    <w:rsid w:val="47E732D5"/>
    <w:rsid w:val="47ED5839"/>
    <w:rsid w:val="47F24BFD"/>
    <w:rsid w:val="47F40975"/>
    <w:rsid w:val="48013092"/>
    <w:rsid w:val="480908C5"/>
    <w:rsid w:val="480F57AF"/>
    <w:rsid w:val="48164D90"/>
    <w:rsid w:val="481751E1"/>
    <w:rsid w:val="481C1C7A"/>
    <w:rsid w:val="482374AD"/>
    <w:rsid w:val="482E20D9"/>
    <w:rsid w:val="48347A3B"/>
    <w:rsid w:val="48517B76"/>
    <w:rsid w:val="485458B8"/>
    <w:rsid w:val="48552BC8"/>
    <w:rsid w:val="4860600B"/>
    <w:rsid w:val="486C2C02"/>
    <w:rsid w:val="48825F81"/>
    <w:rsid w:val="488A2091"/>
    <w:rsid w:val="48A00EA8"/>
    <w:rsid w:val="48A71E8C"/>
    <w:rsid w:val="48D3323D"/>
    <w:rsid w:val="48D82045"/>
    <w:rsid w:val="48F6071D"/>
    <w:rsid w:val="4904108C"/>
    <w:rsid w:val="49115557"/>
    <w:rsid w:val="492474CD"/>
    <w:rsid w:val="49282FCC"/>
    <w:rsid w:val="49373210"/>
    <w:rsid w:val="4948541D"/>
    <w:rsid w:val="49641B2B"/>
    <w:rsid w:val="4977360C"/>
    <w:rsid w:val="499441BE"/>
    <w:rsid w:val="499C12C5"/>
    <w:rsid w:val="49B605D8"/>
    <w:rsid w:val="49BA174B"/>
    <w:rsid w:val="49DD4854"/>
    <w:rsid w:val="49EC224C"/>
    <w:rsid w:val="49F11610"/>
    <w:rsid w:val="49F41101"/>
    <w:rsid w:val="49F509D5"/>
    <w:rsid w:val="49FE1F7F"/>
    <w:rsid w:val="49FE5ADB"/>
    <w:rsid w:val="49FF7834"/>
    <w:rsid w:val="4A056E6A"/>
    <w:rsid w:val="4A0A26D2"/>
    <w:rsid w:val="4A0D7A32"/>
    <w:rsid w:val="4A143551"/>
    <w:rsid w:val="4A162E25"/>
    <w:rsid w:val="4A176B9D"/>
    <w:rsid w:val="4A233794"/>
    <w:rsid w:val="4A253068"/>
    <w:rsid w:val="4A2644D8"/>
    <w:rsid w:val="4A402CC2"/>
    <w:rsid w:val="4A407EA2"/>
    <w:rsid w:val="4A5E74A0"/>
    <w:rsid w:val="4A6720DB"/>
    <w:rsid w:val="4A673681"/>
    <w:rsid w:val="4A6F4C2B"/>
    <w:rsid w:val="4A881849"/>
    <w:rsid w:val="4A985F30"/>
    <w:rsid w:val="4A9B3950"/>
    <w:rsid w:val="4AAF5028"/>
    <w:rsid w:val="4AAF6A1F"/>
    <w:rsid w:val="4AB64608"/>
    <w:rsid w:val="4AB97C54"/>
    <w:rsid w:val="4AC40AD3"/>
    <w:rsid w:val="4ADE0597"/>
    <w:rsid w:val="4AEC002A"/>
    <w:rsid w:val="4AFE5FF6"/>
    <w:rsid w:val="4AFF5FAF"/>
    <w:rsid w:val="4B052E99"/>
    <w:rsid w:val="4B0C247A"/>
    <w:rsid w:val="4B2257F9"/>
    <w:rsid w:val="4B257098"/>
    <w:rsid w:val="4B38501D"/>
    <w:rsid w:val="4B4042B2"/>
    <w:rsid w:val="4B5A4F93"/>
    <w:rsid w:val="4B5F07FC"/>
    <w:rsid w:val="4B6127C6"/>
    <w:rsid w:val="4B683901"/>
    <w:rsid w:val="4B760B3E"/>
    <w:rsid w:val="4B842010"/>
    <w:rsid w:val="4B8E2E8F"/>
    <w:rsid w:val="4B911B6E"/>
    <w:rsid w:val="4B9402C8"/>
    <w:rsid w:val="4B9C37FE"/>
    <w:rsid w:val="4BA601D9"/>
    <w:rsid w:val="4BA91A77"/>
    <w:rsid w:val="4BAF3531"/>
    <w:rsid w:val="4BB46D99"/>
    <w:rsid w:val="4BBD023B"/>
    <w:rsid w:val="4BBF74EC"/>
    <w:rsid w:val="4BEB02E1"/>
    <w:rsid w:val="4BEB6533"/>
    <w:rsid w:val="4BED4059"/>
    <w:rsid w:val="4C2757BD"/>
    <w:rsid w:val="4C2832E3"/>
    <w:rsid w:val="4C2F3B31"/>
    <w:rsid w:val="4C4112C2"/>
    <w:rsid w:val="4C4A5008"/>
    <w:rsid w:val="4C5B0FC3"/>
    <w:rsid w:val="4C5E0AB3"/>
    <w:rsid w:val="4C63256E"/>
    <w:rsid w:val="4C6F0F12"/>
    <w:rsid w:val="4C83051A"/>
    <w:rsid w:val="4C8524E4"/>
    <w:rsid w:val="4C942727"/>
    <w:rsid w:val="4C9444D5"/>
    <w:rsid w:val="4CBB4158"/>
    <w:rsid w:val="4CBB7459"/>
    <w:rsid w:val="4CC6023B"/>
    <w:rsid w:val="4CC6266A"/>
    <w:rsid w:val="4CCF0DFF"/>
    <w:rsid w:val="4CD53D3C"/>
    <w:rsid w:val="4CD64AED"/>
    <w:rsid w:val="4CD843F4"/>
    <w:rsid w:val="4CE03BBE"/>
    <w:rsid w:val="4CE128D9"/>
    <w:rsid w:val="4CF5766A"/>
    <w:rsid w:val="4D0553D3"/>
    <w:rsid w:val="4D0E072B"/>
    <w:rsid w:val="4D1A0E7E"/>
    <w:rsid w:val="4D3857A8"/>
    <w:rsid w:val="4D403526"/>
    <w:rsid w:val="4D4203D5"/>
    <w:rsid w:val="4D467EC5"/>
    <w:rsid w:val="4D4B1038"/>
    <w:rsid w:val="4D563871"/>
    <w:rsid w:val="4D587BF8"/>
    <w:rsid w:val="4D5A3970"/>
    <w:rsid w:val="4D5A571F"/>
    <w:rsid w:val="4D645B85"/>
    <w:rsid w:val="4D653795"/>
    <w:rsid w:val="4D677E3B"/>
    <w:rsid w:val="4D7A7B6F"/>
    <w:rsid w:val="4D84279B"/>
    <w:rsid w:val="4D926C66"/>
    <w:rsid w:val="4DA644C0"/>
    <w:rsid w:val="4DA90C95"/>
    <w:rsid w:val="4DB35BC7"/>
    <w:rsid w:val="4DBB46A4"/>
    <w:rsid w:val="4DC8085E"/>
    <w:rsid w:val="4DD24E26"/>
    <w:rsid w:val="4DD52FF7"/>
    <w:rsid w:val="4DD778F1"/>
    <w:rsid w:val="4DE374C2"/>
    <w:rsid w:val="4DE90850"/>
    <w:rsid w:val="4DEF40B9"/>
    <w:rsid w:val="4DFC67D6"/>
    <w:rsid w:val="4DFE03BB"/>
    <w:rsid w:val="4E013DEC"/>
    <w:rsid w:val="4E08517B"/>
    <w:rsid w:val="4E0B7FC1"/>
    <w:rsid w:val="4E127DA7"/>
    <w:rsid w:val="4E28581D"/>
    <w:rsid w:val="4E2875CB"/>
    <w:rsid w:val="4E291031"/>
    <w:rsid w:val="4E41068C"/>
    <w:rsid w:val="4E451F2B"/>
    <w:rsid w:val="4E455FE9"/>
    <w:rsid w:val="4E4A12EF"/>
    <w:rsid w:val="4E4B5067"/>
    <w:rsid w:val="4E561CEF"/>
    <w:rsid w:val="4E6600F3"/>
    <w:rsid w:val="4E7E71EB"/>
    <w:rsid w:val="4E984750"/>
    <w:rsid w:val="4EA053B3"/>
    <w:rsid w:val="4EA8070C"/>
    <w:rsid w:val="4EC100CA"/>
    <w:rsid w:val="4ECE0172"/>
    <w:rsid w:val="4EDE068B"/>
    <w:rsid w:val="4EEC7408"/>
    <w:rsid w:val="4F0516BA"/>
    <w:rsid w:val="4F111E0D"/>
    <w:rsid w:val="4F133DD7"/>
    <w:rsid w:val="4F31198F"/>
    <w:rsid w:val="4F3E697A"/>
    <w:rsid w:val="4F4E3F8C"/>
    <w:rsid w:val="4F5D14F6"/>
    <w:rsid w:val="4F5F701C"/>
    <w:rsid w:val="4F602D94"/>
    <w:rsid w:val="4F626B0C"/>
    <w:rsid w:val="4F647E6A"/>
    <w:rsid w:val="4F786330"/>
    <w:rsid w:val="4F813A5D"/>
    <w:rsid w:val="4F965D69"/>
    <w:rsid w:val="4F9E636D"/>
    <w:rsid w:val="4FA0465B"/>
    <w:rsid w:val="4FB568CD"/>
    <w:rsid w:val="4FB76E58"/>
    <w:rsid w:val="4FBB630B"/>
    <w:rsid w:val="4FC03600"/>
    <w:rsid w:val="4FDF1C24"/>
    <w:rsid w:val="50003B61"/>
    <w:rsid w:val="50067498"/>
    <w:rsid w:val="500876B4"/>
    <w:rsid w:val="500B2D00"/>
    <w:rsid w:val="50125E3D"/>
    <w:rsid w:val="50146059"/>
    <w:rsid w:val="501E0C85"/>
    <w:rsid w:val="502B6D9B"/>
    <w:rsid w:val="50302705"/>
    <w:rsid w:val="50395ABF"/>
    <w:rsid w:val="50483F54"/>
    <w:rsid w:val="505C7A00"/>
    <w:rsid w:val="5060304C"/>
    <w:rsid w:val="50666188"/>
    <w:rsid w:val="507E467D"/>
    <w:rsid w:val="50966A6E"/>
    <w:rsid w:val="50A13664"/>
    <w:rsid w:val="50A76ECD"/>
    <w:rsid w:val="50BE4F65"/>
    <w:rsid w:val="50C01D3C"/>
    <w:rsid w:val="50C23D07"/>
    <w:rsid w:val="50CC0959"/>
    <w:rsid w:val="50D17AA6"/>
    <w:rsid w:val="50E05F3B"/>
    <w:rsid w:val="50FB0FC7"/>
    <w:rsid w:val="50FD6AED"/>
    <w:rsid w:val="51035F92"/>
    <w:rsid w:val="51041931"/>
    <w:rsid w:val="51087240"/>
    <w:rsid w:val="510936E3"/>
    <w:rsid w:val="510C31D4"/>
    <w:rsid w:val="51122753"/>
    <w:rsid w:val="51183927"/>
    <w:rsid w:val="5119769F"/>
    <w:rsid w:val="512C1180"/>
    <w:rsid w:val="512C5624"/>
    <w:rsid w:val="5139564B"/>
    <w:rsid w:val="51510BE7"/>
    <w:rsid w:val="5153495F"/>
    <w:rsid w:val="51581F75"/>
    <w:rsid w:val="51586419"/>
    <w:rsid w:val="515F1555"/>
    <w:rsid w:val="51624BA2"/>
    <w:rsid w:val="5166089C"/>
    <w:rsid w:val="5174109B"/>
    <w:rsid w:val="51795B93"/>
    <w:rsid w:val="517D3A01"/>
    <w:rsid w:val="517F5754"/>
    <w:rsid w:val="5181771E"/>
    <w:rsid w:val="518965D2"/>
    <w:rsid w:val="518C7E71"/>
    <w:rsid w:val="51960CEF"/>
    <w:rsid w:val="51A451BA"/>
    <w:rsid w:val="51B01DB1"/>
    <w:rsid w:val="51B15B29"/>
    <w:rsid w:val="51BD44CE"/>
    <w:rsid w:val="51C045ED"/>
    <w:rsid w:val="51D11D27"/>
    <w:rsid w:val="51D21E7F"/>
    <w:rsid w:val="51E101BC"/>
    <w:rsid w:val="51E47CEE"/>
    <w:rsid w:val="51EB11CD"/>
    <w:rsid w:val="51F223CA"/>
    <w:rsid w:val="51F31C9E"/>
    <w:rsid w:val="520B6FE7"/>
    <w:rsid w:val="52102850"/>
    <w:rsid w:val="521560B8"/>
    <w:rsid w:val="522105B9"/>
    <w:rsid w:val="522956BF"/>
    <w:rsid w:val="524D13AE"/>
    <w:rsid w:val="52635075"/>
    <w:rsid w:val="527032EE"/>
    <w:rsid w:val="527C3337"/>
    <w:rsid w:val="527C6137"/>
    <w:rsid w:val="527E3C5D"/>
    <w:rsid w:val="528154FB"/>
    <w:rsid w:val="52862B12"/>
    <w:rsid w:val="52887419"/>
    <w:rsid w:val="528943B0"/>
    <w:rsid w:val="528C4FD9"/>
    <w:rsid w:val="529517D1"/>
    <w:rsid w:val="52972F71"/>
    <w:rsid w:val="529C19B8"/>
    <w:rsid w:val="52A061AF"/>
    <w:rsid w:val="52A47972"/>
    <w:rsid w:val="52AB6175"/>
    <w:rsid w:val="52CB6777"/>
    <w:rsid w:val="52DF3B64"/>
    <w:rsid w:val="52E53CDC"/>
    <w:rsid w:val="52F45CCD"/>
    <w:rsid w:val="532A70EA"/>
    <w:rsid w:val="53312A7E"/>
    <w:rsid w:val="53656BCB"/>
    <w:rsid w:val="537A08C9"/>
    <w:rsid w:val="538232D9"/>
    <w:rsid w:val="538A6632"/>
    <w:rsid w:val="53912EBE"/>
    <w:rsid w:val="53A476F3"/>
    <w:rsid w:val="53AC47FA"/>
    <w:rsid w:val="53C41B44"/>
    <w:rsid w:val="53DD0E57"/>
    <w:rsid w:val="53E04E54"/>
    <w:rsid w:val="53E73A84"/>
    <w:rsid w:val="53FD6E04"/>
    <w:rsid w:val="54040192"/>
    <w:rsid w:val="540E7263"/>
    <w:rsid w:val="541A5C08"/>
    <w:rsid w:val="542645AC"/>
    <w:rsid w:val="54280325"/>
    <w:rsid w:val="543D5452"/>
    <w:rsid w:val="54420CBA"/>
    <w:rsid w:val="544B2D16"/>
    <w:rsid w:val="544D38E7"/>
    <w:rsid w:val="547277F2"/>
    <w:rsid w:val="548136DA"/>
    <w:rsid w:val="548968E9"/>
    <w:rsid w:val="548D63DA"/>
    <w:rsid w:val="549459BA"/>
    <w:rsid w:val="549A4653"/>
    <w:rsid w:val="549A6402"/>
    <w:rsid w:val="54A95E46"/>
    <w:rsid w:val="54CA13DC"/>
    <w:rsid w:val="54D062C6"/>
    <w:rsid w:val="54D20290"/>
    <w:rsid w:val="54ED6E78"/>
    <w:rsid w:val="54FD72FB"/>
    <w:rsid w:val="551E5284"/>
    <w:rsid w:val="552255BD"/>
    <w:rsid w:val="55230AEC"/>
    <w:rsid w:val="55235481"/>
    <w:rsid w:val="552A1E7A"/>
    <w:rsid w:val="552F56E3"/>
    <w:rsid w:val="554051FA"/>
    <w:rsid w:val="555111B5"/>
    <w:rsid w:val="555826B2"/>
    <w:rsid w:val="55603AEE"/>
    <w:rsid w:val="556233C2"/>
    <w:rsid w:val="55676C2B"/>
    <w:rsid w:val="558477DD"/>
    <w:rsid w:val="559612BE"/>
    <w:rsid w:val="559C3F16"/>
    <w:rsid w:val="55AE4859"/>
    <w:rsid w:val="55C220B3"/>
    <w:rsid w:val="55C36EB7"/>
    <w:rsid w:val="55CE00F1"/>
    <w:rsid w:val="55CE2806"/>
    <w:rsid w:val="55DB3175"/>
    <w:rsid w:val="55EE4C56"/>
    <w:rsid w:val="560179FC"/>
    <w:rsid w:val="561623FF"/>
    <w:rsid w:val="561B7A15"/>
    <w:rsid w:val="561C5C67"/>
    <w:rsid w:val="563D1091"/>
    <w:rsid w:val="56435088"/>
    <w:rsid w:val="56492D88"/>
    <w:rsid w:val="56503B63"/>
    <w:rsid w:val="565D1DDC"/>
    <w:rsid w:val="567A0BDF"/>
    <w:rsid w:val="567A6847"/>
    <w:rsid w:val="5681115C"/>
    <w:rsid w:val="56892BD1"/>
    <w:rsid w:val="568D1545"/>
    <w:rsid w:val="569550ED"/>
    <w:rsid w:val="56A17F1A"/>
    <w:rsid w:val="56A424AB"/>
    <w:rsid w:val="56AD7395"/>
    <w:rsid w:val="56BA0FDC"/>
    <w:rsid w:val="56E10F23"/>
    <w:rsid w:val="56E6369E"/>
    <w:rsid w:val="56E9366F"/>
    <w:rsid w:val="573C40E7"/>
    <w:rsid w:val="573E7E5F"/>
    <w:rsid w:val="57462870"/>
    <w:rsid w:val="575651A9"/>
    <w:rsid w:val="575E405D"/>
    <w:rsid w:val="57A31A70"/>
    <w:rsid w:val="57A71560"/>
    <w:rsid w:val="57C77E54"/>
    <w:rsid w:val="57CA524F"/>
    <w:rsid w:val="5805272B"/>
    <w:rsid w:val="580F7106"/>
    <w:rsid w:val="581A0986"/>
    <w:rsid w:val="58296B9B"/>
    <w:rsid w:val="58340A3A"/>
    <w:rsid w:val="58360B36"/>
    <w:rsid w:val="5842572D"/>
    <w:rsid w:val="584E7C2E"/>
    <w:rsid w:val="585A69C8"/>
    <w:rsid w:val="585B234B"/>
    <w:rsid w:val="5866766D"/>
    <w:rsid w:val="586D09FC"/>
    <w:rsid w:val="58727DC0"/>
    <w:rsid w:val="588C69A8"/>
    <w:rsid w:val="58AB1524"/>
    <w:rsid w:val="58BC4104"/>
    <w:rsid w:val="58C0339B"/>
    <w:rsid w:val="58D73CB1"/>
    <w:rsid w:val="58DE7204"/>
    <w:rsid w:val="58F5279F"/>
    <w:rsid w:val="58FF717A"/>
    <w:rsid w:val="59034EBC"/>
    <w:rsid w:val="590F1AB3"/>
    <w:rsid w:val="591470C9"/>
    <w:rsid w:val="591946E0"/>
    <w:rsid w:val="591E3AA4"/>
    <w:rsid w:val="592B61C1"/>
    <w:rsid w:val="59527BF2"/>
    <w:rsid w:val="59543C71"/>
    <w:rsid w:val="596671F9"/>
    <w:rsid w:val="59684D1F"/>
    <w:rsid w:val="59723DF0"/>
    <w:rsid w:val="59814033"/>
    <w:rsid w:val="59851D75"/>
    <w:rsid w:val="598A738C"/>
    <w:rsid w:val="59973856"/>
    <w:rsid w:val="59A223AB"/>
    <w:rsid w:val="59AC10B0"/>
    <w:rsid w:val="59C04B5B"/>
    <w:rsid w:val="59C414B7"/>
    <w:rsid w:val="59C81C62"/>
    <w:rsid w:val="59EA7E2A"/>
    <w:rsid w:val="59EE6580"/>
    <w:rsid w:val="59F800B5"/>
    <w:rsid w:val="59FA62BF"/>
    <w:rsid w:val="59FE5684"/>
    <w:rsid w:val="5A0F7891"/>
    <w:rsid w:val="5A1A3A00"/>
    <w:rsid w:val="5A3D61AC"/>
    <w:rsid w:val="5A4C6281"/>
    <w:rsid w:val="5A4E2167"/>
    <w:rsid w:val="5A4F7C8D"/>
    <w:rsid w:val="5A63407F"/>
    <w:rsid w:val="5A647BDD"/>
    <w:rsid w:val="5A76346C"/>
    <w:rsid w:val="5A902780"/>
    <w:rsid w:val="5A92474A"/>
    <w:rsid w:val="5A936194"/>
    <w:rsid w:val="5A9727BA"/>
    <w:rsid w:val="5A975C1F"/>
    <w:rsid w:val="5A980B76"/>
    <w:rsid w:val="5AA71877"/>
    <w:rsid w:val="5AA77AC9"/>
    <w:rsid w:val="5AAB75B9"/>
    <w:rsid w:val="5AB741B0"/>
    <w:rsid w:val="5ABB6A00"/>
    <w:rsid w:val="5ABF3065"/>
    <w:rsid w:val="5AC71F19"/>
    <w:rsid w:val="5ACB1A0A"/>
    <w:rsid w:val="5ACD39D4"/>
    <w:rsid w:val="5ADD173D"/>
    <w:rsid w:val="5ADF4041"/>
    <w:rsid w:val="5AE20B01"/>
    <w:rsid w:val="5AE51B4D"/>
    <w:rsid w:val="5AE8436A"/>
    <w:rsid w:val="5AF251E8"/>
    <w:rsid w:val="5AFE12F7"/>
    <w:rsid w:val="5B0031FB"/>
    <w:rsid w:val="5B01367D"/>
    <w:rsid w:val="5B062A42"/>
    <w:rsid w:val="5B0D5B7E"/>
    <w:rsid w:val="5B1C2265"/>
    <w:rsid w:val="5B2026D2"/>
    <w:rsid w:val="5B3475AF"/>
    <w:rsid w:val="5B372BFB"/>
    <w:rsid w:val="5B394BC5"/>
    <w:rsid w:val="5B3F7D02"/>
    <w:rsid w:val="5B4348A7"/>
    <w:rsid w:val="5B5437AD"/>
    <w:rsid w:val="5B557525"/>
    <w:rsid w:val="5B57329D"/>
    <w:rsid w:val="5B5B7B67"/>
    <w:rsid w:val="5B687259"/>
    <w:rsid w:val="5B7C5802"/>
    <w:rsid w:val="5B991B08"/>
    <w:rsid w:val="5BA30291"/>
    <w:rsid w:val="5BB57FC4"/>
    <w:rsid w:val="5BC31AC7"/>
    <w:rsid w:val="5BC326E1"/>
    <w:rsid w:val="5BCF1086"/>
    <w:rsid w:val="5BE03293"/>
    <w:rsid w:val="5BEC7E8A"/>
    <w:rsid w:val="5BF362D8"/>
    <w:rsid w:val="5C001082"/>
    <w:rsid w:val="5C07081F"/>
    <w:rsid w:val="5C163158"/>
    <w:rsid w:val="5C25339C"/>
    <w:rsid w:val="5C2A2760"/>
    <w:rsid w:val="5C361CA4"/>
    <w:rsid w:val="5C471564"/>
    <w:rsid w:val="5C4A4BB0"/>
    <w:rsid w:val="5C5D3646"/>
    <w:rsid w:val="5C660DB0"/>
    <w:rsid w:val="5C6739B4"/>
    <w:rsid w:val="5C677510"/>
    <w:rsid w:val="5C72548C"/>
    <w:rsid w:val="5C787377"/>
    <w:rsid w:val="5C91458D"/>
    <w:rsid w:val="5C9347A9"/>
    <w:rsid w:val="5CA72002"/>
    <w:rsid w:val="5CAD2542"/>
    <w:rsid w:val="5CB84210"/>
    <w:rsid w:val="5CBA3AE4"/>
    <w:rsid w:val="5CBD7C22"/>
    <w:rsid w:val="5CD32DF8"/>
    <w:rsid w:val="5CDA4186"/>
    <w:rsid w:val="5CDD1ECC"/>
    <w:rsid w:val="5CDD3C76"/>
    <w:rsid w:val="5CDF354A"/>
    <w:rsid w:val="5CF214D0"/>
    <w:rsid w:val="5CF50FC0"/>
    <w:rsid w:val="5D011AC0"/>
    <w:rsid w:val="5D072AA1"/>
    <w:rsid w:val="5D0913AC"/>
    <w:rsid w:val="5D0F6CD8"/>
    <w:rsid w:val="5D107BA8"/>
    <w:rsid w:val="5D351D28"/>
    <w:rsid w:val="5D351D8D"/>
    <w:rsid w:val="5D3C2489"/>
    <w:rsid w:val="5D443CF5"/>
    <w:rsid w:val="5D461ACD"/>
    <w:rsid w:val="5D572F2A"/>
    <w:rsid w:val="5D7E7207"/>
    <w:rsid w:val="5D7F2EC3"/>
    <w:rsid w:val="5D80656D"/>
    <w:rsid w:val="5D8365CC"/>
    <w:rsid w:val="5DA6050C"/>
    <w:rsid w:val="5DBF0E76"/>
    <w:rsid w:val="5DCC6A78"/>
    <w:rsid w:val="5DDC3F2E"/>
    <w:rsid w:val="5DF80505"/>
    <w:rsid w:val="5E021BE6"/>
    <w:rsid w:val="5E0C4813"/>
    <w:rsid w:val="5E2356B9"/>
    <w:rsid w:val="5E31427A"/>
    <w:rsid w:val="5E3640D3"/>
    <w:rsid w:val="5E3873B6"/>
    <w:rsid w:val="5E40270F"/>
    <w:rsid w:val="5E443FAD"/>
    <w:rsid w:val="5E4C2E61"/>
    <w:rsid w:val="5E581806"/>
    <w:rsid w:val="5E5E3355"/>
    <w:rsid w:val="5E653F23"/>
    <w:rsid w:val="5E8545C5"/>
    <w:rsid w:val="5E873E9A"/>
    <w:rsid w:val="5E954808"/>
    <w:rsid w:val="5EB82366"/>
    <w:rsid w:val="5EC56770"/>
    <w:rsid w:val="5ECE7D1A"/>
    <w:rsid w:val="5ED115B9"/>
    <w:rsid w:val="5ED13367"/>
    <w:rsid w:val="5ED2780B"/>
    <w:rsid w:val="5EDD7F5D"/>
    <w:rsid w:val="5EEC3727"/>
    <w:rsid w:val="5EF73DD9"/>
    <w:rsid w:val="5F011E9E"/>
    <w:rsid w:val="5F0279C4"/>
    <w:rsid w:val="5F061262"/>
    <w:rsid w:val="5F103E8F"/>
    <w:rsid w:val="5F121368"/>
    <w:rsid w:val="5F322E09"/>
    <w:rsid w:val="5F4B4EC7"/>
    <w:rsid w:val="5F4E49B7"/>
    <w:rsid w:val="5F5E28F1"/>
    <w:rsid w:val="5F7C2A06"/>
    <w:rsid w:val="5FA016B7"/>
    <w:rsid w:val="5FAA42E4"/>
    <w:rsid w:val="5FAD6EB4"/>
    <w:rsid w:val="5FBC5DC5"/>
    <w:rsid w:val="5FCC6511"/>
    <w:rsid w:val="5FD41360"/>
    <w:rsid w:val="5FE159D6"/>
    <w:rsid w:val="5FE15DF3"/>
    <w:rsid w:val="5FE62E42"/>
    <w:rsid w:val="5FE67C52"/>
    <w:rsid w:val="5FED5F7E"/>
    <w:rsid w:val="5FF13CC0"/>
    <w:rsid w:val="5FF612D7"/>
    <w:rsid w:val="6005776C"/>
    <w:rsid w:val="60241C62"/>
    <w:rsid w:val="603E67DA"/>
    <w:rsid w:val="60575C79"/>
    <w:rsid w:val="60795A64"/>
    <w:rsid w:val="607E12CC"/>
    <w:rsid w:val="608763D3"/>
    <w:rsid w:val="608C1C3B"/>
    <w:rsid w:val="60964868"/>
    <w:rsid w:val="60AF76D8"/>
    <w:rsid w:val="60B26933"/>
    <w:rsid w:val="60CA4511"/>
    <w:rsid w:val="60D94755"/>
    <w:rsid w:val="60E86E08"/>
    <w:rsid w:val="60EB38E8"/>
    <w:rsid w:val="60F021CA"/>
    <w:rsid w:val="60F15F42"/>
    <w:rsid w:val="60F65CCA"/>
    <w:rsid w:val="610712C2"/>
    <w:rsid w:val="610C14FE"/>
    <w:rsid w:val="61167757"/>
    <w:rsid w:val="611A7247"/>
    <w:rsid w:val="612C0D28"/>
    <w:rsid w:val="61461DEA"/>
    <w:rsid w:val="615F221E"/>
    <w:rsid w:val="616404C2"/>
    <w:rsid w:val="616E1D28"/>
    <w:rsid w:val="617A5F38"/>
    <w:rsid w:val="61897F29"/>
    <w:rsid w:val="61972646"/>
    <w:rsid w:val="61A16F15"/>
    <w:rsid w:val="61B02886"/>
    <w:rsid w:val="61B72CE8"/>
    <w:rsid w:val="61D373F6"/>
    <w:rsid w:val="61E0223F"/>
    <w:rsid w:val="61F23D20"/>
    <w:rsid w:val="61F96E5C"/>
    <w:rsid w:val="62013F63"/>
    <w:rsid w:val="62195750"/>
    <w:rsid w:val="6220088D"/>
    <w:rsid w:val="62375BD7"/>
    <w:rsid w:val="623E1855"/>
    <w:rsid w:val="62500A46"/>
    <w:rsid w:val="627B1F67"/>
    <w:rsid w:val="62817E99"/>
    <w:rsid w:val="62886432"/>
    <w:rsid w:val="62B64D4D"/>
    <w:rsid w:val="62C236F2"/>
    <w:rsid w:val="62C456BC"/>
    <w:rsid w:val="62E25B42"/>
    <w:rsid w:val="62E927AC"/>
    <w:rsid w:val="62F6339C"/>
    <w:rsid w:val="62FC6BB9"/>
    <w:rsid w:val="63005ABF"/>
    <w:rsid w:val="632909B0"/>
    <w:rsid w:val="63343EC4"/>
    <w:rsid w:val="633B16F7"/>
    <w:rsid w:val="633B34A5"/>
    <w:rsid w:val="634265E1"/>
    <w:rsid w:val="635051A2"/>
    <w:rsid w:val="635A0625"/>
    <w:rsid w:val="635A1B7D"/>
    <w:rsid w:val="635B76A3"/>
    <w:rsid w:val="63721D5C"/>
    <w:rsid w:val="63764594"/>
    <w:rsid w:val="638D1F52"/>
    <w:rsid w:val="639037F0"/>
    <w:rsid w:val="63AD43A2"/>
    <w:rsid w:val="63B079EF"/>
    <w:rsid w:val="63B133E3"/>
    <w:rsid w:val="63BA086D"/>
    <w:rsid w:val="63C76EA0"/>
    <w:rsid w:val="63D00091"/>
    <w:rsid w:val="63D47B81"/>
    <w:rsid w:val="63D556A7"/>
    <w:rsid w:val="63D95446"/>
    <w:rsid w:val="63DF02D4"/>
    <w:rsid w:val="63EF49BB"/>
    <w:rsid w:val="63F43D7F"/>
    <w:rsid w:val="641066DF"/>
    <w:rsid w:val="643C5726"/>
    <w:rsid w:val="64412D3D"/>
    <w:rsid w:val="64430C81"/>
    <w:rsid w:val="64432611"/>
    <w:rsid w:val="6445282D"/>
    <w:rsid w:val="64616F3B"/>
    <w:rsid w:val="647B624F"/>
    <w:rsid w:val="648539A0"/>
    <w:rsid w:val="648A6492"/>
    <w:rsid w:val="649C7DD0"/>
    <w:rsid w:val="649F3347"/>
    <w:rsid w:val="64A5151D"/>
    <w:rsid w:val="64A55079"/>
    <w:rsid w:val="64C01EB3"/>
    <w:rsid w:val="64C64FF0"/>
    <w:rsid w:val="64DB6CED"/>
    <w:rsid w:val="64E5191A"/>
    <w:rsid w:val="64E536C8"/>
    <w:rsid w:val="650A312E"/>
    <w:rsid w:val="65223308"/>
    <w:rsid w:val="65261E3F"/>
    <w:rsid w:val="653F2D84"/>
    <w:rsid w:val="65420089"/>
    <w:rsid w:val="654A79CF"/>
    <w:rsid w:val="655F347A"/>
    <w:rsid w:val="656E190F"/>
    <w:rsid w:val="657F68E0"/>
    <w:rsid w:val="65896749"/>
    <w:rsid w:val="65BA6903"/>
    <w:rsid w:val="65C459D3"/>
    <w:rsid w:val="65CE772C"/>
    <w:rsid w:val="65DA6FA5"/>
    <w:rsid w:val="65EA6A04"/>
    <w:rsid w:val="65F067C8"/>
    <w:rsid w:val="65F30067"/>
    <w:rsid w:val="65FF6A0B"/>
    <w:rsid w:val="66123A5E"/>
    <w:rsid w:val="66163E62"/>
    <w:rsid w:val="66293A88"/>
    <w:rsid w:val="663D12E2"/>
    <w:rsid w:val="66430FEE"/>
    <w:rsid w:val="667411A7"/>
    <w:rsid w:val="6695111E"/>
    <w:rsid w:val="66A55805"/>
    <w:rsid w:val="66A836C1"/>
    <w:rsid w:val="66A870A3"/>
    <w:rsid w:val="66AA2E1B"/>
    <w:rsid w:val="66AB0F78"/>
    <w:rsid w:val="66AE57C5"/>
    <w:rsid w:val="66B00FAC"/>
    <w:rsid w:val="66C0263F"/>
    <w:rsid w:val="66C57C55"/>
    <w:rsid w:val="66CF63DE"/>
    <w:rsid w:val="66D47276"/>
    <w:rsid w:val="66D9725C"/>
    <w:rsid w:val="66DC127C"/>
    <w:rsid w:val="66DD4F9F"/>
    <w:rsid w:val="66E520A5"/>
    <w:rsid w:val="66EC51E2"/>
    <w:rsid w:val="66ED4AFE"/>
    <w:rsid w:val="670859D2"/>
    <w:rsid w:val="670C5884"/>
    <w:rsid w:val="67126C47"/>
    <w:rsid w:val="67191D4F"/>
    <w:rsid w:val="672030DD"/>
    <w:rsid w:val="672A73B6"/>
    <w:rsid w:val="67515045"/>
    <w:rsid w:val="6759039D"/>
    <w:rsid w:val="676420F2"/>
    <w:rsid w:val="67705236"/>
    <w:rsid w:val="677156E7"/>
    <w:rsid w:val="67A61834"/>
    <w:rsid w:val="67BB4BB4"/>
    <w:rsid w:val="67D6379C"/>
    <w:rsid w:val="67DA7730"/>
    <w:rsid w:val="68264723"/>
    <w:rsid w:val="683A5F02"/>
    <w:rsid w:val="683F3A37"/>
    <w:rsid w:val="6842639B"/>
    <w:rsid w:val="685968A7"/>
    <w:rsid w:val="6865349E"/>
    <w:rsid w:val="68664B20"/>
    <w:rsid w:val="686D5ECF"/>
    <w:rsid w:val="6874548F"/>
    <w:rsid w:val="687C2595"/>
    <w:rsid w:val="688431F8"/>
    <w:rsid w:val="68866CD3"/>
    <w:rsid w:val="688A2F04"/>
    <w:rsid w:val="68963ADD"/>
    <w:rsid w:val="689773CF"/>
    <w:rsid w:val="689E7DA6"/>
    <w:rsid w:val="68B01AF4"/>
    <w:rsid w:val="68CC52CB"/>
    <w:rsid w:val="68F465CF"/>
    <w:rsid w:val="68F95994"/>
    <w:rsid w:val="68FE744E"/>
    <w:rsid w:val="690507DD"/>
    <w:rsid w:val="690A5DF3"/>
    <w:rsid w:val="690B56C7"/>
    <w:rsid w:val="69117181"/>
    <w:rsid w:val="691C1682"/>
    <w:rsid w:val="69207E48"/>
    <w:rsid w:val="693C36F0"/>
    <w:rsid w:val="693E5A9D"/>
    <w:rsid w:val="694632B1"/>
    <w:rsid w:val="694D7670"/>
    <w:rsid w:val="69603C65"/>
    <w:rsid w:val="696372B1"/>
    <w:rsid w:val="696848C8"/>
    <w:rsid w:val="696E52AE"/>
    <w:rsid w:val="6993437B"/>
    <w:rsid w:val="699658D9"/>
    <w:rsid w:val="69990F25"/>
    <w:rsid w:val="69B95123"/>
    <w:rsid w:val="69BF6668"/>
    <w:rsid w:val="69C07371"/>
    <w:rsid w:val="69C45FA2"/>
    <w:rsid w:val="69C53895"/>
    <w:rsid w:val="69DA3A17"/>
    <w:rsid w:val="69DD52B6"/>
    <w:rsid w:val="69EB1780"/>
    <w:rsid w:val="69F70EDB"/>
    <w:rsid w:val="69F8615D"/>
    <w:rsid w:val="69FD7706"/>
    <w:rsid w:val="6A072332"/>
    <w:rsid w:val="6A2A2BEB"/>
    <w:rsid w:val="6A2C246C"/>
    <w:rsid w:val="6A7F636D"/>
    <w:rsid w:val="6AB37DC4"/>
    <w:rsid w:val="6AB94E66"/>
    <w:rsid w:val="6AB97AD1"/>
    <w:rsid w:val="6ABF6769"/>
    <w:rsid w:val="6AD93CCF"/>
    <w:rsid w:val="6ADE12E5"/>
    <w:rsid w:val="6ADF6E0B"/>
    <w:rsid w:val="6AE306AA"/>
    <w:rsid w:val="6AE6019A"/>
    <w:rsid w:val="6AE96A85"/>
    <w:rsid w:val="6AF24D91"/>
    <w:rsid w:val="6B0B566E"/>
    <w:rsid w:val="6B120F8F"/>
    <w:rsid w:val="6B1B4A57"/>
    <w:rsid w:val="6B234F4A"/>
    <w:rsid w:val="6B2D2460"/>
    <w:rsid w:val="6B322F12"/>
    <w:rsid w:val="6B5B2936"/>
    <w:rsid w:val="6B811C71"/>
    <w:rsid w:val="6B827EC3"/>
    <w:rsid w:val="6B855C05"/>
    <w:rsid w:val="6B8F0831"/>
    <w:rsid w:val="6B985938"/>
    <w:rsid w:val="6BA0659B"/>
    <w:rsid w:val="6BB91F13"/>
    <w:rsid w:val="6BBA58AE"/>
    <w:rsid w:val="6BBC4CDE"/>
    <w:rsid w:val="6BC02799"/>
    <w:rsid w:val="6BD732D1"/>
    <w:rsid w:val="6BDC2F61"/>
    <w:rsid w:val="6BE50E07"/>
    <w:rsid w:val="6BE91CF0"/>
    <w:rsid w:val="6BEE37AA"/>
    <w:rsid w:val="6BF44EAF"/>
    <w:rsid w:val="6C00528B"/>
    <w:rsid w:val="6C0719D3"/>
    <w:rsid w:val="6C094140"/>
    <w:rsid w:val="6C2430EF"/>
    <w:rsid w:val="6C2471CC"/>
    <w:rsid w:val="6C2C6080"/>
    <w:rsid w:val="6C3C4A2D"/>
    <w:rsid w:val="6C3F4006"/>
    <w:rsid w:val="6C3F5DB4"/>
    <w:rsid w:val="6C465394"/>
    <w:rsid w:val="6C5D1BA3"/>
    <w:rsid w:val="6C5D623A"/>
    <w:rsid w:val="6C6D2921"/>
    <w:rsid w:val="6C731F01"/>
    <w:rsid w:val="6C823EF2"/>
    <w:rsid w:val="6C84625B"/>
    <w:rsid w:val="6C847C6A"/>
    <w:rsid w:val="6CA75A03"/>
    <w:rsid w:val="6CC53523"/>
    <w:rsid w:val="6CC664D5"/>
    <w:rsid w:val="6CEB7CE9"/>
    <w:rsid w:val="6CF92856"/>
    <w:rsid w:val="6D062D75"/>
    <w:rsid w:val="6D064B23"/>
    <w:rsid w:val="6D103C33"/>
    <w:rsid w:val="6D125E56"/>
    <w:rsid w:val="6D3262FA"/>
    <w:rsid w:val="6D486EEA"/>
    <w:rsid w:val="6D594C53"/>
    <w:rsid w:val="6D657421"/>
    <w:rsid w:val="6D9D5488"/>
    <w:rsid w:val="6DB76095"/>
    <w:rsid w:val="6DCE3893"/>
    <w:rsid w:val="6DCE5641"/>
    <w:rsid w:val="6DD2469D"/>
    <w:rsid w:val="6DD93FE6"/>
    <w:rsid w:val="6DE36C13"/>
    <w:rsid w:val="6E1A0886"/>
    <w:rsid w:val="6E1F7C4B"/>
    <w:rsid w:val="6E231DCA"/>
    <w:rsid w:val="6E241705"/>
    <w:rsid w:val="6E2C2368"/>
    <w:rsid w:val="6E33606E"/>
    <w:rsid w:val="6E364F94"/>
    <w:rsid w:val="6E3659C8"/>
    <w:rsid w:val="6E453429"/>
    <w:rsid w:val="6E5979CF"/>
    <w:rsid w:val="6E602011"/>
    <w:rsid w:val="6E6733A0"/>
    <w:rsid w:val="6E7657E9"/>
    <w:rsid w:val="6E7C32EF"/>
    <w:rsid w:val="6E7D3B30"/>
    <w:rsid w:val="6E91666F"/>
    <w:rsid w:val="6E9323A2"/>
    <w:rsid w:val="6EA7785C"/>
    <w:rsid w:val="6EAC5256"/>
    <w:rsid w:val="6EAE5472"/>
    <w:rsid w:val="6EB74327"/>
    <w:rsid w:val="6EC1572F"/>
    <w:rsid w:val="6EC95E08"/>
    <w:rsid w:val="6ECB1B80"/>
    <w:rsid w:val="6EE22494"/>
    <w:rsid w:val="6EF33C1B"/>
    <w:rsid w:val="6EF458A6"/>
    <w:rsid w:val="6EFC7F8C"/>
    <w:rsid w:val="6F086931"/>
    <w:rsid w:val="6F0B6421"/>
    <w:rsid w:val="6F0D2199"/>
    <w:rsid w:val="6F1A6664"/>
    <w:rsid w:val="6F1C23DC"/>
    <w:rsid w:val="6F1E6154"/>
    <w:rsid w:val="6F2614AD"/>
    <w:rsid w:val="6F345978"/>
    <w:rsid w:val="6F40431D"/>
    <w:rsid w:val="6F435369"/>
    <w:rsid w:val="6F51652A"/>
    <w:rsid w:val="6F540CD9"/>
    <w:rsid w:val="6F593630"/>
    <w:rsid w:val="6F6618A9"/>
    <w:rsid w:val="6F6A75EB"/>
    <w:rsid w:val="6F6D2C38"/>
    <w:rsid w:val="6F7E3097"/>
    <w:rsid w:val="6F80296B"/>
    <w:rsid w:val="6F986715"/>
    <w:rsid w:val="6F993A2D"/>
    <w:rsid w:val="6F9D176F"/>
    <w:rsid w:val="6FAD6F71"/>
    <w:rsid w:val="6FAF14A2"/>
    <w:rsid w:val="6FB03B6C"/>
    <w:rsid w:val="6FC0372E"/>
    <w:rsid w:val="6FC30AAA"/>
    <w:rsid w:val="6FC34F4E"/>
    <w:rsid w:val="6FE86762"/>
    <w:rsid w:val="7007308C"/>
    <w:rsid w:val="700C27C9"/>
    <w:rsid w:val="70147082"/>
    <w:rsid w:val="701751F9"/>
    <w:rsid w:val="7023779A"/>
    <w:rsid w:val="706C1141"/>
    <w:rsid w:val="70716758"/>
    <w:rsid w:val="70741DA4"/>
    <w:rsid w:val="70785D38"/>
    <w:rsid w:val="707A385E"/>
    <w:rsid w:val="708741CD"/>
    <w:rsid w:val="709D16AE"/>
    <w:rsid w:val="70B6524F"/>
    <w:rsid w:val="70BF74C3"/>
    <w:rsid w:val="70C11E7D"/>
    <w:rsid w:val="70C66AA3"/>
    <w:rsid w:val="70D016D0"/>
    <w:rsid w:val="70D13314"/>
    <w:rsid w:val="70D50A94"/>
    <w:rsid w:val="70E66791"/>
    <w:rsid w:val="70FF5B11"/>
    <w:rsid w:val="711A294B"/>
    <w:rsid w:val="711A6FFF"/>
    <w:rsid w:val="711B17DE"/>
    <w:rsid w:val="711C66C3"/>
    <w:rsid w:val="711F4406"/>
    <w:rsid w:val="712C7AB3"/>
    <w:rsid w:val="71431EA2"/>
    <w:rsid w:val="714B6FA9"/>
    <w:rsid w:val="71597917"/>
    <w:rsid w:val="715C11B6"/>
    <w:rsid w:val="71665B90"/>
    <w:rsid w:val="71682EDE"/>
    <w:rsid w:val="716D5171"/>
    <w:rsid w:val="718304F0"/>
    <w:rsid w:val="71867FE1"/>
    <w:rsid w:val="71881FAB"/>
    <w:rsid w:val="719170B1"/>
    <w:rsid w:val="71A40BAC"/>
    <w:rsid w:val="71A566B9"/>
    <w:rsid w:val="71AA1F21"/>
    <w:rsid w:val="71B44B4E"/>
    <w:rsid w:val="71BE3C1E"/>
    <w:rsid w:val="71C32FE3"/>
    <w:rsid w:val="71C511DE"/>
    <w:rsid w:val="71EC3636"/>
    <w:rsid w:val="71EF3DD8"/>
    <w:rsid w:val="71F633B8"/>
    <w:rsid w:val="720A5044"/>
    <w:rsid w:val="72111FA0"/>
    <w:rsid w:val="721F290F"/>
    <w:rsid w:val="722220D8"/>
    <w:rsid w:val="723836B2"/>
    <w:rsid w:val="72543F5F"/>
    <w:rsid w:val="725F2166"/>
    <w:rsid w:val="72760055"/>
    <w:rsid w:val="7282778C"/>
    <w:rsid w:val="729624A5"/>
    <w:rsid w:val="7298446F"/>
    <w:rsid w:val="72A921D9"/>
    <w:rsid w:val="72B666A4"/>
    <w:rsid w:val="72BB3CBA"/>
    <w:rsid w:val="72C139C6"/>
    <w:rsid w:val="72C25048"/>
    <w:rsid w:val="72C93CA6"/>
    <w:rsid w:val="72C95EB8"/>
    <w:rsid w:val="72D8486C"/>
    <w:rsid w:val="72EC6569"/>
    <w:rsid w:val="72F86CBC"/>
    <w:rsid w:val="730438B3"/>
    <w:rsid w:val="730544F5"/>
    <w:rsid w:val="730D2CA6"/>
    <w:rsid w:val="733028FA"/>
    <w:rsid w:val="7338355D"/>
    <w:rsid w:val="734343DB"/>
    <w:rsid w:val="734D7008"/>
    <w:rsid w:val="735465E8"/>
    <w:rsid w:val="73552361"/>
    <w:rsid w:val="73685BF0"/>
    <w:rsid w:val="736C5562"/>
    <w:rsid w:val="736F6D6F"/>
    <w:rsid w:val="737722D7"/>
    <w:rsid w:val="737A2329"/>
    <w:rsid w:val="73893DB8"/>
    <w:rsid w:val="738F7621"/>
    <w:rsid w:val="73905147"/>
    <w:rsid w:val="73A058D4"/>
    <w:rsid w:val="73BC23E0"/>
    <w:rsid w:val="73C60B68"/>
    <w:rsid w:val="73F76F74"/>
    <w:rsid w:val="740873D3"/>
    <w:rsid w:val="74116287"/>
    <w:rsid w:val="74293232"/>
    <w:rsid w:val="74373814"/>
    <w:rsid w:val="74626AE3"/>
    <w:rsid w:val="7468635C"/>
    <w:rsid w:val="746F1F83"/>
    <w:rsid w:val="74793E2D"/>
    <w:rsid w:val="747B5DF7"/>
    <w:rsid w:val="74806D33"/>
    <w:rsid w:val="74806F69"/>
    <w:rsid w:val="74A013B9"/>
    <w:rsid w:val="74A569D0"/>
    <w:rsid w:val="74AA2238"/>
    <w:rsid w:val="74AC7D5E"/>
    <w:rsid w:val="74BD1F6B"/>
    <w:rsid w:val="74D20D69"/>
    <w:rsid w:val="74D472B5"/>
    <w:rsid w:val="74DF6386"/>
    <w:rsid w:val="74F02341"/>
    <w:rsid w:val="74FA31C0"/>
    <w:rsid w:val="74FB2A94"/>
    <w:rsid w:val="74FD05BA"/>
    <w:rsid w:val="750162FC"/>
    <w:rsid w:val="751F48E6"/>
    <w:rsid w:val="75297601"/>
    <w:rsid w:val="75324E78"/>
    <w:rsid w:val="75355FA6"/>
    <w:rsid w:val="75371D1E"/>
    <w:rsid w:val="75383CE8"/>
    <w:rsid w:val="75587EE6"/>
    <w:rsid w:val="755F3023"/>
    <w:rsid w:val="75645348"/>
    <w:rsid w:val="75752846"/>
    <w:rsid w:val="757B29D1"/>
    <w:rsid w:val="75842705"/>
    <w:rsid w:val="758B3E18"/>
    <w:rsid w:val="758D7B90"/>
    <w:rsid w:val="75986535"/>
    <w:rsid w:val="759B4CA8"/>
    <w:rsid w:val="75B415C0"/>
    <w:rsid w:val="75C64E50"/>
    <w:rsid w:val="75CA0DE4"/>
    <w:rsid w:val="75D532E5"/>
    <w:rsid w:val="75D92DD5"/>
    <w:rsid w:val="75F220E9"/>
    <w:rsid w:val="75F93477"/>
    <w:rsid w:val="75FF0362"/>
    <w:rsid w:val="76031347"/>
    <w:rsid w:val="76037E52"/>
    <w:rsid w:val="761402B1"/>
    <w:rsid w:val="763C2917"/>
    <w:rsid w:val="76452218"/>
    <w:rsid w:val="764A782F"/>
    <w:rsid w:val="765E777E"/>
    <w:rsid w:val="7662101C"/>
    <w:rsid w:val="76636B42"/>
    <w:rsid w:val="766A1C7F"/>
    <w:rsid w:val="766E5C13"/>
    <w:rsid w:val="766F7295"/>
    <w:rsid w:val="768E22FB"/>
    <w:rsid w:val="76A41635"/>
    <w:rsid w:val="76C03F95"/>
    <w:rsid w:val="76CC0B8C"/>
    <w:rsid w:val="76FB4FCD"/>
    <w:rsid w:val="77112A42"/>
    <w:rsid w:val="771340C5"/>
    <w:rsid w:val="77151602"/>
    <w:rsid w:val="77364257"/>
    <w:rsid w:val="773A78A3"/>
    <w:rsid w:val="77505319"/>
    <w:rsid w:val="775748F9"/>
    <w:rsid w:val="77626DFA"/>
    <w:rsid w:val="77741458"/>
    <w:rsid w:val="77862AE9"/>
    <w:rsid w:val="77882D05"/>
    <w:rsid w:val="77935205"/>
    <w:rsid w:val="77A47413"/>
    <w:rsid w:val="77A6318B"/>
    <w:rsid w:val="77A7145E"/>
    <w:rsid w:val="77C013B1"/>
    <w:rsid w:val="77CB415E"/>
    <w:rsid w:val="77CF7DE5"/>
    <w:rsid w:val="77D27FC4"/>
    <w:rsid w:val="77D93560"/>
    <w:rsid w:val="77D9530E"/>
    <w:rsid w:val="77F24622"/>
    <w:rsid w:val="77F51A1C"/>
    <w:rsid w:val="77F55EC0"/>
    <w:rsid w:val="780B1240"/>
    <w:rsid w:val="78146346"/>
    <w:rsid w:val="78411105"/>
    <w:rsid w:val="78440011"/>
    <w:rsid w:val="7856493A"/>
    <w:rsid w:val="78686692"/>
    <w:rsid w:val="78760DAF"/>
    <w:rsid w:val="7892370F"/>
    <w:rsid w:val="78A0407E"/>
    <w:rsid w:val="78AF42C1"/>
    <w:rsid w:val="78C30917"/>
    <w:rsid w:val="78C31EC3"/>
    <w:rsid w:val="78CA4C57"/>
    <w:rsid w:val="78CC78F2"/>
    <w:rsid w:val="78D078E2"/>
    <w:rsid w:val="78FD6DDA"/>
    <w:rsid w:val="790659EB"/>
    <w:rsid w:val="790B0DB8"/>
    <w:rsid w:val="790E2D96"/>
    <w:rsid w:val="79102FB2"/>
    <w:rsid w:val="79336CA0"/>
    <w:rsid w:val="793B3DA7"/>
    <w:rsid w:val="79515378"/>
    <w:rsid w:val="7952060B"/>
    <w:rsid w:val="796706F8"/>
    <w:rsid w:val="796C5D0E"/>
    <w:rsid w:val="79732299"/>
    <w:rsid w:val="797818E2"/>
    <w:rsid w:val="799F60E4"/>
    <w:rsid w:val="79D10578"/>
    <w:rsid w:val="79D61CD7"/>
    <w:rsid w:val="79D815F5"/>
    <w:rsid w:val="79DC2E94"/>
    <w:rsid w:val="79DC7338"/>
    <w:rsid w:val="79FC1788"/>
    <w:rsid w:val="7A106FE1"/>
    <w:rsid w:val="7A1563A6"/>
    <w:rsid w:val="7A2605B3"/>
    <w:rsid w:val="7A3251AA"/>
    <w:rsid w:val="7A4D15E8"/>
    <w:rsid w:val="7A4D1FE3"/>
    <w:rsid w:val="7AA5597C"/>
    <w:rsid w:val="7AAC6D0A"/>
    <w:rsid w:val="7AC2652D"/>
    <w:rsid w:val="7ACB0A73"/>
    <w:rsid w:val="7ADE2C3C"/>
    <w:rsid w:val="7AE1009A"/>
    <w:rsid w:val="7AE83ABA"/>
    <w:rsid w:val="7B18439F"/>
    <w:rsid w:val="7B211A3D"/>
    <w:rsid w:val="7B226FCC"/>
    <w:rsid w:val="7B31720F"/>
    <w:rsid w:val="7B3B62E0"/>
    <w:rsid w:val="7B3D3E06"/>
    <w:rsid w:val="7B496381"/>
    <w:rsid w:val="7B4C27D2"/>
    <w:rsid w:val="7B7A0BB6"/>
    <w:rsid w:val="7B8E01BE"/>
    <w:rsid w:val="7B8F3DE8"/>
    <w:rsid w:val="7B95779E"/>
    <w:rsid w:val="7B9A4DB4"/>
    <w:rsid w:val="7BA2010D"/>
    <w:rsid w:val="7BA619AB"/>
    <w:rsid w:val="7BD77DB7"/>
    <w:rsid w:val="7BD865C1"/>
    <w:rsid w:val="7BF81ADB"/>
    <w:rsid w:val="7C09018C"/>
    <w:rsid w:val="7C0B180E"/>
    <w:rsid w:val="7C0D37D8"/>
    <w:rsid w:val="7C127041"/>
    <w:rsid w:val="7C232FFC"/>
    <w:rsid w:val="7C235A58"/>
    <w:rsid w:val="7C280612"/>
    <w:rsid w:val="7C3C5E6C"/>
    <w:rsid w:val="7C4276DA"/>
    <w:rsid w:val="7C460A98"/>
    <w:rsid w:val="7C4B2553"/>
    <w:rsid w:val="7C6D4277"/>
    <w:rsid w:val="7C833A9B"/>
    <w:rsid w:val="7C8812DB"/>
    <w:rsid w:val="7C8D66C7"/>
    <w:rsid w:val="7C947A56"/>
    <w:rsid w:val="7CA3413D"/>
    <w:rsid w:val="7CBB0276"/>
    <w:rsid w:val="7CE17D63"/>
    <w:rsid w:val="7CE85FF3"/>
    <w:rsid w:val="7D0050EB"/>
    <w:rsid w:val="7D0D7808"/>
    <w:rsid w:val="7D0E3B34"/>
    <w:rsid w:val="7D1F7C67"/>
    <w:rsid w:val="7D2C4132"/>
    <w:rsid w:val="7D2C5EE0"/>
    <w:rsid w:val="7D384885"/>
    <w:rsid w:val="7D39684F"/>
    <w:rsid w:val="7D4A6A89"/>
    <w:rsid w:val="7D76092F"/>
    <w:rsid w:val="7D8E7F71"/>
    <w:rsid w:val="7D952C8B"/>
    <w:rsid w:val="7D9F4904"/>
    <w:rsid w:val="7DA261A2"/>
    <w:rsid w:val="7DA502F1"/>
    <w:rsid w:val="7DA834E4"/>
    <w:rsid w:val="7DCC3AD8"/>
    <w:rsid w:val="7DE55565"/>
    <w:rsid w:val="7DEE13E8"/>
    <w:rsid w:val="7DFA4230"/>
    <w:rsid w:val="7DFE760C"/>
    <w:rsid w:val="7E133A29"/>
    <w:rsid w:val="7E176B90"/>
    <w:rsid w:val="7E6E0379"/>
    <w:rsid w:val="7E7C4C45"/>
    <w:rsid w:val="7E8965B1"/>
    <w:rsid w:val="7E8E4A25"/>
    <w:rsid w:val="7E9006F1"/>
    <w:rsid w:val="7E9E2E0E"/>
    <w:rsid w:val="7EAF0B77"/>
    <w:rsid w:val="7EB20667"/>
    <w:rsid w:val="7EB87561"/>
    <w:rsid w:val="7EC25700"/>
    <w:rsid w:val="7EC860DC"/>
    <w:rsid w:val="7EC9775F"/>
    <w:rsid w:val="7ED56104"/>
    <w:rsid w:val="7EEB3B79"/>
    <w:rsid w:val="7F016EF9"/>
    <w:rsid w:val="7F0813B5"/>
    <w:rsid w:val="7F0D3AEF"/>
    <w:rsid w:val="7F1B445E"/>
    <w:rsid w:val="7F2F3A66"/>
    <w:rsid w:val="7F4B6E2B"/>
    <w:rsid w:val="7F517E80"/>
    <w:rsid w:val="7F5722F5"/>
    <w:rsid w:val="7F604567"/>
    <w:rsid w:val="7F875650"/>
    <w:rsid w:val="7F8A3392"/>
    <w:rsid w:val="7F9935D5"/>
    <w:rsid w:val="7FAE0E2E"/>
    <w:rsid w:val="7FBD6D5A"/>
    <w:rsid w:val="7FD05249"/>
    <w:rsid w:val="7FD60B46"/>
    <w:rsid w:val="7FE900B8"/>
    <w:rsid w:val="7FE9668E"/>
    <w:rsid w:val="7FEC09EB"/>
    <w:rsid w:val="7FEE3921"/>
    <w:rsid w:val="7FF91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eastAsia="宋体" w:cs="Times New Roman"/>
      <w:sz w:val="24"/>
      <w:szCs w:val="24"/>
    </w:rPr>
  </w:style>
  <w:style w:type="paragraph" w:styleId="3">
    <w:name w:val="Normal Indent"/>
    <w:basedOn w:val="1"/>
    <w:qFormat/>
    <w:uiPriority w:val="99"/>
    <w:pPr>
      <w:ind w:firstLine="420"/>
    </w:pPr>
    <w:rPr>
      <w:szCs w:val="20"/>
    </w:rPr>
  </w:style>
  <w:style w:type="paragraph" w:styleId="4">
    <w:name w:val="annotation text"/>
    <w:basedOn w:val="1"/>
    <w:qFormat/>
    <w:uiPriority w:val="0"/>
  </w:style>
  <w:style w:type="paragraph" w:styleId="5">
    <w:name w:val="Body Text"/>
    <w:basedOn w:val="1"/>
    <w:next w:val="1"/>
    <w:unhideWhenUsed/>
    <w:qFormat/>
    <w:uiPriority w:val="0"/>
    <w:pPr>
      <w:spacing w:after="120"/>
    </w:pPr>
  </w:style>
  <w:style w:type="paragraph" w:styleId="6">
    <w:name w:val="List 2"/>
    <w:basedOn w:val="1"/>
    <w:qFormat/>
    <w:uiPriority w:val="99"/>
    <w:pPr>
      <w:ind w:left="100" w:leftChars="200" w:hanging="200" w:hangingChars="200"/>
      <w:contextualSpacing/>
    </w:pPr>
  </w:style>
  <w:style w:type="paragraph" w:styleId="7">
    <w:name w:val="Plain Text"/>
    <w:basedOn w:val="1"/>
    <w:next w:val="1"/>
    <w:qFormat/>
    <w:uiPriority w:val="0"/>
    <w:rPr>
      <w:rFonts w:ascii="宋体" w:hAnsi="Courier New"/>
      <w:szCs w:val="20"/>
    </w:rPr>
  </w:style>
  <w:style w:type="paragraph" w:styleId="8">
    <w:name w:val="Body Text Indent 2"/>
    <w:basedOn w:val="1"/>
    <w:qFormat/>
    <w:uiPriority w:val="0"/>
    <w:pPr>
      <w:ind w:firstLine="630"/>
    </w:pPr>
    <w:rPr>
      <w:sz w:val="32"/>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99"/>
    <w:rPr>
      <w:rFonts w:ascii="Calibri" w:hAnsi="Calibri"/>
    </w:rPr>
  </w:style>
  <w:style w:type="paragraph" w:styleId="13">
    <w:name w:val="Body Text First Indent"/>
    <w:basedOn w:val="5"/>
    <w:qFormat/>
    <w:uiPriority w:val="0"/>
    <w:pPr>
      <w:ind w:firstLine="420" w:firstLineChars="100"/>
    </w:pPr>
    <w:rPr>
      <w:rFonts w:ascii="华文中宋" w:hAnsi="华文中宋"/>
      <w:szCs w:val="24"/>
    </w:rPr>
  </w:style>
  <w:style w:type="character" w:styleId="16">
    <w:name w:val="FollowedHyperlink"/>
    <w:basedOn w:val="15"/>
    <w:unhideWhenUsed/>
    <w:qFormat/>
    <w:uiPriority w:val="99"/>
    <w:rPr>
      <w:color w:val="800080"/>
      <w:u w:val="single"/>
    </w:rPr>
  </w:style>
  <w:style w:type="paragraph" w:customStyle="1" w:styleId="17">
    <w:name w:val="表格文字"/>
    <w:basedOn w:val="1"/>
    <w:qFormat/>
    <w:uiPriority w:val="0"/>
    <w:pPr>
      <w:spacing w:before="25" w:after="25"/>
    </w:pPr>
    <w:rPr>
      <w:bCs/>
      <w:spacing w:val="10"/>
    </w:rPr>
  </w:style>
  <w:style w:type="paragraph" w:customStyle="1" w:styleId="18">
    <w:name w:val="正文2"/>
    <w:basedOn w:val="1"/>
    <w:next w:val="1"/>
    <w:qFormat/>
    <w:uiPriority w:val="0"/>
    <w:pPr>
      <w:adjustRightInd w:val="0"/>
      <w:spacing w:before="156" w:line="360" w:lineRule="auto"/>
      <w:ind w:firstLine="510" w:firstLineChars="200"/>
    </w:pPr>
    <w:rPr>
      <w:szCs w:val="20"/>
    </w:rPr>
  </w:style>
  <w:style w:type="paragraph" w:customStyle="1" w:styleId="19">
    <w:name w:val="样式 首行缩进:  2 字符"/>
    <w:basedOn w:val="1"/>
    <w:qFormat/>
    <w:uiPriority w:val="0"/>
    <w:pPr>
      <w:spacing w:line="400" w:lineRule="exact"/>
      <w:ind w:firstLine="200" w:firstLineChars="200"/>
    </w:pPr>
    <w:rPr>
      <w:rFonts w:cs="宋体"/>
    </w:rPr>
  </w:style>
  <w:style w:type="character" w:customStyle="1" w:styleId="20">
    <w:name w:val="Heading #1|1_"/>
    <w:basedOn w:val="15"/>
    <w:link w:val="21"/>
    <w:qFormat/>
    <w:uiPriority w:val="0"/>
    <w:rPr>
      <w:color w:val="5C1E5E"/>
      <w:sz w:val="148"/>
      <w:szCs w:val="148"/>
      <w:u w:val="none"/>
      <w:shd w:val="clear" w:color="auto" w:fill="auto"/>
    </w:rPr>
  </w:style>
  <w:style w:type="paragraph" w:customStyle="1" w:styleId="21">
    <w:name w:val="Heading #1|1"/>
    <w:basedOn w:val="1"/>
    <w:link w:val="20"/>
    <w:qFormat/>
    <w:uiPriority w:val="0"/>
    <w:pPr>
      <w:outlineLvl w:val="0"/>
    </w:pPr>
    <w:rPr>
      <w:color w:val="5C1E5E"/>
      <w:sz w:val="148"/>
      <w:szCs w:val="148"/>
    </w:rPr>
  </w:style>
  <w:style w:type="character" w:customStyle="1" w:styleId="22">
    <w:name w:val="Body text|6_"/>
    <w:basedOn w:val="15"/>
    <w:link w:val="23"/>
    <w:qFormat/>
    <w:uiPriority w:val="0"/>
    <w:rPr>
      <w:rFonts w:ascii="宋体" w:hAnsi="宋体" w:eastAsia="宋体" w:cs="宋体"/>
      <w:sz w:val="54"/>
      <w:szCs w:val="54"/>
      <w:u w:val="none"/>
      <w:shd w:val="clear" w:color="auto" w:fill="auto"/>
      <w:lang w:val="zh-TW" w:eastAsia="zh-TW" w:bidi="zh-TW"/>
    </w:rPr>
  </w:style>
  <w:style w:type="paragraph" w:customStyle="1" w:styleId="23">
    <w:name w:val="Body text|6"/>
    <w:basedOn w:val="1"/>
    <w:link w:val="22"/>
    <w:qFormat/>
    <w:uiPriority w:val="0"/>
    <w:pPr>
      <w:ind w:left="-10"/>
      <w:jc w:val="center"/>
    </w:pPr>
    <w:rPr>
      <w:rFonts w:ascii="宋体" w:hAnsi="宋体" w:eastAsia="宋体" w:cs="宋体"/>
      <w:sz w:val="54"/>
      <w:szCs w:val="54"/>
      <w:lang w:val="zh-TW" w:eastAsia="zh-TW" w:bidi="zh-TW"/>
    </w:rPr>
  </w:style>
  <w:style w:type="character" w:customStyle="1" w:styleId="24">
    <w:name w:val="Body text|3_"/>
    <w:basedOn w:val="15"/>
    <w:link w:val="25"/>
    <w:qFormat/>
    <w:uiPriority w:val="0"/>
    <w:rPr>
      <w:sz w:val="36"/>
      <w:szCs w:val="36"/>
      <w:u w:val="none"/>
      <w:shd w:val="clear" w:color="auto" w:fill="auto"/>
    </w:rPr>
  </w:style>
  <w:style w:type="paragraph" w:customStyle="1" w:styleId="25">
    <w:name w:val="Body text|3"/>
    <w:basedOn w:val="1"/>
    <w:link w:val="24"/>
    <w:qFormat/>
    <w:uiPriority w:val="0"/>
    <w:rPr>
      <w:sz w:val="36"/>
      <w:szCs w:val="36"/>
    </w:rPr>
  </w:style>
  <w:style w:type="character" w:customStyle="1" w:styleId="26">
    <w:name w:val="Heading #2|1_"/>
    <w:basedOn w:val="15"/>
    <w:link w:val="27"/>
    <w:qFormat/>
    <w:uiPriority w:val="0"/>
    <w:rPr>
      <w:rFonts w:ascii="宋体" w:hAnsi="宋体" w:eastAsia="宋体" w:cs="宋体"/>
      <w:sz w:val="94"/>
      <w:szCs w:val="94"/>
      <w:u w:val="none"/>
      <w:shd w:val="clear" w:color="auto" w:fill="auto"/>
      <w:lang w:val="zh-TW" w:eastAsia="zh-TW" w:bidi="zh-TW"/>
    </w:rPr>
  </w:style>
  <w:style w:type="paragraph" w:customStyle="1" w:styleId="27">
    <w:name w:val="Heading #2|1"/>
    <w:basedOn w:val="1"/>
    <w:link w:val="26"/>
    <w:qFormat/>
    <w:uiPriority w:val="0"/>
    <w:pPr>
      <w:ind w:left="-20"/>
      <w:jc w:val="center"/>
      <w:outlineLvl w:val="1"/>
    </w:pPr>
    <w:rPr>
      <w:rFonts w:ascii="宋体" w:hAnsi="宋体" w:eastAsia="宋体" w:cs="宋体"/>
      <w:sz w:val="94"/>
      <w:szCs w:val="94"/>
      <w:lang w:val="zh-TW" w:eastAsia="zh-TW" w:bidi="zh-TW"/>
    </w:rPr>
  </w:style>
  <w:style w:type="character" w:customStyle="1" w:styleId="28">
    <w:name w:val="Body text|2_"/>
    <w:basedOn w:val="15"/>
    <w:link w:val="29"/>
    <w:qFormat/>
    <w:uiPriority w:val="0"/>
    <w:rPr>
      <w:rFonts w:ascii="宋体" w:hAnsi="宋体" w:eastAsia="宋体" w:cs="宋体"/>
      <w:sz w:val="30"/>
      <w:szCs w:val="30"/>
      <w:u w:val="none"/>
      <w:shd w:val="clear" w:color="auto" w:fill="auto"/>
      <w:lang w:val="zh-TW" w:eastAsia="zh-TW" w:bidi="zh-TW"/>
    </w:rPr>
  </w:style>
  <w:style w:type="paragraph" w:customStyle="1" w:styleId="29">
    <w:name w:val="Body text|2"/>
    <w:basedOn w:val="1"/>
    <w:link w:val="28"/>
    <w:qFormat/>
    <w:uiPriority w:val="0"/>
    <w:pPr>
      <w:spacing w:after="420"/>
    </w:pPr>
    <w:rPr>
      <w:rFonts w:ascii="宋体" w:hAnsi="宋体" w:eastAsia="宋体" w:cs="宋体"/>
      <w:sz w:val="30"/>
      <w:szCs w:val="30"/>
      <w:lang w:val="zh-TW" w:eastAsia="zh-TW" w:bidi="zh-TW"/>
    </w:rPr>
  </w:style>
  <w:style w:type="character" w:customStyle="1" w:styleId="30">
    <w:name w:val="Body text|5_"/>
    <w:basedOn w:val="15"/>
    <w:link w:val="31"/>
    <w:qFormat/>
    <w:uiPriority w:val="0"/>
    <w:rPr>
      <w:sz w:val="28"/>
      <w:szCs w:val="28"/>
      <w:u w:val="none"/>
      <w:shd w:val="clear" w:color="auto" w:fill="auto"/>
    </w:rPr>
  </w:style>
  <w:style w:type="paragraph" w:customStyle="1" w:styleId="31">
    <w:name w:val="Body text|5"/>
    <w:basedOn w:val="1"/>
    <w:link w:val="30"/>
    <w:qFormat/>
    <w:uiPriority w:val="0"/>
    <w:pPr>
      <w:spacing w:after="210"/>
    </w:pPr>
    <w:rPr>
      <w:sz w:val="28"/>
      <w:szCs w:val="28"/>
    </w:rPr>
  </w:style>
  <w:style w:type="character" w:customStyle="1" w:styleId="32">
    <w:name w:val="Table of contents|1_"/>
    <w:basedOn w:val="15"/>
    <w:link w:val="33"/>
    <w:qFormat/>
    <w:uiPriority w:val="0"/>
    <w:rPr>
      <w:rFonts w:ascii="宋体" w:hAnsi="宋体" w:eastAsia="宋体" w:cs="宋体"/>
      <w:sz w:val="20"/>
      <w:szCs w:val="20"/>
      <w:u w:val="none"/>
      <w:shd w:val="clear" w:color="auto" w:fill="auto"/>
      <w:lang w:val="zh-TW" w:eastAsia="zh-TW" w:bidi="zh-TW"/>
    </w:rPr>
  </w:style>
  <w:style w:type="paragraph" w:customStyle="1" w:styleId="33">
    <w:name w:val="Table of contents|1"/>
    <w:basedOn w:val="1"/>
    <w:link w:val="32"/>
    <w:qFormat/>
    <w:uiPriority w:val="0"/>
    <w:pPr>
      <w:spacing w:after="200"/>
      <w:ind w:firstLine="420"/>
    </w:pPr>
    <w:rPr>
      <w:rFonts w:ascii="宋体" w:hAnsi="宋体" w:eastAsia="宋体" w:cs="宋体"/>
      <w:sz w:val="20"/>
      <w:szCs w:val="20"/>
      <w:lang w:val="zh-TW" w:eastAsia="zh-TW" w:bidi="zh-TW"/>
    </w:rPr>
  </w:style>
  <w:style w:type="character" w:customStyle="1" w:styleId="34">
    <w:name w:val="Body text|4_"/>
    <w:basedOn w:val="15"/>
    <w:link w:val="35"/>
    <w:qFormat/>
    <w:uiPriority w:val="0"/>
    <w:rPr>
      <w:rFonts w:ascii="宋体" w:hAnsi="宋体" w:eastAsia="宋体" w:cs="宋体"/>
      <w:sz w:val="42"/>
      <w:szCs w:val="42"/>
      <w:u w:val="none"/>
      <w:shd w:val="clear" w:color="auto" w:fill="auto"/>
      <w:lang w:val="zh-TW" w:eastAsia="zh-TW" w:bidi="zh-TW"/>
    </w:rPr>
  </w:style>
  <w:style w:type="paragraph" w:customStyle="1" w:styleId="35">
    <w:name w:val="Body text|4"/>
    <w:basedOn w:val="1"/>
    <w:link w:val="34"/>
    <w:qFormat/>
    <w:uiPriority w:val="0"/>
    <w:pPr>
      <w:spacing w:after="480"/>
      <w:jc w:val="center"/>
    </w:pPr>
    <w:rPr>
      <w:rFonts w:ascii="宋体" w:hAnsi="宋体" w:eastAsia="宋体" w:cs="宋体"/>
      <w:sz w:val="42"/>
      <w:szCs w:val="42"/>
      <w:lang w:val="zh-TW" w:eastAsia="zh-TW" w:bidi="zh-TW"/>
    </w:rPr>
  </w:style>
  <w:style w:type="character" w:customStyle="1" w:styleId="36">
    <w:name w:val="Body text|1_"/>
    <w:basedOn w:val="15"/>
    <w:link w:val="37"/>
    <w:qFormat/>
    <w:uiPriority w:val="0"/>
    <w:rPr>
      <w:rFonts w:ascii="宋体" w:hAnsi="宋体" w:eastAsia="宋体" w:cs="宋体"/>
      <w:sz w:val="20"/>
      <w:szCs w:val="20"/>
      <w:u w:val="none"/>
      <w:shd w:val="clear" w:color="auto" w:fill="auto"/>
      <w:lang w:val="zh-TW" w:eastAsia="zh-TW" w:bidi="zh-TW"/>
    </w:rPr>
  </w:style>
  <w:style w:type="paragraph" w:customStyle="1" w:styleId="37">
    <w:name w:val="Body text|1"/>
    <w:basedOn w:val="1"/>
    <w:link w:val="36"/>
    <w:qFormat/>
    <w:uiPriority w:val="0"/>
    <w:pPr>
      <w:spacing w:line="420" w:lineRule="auto"/>
      <w:ind w:firstLine="400"/>
    </w:pPr>
    <w:rPr>
      <w:rFonts w:ascii="宋体" w:hAnsi="宋体" w:eastAsia="宋体" w:cs="宋体"/>
      <w:sz w:val="20"/>
      <w:szCs w:val="20"/>
      <w:lang w:val="zh-TW" w:eastAsia="zh-TW" w:bidi="zh-TW"/>
    </w:rPr>
  </w:style>
  <w:style w:type="character" w:customStyle="1" w:styleId="38">
    <w:name w:val="Header or footer|2_"/>
    <w:basedOn w:val="15"/>
    <w:link w:val="39"/>
    <w:qFormat/>
    <w:uiPriority w:val="0"/>
    <w:rPr>
      <w:sz w:val="20"/>
      <w:szCs w:val="20"/>
      <w:u w:val="none"/>
      <w:shd w:val="clear" w:color="auto" w:fill="auto"/>
      <w:lang w:val="zh-TW" w:eastAsia="zh-TW" w:bidi="zh-TW"/>
    </w:rPr>
  </w:style>
  <w:style w:type="paragraph" w:customStyle="1" w:styleId="39">
    <w:name w:val="Header or footer|2"/>
    <w:basedOn w:val="1"/>
    <w:link w:val="38"/>
    <w:qFormat/>
    <w:uiPriority w:val="0"/>
    <w:rPr>
      <w:sz w:val="20"/>
      <w:szCs w:val="20"/>
      <w:lang w:val="zh-TW" w:eastAsia="zh-TW" w:bidi="zh-TW"/>
    </w:rPr>
  </w:style>
  <w:style w:type="character" w:customStyle="1" w:styleId="40">
    <w:name w:val="Heading #3|1_"/>
    <w:basedOn w:val="15"/>
    <w:link w:val="41"/>
    <w:qFormat/>
    <w:uiPriority w:val="0"/>
    <w:rPr>
      <w:rFonts w:ascii="宋体" w:hAnsi="宋体" w:eastAsia="宋体" w:cs="宋体"/>
      <w:sz w:val="30"/>
      <w:szCs w:val="30"/>
      <w:u w:val="none"/>
      <w:shd w:val="clear" w:color="auto" w:fill="auto"/>
      <w:lang w:val="zh-TW" w:eastAsia="zh-TW" w:bidi="zh-TW"/>
    </w:rPr>
  </w:style>
  <w:style w:type="paragraph" w:customStyle="1" w:styleId="41">
    <w:name w:val="Heading #3|1"/>
    <w:basedOn w:val="1"/>
    <w:link w:val="40"/>
    <w:qFormat/>
    <w:uiPriority w:val="0"/>
    <w:pPr>
      <w:spacing w:after="280"/>
      <w:jc w:val="center"/>
      <w:outlineLvl w:val="2"/>
    </w:pPr>
    <w:rPr>
      <w:rFonts w:ascii="宋体" w:hAnsi="宋体" w:eastAsia="宋体" w:cs="宋体"/>
      <w:sz w:val="30"/>
      <w:szCs w:val="30"/>
      <w:lang w:val="zh-TW" w:eastAsia="zh-TW" w:bidi="zh-TW"/>
    </w:rPr>
  </w:style>
  <w:style w:type="character" w:customStyle="1" w:styleId="42">
    <w:name w:val="Other|1_"/>
    <w:basedOn w:val="15"/>
    <w:link w:val="43"/>
    <w:qFormat/>
    <w:uiPriority w:val="0"/>
    <w:rPr>
      <w:rFonts w:ascii="宋体" w:hAnsi="宋体" w:eastAsia="宋体" w:cs="宋体"/>
      <w:sz w:val="20"/>
      <w:szCs w:val="20"/>
      <w:u w:val="none"/>
      <w:shd w:val="clear" w:color="auto" w:fill="auto"/>
      <w:lang w:val="zh-TW" w:eastAsia="zh-TW" w:bidi="zh-TW"/>
    </w:rPr>
  </w:style>
  <w:style w:type="paragraph" w:customStyle="1" w:styleId="43">
    <w:name w:val="Other|1"/>
    <w:basedOn w:val="1"/>
    <w:link w:val="42"/>
    <w:qFormat/>
    <w:uiPriority w:val="0"/>
    <w:pPr>
      <w:spacing w:line="420" w:lineRule="auto"/>
      <w:ind w:firstLine="400"/>
    </w:pPr>
    <w:rPr>
      <w:rFonts w:ascii="宋体" w:hAnsi="宋体" w:eastAsia="宋体" w:cs="宋体"/>
      <w:sz w:val="20"/>
      <w:szCs w:val="20"/>
      <w:lang w:val="zh-TW" w:eastAsia="zh-TW" w:bidi="zh-TW"/>
    </w:rPr>
  </w:style>
  <w:style w:type="character" w:customStyle="1" w:styleId="44">
    <w:name w:val="Table caption|1_"/>
    <w:basedOn w:val="15"/>
    <w:link w:val="45"/>
    <w:qFormat/>
    <w:uiPriority w:val="0"/>
    <w:rPr>
      <w:sz w:val="22"/>
      <w:szCs w:val="22"/>
      <w:u w:val="none"/>
      <w:shd w:val="clear" w:color="auto" w:fill="auto"/>
      <w:lang w:val="zh-TW" w:eastAsia="zh-TW" w:bidi="zh-TW"/>
    </w:rPr>
  </w:style>
  <w:style w:type="paragraph" w:customStyle="1" w:styleId="45">
    <w:name w:val="Table caption|1"/>
    <w:basedOn w:val="1"/>
    <w:link w:val="44"/>
    <w:qFormat/>
    <w:uiPriority w:val="0"/>
    <w:rPr>
      <w:sz w:val="22"/>
      <w:szCs w:val="22"/>
      <w:lang w:val="zh-TW" w:eastAsia="zh-TW" w:bidi="zh-TW"/>
    </w:rPr>
  </w:style>
  <w:style w:type="character" w:customStyle="1" w:styleId="46">
    <w:name w:val="Header or footer|1_"/>
    <w:basedOn w:val="15"/>
    <w:link w:val="47"/>
    <w:qFormat/>
    <w:uiPriority w:val="0"/>
    <w:rPr>
      <w:i/>
      <w:iCs/>
      <w:sz w:val="22"/>
      <w:szCs w:val="22"/>
      <w:u w:val="none"/>
      <w:shd w:val="clear" w:color="auto" w:fill="auto"/>
      <w:lang w:val="zh-TW" w:eastAsia="zh-TW" w:bidi="zh-TW"/>
    </w:rPr>
  </w:style>
  <w:style w:type="paragraph" w:customStyle="1" w:styleId="47">
    <w:name w:val="Header or footer|1"/>
    <w:basedOn w:val="1"/>
    <w:link w:val="46"/>
    <w:qFormat/>
    <w:uiPriority w:val="0"/>
    <w:rPr>
      <w:i/>
      <w:iCs/>
      <w:sz w:val="22"/>
      <w:szCs w:val="22"/>
      <w:lang w:val="zh-TW" w:eastAsia="zh-TW" w:bidi="zh-TW"/>
    </w:rPr>
  </w:style>
  <w:style w:type="character" w:customStyle="1" w:styleId="48">
    <w:name w:val="Heading #4|1_"/>
    <w:basedOn w:val="15"/>
    <w:link w:val="49"/>
    <w:qFormat/>
    <w:uiPriority w:val="0"/>
    <w:rPr>
      <w:rFonts w:ascii="宋体" w:hAnsi="宋体" w:eastAsia="宋体" w:cs="宋体"/>
      <w:sz w:val="30"/>
      <w:szCs w:val="30"/>
      <w:u w:val="none"/>
      <w:shd w:val="clear" w:color="auto" w:fill="auto"/>
      <w:lang w:val="zh-TW" w:eastAsia="zh-TW" w:bidi="zh-TW"/>
    </w:rPr>
  </w:style>
  <w:style w:type="paragraph" w:customStyle="1" w:styleId="49">
    <w:name w:val="Heading #4|1"/>
    <w:basedOn w:val="1"/>
    <w:link w:val="48"/>
    <w:qFormat/>
    <w:uiPriority w:val="0"/>
    <w:pPr>
      <w:spacing w:after="110"/>
      <w:ind w:firstLine="500"/>
      <w:outlineLvl w:val="3"/>
    </w:pPr>
    <w:rPr>
      <w:rFonts w:ascii="宋体" w:hAnsi="宋体" w:eastAsia="宋体" w:cs="宋体"/>
      <w:sz w:val="30"/>
      <w:szCs w:val="30"/>
      <w:lang w:val="zh-TW" w:eastAsia="zh-TW" w:bidi="zh-TW"/>
    </w:rPr>
  </w:style>
  <w:style w:type="paragraph" w:customStyle="1" w:styleId="50">
    <w:name w:val="Default"/>
    <w:qFormat/>
    <w:uiPriority w:val="0"/>
    <w:pPr>
      <w:widowControl w:val="0"/>
      <w:autoSpaceDE w:val="0"/>
      <w:autoSpaceDN w:val="0"/>
      <w:adjustRightInd w:val="0"/>
    </w:pPr>
    <w:rPr>
      <w:rFonts w:ascii="宋体..摺夋." w:hAnsi="Calibri" w:eastAsia="宋体..摺夋." w:cs="宋体..摺夋."/>
      <w:color w:val="000000"/>
      <w:sz w:val="24"/>
      <w:szCs w:val="24"/>
      <w:lang w:val="en-US" w:eastAsia="zh-CN" w:bidi="ar-SA"/>
    </w:rPr>
  </w:style>
  <w:style w:type="paragraph" w:customStyle="1" w:styleId="51">
    <w:name w:val="正文1"/>
    <w:basedOn w:val="1"/>
    <w:qFormat/>
    <w:uiPriority w:val="99"/>
    <w:pPr>
      <w:spacing w:line="360" w:lineRule="auto"/>
      <w:ind w:firstLine="200" w:firstLineChars="200"/>
    </w:pPr>
    <w:rPr>
      <w:rFonts w:ascii="Times New Roman)" w:hAnsi="Times New Roman)"/>
    </w:rPr>
  </w:style>
  <w:style w:type="table" w:customStyle="1" w:styleId="52">
    <w:name w:val="Table Normal"/>
    <w:semiHidden/>
    <w:unhideWhenUsed/>
    <w:qFormat/>
    <w:uiPriority w:val="0"/>
    <w:tblPr>
      <w:tblCellMar>
        <w:top w:w="0" w:type="dxa"/>
        <w:left w:w="0" w:type="dxa"/>
        <w:bottom w:w="0" w:type="dxa"/>
        <w:right w:w="0" w:type="dxa"/>
      </w:tblCellMar>
    </w:tblPr>
  </w:style>
  <w:style w:type="paragraph" w:customStyle="1" w:styleId="53">
    <w:name w:val="Table Text"/>
    <w:basedOn w:val="1"/>
    <w:semiHidden/>
    <w:qFormat/>
    <w:uiPriority w:val="0"/>
    <w:rPr>
      <w:rFonts w:ascii="宋体" w:hAnsi="宋体" w:eastAsia="宋体" w:cs="宋体"/>
      <w:sz w:val="20"/>
      <w:szCs w:val="20"/>
      <w:lang w:bidi="ar-SA"/>
    </w:rPr>
  </w:style>
  <w:style w:type="paragraph" w:customStyle="1" w:styleId="54">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styleId="55">
    <w:name w:val="List Paragraph"/>
    <w:basedOn w:val="1"/>
    <w:autoRedefine/>
    <w:qFormat/>
    <w:uiPriority w:val="34"/>
    <w:pPr>
      <w:ind w:firstLine="420" w:firstLineChars="200"/>
    </w:pPr>
  </w:style>
  <w:style w:type="character" w:customStyle="1" w:styleId="5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2.png"/><Relationship Id="rId44" Type="http://schemas.openxmlformats.org/officeDocument/2006/relationships/image" Target="media/image1.png"/><Relationship Id="rId43" Type="http://schemas.openxmlformats.org/officeDocument/2006/relationships/theme" Target="theme/theme1.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103</Pages>
  <Words>10365</Words>
  <Characters>11316</Characters>
  <Lines>348</Lines>
  <Paragraphs>98</Paragraphs>
  <TotalTime>19</TotalTime>
  <ScaleCrop>false</ScaleCrop>
  <LinksUpToDate>false</LinksUpToDate>
  <CharactersWithSpaces>11601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2022-09-20T08:45:00Z</dcterms:created>
  <dc:creator>Administrator</dc:creator>
  <cp:lastModifiedBy>✌黄小花</cp:lastModifiedBy>
  <dcterms:modified xsi:type="dcterms:W3CDTF">2024-12-11T09:06:42Z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24FDF5B134D245AD9F530F8E02DFBDE3_13</vt:lpwstr>
  </property>
</Properties>
</file>