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left"/>
        <w:rPr>
          <w:rFonts w:ascii="宋体" w:hAnsi="宋体" w:eastAsia="宋体" w:cs="宋体"/>
          <w:color w:val="auto"/>
          <w:sz w:val="72"/>
          <w:szCs w:val="72"/>
          <w:highlight w:val="none"/>
        </w:rPr>
      </w:pPr>
    </w:p>
    <w:p>
      <w:pPr>
        <w:snapToGrid w:val="0"/>
        <w:spacing w:before="156" w:beforeLines="50"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bookmarkStart w:id="182" w:name="_GoBack"/>
      <w:bookmarkEnd w:id="182"/>
    </w:p>
    <w:p>
      <w:pPr>
        <w:spacing w:before="312" w:beforeLines="100" w:after="156"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ascii="宋体" w:hAnsi="宋体" w:eastAsia="宋体" w:cs="宋体"/>
          <w:b/>
          <w:color w:val="auto"/>
          <w:sz w:val="32"/>
          <w:szCs w:val="32"/>
          <w:highlight w:val="none"/>
        </w:rPr>
      </w:pPr>
    </w:p>
    <w:p>
      <w:pPr>
        <w:spacing w:line="360" w:lineRule="auto"/>
        <w:jc w:val="center"/>
        <w:rPr>
          <w:rFonts w:ascii="宋体" w:hAnsi="宋体" w:eastAsia="宋体" w:cs="宋体"/>
          <w:b/>
          <w:color w:val="auto"/>
          <w:sz w:val="32"/>
          <w:szCs w:val="32"/>
          <w:highlight w:val="none"/>
        </w:rPr>
      </w:pPr>
    </w:p>
    <w:p>
      <w:pPr>
        <w:snapToGrid w:val="0"/>
        <w:spacing w:before="50" w:after="120" w:line="360" w:lineRule="auto"/>
        <w:ind w:firstLine="1193" w:firstLineChars="396"/>
        <w:rPr>
          <w:rFonts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：工业互联网工程技术人员数字技术</w:t>
      </w:r>
    </w:p>
    <w:p>
      <w:pPr>
        <w:snapToGrid w:val="0"/>
        <w:spacing w:before="50" w:after="120" w:line="360" w:lineRule="auto"/>
        <w:ind w:firstLine="2699" w:firstLineChars="896"/>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zh-CN"/>
        </w:rPr>
        <w:t>工程师人才认证实训基地建设项目</w:t>
      </w:r>
    </w:p>
    <w:p>
      <w:pPr>
        <w:snapToGrid w:val="0"/>
        <w:spacing w:before="156" w:beforeLines="50" w:line="360" w:lineRule="auto"/>
        <w:ind w:firstLine="1145" w:firstLineChars="4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bCs/>
          <w:color w:val="auto"/>
          <w:w w:val="95"/>
          <w:sz w:val="30"/>
          <w:szCs w:val="30"/>
          <w:highlight w:val="none"/>
          <w:lang w:eastAsia="zh-CN"/>
        </w:rPr>
        <w:t>GXZC2025-J1-000909-GXKL</w:t>
      </w: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w:t>
      </w:r>
      <w:r>
        <w:rPr>
          <w:rFonts w:hint="eastAsia" w:ascii="宋体" w:hAnsi="宋体" w:cs="宋体"/>
          <w:b/>
          <w:bCs/>
          <w:color w:val="auto"/>
          <w:w w:val="95"/>
          <w:kern w:val="0"/>
          <w:sz w:val="30"/>
          <w:szCs w:val="30"/>
          <w:highlight w:val="none"/>
        </w:rPr>
        <w:t>广西工业职业技术学院</w:t>
      </w:r>
      <w:r>
        <w:rPr>
          <w:rFonts w:hint="eastAsia" w:ascii="宋体" w:hAnsi="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rPr>
        <w:t xml:space="preserve"> </w:t>
      </w:r>
    </w:p>
    <w:p>
      <w:pPr>
        <w:spacing w:line="360" w:lineRule="auto"/>
        <w:ind w:firstLine="1145" w:firstLineChars="400"/>
        <w:rPr>
          <w:rFonts w:ascii="宋体" w:hAnsi="宋体" w:eastAsia="宋体" w:cs="宋体"/>
          <w:b/>
          <w:color w:val="auto"/>
          <w:sz w:val="32"/>
          <w:szCs w:val="32"/>
          <w:highlight w:val="none"/>
        </w:rPr>
      </w:pPr>
      <w:r>
        <w:rPr>
          <w:rFonts w:hint="eastAsia" w:ascii="宋体" w:hAnsi="宋体" w:eastAsia="宋体" w:cs="宋体"/>
          <w:b/>
          <w:bCs/>
          <w:color w:val="auto"/>
          <w:w w:val="95"/>
          <w:kern w:val="0"/>
          <w:sz w:val="30"/>
          <w:szCs w:val="30"/>
          <w:highlight w:val="none"/>
          <w:lang w:val="zh-CN"/>
        </w:rPr>
        <w:t>采购代理机构：</w:t>
      </w:r>
      <w:bookmarkStart w:id="0" w:name="PO_3000001866_PM031"/>
      <w:r>
        <w:rPr>
          <w:rFonts w:hint="eastAsia" w:ascii="宋体" w:hAnsi="宋体" w:eastAsia="宋体" w:cs="宋体"/>
          <w:b/>
          <w:bCs/>
          <w:color w:val="auto"/>
          <w:w w:val="95"/>
          <w:kern w:val="0"/>
          <w:sz w:val="30"/>
          <w:szCs w:val="30"/>
          <w:highlight w:val="none"/>
          <w:lang w:val="zh-CN"/>
        </w:rPr>
        <w:t>广西科联招标中心有限公司</w:t>
      </w:r>
      <w:bookmarkEnd w:id="0"/>
    </w:p>
    <w:p>
      <w:pPr>
        <w:ind w:firstLine="803"/>
        <w:jc w:val="center"/>
        <w:rPr>
          <w:rFonts w:ascii="宋体" w:hAnsi="宋体" w:eastAsia="宋体" w:cs="宋体"/>
          <w:b/>
          <w:color w:val="auto"/>
          <w:sz w:val="32"/>
          <w:szCs w:val="32"/>
          <w:highlight w:val="none"/>
          <w:lang w:val="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spacing w:line="400" w:lineRule="exact"/>
        <w:jc w:val="left"/>
        <w:rPr>
          <w:rFonts w:ascii="宋体" w:hAnsi="宋体" w:eastAsia="宋体" w:cs="Times New Roman"/>
          <w:b/>
          <w:color w:val="auto"/>
          <w:sz w:val="32"/>
          <w:szCs w:val="32"/>
          <w:highlight w:val="none"/>
        </w:rPr>
      </w:pPr>
    </w:p>
    <w:p>
      <w:pPr>
        <w:spacing w:line="360" w:lineRule="auto"/>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ascii="宋体" w:hAnsi="宋体" w:eastAsia="宋体" w:cs="Times New Roman"/>
          <w:b/>
          <w:color w:val="auto"/>
          <w:sz w:val="44"/>
          <w:szCs w:val="44"/>
          <w:highlight w:val="none"/>
        </w:rPr>
      </w:pPr>
    </w:p>
    <w:p>
      <w:pPr>
        <w:pStyle w:val="23"/>
        <w:tabs>
          <w:tab w:val="right" w:leader="dot" w:pos="8879"/>
        </w:tabs>
        <w:rPr>
          <w:rFonts w:ascii="宋体" w:hAnsi="宋体" w:eastAsia="宋体" w:cs="宋体"/>
          <w:b/>
          <w:color w:val="auto"/>
          <w:sz w:val="28"/>
          <w:szCs w:val="28"/>
          <w:highlight w:val="none"/>
        </w:rPr>
      </w:pPr>
    </w:p>
    <w:p>
      <w:pPr>
        <w:pStyle w:val="23"/>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17</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Theme="majorEastAsia" w:hAnsiTheme="majorEastAsia" w:eastAsiaTheme="majorEastAsia" w:cstheme="majorEastAsia"/>
          <w:b/>
          <w:bCs/>
          <w:color w:val="auto"/>
          <w:sz w:val="24"/>
          <w:szCs w:val="24"/>
          <w:highlight w:val="none"/>
          <w:lang w:val="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42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69</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spacing w:line="480" w:lineRule="auto"/>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end"/>
      </w:r>
    </w:p>
    <w:p>
      <w:pPr>
        <w:spacing w:line="400" w:lineRule="exact"/>
        <w:jc w:val="center"/>
        <w:rPr>
          <w:rFonts w:ascii="宋体" w:hAnsi="宋体" w:eastAsia="宋体" w:cs="Times New Roman"/>
          <w:b/>
          <w:color w:val="auto"/>
          <w:sz w:val="32"/>
          <w:szCs w:val="32"/>
          <w:highlight w:val="none"/>
        </w:rPr>
      </w:pPr>
    </w:p>
    <w:p>
      <w:pPr>
        <w:spacing w:line="400" w:lineRule="exact"/>
        <w:jc w:val="center"/>
        <w:rPr>
          <w:rFonts w:ascii="宋体" w:hAnsi="宋体" w:eastAsia="宋体" w:cs="Times New Roman"/>
          <w:b/>
          <w:color w:val="auto"/>
          <w:sz w:val="32"/>
          <w:szCs w:val="32"/>
          <w:highlight w:val="none"/>
        </w:rPr>
      </w:pPr>
    </w:p>
    <w:p>
      <w:pPr>
        <w:spacing w:line="400" w:lineRule="exact"/>
        <w:rPr>
          <w:rFonts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cols w:space="720" w:num="1"/>
          <w:titlePg/>
          <w:docGrid w:type="lines" w:linePitch="312" w:charSpace="0"/>
        </w:sectPr>
      </w:pPr>
    </w:p>
    <w:p>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1" w:name="_Toc28468"/>
      <w:bookmarkStart w:id="2" w:name="_Toc15375"/>
      <w:bookmarkStart w:id="3" w:name="_Toc6626"/>
      <w:bookmarkStart w:id="4" w:name="_Toc21558"/>
      <w:bookmarkStart w:id="5" w:name="_Toc2567"/>
      <w:bookmarkStart w:id="6" w:name="_Toc7085"/>
      <w:bookmarkStart w:id="7" w:name="_Toc21011"/>
      <w:bookmarkStart w:id="8" w:name="_Toc32002"/>
      <w:bookmarkStart w:id="9" w:name="_Toc80205920"/>
      <w:r>
        <w:rPr>
          <w:rFonts w:hint="eastAsia" w:ascii="Times New Roman" w:hAnsi="Times New Roman" w:eastAsia="宋体" w:cs="Times New Roman"/>
          <w:b/>
          <w:bCs/>
          <w:color w:val="auto"/>
          <w:kern w:val="44"/>
          <w:sz w:val="44"/>
          <w:szCs w:val="44"/>
          <w:highlight w:val="none"/>
          <w:lang w:val="zh-CN"/>
        </w:rPr>
        <w:t>第一章 竞争性谈判公告</w:t>
      </w:r>
      <w:bookmarkEnd w:id="1"/>
      <w:bookmarkEnd w:id="2"/>
      <w:bookmarkEnd w:id="3"/>
      <w:bookmarkEnd w:id="4"/>
      <w:bookmarkEnd w:id="5"/>
      <w:bookmarkEnd w:id="6"/>
      <w:bookmarkEnd w:id="7"/>
      <w:bookmarkEnd w:id="8"/>
      <w:bookmarkEnd w:id="9"/>
      <w:bookmarkStart w:id="10" w:name="_Toc35393798"/>
      <w:bookmarkStart w:id="11" w:name="_Toc28359012"/>
      <w:bookmarkStart w:id="12" w:name="_Toc28359089"/>
      <w:bookmarkStart w:id="13" w:name="_Toc44229878"/>
      <w:bookmarkStart w:id="14" w:name="_Toc35393629"/>
      <w:bookmarkStart w:id="15" w:name="_Toc28359004"/>
      <w:bookmarkStart w:id="16" w:name="_Toc35393792"/>
      <w:bookmarkStart w:id="17" w:name="_Toc35393623"/>
      <w:bookmarkStart w:id="18" w:name="_Toc28359081"/>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ind w:firstLine="420" w:firstLineChars="200"/>
              <w:rPr>
                <w:color w:val="auto"/>
                <w:szCs w:val="21"/>
                <w:highlight w:val="none"/>
              </w:rPr>
            </w:pPr>
            <w:r>
              <w:rPr>
                <w:rFonts w:hint="eastAsia"/>
                <w:color w:val="auto"/>
                <w:szCs w:val="21"/>
                <w:highlight w:val="none"/>
              </w:rPr>
              <w:t>项目概况</w:t>
            </w:r>
          </w:p>
          <w:p>
            <w:pPr>
              <w:spacing w:line="360" w:lineRule="auto"/>
              <w:ind w:firstLine="420" w:firstLineChars="200"/>
              <w:rPr>
                <w:rFonts w:ascii="黑体" w:hAnsi="黑体" w:eastAsia="黑体" w:cs="宋体"/>
                <w:bCs/>
                <w:color w:val="auto"/>
                <w:sz w:val="24"/>
                <w:highlight w:val="none"/>
              </w:rPr>
            </w:pPr>
            <w:r>
              <w:rPr>
                <w:rFonts w:hint="eastAsia" w:ascii="宋体" w:hAnsi="宋体"/>
                <w:color w:val="auto"/>
                <w:szCs w:val="21"/>
                <w:highlight w:val="none"/>
                <w:u w:val="single"/>
              </w:rPr>
              <w:t>工业互联网工程技术人员数字技术工程师人才认证实训基地建设项目</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获取采购文件，并于2025年</w:t>
            </w:r>
            <w:r>
              <w:rPr>
                <w:rFonts w:hint="eastAsia"/>
                <w:color w:val="auto"/>
                <w:szCs w:val="21"/>
                <w:highlight w:val="none"/>
                <w:lang w:val="en-US" w:eastAsia="zh-CN"/>
              </w:rPr>
              <w:t>5</w:t>
            </w:r>
            <w:r>
              <w:rPr>
                <w:rFonts w:hint="eastAsia"/>
                <w:color w:val="auto"/>
                <w:szCs w:val="21"/>
                <w:highlight w:val="none"/>
              </w:rPr>
              <w:t>月</w:t>
            </w:r>
            <w:r>
              <w:rPr>
                <w:rFonts w:hint="eastAsia"/>
                <w:color w:val="auto"/>
                <w:szCs w:val="21"/>
                <w:highlight w:val="none"/>
                <w:lang w:val="en-US" w:eastAsia="zh-CN"/>
              </w:rPr>
              <w:t>12</w:t>
            </w:r>
            <w:r>
              <w:rPr>
                <w:rFonts w:hint="eastAsia"/>
                <w:color w:val="auto"/>
                <w:szCs w:val="21"/>
                <w:highlight w:val="none"/>
              </w:rPr>
              <w:t>日9点00分（北京时间）前提交响应文件。</w:t>
            </w:r>
          </w:p>
        </w:tc>
      </w:tr>
    </w:tbl>
    <w:p>
      <w:pPr>
        <w:rPr>
          <w:rFonts w:ascii="Times New Roman" w:hAnsi="Times New Roman" w:eastAsia="宋体" w:cs="Times New Roman"/>
          <w:color w:val="auto"/>
          <w:szCs w:val="24"/>
          <w:highlight w:val="none"/>
        </w:rPr>
      </w:pPr>
    </w:p>
    <w:p>
      <w:pPr>
        <w:spacing w:line="380" w:lineRule="exact"/>
        <w:rPr>
          <w:rFonts w:ascii="Times New Roman" w:hAnsi="Times New Roman" w:eastAsia="宋体" w:cs="Times New Roman"/>
          <w:b/>
          <w:color w:val="auto"/>
          <w:szCs w:val="24"/>
          <w:highlight w:val="none"/>
        </w:rPr>
      </w:pPr>
      <w:r>
        <w:rPr>
          <w:rFonts w:hint="eastAsia" w:ascii="黑体" w:hAnsi="黑体" w:eastAsia="黑体" w:cs="宋体"/>
          <w:b/>
          <w:color w:val="auto"/>
          <w:sz w:val="24"/>
          <w:szCs w:val="24"/>
          <w:highlight w:val="none"/>
        </w:rPr>
        <w:t>一、项目基本情况</w:t>
      </w:r>
      <w:bookmarkEnd w:id="10"/>
      <w:bookmarkEnd w:id="11"/>
      <w:bookmarkEnd w:id="12"/>
      <w:bookmarkEnd w:id="13"/>
      <w:bookmarkEnd w:id="14"/>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bookmarkStart w:id="19" w:name="OLE_LINK3"/>
      <w:r>
        <w:rPr>
          <w:rFonts w:hint="eastAsia" w:ascii="宋体" w:hAnsi="宋体" w:eastAsia="宋体" w:cs="Times New Roman"/>
          <w:color w:val="auto"/>
          <w:szCs w:val="21"/>
          <w:highlight w:val="none"/>
          <w:lang w:eastAsia="zh-CN"/>
        </w:rPr>
        <w:t>GXZC2025-J1-000909-GXKL</w:t>
      </w:r>
      <w:bookmarkEnd w:id="19"/>
      <w:r>
        <w:rPr>
          <w:rFonts w:ascii="宋体" w:hAnsi="宋体" w:eastAsia="宋体" w:cs="Times New Roman"/>
          <w:color w:val="auto"/>
          <w:szCs w:val="21"/>
          <w:highlight w:val="none"/>
        </w:rPr>
        <w:tab/>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项目名称：工业互联网工程技术人员数字技术工程师人才认证实训基地建设项目</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预算总金额（元）：1980000.00</w:t>
      </w:r>
      <w:r>
        <w:rPr>
          <w:rFonts w:hint="eastAsia" w:ascii="宋体" w:hAnsi="宋体"/>
          <w:color w:val="auto"/>
          <w:szCs w:val="21"/>
          <w:highlight w:val="none"/>
        </w:rPr>
        <w:t>。</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采购需求：</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标项一</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标项名称：工业互联网工程技术人员数字技术工程师人才认证实训基地建设项目 </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数量：1 </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预算金额（元）：1980000.00</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简要规格描述或项目基本概况介绍、用途：详见附件《采购需求》</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合同履行期限：自合同签订之日起60个工作日内交付并完成所有的安装及调试</w:t>
      </w:r>
    </w:p>
    <w:p>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本标项（否）接受联合体投标</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备注：</w:t>
      </w:r>
    </w:p>
    <w:p>
      <w:pPr>
        <w:spacing w:line="380" w:lineRule="exact"/>
        <w:ind w:firstLine="482" w:firstLineChars="200"/>
        <w:rPr>
          <w:rFonts w:ascii="黑体" w:hAnsi="黑体" w:eastAsia="黑体" w:cs="宋体"/>
          <w:bCs/>
          <w:color w:val="auto"/>
          <w:sz w:val="24"/>
          <w:szCs w:val="24"/>
          <w:highlight w:val="none"/>
        </w:rPr>
      </w:pPr>
      <w:bookmarkStart w:id="20" w:name="_Toc28359090"/>
      <w:bookmarkStart w:id="21" w:name="_Toc44229879"/>
      <w:bookmarkStart w:id="22" w:name="_Toc28359013"/>
      <w:bookmarkStart w:id="23" w:name="_Toc35393799"/>
      <w:bookmarkStart w:id="24" w:name="_Toc35393630"/>
      <w:r>
        <w:rPr>
          <w:rFonts w:hint="eastAsia" w:ascii="黑体" w:hAnsi="黑体" w:eastAsia="黑体" w:cs="宋体"/>
          <w:b/>
          <w:color w:val="auto"/>
          <w:kern w:val="44"/>
          <w:sz w:val="24"/>
          <w:szCs w:val="24"/>
          <w:highlight w:val="none"/>
        </w:rPr>
        <w:t>二、申请人的资格</w:t>
      </w:r>
      <w:bookmarkEnd w:id="20"/>
      <w:bookmarkEnd w:id="21"/>
      <w:bookmarkEnd w:id="22"/>
      <w:bookmarkEnd w:id="23"/>
      <w:bookmarkEnd w:id="24"/>
      <w:r>
        <w:rPr>
          <w:rFonts w:hint="eastAsia" w:ascii="黑体" w:hAnsi="黑体" w:eastAsia="黑体" w:cs="宋体"/>
          <w:b/>
          <w:color w:val="auto"/>
          <w:kern w:val="44"/>
          <w:sz w:val="24"/>
          <w:szCs w:val="24"/>
          <w:highlight w:val="none"/>
        </w:rPr>
        <w:t>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u w:val="single"/>
        </w:rPr>
        <w:t>无；</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5"/>
      <w:bookmarkEnd w:id="16"/>
      <w:bookmarkEnd w:id="17"/>
      <w:bookmarkEnd w:id="18"/>
    </w:p>
    <w:p>
      <w:pPr>
        <w:spacing w:line="400" w:lineRule="exact"/>
        <w:ind w:firstLine="420" w:firstLineChars="200"/>
        <w:rPr>
          <w:rFonts w:ascii="宋体" w:hAnsi="宋体" w:eastAsia="宋体" w:cs="宋体"/>
          <w:color w:val="auto"/>
          <w:szCs w:val="21"/>
          <w:highlight w:val="none"/>
        </w:rPr>
      </w:pPr>
      <w:bookmarkStart w:id="25" w:name="_Toc35393793"/>
      <w:bookmarkStart w:id="26" w:name="_Toc35393624"/>
      <w:bookmarkStart w:id="27" w:name="_Toc28359082"/>
      <w:bookmarkStart w:id="28" w:name="_Toc28359005"/>
      <w:r>
        <w:rPr>
          <w:rFonts w:hint="eastAsia" w:ascii="宋体" w:hAnsi="宋体" w:eastAsia="宋体" w:cs="宋体"/>
          <w:color w:val="auto"/>
          <w:szCs w:val="21"/>
          <w:highlight w:val="none"/>
        </w:rPr>
        <w:t>时间：</w:t>
      </w:r>
      <w:r>
        <w:rPr>
          <w:rFonts w:hint="eastAsia" w:ascii="宋体" w:hAnsi="宋体" w:eastAsia="宋体" w:cs="宋体"/>
          <w:bCs/>
          <w:color w:val="auto"/>
          <w:kern w:val="0"/>
          <w:szCs w:val="21"/>
          <w:highlight w:val="none"/>
          <w:u w:val="single"/>
        </w:rPr>
        <w:t>2025年</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月</w:t>
      </w:r>
      <w:r>
        <w:rPr>
          <w:rFonts w:hint="eastAsia" w:ascii="宋体" w:hAnsi="宋体" w:eastAsia="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2025年</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月</w:t>
      </w:r>
      <w:r>
        <w:rPr>
          <w:rFonts w:hint="eastAsia" w:ascii="宋体" w:hAnsi="宋体" w:eastAsia="宋体" w:cs="宋体"/>
          <w:bCs/>
          <w:color w:val="auto"/>
          <w:kern w:val="0"/>
          <w:szCs w:val="21"/>
          <w:highlight w:val="none"/>
          <w:u w:val="single"/>
          <w:lang w:val="en-US" w:eastAsia="zh-CN"/>
        </w:rPr>
        <w:t>9</w:t>
      </w:r>
      <w:r>
        <w:rPr>
          <w:rFonts w:hint="eastAsia" w:ascii="宋体" w:hAnsi="宋体" w:eastAsia="宋体" w:cs="宋体"/>
          <w:bCs/>
          <w:color w:val="auto"/>
          <w:kern w:val="0"/>
          <w:szCs w:val="21"/>
          <w:highlight w:val="none"/>
          <w:u w:val="single"/>
        </w:rPr>
        <w:t>日，每天上午00:00至11:59，下午12:00至23:59（</w:t>
      </w:r>
      <w:r>
        <w:rPr>
          <w:rFonts w:hint="eastAsia" w:ascii="宋体" w:hAnsi="宋体" w:eastAsia="宋体" w:cs="宋体"/>
          <w:bCs/>
          <w:color w:val="auto"/>
          <w:kern w:val="0"/>
          <w:szCs w:val="21"/>
          <w:highlight w:val="none"/>
        </w:rPr>
        <w:t>北京时间，法定节假日除外）</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bCs/>
          <w:color w:val="auto"/>
          <w:kern w:val="0"/>
          <w:szCs w:val="21"/>
          <w:highlight w:val="none"/>
        </w:rPr>
        <w:t>地点：</w:t>
      </w:r>
      <w:r>
        <w:rPr>
          <w:rFonts w:hint="eastAsia" w:ascii="宋体" w:hAnsi="宋体" w:eastAsia="宋体" w:cs="宋体"/>
          <w:color w:val="auto"/>
          <w:szCs w:val="21"/>
          <w:highlight w:val="none"/>
        </w:rPr>
        <w:t xml:space="preserve"> </w:t>
      </w:r>
      <w:bookmarkStart w:id="29" w:name="OLE_LINK5"/>
      <w:r>
        <w:rPr>
          <w:rFonts w:hint="eastAsia" w:ascii="宋体" w:hAnsi="宋体" w:eastAsia="宋体" w:cs="宋体"/>
          <w:color w:val="auto"/>
          <w:szCs w:val="21"/>
          <w:highlight w:val="none"/>
        </w:rPr>
        <w:t>广西政府采购云平台（https://www.gcy.zfcg.gxzf.gov.cn/）</w:t>
      </w:r>
      <w:bookmarkEnd w:id="29"/>
    </w:p>
    <w:p>
      <w:pPr>
        <w:spacing w:line="400" w:lineRule="exact"/>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　　方式：</w:t>
      </w:r>
      <w:bookmarkStart w:id="30" w:name="OLE_LINK6"/>
      <w:r>
        <w:rPr>
          <w:rFonts w:hint="eastAsia" w:ascii="宋体" w:hAnsi="宋体" w:eastAsia="宋体" w:cs="宋体"/>
          <w:color w:val="auto"/>
          <w:szCs w:val="21"/>
          <w:highlight w:val="none"/>
        </w:rPr>
        <w:t>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bookmarkEnd w:id="30"/>
    </w:p>
    <w:p>
      <w:pPr>
        <w:snapToGrid w:val="0"/>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售价（元）：0</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5"/>
      <w:bookmarkEnd w:id="26"/>
      <w:bookmarkEnd w:id="27"/>
      <w:bookmarkEnd w:id="28"/>
      <w:r>
        <w:rPr>
          <w:rFonts w:hint="eastAsia" w:ascii="黑体" w:hAnsi="黑体" w:eastAsia="黑体" w:cs="Times New Roman"/>
          <w:b/>
          <w:bCs/>
          <w:color w:val="auto"/>
          <w:sz w:val="24"/>
          <w:szCs w:val="24"/>
          <w:highlight w:val="none"/>
        </w:rPr>
        <w:t>响应文件提交</w:t>
      </w:r>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bCs/>
          <w:color w:val="auto"/>
          <w:szCs w:val="21"/>
          <w:highlight w:val="none"/>
        </w:rPr>
        <w:t>：</w:t>
      </w:r>
      <w:bookmarkStart w:id="31" w:name="PO_3000001868_PM015"/>
      <w:r>
        <w:rPr>
          <w:rFonts w:hint="eastAsia" w:ascii="宋体" w:hAnsi="宋体" w:eastAsia="宋体" w:cs="宋体"/>
          <w:bCs/>
          <w:color w:val="auto"/>
          <w:szCs w:val="21"/>
          <w:highlight w:val="none"/>
          <w:u w:val="single"/>
        </w:rPr>
        <w:t>2025年</w:t>
      </w:r>
      <w:r>
        <w:rPr>
          <w:rFonts w:hint="eastAsia" w:ascii="宋体" w:hAnsi="宋体" w:eastAsia="宋体" w:cs="宋体"/>
          <w:color w:val="auto"/>
          <w:szCs w:val="21"/>
          <w:highlight w:val="none"/>
          <w:u w:val="single"/>
          <w:lang w:val="en-US" w:eastAsia="zh-CN"/>
        </w:rPr>
        <w:t>5</w:t>
      </w:r>
      <w:r>
        <w:rPr>
          <w:rFonts w:hint="eastAsia" w:ascii="宋体" w:hAnsi="宋体" w:eastAsia="宋体" w:cs="宋体"/>
          <w:bCs/>
          <w:color w:val="auto"/>
          <w:szCs w:val="21"/>
          <w:highlight w:val="none"/>
          <w:u w:val="single"/>
        </w:rPr>
        <w:t>月</w:t>
      </w:r>
      <w:r>
        <w:rPr>
          <w:rFonts w:hint="eastAsia" w:ascii="宋体" w:hAnsi="宋体" w:eastAsia="宋体" w:cs="宋体"/>
          <w:color w:val="auto"/>
          <w:szCs w:val="21"/>
          <w:highlight w:val="none"/>
          <w:u w:val="single"/>
          <w:lang w:val="en-US" w:eastAsia="zh-CN"/>
        </w:rPr>
        <w:t>12</w:t>
      </w:r>
      <w:r>
        <w:rPr>
          <w:rFonts w:hint="eastAsia" w:ascii="宋体" w:hAnsi="宋体" w:eastAsia="宋体" w:cs="宋体"/>
          <w:bCs/>
          <w:color w:val="auto"/>
          <w:szCs w:val="21"/>
          <w:highlight w:val="none"/>
          <w:u w:val="single"/>
        </w:rPr>
        <w:t>日</w:t>
      </w:r>
      <w:bookmarkEnd w:id="31"/>
      <w:r>
        <w:rPr>
          <w:rFonts w:hint="eastAsia" w:ascii="宋体" w:hAnsi="宋体" w:eastAsia="宋体" w:cs="宋体"/>
          <w:bCs/>
          <w:color w:val="auto"/>
          <w:szCs w:val="21"/>
          <w:highlight w:val="none"/>
          <w:u w:val="single"/>
        </w:rPr>
        <w:t>9点00分</w:t>
      </w:r>
      <w:r>
        <w:rPr>
          <w:rFonts w:hint="eastAsia" w:ascii="宋体" w:hAnsi="宋体" w:eastAsia="宋体" w:cs="宋体"/>
          <w:bCs/>
          <w:color w:val="auto"/>
          <w:szCs w:val="21"/>
          <w:highlight w:val="none"/>
        </w:rPr>
        <w:t>（北京时间）</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地点（网址）：</w:t>
      </w:r>
      <w:bookmarkStart w:id="32" w:name="OLE_LINK7"/>
      <w:r>
        <w:rPr>
          <w:rFonts w:hint="eastAsia" w:ascii="宋体" w:hAnsi="宋体" w:eastAsia="宋体" w:cs="宋体"/>
          <w:color w:val="auto"/>
          <w:szCs w:val="21"/>
          <w:highlight w:val="none"/>
        </w:rPr>
        <w:t>广西政府采购云平台（https://www.gcy.zfcg.gxzf.gov.cn/）</w:t>
      </w:r>
      <w:bookmarkEnd w:id="32"/>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五、响应文件开启</w:t>
      </w:r>
    </w:p>
    <w:p>
      <w:pPr>
        <w:spacing w:line="38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开启时间：</w:t>
      </w:r>
      <w:bookmarkStart w:id="33" w:name="PO_3000001868_PM015_1"/>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日</w:t>
      </w:r>
      <w:bookmarkEnd w:id="33"/>
      <w:r>
        <w:rPr>
          <w:rFonts w:hint="eastAsia" w:ascii="宋体" w:hAnsi="宋体" w:eastAsia="宋体" w:cs="宋体"/>
          <w:color w:val="auto"/>
          <w:szCs w:val="21"/>
          <w:highlight w:val="none"/>
          <w:u w:val="single"/>
        </w:rPr>
        <w:t>9点00分</w:t>
      </w:r>
      <w:r>
        <w:rPr>
          <w:rFonts w:hint="eastAsia" w:ascii="宋体" w:hAnsi="宋体" w:eastAsia="宋体" w:cs="宋体"/>
          <w:bCs/>
          <w:color w:val="auto"/>
          <w:szCs w:val="21"/>
          <w:highlight w:val="none"/>
        </w:rPr>
        <w:t>（北京时间）</w:t>
      </w:r>
    </w:p>
    <w:p>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宋体"/>
          <w:color w:val="auto"/>
          <w:szCs w:val="21"/>
          <w:highlight w:val="none"/>
        </w:rPr>
        <w:t>地点：广西政府采购云平台远程开标大厅</w:t>
      </w:r>
    </w:p>
    <w:p>
      <w:pPr>
        <w:spacing w:line="380" w:lineRule="exact"/>
        <w:ind w:firstLine="482" w:firstLineChars="200"/>
        <w:rPr>
          <w:rFonts w:ascii="黑体" w:hAnsi="黑体" w:eastAsia="黑体" w:cs="Times New Roman"/>
          <w:b/>
          <w:bCs/>
          <w:color w:val="auto"/>
          <w:sz w:val="24"/>
          <w:szCs w:val="24"/>
          <w:highlight w:val="none"/>
        </w:rPr>
      </w:pPr>
      <w:bookmarkStart w:id="34" w:name="_Toc35393794"/>
      <w:bookmarkStart w:id="35" w:name="_Toc28359084"/>
      <w:bookmarkStart w:id="36" w:name="_Toc28359007"/>
      <w:bookmarkStart w:id="37" w:name="_Toc35393625"/>
      <w:r>
        <w:rPr>
          <w:rFonts w:hint="eastAsia" w:ascii="黑体" w:hAnsi="黑体" w:eastAsia="黑体" w:cs="Times New Roman"/>
          <w:b/>
          <w:bCs/>
          <w:color w:val="auto"/>
          <w:sz w:val="24"/>
          <w:szCs w:val="24"/>
          <w:highlight w:val="none"/>
        </w:rPr>
        <w:t>六、公告期限</w:t>
      </w:r>
      <w:bookmarkEnd w:id="34"/>
      <w:bookmarkEnd w:id="35"/>
      <w:bookmarkEnd w:id="36"/>
      <w:bookmarkEnd w:id="37"/>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80" w:lineRule="exact"/>
        <w:ind w:firstLine="482" w:firstLineChars="200"/>
        <w:rPr>
          <w:rFonts w:ascii="黑体" w:hAnsi="黑体" w:eastAsia="黑体" w:cs="Times New Roman"/>
          <w:b/>
          <w:bCs/>
          <w:color w:val="auto"/>
          <w:sz w:val="24"/>
          <w:szCs w:val="24"/>
          <w:highlight w:val="none"/>
        </w:rPr>
      </w:pPr>
      <w:bookmarkStart w:id="38" w:name="_Toc35393795"/>
      <w:bookmarkStart w:id="39" w:name="_Toc35393626"/>
      <w:r>
        <w:rPr>
          <w:rFonts w:hint="eastAsia" w:ascii="黑体" w:hAnsi="黑体" w:eastAsia="黑体" w:cs="Times New Roman"/>
          <w:b/>
          <w:bCs/>
          <w:color w:val="auto"/>
          <w:sz w:val="24"/>
          <w:szCs w:val="24"/>
          <w:highlight w:val="none"/>
        </w:rPr>
        <w:t>七、其他补充事宜</w:t>
      </w:r>
      <w:bookmarkEnd w:id="38"/>
      <w:bookmarkEnd w:id="39"/>
    </w:p>
    <w:p>
      <w:pPr>
        <w:spacing w:line="380" w:lineRule="exact"/>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1.谈判保证金： </w:t>
      </w:r>
    </w:p>
    <w:p>
      <w:pPr>
        <w:spacing w:line="38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w:t>
      </w:r>
    </w:p>
    <w:p>
      <w:pPr>
        <w:spacing w:line="38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谈判保证金，相关要求：</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人民币壹万伍仟元整（小写）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15000</w:t>
      </w:r>
      <w:r>
        <w:rPr>
          <w:rFonts w:hint="eastAsia" w:ascii="宋体" w:hAnsi="宋体" w:eastAsia="宋体" w:cs="宋体"/>
          <w:color w:val="auto"/>
          <w:kern w:val="0"/>
          <w:szCs w:val="21"/>
          <w:highlight w:val="none"/>
        </w:rPr>
        <w:t>。</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谈判保证金的</w:t>
      </w:r>
      <w:r>
        <w:rPr>
          <w:rFonts w:hint="eastAsia" w:ascii="宋体" w:hAnsi="宋体" w:eastAsia="宋体" w:cs="宋体"/>
          <w:color w:val="auto"/>
          <w:szCs w:val="21"/>
          <w:highlight w:val="none"/>
        </w:rPr>
        <w:t>缴</w:t>
      </w:r>
      <w:r>
        <w:rPr>
          <w:rFonts w:hint="eastAsia" w:ascii="宋体" w:hAnsi="宋体" w:eastAsia="宋体" w:cs="宋体"/>
          <w:color w:val="auto"/>
          <w:kern w:val="0"/>
          <w:szCs w:val="21"/>
          <w:highlight w:val="none"/>
        </w:rPr>
        <w:t>纳方式：银行转账、支票、汇票、本票或者金融机构、担保机构出具的保函等非现金形式提交。采用银行转账方式的，在首次响应文件提交截止时间前交至采购代理机构指定账户并且到账；缴纳谈判保证金指定账户的信息：</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开户银行：招商银行南宁金浦路支行</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银行账号：7719011969103333000008796</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开户行行号：308611000137</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w:t>
      </w:r>
      <w:r>
        <w:rPr>
          <w:rFonts w:hint="eastAsia" w:ascii="宋体" w:hAnsi="宋体"/>
          <w:color w:val="auto"/>
          <w:szCs w:val="21"/>
          <w:highlight w:val="none"/>
        </w:rPr>
        <w:t>供应商必须在首次响应文件提交截止时间前将支票、汇票、本票或者金融机构、担保机构出具的保函</w:t>
      </w:r>
      <w:r>
        <w:rPr>
          <w:rFonts w:hint="eastAsia" w:ascii="宋体" w:hAnsi="宋体" w:cs="宋体"/>
          <w:color w:val="auto"/>
          <w:szCs w:val="21"/>
          <w:highlight w:val="none"/>
        </w:rPr>
        <w:t>（</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w:t>
      </w:r>
      <w:r>
        <w:rPr>
          <w:rFonts w:hint="eastAsia" w:ascii="宋体" w:hAnsi="宋体"/>
          <w:color w:val="auto"/>
          <w:szCs w:val="21"/>
          <w:highlight w:val="none"/>
        </w:rPr>
        <w:t>等原件提交给采购代理机构</w:t>
      </w:r>
      <w:r>
        <w:rPr>
          <w:rFonts w:hint="eastAsia" w:ascii="宋体" w:hAnsi="宋体" w:eastAsia="宋体" w:cs="宋体"/>
          <w:color w:val="auto"/>
          <w:kern w:val="0"/>
          <w:szCs w:val="21"/>
          <w:highlight w:val="none"/>
        </w:rPr>
        <w:t>。否则视为无效谈判保证金。</w:t>
      </w:r>
    </w:p>
    <w:p>
      <w:pPr>
        <w:spacing w:line="380" w:lineRule="exact"/>
        <w:ind w:firstLine="420" w:firstLineChars="200"/>
        <w:rPr>
          <w:rFonts w:ascii="宋体" w:hAnsi="宋体" w:eastAsia="宋体" w:cs="宋体"/>
          <w:color w:val="auto"/>
          <w:kern w:val="0"/>
          <w:szCs w:val="21"/>
          <w:highlight w:val="none"/>
        </w:rPr>
      </w:pPr>
      <w:bookmarkStart w:id="40" w:name="_Hlk37429595"/>
      <w:bookmarkStart w:id="41" w:name="_Hlk37429585"/>
      <w:r>
        <w:rPr>
          <w:rFonts w:hint="eastAsia" w:ascii="宋体" w:hAnsi="宋体" w:eastAsia="宋体" w:cs="宋体"/>
          <w:color w:val="auto"/>
          <w:kern w:val="0"/>
          <w:szCs w:val="21"/>
          <w:highlight w:val="none"/>
        </w:rPr>
        <w:t>2.网上查询地址</w:t>
      </w:r>
    </w:p>
    <w:bookmarkEnd w:id="40"/>
    <w:bookmarkEnd w:id="41"/>
    <w:p>
      <w:pPr>
        <w:spacing w:line="380" w:lineRule="exact"/>
        <w:ind w:firstLine="420" w:firstLineChars="200"/>
        <w:rPr>
          <w:rFonts w:ascii="宋体" w:hAnsi="宋体" w:eastAsia="宋体" w:cs="宋体"/>
          <w:color w:val="auto"/>
          <w:kern w:val="0"/>
          <w:szCs w:val="21"/>
          <w:highlight w:val="none"/>
        </w:rPr>
      </w:pPr>
      <w:bookmarkStart w:id="42" w:name="_Hlk37429674"/>
      <w:r>
        <w:rPr>
          <w:rFonts w:hint="eastAsia" w:ascii="宋体" w:hAnsi="宋体" w:eastAsia="宋体" w:cs="宋体"/>
          <w:color w:val="auto"/>
          <w:kern w:val="0"/>
          <w:szCs w:val="21"/>
          <w:highlight w:val="none"/>
        </w:rPr>
        <w:t>http://www.ccgp-guangxi.gov.cn/(中国政府采购网广西分网)</w:t>
      </w:r>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3.本项目需要落实的政府采购政策</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2"/>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80" w:lineRule="exact"/>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在线竞标的有关说明</w:t>
      </w:r>
      <w:r>
        <w:rPr>
          <w:rFonts w:hint="eastAsia" w:ascii="宋体" w:hAnsi="宋体" w:eastAsia="宋体" w:cs="宋体"/>
          <w:b/>
          <w:bCs/>
          <w:color w:val="auto"/>
          <w:kern w:val="0"/>
          <w:szCs w:val="21"/>
          <w:highlight w:val="none"/>
        </w:rPr>
        <w:t>：</w:t>
      </w:r>
    </w:p>
    <w:p>
      <w:pPr>
        <w:widowControl/>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rPr>
        <w:t>广西政府采购云平台新版客户端（新版</w:t>
      </w:r>
      <w:r>
        <w:rPr>
          <w:rFonts w:hint="eastAsia" w:ascii="宋体" w:hAnsi="宋体" w:eastAsia="宋体" w:cs="宋体"/>
          <w:color w:val="auto"/>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的要求编制、加密后在响应文件提交截止时间前通过网络上传至</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w:t>
      </w:r>
    </w:p>
    <w:p>
      <w:pPr>
        <w:widowControl/>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widowControl/>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80" w:lineRule="exact"/>
        <w:ind w:firstLine="422" w:firstLineChars="200"/>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rPr>
        <w:t>响应文件提交</w:t>
      </w:r>
      <w:r>
        <w:rPr>
          <w:rFonts w:hint="eastAsia" w:ascii="宋体" w:hAnsi="宋体" w:eastAsia="宋体" w:cs="宋体"/>
          <w:b/>
          <w:color w:val="auto"/>
          <w:szCs w:val="21"/>
          <w:highlight w:val="none"/>
          <w:u w:val="single"/>
        </w:rPr>
        <w:t>截止时间前未完成上传、递交的，视为撤回响应文件。响应文件提交截止时间以后上传递交的响应文件的，广西政府采购云平台将予以拒收。</w:t>
      </w:r>
    </w:p>
    <w:p>
      <w:pPr>
        <w:snapToGrid w:val="0"/>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）CA证书在线解密：首次响应文件开启时，需要供应商登录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电子开标大厅按规定时间对加密的响应文件进行解密。</w:t>
      </w:r>
    </w:p>
    <w:p>
      <w:pPr>
        <w:snapToGrid w:val="0"/>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远程开标大厅参与本次谈判，否则后果自负。</w:t>
      </w:r>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7.若对项目采购电子交易系统操作有疑问，可登录</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spacing w:line="380" w:lineRule="exact"/>
        <w:ind w:firstLine="482" w:firstLineChars="200"/>
        <w:rPr>
          <w:rFonts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名 称：广西工业职业技术学院</w:t>
      </w: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地址：</w:t>
      </w:r>
      <w:bookmarkStart w:id="43" w:name="OLE_LINK8"/>
      <w:r>
        <w:rPr>
          <w:rFonts w:hint="eastAsia" w:ascii="宋体" w:hAnsi="宋体" w:eastAsia="宋体" w:cs="宋体"/>
          <w:color w:val="auto"/>
          <w:szCs w:val="21"/>
          <w:highlight w:val="none"/>
        </w:rPr>
        <w:t>南宁市秀灵路37号</w:t>
      </w:r>
      <w:bookmarkEnd w:id="43"/>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bookmarkStart w:id="44" w:name="OLE_LINK4"/>
      <w:r>
        <w:rPr>
          <w:rFonts w:hint="eastAsia" w:ascii="宋体" w:hAnsi="宋体" w:eastAsia="宋体" w:cs="宋体"/>
          <w:color w:val="auto"/>
          <w:szCs w:val="21"/>
          <w:highlight w:val="none"/>
        </w:rPr>
        <w:t>黄淑娟</w:t>
      </w:r>
      <w:bookmarkEnd w:id="44"/>
      <w:r>
        <w:rPr>
          <w:rFonts w:hint="eastAsia" w:ascii="宋体" w:hAnsi="宋体" w:eastAsia="宋体" w:cs="宋体"/>
          <w:color w:val="auto"/>
          <w:szCs w:val="21"/>
          <w:highlight w:val="none"/>
        </w:rPr>
        <w:t xml:space="preserve">       </w:t>
      </w:r>
    </w:p>
    <w:p>
      <w:pPr>
        <w:spacing w:line="380" w:lineRule="exact"/>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项目联系方式：</w:t>
      </w:r>
      <w:bookmarkStart w:id="45" w:name="OLE_LINK1"/>
      <w:r>
        <w:rPr>
          <w:rFonts w:hint="eastAsia" w:ascii="宋体" w:hAnsi="宋体" w:eastAsia="宋体" w:cs="宋体"/>
          <w:color w:val="auto"/>
          <w:szCs w:val="21"/>
          <w:highlight w:val="none"/>
        </w:rPr>
        <w:t>0771-3828335</w:t>
      </w:r>
      <w:bookmarkEnd w:id="45"/>
    </w:p>
    <w:p>
      <w:pPr>
        <w:spacing w:line="380" w:lineRule="exact"/>
        <w:ind w:left="1041" w:leftChars="371" w:hanging="262" w:hangingChars="125"/>
        <w:jc w:val="left"/>
        <w:rPr>
          <w:rFonts w:ascii="宋体" w:hAnsi="宋体" w:eastAsia="宋体" w:cs="宋体"/>
          <w:color w:val="auto"/>
          <w:szCs w:val="21"/>
          <w:highlight w:val="none"/>
        </w:rPr>
      </w:pP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名    称：广西科联招标中心有限公司</w:t>
      </w:r>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bookmarkStart w:id="46" w:name="OLE_LINK11"/>
      <w:r>
        <w:rPr>
          <w:rFonts w:hint="eastAsia" w:ascii="宋体" w:hAnsi="宋体" w:eastAsia="宋体" w:cs="宋体"/>
          <w:color w:val="auto"/>
          <w:szCs w:val="21"/>
          <w:highlight w:val="none"/>
        </w:rPr>
        <w:t>广西南宁市西乡塘区大学东路170号</w:t>
      </w:r>
      <w:bookmarkEnd w:id="46"/>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项目联系人：潘能荣</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项目联系方式：0771-3486281</w:t>
      </w:r>
    </w:p>
    <w:p>
      <w:pPr>
        <w:spacing w:line="380" w:lineRule="exact"/>
        <w:ind w:firstLine="420" w:firstLineChars="200"/>
        <w:rPr>
          <w:rFonts w:ascii="宋体" w:hAnsi="宋体" w:eastAsia="宋体" w:cs="Times New Roman"/>
          <w:color w:val="auto"/>
          <w:szCs w:val="21"/>
          <w:highlight w:val="none"/>
        </w:rPr>
      </w:pPr>
    </w:p>
    <w:p>
      <w:pPr>
        <w:pStyle w:val="21"/>
        <w:rPr>
          <w:rFonts w:ascii="Cambria" w:hAnsi="Cambria"/>
          <w:b/>
          <w:color w:val="auto"/>
          <w:kern w:val="44"/>
          <w:sz w:val="32"/>
          <w:szCs w:val="32"/>
          <w:highlight w:val="none"/>
        </w:rPr>
      </w:pPr>
      <w:bookmarkStart w:id="47" w:name="_Toc80205921"/>
      <w:bookmarkStart w:id="48" w:name="_Toc30021"/>
    </w:p>
    <w:p>
      <w:pPr>
        <w:pStyle w:val="21"/>
        <w:rPr>
          <w:rFonts w:ascii="Cambria" w:hAnsi="Cambria"/>
          <w:b/>
          <w:color w:val="auto"/>
          <w:kern w:val="44"/>
          <w:sz w:val="32"/>
          <w:szCs w:val="32"/>
          <w:highlight w:val="none"/>
        </w:rPr>
      </w:pPr>
    </w:p>
    <w:p>
      <w:pPr>
        <w:pStyle w:val="21"/>
        <w:rPr>
          <w:rFonts w:ascii="Cambria" w:hAnsi="Cambria"/>
          <w:b/>
          <w:color w:val="auto"/>
          <w:kern w:val="44"/>
          <w:sz w:val="32"/>
          <w:szCs w:val="32"/>
          <w:highlight w:val="none"/>
        </w:rPr>
      </w:pPr>
    </w:p>
    <w:p>
      <w:pPr>
        <w:pStyle w:val="21"/>
        <w:rPr>
          <w:rFonts w:ascii="Cambria" w:hAnsi="Cambria"/>
          <w:b/>
          <w:color w:val="auto"/>
          <w:kern w:val="44"/>
          <w:sz w:val="32"/>
          <w:szCs w:val="32"/>
          <w:highlight w:val="none"/>
        </w:rPr>
      </w:pPr>
    </w:p>
    <w:p>
      <w:pPr>
        <w:pStyle w:val="21"/>
        <w:rPr>
          <w:rFonts w:ascii="Cambria" w:hAnsi="Cambria"/>
          <w:b/>
          <w:color w:val="auto"/>
          <w:kern w:val="44"/>
          <w:sz w:val="32"/>
          <w:szCs w:val="32"/>
          <w:highlight w:val="none"/>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49" w:name="_Toc7360"/>
      <w:bookmarkStart w:id="50" w:name="_Toc14086"/>
      <w:bookmarkStart w:id="51" w:name="_Toc16263"/>
      <w:bookmarkStart w:id="52" w:name="_Toc30720"/>
      <w:bookmarkStart w:id="53" w:name="_Toc21351"/>
      <w:bookmarkStart w:id="54" w:name="_Toc27517"/>
      <w:bookmarkStart w:id="55" w:name="_Toc7676"/>
      <w:r>
        <w:rPr>
          <w:rFonts w:hint="eastAsia" w:ascii="Cambria" w:hAnsi="Cambria" w:eastAsia="宋体" w:cs="Times New Roman"/>
          <w:b/>
          <w:color w:val="auto"/>
          <w:kern w:val="44"/>
          <w:sz w:val="32"/>
          <w:szCs w:val="32"/>
          <w:highlight w:val="none"/>
          <w:lang w:val="zh-CN"/>
        </w:rPr>
        <w:t>第二章 采购需求</w:t>
      </w:r>
      <w:bookmarkEnd w:id="47"/>
      <w:bookmarkEnd w:id="48"/>
      <w:bookmarkEnd w:id="49"/>
      <w:bookmarkEnd w:id="50"/>
      <w:bookmarkEnd w:id="51"/>
      <w:bookmarkEnd w:id="52"/>
      <w:bookmarkEnd w:id="53"/>
      <w:bookmarkEnd w:id="54"/>
      <w:bookmarkEnd w:id="55"/>
    </w:p>
    <w:p>
      <w:pPr>
        <w:spacing w:line="4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4"/>
          <w:highlight w:val="none"/>
        </w:rPr>
        <w:t>1. 为落实政府采购政策需满足的要求：</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pPr>
        <w:tabs>
          <w:tab w:val="left" w:pos="180"/>
          <w:tab w:val="left" w:pos="1620"/>
        </w:tabs>
        <w:spacing w:line="420" w:lineRule="exact"/>
        <w:ind w:firstLine="420" w:firstLineChars="200"/>
        <w:rPr>
          <w:rFonts w:ascii="宋体" w:hAnsi="宋体" w:cs="宋体"/>
          <w:b/>
          <w:bCs/>
          <w:color w:val="auto"/>
          <w:highlight w:val="none"/>
        </w:rPr>
      </w:pPr>
      <w:bookmarkStart w:id="56" w:name="PO_3000001871_PM050"/>
      <w:r>
        <w:rPr>
          <w:rFonts w:hint="eastAsia" w:ascii="宋体" w:hAnsi="宋体" w:eastAsia="宋体" w:cs="宋体"/>
          <w:color w:val="auto"/>
          <w:highlight w:val="none"/>
        </w:rPr>
        <w:t>3.</w:t>
      </w:r>
      <w:r>
        <w:rPr>
          <w:rFonts w:hint="eastAsia" w:ascii="宋体" w:hAnsi="宋体" w:cs="宋体"/>
          <w:b/>
          <w:bCs/>
          <w:color w:val="auto"/>
          <w:highlight w:val="none"/>
        </w:rPr>
        <w:t>本项目为货物类采购项目，</w:t>
      </w:r>
      <w:r>
        <w:rPr>
          <w:rFonts w:hint="eastAsia" w:ascii="宋体" w:hAnsi="宋体" w:eastAsia="宋体" w:cs="宋体"/>
          <w:b/>
          <w:bCs/>
          <w:color w:val="auto"/>
          <w:highlight w:val="none"/>
        </w:rPr>
        <w:t>采购标的对应的中小企业划分标准所属行业</w:t>
      </w:r>
      <w:r>
        <w:rPr>
          <w:rFonts w:hint="eastAsia" w:ascii="宋体" w:hAnsi="宋体" w:cs="宋体"/>
          <w:b/>
          <w:bCs/>
          <w:color w:val="auto"/>
          <w:highlight w:val="none"/>
        </w:rPr>
        <w:t>名称及要求：</w:t>
      </w:r>
    </w:p>
    <w:p>
      <w:pPr>
        <w:tabs>
          <w:tab w:val="left" w:pos="180"/>
          <w:tab w:val="left" w:pos="1620"/>
        </w:tabs>
        <w:spacing w:line="420" w:lineRule="exact"/>
        <w:ind w:firstLine="420" w:firstLineChars="200"/>
        <w:rPr>
          <w:rFonts w:ascii="宋体" w:hAnsi="宋体" w:cs="宋体"/>
          <w:b/>
          <w:bCs/>
          <w:color w:val="auto"/>
          <w:highlight w:val="none"/>
          <w:u w:val="single"/>
        </w:rPr>
      </w:pPr>
      <w:r>
        <w:rPr>
          <w:rFonts w:hint="eastAsia" w:ascii="宋体" w:hAnsi="宋体" w:cs="宋体"/>
          <w:color w:val="auto"/>
          <w:highlight w:val="none"/>
        </w:rPr>
        <w:t>（1）需求一览表中的第2项采购标的对应的中小企业划分标准所属行业名称为：</w:t>
      </w:r>
      <w:r>
        <w:rPr>
          <w:rFonts w:hint="eastAsia" w:ascii="宋体" w:hAnsi="宋体" w:cs="宋体"/>
          <w:b/>
          <w:bCs/>
          <w:color w:val="auto"/>
          <w:highlight w:val="none"/>
          <w:u w:val="single"/>
        </w:rPr>
        <w:t>工业；</w:t>
      </w:r>
    </w:p>
    <w:p>
      <w:pPr>
        <w:tabs>
          <w:tab w:val="left" w:pos="180"/>
          <w:tab w:val="left" w:pos="1620"/>
        </w:tabs>
        <w:spacing w:line="420" w:lineRule="exact"/>
        <w:ind w:firstLine="420" w:firstLineChars="200"/>
        <w:rPr>
          <w:rFonts w:ascii="宋体" w:hAnsi="宋体" w:cs="宋体"/>
          <w:b/>
          <w:bCs/>
          <w:color w:val="auto"/>
          <w:highlight w:val="none"/>
          <w:u w:val="single"/>
        </w:rPr>
      </w:pPr>
      <w:r>
        <w:rPr>
          <w:rFonts w:hint="eastAsia" w:ascii="宋体" w:hAnsi="宋体" w:cs="宋体"/>
          <w:color w:val="auto"/>
          <w:highlight w:val="none"/>
          <w:u w:val="single"/>
        </w:rPr>
        <w:t>（2）需求一览表中的第1、3项采购标的对应的中小企业划分标准所属行业名称为：</w:t>
      </w:r>
      <w:r>
        <w:rPr>
          <w:rFonts w:hint="eastAsia" w:ascii="宋体" w:hAnsi="宋体" w:cs="宋体"/>
          <w:b/>
          <w:bCs/>
          <w:color w:val="auto"/>
          <w:highlight w:val="none"/>
          <w:u w:val="single"/>
        </w:rPr>
        <w:t>软件和信息技术服务业；</w:t>
      </w:r>
    </w:p>
    <w:p>
      <w:pPr>
        <w:tabs>
          <w:tab w:val="left" w:pos="180"/>
          <w:tab w:val="left" w:pos="1620"/>
        </w:tabs>
        <w:spacing w:line="420" w:lineRule="exact"/>
        <w:ind w:firstLine="422" w:firstLineChars="200"/>
        <w:rPr>
          <w:rFonts w:ascii="宋体" w:hAnsi="宋体" w:eastAsia="宋体" w:cs="宋体"/>
          <w:i/>
          <w:iCs/>
          <w:color w:val="auto"/>
          <w:highlight w:val="none"/>
          <w:u w:val="single"/>
        </w:rPr>
      </w:pPr>
      <w:r>
        <w:rPr>
          <w:rFonts w:hint="eastAsia" w:ascii="宋体" w:hAnsi="宋体" w:cs="宋体"/>
          <w:b/>
          <w:bCs/>
          <w:color w:val="auto"/>
          <w:highlight w:val="none"/>
          <w:u w:val="single"/>
        </w:rPr>
        <w:t>（3）属于软件和信息技术服务业的标的不做中小企业划分要求</w:t>
      </w:r>
      <w:r>
        <w:rPr>
          <w:rFonts w:hint="eastAsia" w:ascii="宋体" w:hAnsi="宋体" w:cs="宋体"/>
          <w:b/>
          <w:bCs/>
          <w:color w:val="auto"/>
          <w:highlight w:val="none"/>
        </w:rPr>
        <w:t>。</w:t>
      </w:r>
    </w:p>
    <w:p>
      <w:pPr>
        <w:pStyle w:val="21"/>
        <w:rPr>
          <w:rFonts w:ascii="宋体" w:hAnsi="宋体" w:cs="宋体"/>
          <w:i/>
          <w:iCs/>
          <w:color w:val="auto"/>
          <w:highlight w:val="none"/>
          <w:u w:val="single"/>
          <w:lang w:val="en-US"/>
        </w:rPr>
      </w:pPr>
    </w:p>
    <w:bookmarkEnd w:id="56"/>
    <w:tbl>
      <w:tblPr>
        <w:tblStyle w:val="29"/>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3"/>
        <w:gridCol w:w="1185"/>
        <w:gridCol w:w="600"/>
        <w:gridCol w:w="64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jc w:val="center"/>
        </w:trPr>
        <w:tc>
          <w:tcPr>
            <w:tcW w:w="9809" w:type="dxa"/>
            <w:gridSpan w:val="5"/>
            <w:shd w:val="clear" w:color="auto" w:fill="auto"/>
            <w:vAlign w:val="center"/>
          </w:tcPr>
          <w:p>
            <w:pPr>
              <w:widowControl/>
              <w:tabs>
                <w:tab w:val="left" w:pos="796"/>
              </w:tabs>
              <w:adjustRightInd w:val="0"/>
              <w:snapToGrid w:val="0"/>
              <w:spacing w:line="360" w:lineRule="exact"/>
              <w:jc w:val="left"/>
              <w:textAlignment w:val="center"/>
              <w:rPr>
                <w:rFonts w:asciiTheme="minorEastAsia" w:hAnsiTheme="minorEastAsia" w:cstheme="minorEastAsia"/>
                <w:b/>
                <w:bCs/>
                <w:color w:val="auto"/>
                <w:szCs w:val="21"/>
                <w:highlight w:val="none"/>
              </w:rPr>
            </w:pPr>
            <w:bookmarkStart w:id="57" w:name="PO_TDCUS_ITEM_PB_REQ_FILE_1_1"/>
            <w:r>
              <w:rPr>
                <w:rFonts w:hint="eastAsia" w:asciiTheme="minorEastAsia" w:hAnsiTheme="minorEastAsia" w:cstheme="minorEastAsia"/>
                <w:b/>
                <w:bCs/>
                <w:color w:val="auto"/>
                <w:szCs w:val="21"/>
                <w:highlight w:val="none"/>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jc w:val="center"/>
        </w:trPr>
        <w:tc>
          <w:tcPr>
            <w:tcW w:w="583" w:type="dxa"/>
            <w:shd w:val="clear" w:color="auto" w:fill="auto"/>
            <w:vAlign w:val="center"/>
          </w:tcPr>
          <w:p>
            <w:pPr>
              <w:widowControl/>
              <w:adjustRightInd w:val="0"/>
              <w:snapToGrid w:val="0"/>
              <w:spacing w:line="360" w:lineRule="exact"/>
              <w:jc w:val="center"/>
              <w:textAlignment w:val="center"/>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序号</w:t>
            </w:r>
          </w:p>
        </w:tc>
        <w:tc>
          <w:tcPr>
            <w:tcW w:w="1185" w:type="dxa"/>
            <w:shd w:val="clear" w:color="auto" w:fill="auto"/>
            <w:vAlign w:val="center"/>
          </w:tcPr>
          <w:p>
            <w:pPr>
              <w:widowControl/>
              <w:adjustRightInd w:val="0"/>
              <w:snapToGrid w:val="0"/>
              <w:spacing w:line="360" w:lineRule="exact"/>
              <w:jc w:val="center"/>
              <w:textAlignment w:val="center"/>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标的名称</w:t>
            </w:r>
          </w:p>
        </w:tc>
        <w:tc>
          <w:tcPr>
            <w:tcW w:w="600" w:type="dxa"/>
            <w:shd w:val="clear" w:color="auto" w:fill="auto"/>
            <w:vAlign w:val="center"/>
          </w:tcPr>
          <w:p>
            <w:pPr>
              <w:widowControl/>
              <w:adjustRightInd w:val="0"/>
              <w:snapToGrid w:val="0"/>
              <w:spacing w:line="360" w:lineRule="exact"/>
              <w:jc w:val="center"/>
              <w:textAlignment w:val="center"/>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数量</w:t>
            </w:r>
          </w:p>
        </w:tc>
        <w:tc>
          <w:tcPr>
            <w:tcW w:w="645" w:type="dxa"/>
            <w:shd w:val="clear" w:color="auto" w:fill="auto"/>
            <w:vAlign w:val="center"/>
          </w:tcPr>
          <w:p>
            <w:pPr>
              <w:widowControl/>
              <w:adjustRightInd w:val="0"/>
              <w:snapToGrid w:val="0"/>
              <w:spacing w:line="360" w:lineRule="exact"/>
              <w:jc w:val="center"/>
              <w:textAlignment w:val="center"/>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单位</w:t>
            </w:r>
          </w:p>
        </w:tc>
        <w:tc>
          <w:tcPr>
            <w:tcW w:w="6796" w:type="dxa"/>
            <w:shd w:val="clear" w:color="auto" w:fill="auto"/>
            <w:vAlign w:val="center"/>
          </w:tcPr>
          <w:p>
            <w:pPr>
              <w:widowControl/>
              <w:adjustRightInd w:val="0"/>
              <w:snapToGrid w:val="0"/>
              <w:spacing w:line="360" w:lineRule="exact"/>
              <w:jc w:val="center"/>
              <w:textAlignment w:val="center"/>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583"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kern w:val="0"/>
                <w:szCs w:val="21"/>
                <w:highlight w:val="none"/>
                <w:lang w:bidi="ar"/>
              </w:rPr>
              <w:t>1</w:t>
            </w:r>
          </w:p>
        </w:tc>
        <w:tc>
          <w:tcPr>
            <w:tcW w:w="1185" w:type="dxa"/>
            <w:shd w:val="clear" w:color="auto" w:fill="auto"/>
            <w:vAlign w:val="center"/>
          </w:tcPr>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工业互联网工程技术人员（初级）实训系统</w:t>
            </w:r>
          </w:p>
        </w:tc>
        <w:tc>
          <w:tcPr>
            <w:tcW w:w="600"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p>
        </w:tc>
        <w:tc>
          <w:tcPr>
            <w:tcW w:w="645"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套</w:t>
            </w:r>
          </w:p>
        </w:tc>
        <w:tc>
          <w:tcPr>
            <w:tcW w:w="6796" w:type="dxa"/>
            <w:shd w:val="clear" w:color="auto" w:fill="auto"/>
            <w:vAlign w:val="center"/>
          </w:tcPr>
          <w:p>
            <w:pPr>
              <w:spacing w:line="360" w:lineRule="exact"/>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一、系统总体要求</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系统能够将常用工业互联网设备进行仿真，包括但不限于电源设备、转换接口设备（如RS-232,RS-485、RJ45）、工业网络设备（如交换机，无线网络模块，网关，路由器）、工业安全设备（如网闸，防火墙）、传感器设备（如压力、接近、湿度、位移、温度、振动）、执行器设备（如电机、风扇、灯、开关）、控制器设备、数据采集设备（如工业智能网关）、标识解析终端设备（如二维码、条码、RFID标签、扫码枪、标识载体打印机）、电脑等，支持对仿真设备的分类管理。</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2.系统能够将多种工业网络协议进行仿真，包括但不限于RS-485协议、MODBUS-RTU协议、MODBUS-TCP协议、MQTT协议、OPC UA协议。</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系统提供工业互联网平台（支持工业APP，运行日志，标识解析数据采集等功能）、标识解析系统（支持编码、编码管理、赋码管理、赋码实验、系统管理、提供对外服务接口等功能）以及工业互联网标识解析服务应用（支持编码解析、标识终端设备管理、解析服务配置等功能）。</w:t>
            </w:r>
          </w:p>
          <w:p>
            <w:pPr>
              <w:spacing w:line="360" w:lineRule="exact"/>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二、系统功能要求</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1.系统具有自动创建虚拟串口功能，供需要串口通信方式的设备使用，用户能够通过串口使用相应设备。</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2.系统具有图形拖拽编辑功能，可通过拖拽的方式将设备拖拽到相应网络拓扑中。</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3.系统具有工程创建、保存、打开功能，能以工程文件的形式保存到相应位置，下次使用时直接打开工程文件即可继续做上次的实验。</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4.系统具有工程切换功能，可直接切换到任意一个已经创建好的工程中。</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5.系统设备导入/导出功能，可将工程文件中的设备进行导入和导出，以设备工程文件的形式存储。</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6.系统具有删除、剪切、复制、粘贴、全选、创建组合、取消组合等编辑功能，用于快捷编辑和搭建网络拓扑。</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7.系统具有新建桌面/删除桌面功能，可在不同桌面下搭建不同网络拓扑且互相不冲突。</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8.系统具有桌面属性编辑功能，可对桌面名称、宽度、长度、背景色等内容进行编辑。</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▲9.系统具有设备属性编辑功能，可对设备名称、字体大小、字体颜色、设备大小、接口位置、接口是否启用进行编辑。</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▲10.系统具有设备插件属性功能，对于具有插件功能的设备显示对应可执行的方法。</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11.系统具有左侧对齐、顶部对齐、右侧对齐、底部对齐、横向平均、纵向平均、置于顶层、置于底层等排列设置功能。</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12.系统不限制同一个设备的使用次数，在同一个或者不同工程下，可以无限使用任意一个设备。</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13.系统具有设备搜索功能，用户可在搜索框中按照关键字搜索需要用到的仿真设备</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14.系统具有用户登录和自动评分功能。</w:t>
            </w:r>
          </w:p>
          <w:p>
            <w:pPr>
              <w:spacing w:line="360" w:lineRule="exact"/>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三、配套资源要求</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（一）系统支持以下实训内容，配套提供系统使用说明书、实训指导手册、实训教学视频等资源。</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1.网络互联集成（包括但不限于工业控制器设备拓扑组网、VLAN配置、ModbusTCP采集拓扑组网等）；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2.工业设备数据采集（包括但不限于MQTT功能启用、MQTT数据推送、工业智能网关连通性测试等）；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3.工业标识数据采集（包括但不限于二维码的生成与识别、条码的生成与识别、RFID标签的使用、RFID标签的识别等）；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4.安全防护实施（包括但不限于工业防火墙网络搭建、安全策略配置、VPN的使用等）；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5.网络互联运维（包括但不限于工业网络故障排查、工业网络故障处理等）；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6.工业数据采集系统运维（包括但不限于工业传感器故障排查、工业控制器故障排查、RFID14443故障排查、工业网关故障排查等）；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7.安全防护运维（包括但不限于安全漏洞检测、工业防火墙维护等）；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8.工业互联网平台运维（包括但不限于微服务运维、工业互联网平台维护等）；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9.标识解析系统运维（包括但不限于日志导出脚本使用，标识解析系统异常状况排查等）；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10.工业互联网标识解析服务应用（包括但不限于标识编码配置，二维码标识识别，条码标识识别等）。</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按照《工业互联网工程技术人员（初级）》和《工业互联网工程技术人员（基础知识）》教材的章节体系提供以下相关资源：理论不少于40学时，实操不少于50学时。不少于40课时PPT课件，单个PPT课件不少于10页，总页数不少于500页，不少于40个视频资源，视频资源总时长不少于1200分钟。</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1.PPT课件</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（1）根据章节知识点、教学场景、教学编排等设计PPT课件。</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（2）根据课程主题设计PPT 课件模板，风格和元素的选取与主题贴合。</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（3）课件符合精品课程拍摄要求。</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（4）各级标题应设置正确，采用三级标题格式，使用多级编号，同一级标题使用同样的样式，文本结构清晰。</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（5）正文字体、字号、颜色、行间距等要美观、统一；表格要求使用软件的插入表格功能生成表格，并使用相应功能加工处理；正文中的图像、图形应清晰，图形要符合国家相关绘制标准。</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（6）提供课件符合上课教学使用，以便老师和学生对章节知识点的学习。</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2.教学视频</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（1）根据章节知识点、教学场景、教学编排等制作教学视频。</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（2）教学视频采用通用视频格式，包括但不限于*.mp4、*.avi、*.mov等格式。</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（3）视频压缩采用H.264/AVC 编码方式，网络传输版视频码率在1Mb/s～4 Mb/s 范围内，存档版视频码率不低于4Mb/s，帧率不低于25 帧每秒，分辨率不低于1024×576 （16:9）、1024×768 （4:3）。</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（4）视频图像清晰，播放流畅，播放时没有明显的噪点，视频播放时声音、画面、字幕（如有）保持同步。</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（5）视频中采用标准的普通话、标准的英语配音（如适用），视频声音清晰，无噪音，音量合适，无与资源无关的声音。</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（6）字幕清晰美观，能正确有效地传达信息,字幕要使用符合国家标准的规范字，无错别字。</w:t>
            </w:r>
          </w:p>
          <w:p>
            <w:pPr>
              <w:spacing w:line="3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（7）字幕的字体、大小、色彩搭配、摆放位置、停留时间、出入屏方式力求与其他要素（画面、解说词、音乐）配合适当，不能破坏原有画面</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583"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2</w:t>
            </w:r>
          </w:p>
        </w:tc>
        <w:tc>
          <w:tcPr>
            <w:tcW w:w="1185" w:type="dxa"/>
            <w:shd w:val="clear" w:color="auto" w:fill="auto"/>
            <w:vAlign w:val="center"/>
          </w:tcPr>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bookmarkStart w:id="58" w:name="OLE_LINK2"/>
            <w:r>
              <w:rPr>
                <w:rFonts w:hint="eastAsia" w:asciiTheme="minorEastAsia" w:hAnsiTheme="minorEastAsia" w:cstheme="minorEastAsia"/>
                <w:color w:val="auto"/>
                <w:szCs w:val="21"/>
                <w:highlight w:val="none"/>
              </w:rPr>
              <w:t>工业互联网工程技术人员（中级）实训台</w:t>
            </w:r>
            <w:bookmarkEnd w:id="58"/>
          </w:p>
        </w:tc>
        <w:tc>
          <w:tcPr>
            <w:tcW w:w="600"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w:t>
            </w:r>
          </w:p>
        </w:tc>
        <w:tc>
          <w:tcPr>
            <w:tcW w:w="645"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套</w:t>
            </w:r>
          </w:p>
        </w:tc>
        <w:tc>
          <w:tcPr>
            <w:tcW w:w="6796" w:type="dxa"/>
            <w:shd w:val="clear" w:color="auto" w:fill="auto"/>
            <w:vAlign w:val="center"/>
          </w:tcPr>
          <w:p>
            <w:pPr>
              <w:widowControl/>
              <w:adjustRightInd w:val="0"/>
              <w:snapToGrid w:val="0"/>
              <w:spacing w:line="360" w:lineRule="exact"/>
              <w:jc w:val="left"/>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一、电气控制挂板</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1.电气挂板：材质不低于Q235。</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2.可编程控制器：</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（1）程序数据容量：≥128K 步用户程序。</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（2）以太网：支持 ModbusTCP、Socket、 EtherCAT。</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（3）串行通信：≥1路 RS485。</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（4）CAN 通信：支持 CANlink、CANopen。</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（5）高速输入：≥4 路 200K 。</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（6）高速输出：≥4 轴 200K。</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（7）可扩展模块 ：≥16 个。</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（8）工作温度：-10～55℃。</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（9）以太网端口数：≥2 个。</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3.变频器：</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（1）电源输入类型：单相2</w:t>
            </w:r>
            <w:r>
              <w:rPr>
                <w:rFonts w:asciiTheme="minorEastAsia" w:hAnsiTheme="minorEastAsia" w:cstheme="minorEastAsia"/>
                <w:color w:val="auto"/>
                <w:szCs w:val="21"/>
                <w:highlight w:val="none"/>
              </w:rPr>
              <w:t>2</w:t>
            </w:r>
            <w:r>
              <w:rPr>
                <w:rFonts w:hint="eastAsia" w:asciiTheme="minorEastAsia" w:hAnsiTheme="minorEastAsia" w:cstheme="minorEastAsia"/>
                <w:color w:val="auto"/>
                <w:szCs w:val="21"/>
                <w:highlight w:val="none"/>
              </w:rPr>
              <w:t>0V电源。</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（2）适用电机容量(kW)：≥0.4 。</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（3）额定容量(kVA)：≥1.0。</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（4）额定电流(A)：≤2.5。</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（5）过载额定电流:150% 60s, 200% 0.5s(反限时特性)。</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（6）输出电压：3相200V～240V。</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（7）交流电压容许波动范围：170～264V 50Hz/60Hz。</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（8）频率容许波动范围：±5%。</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（9）通讯协议：MODBUS通信协议。</w:t>
            </w:r>
          </w:p>
          <w:p>
            <w:pPr>
              <w:widowControl/>
              <w:adjustRightInd w:val="0"/>
              <w:snapToGrid w:val="0"/>
              <w:spacing w:line="360" w:lineRule="exact"/>
              <w:jc w:val="left"/>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二、操作控制板</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1.操作面板具有“启动”、“停止”、“复位”、“上电/断电”按钮和指示灯，“单/联机”转换开关和指示灯，并带急停按钮。</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2.操作面板：</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（1）不锈钢带灯按钮：灯DC24V，数量≥4。</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（2）不锈钢两位钥匙开关，数量≥1。</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（3）金属指示灯：DC24V，数量≥4。</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（4）急停按钮：常闭、红色，数量≥1。</w:t>
            </w:r>
          </w:p>
          <w:p>
            <w:pPr>
              <w:widowControl/>
              <w:adjustRightInd w:val="0"/>
              <w:snapToGrid w:val="0"/>
              <w:spacing w:line="360" w:lineRule="exact"/>
              <w:jc w:val="left"/>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三、触摸屏</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1.液晶屏：≥7"TFT液晶屏，分辨率（800×480）。</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2.CPU主板 ：不低于主频4核，800MHz。</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3.内存：≥256M。</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4.接口：LAN≥1。</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四、智能阀岛</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1.集成不少于16路输入通道，32路输出通道；16路气阀控制，支持单电控与双电控并存。</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2.通信协议：EtherCAT网络协议。</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3.以太网端口数：≥ 2 个。</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4.DC24V供电。</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五、智能IO</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1.一体式集成不少于32路输入通道。</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2.通信协议：EtherCAT网络协议。</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3.以太网端口数：≥ 2 个。</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4.采用DC24V供电。</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5.IO响应时间：≤500µs。</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6.防护等级不低于IP20。</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六、无线通信网关</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1.无线端支持ZigBee通信协议。</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2.无线速率：250Kbps、500Kbps和1Mbps。</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3.无线发送功率：≥22dBm。</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4.实际数据吞吐量：≥10KB/S。</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5.以太网端接口：RJ45，自适应，支持ETHERNET、UDP、TCP协议。</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6.采用DC24V供电。</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七、无线传感器</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1.无线射频功率：不低于+20dBm。</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2.供电DC24V。</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3.视距传输距离：≥1000米。</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4.接收灵敏度：不低于-97dBm。</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5.采样周期：≥5次/秒。</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6.传感器集成光照度、温湿度等多种检测功能。</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八、企业级网络安全网关</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1.支持安全区域管理：可基于接口、VLAN划分安全区域。</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2.支持包过滤：通过标准或扩展访问控制规则，结合报文中UDP或TCP端口等信息实现对数据包的过滤。</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3.支持应用、用户的访问控制：将应用与用户作为安全策略的基本元素，实现下一代的访问控制功能。</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4.指定IP访问网络。</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九、多协议工业网关</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1.下行支持：包括但不限于西门子PLC、三菱PLC、欧姆龙PLC、台达PLC，及Modbus RTU Master、Modbus TCP Master协议支持。</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2.上行支持：包括但不限于Modbus RTU 、Modbus TCP、OPC UA、MQTT协议支持，及华为云IoT、阿里云IoT等。</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3.提供不少于1路电源输入，2路RS232/RS485可选串口输入，2路以太网口（WAN口和LAN口），支持SIM卡，支持WiFi。</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十、输送带</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1.用于物料的输送装置，要求该装置应包含驱动电机、皮带、同步带、防护罩、定位装置、铝材框架支架。</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2.输送带，要求能够实现物料的输送与定位功能。</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3.输送带减速电机：电压：24VDC，功率≥10W，减速比：50；</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4.皮带材质：PVC黑色平面，厚度：不低于2.0mm。</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5.驱动电机装置：具有程序控制电机正反转及手动控制功能。</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十一、循环选料机构</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1.单驱双带异向装置，要求该装置包含三相电机、输送皮带、铝材支架、颜色传感器、振动传感器、光纤传感器、同步带、推料气缸、磁性开关、多种颜色物料颗料工件。</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2.循环选料机构，要求能够实现多种颜色颗料物料上料、选料、循环供料的过程。</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十二、填装机构</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要求该机构包括升降装置、旋转装置、真空吸盘、真空发生器、安装板、信号集中板；能够实现对颗粒物料的吸取、搬运并装入到目标瓶内；该机构的旋转角度范围可实现0～190°可调，且机构可实现重复定位，精度要求≤0.2°。</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2.颗粒填装机构，要求能够实现填装机构吸取目标颗粒并填装到瓶子内的过程。</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十三、加盖机构</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1.加盖机构，要求该机构包括推盖气缸、压盖气缸、光电传感器、磁性开关、圆形透明料筒、落料机构、送料机构、顶料机构、铝材加工框架、瓶盖配件、信号集中板。</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2.加盖机构，要求能够依次实现对目标瓶子进行精准的加盖过程。</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十四、拧盖机构</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1.要求该机构包括但不限于拧盖电机、升降机构、拧紧装置、机构支架、双联气缸、磁性开关、信号集中板。</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2.拧盖电机：额定电压：24VDC，额定功率：≥8W，额定转速：不低于66r/min，极数：2极，转矩：≥1.316N·m。</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十五、物流搬运模块</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物流搬运模块，要求该机构包括但不限于伺服电机、运动轴、导向杆、双轴气缸、抓手、机构支架、磁性开关、光电传感器、铝材定位板、信号集中板；能够实现对输送带来料进行抓取与按系统要求分类存储入仓。</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2.物流搬运模块，要求能够体现成品被搬运存储到仓库的过程。</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十六、存储仓库</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配合物流搬运模块实现对成品的存储，且每个仓位都有编号。</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十七、RFID模块</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1.用于物料的识别追踪。</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2.通讯接口：支持TCP/IP。</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3.发射功率：10～30dbm 可调。</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十八、能耗检测模块</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1.设备电能等相关参数数据采集。</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2.实时测量：电能(用电量)、电压、电流、功率、功率因数、频率等。</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3.通讯协议：MODBUS。</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十九、气源处理装置</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调节控制设备用气压力。</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二十、实训平台</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1.尺寸：≤1600mm×910mm×850mm。</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2.采用≥1.2mm冷轧钢板折弯焊接而成，表面静电喷塑处理，具有防火、防水、防腐蚀。</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3.底部装有万向轮和可调节脚杯。</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二十一、工位平台</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1.尺寸：≤600mm×700mm×720mm。</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2.不低于Q235≥1.2mm冷轧钢板折弯焊接而成。</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3.台面≥25mm厚高密度中纤板外贴防火板，带键盘抽屉。桌腿安装4个万向轮。</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二十二、空气压缩机</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1.功率：≥680W。</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2.压力：≥7Bar； </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3.排气量：≥50L/min ；</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4.储气量:≥12L；</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5.电压：220V</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二十二、配套资源</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1.PPT课件</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（1）提供面向医药行业工业生产中工业互联网技术、工业互联网应用、机械制造及自动化等专业开展的不少于10个实训项目的PPT课件，单个课件不少于10页。</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（2）各级标题应设置正确，采用三级标题格式，使用多级编号，同一级标题使用同样的样式，文本结构清晰。</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（3）正文字体、字号、颜色、行间距等要美观、统一；表格要求使用软件的插入表格等功能生成表格，并使用相应功能加工处理；正文中的图像、图形应清晰，图形要符合国家相关绘制标准。</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2.教学视频</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（1）提供面向医药行业工业生产中工业互联网技术、工业互联网应用、机械制造及自动化等专业开展的不少于10个实训项目的教学视频。</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（2）教学视频采用通用视频格式，包括但不限于*.mp4、*.avi、*.mov等格式。</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（3）视频图像清晰，播放流畅，播放时没有明显的噪点，视频播放时声音、画面、字幕（如有）保持同步。</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（4）视频中采用标准的普通话、标准的英语配音（如适用），视频声音清晰，无噪音，音量合适，无与资源无关的声音。</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3、包含配电箱、强电布线，信息点布线，相关辅材（配套设备线，电源线，网线，数据线、插座、地面保护槽、PVC线槽、金属屏蔽护管等费用）以及所有货物到学校的运输，满足项目实训需要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583"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3</w:t>
            </w:r>
          </w:p>
        </w:tc>
        <w:tc>
          <w:tcPr>
            <w:tcW w:w="1185" w:type="dxa"/>
            <w:shd w:val="clear" w:color="auto" w:fill="auto"/>
            <w:vAlign w:val="center"/>
          </w:tcPr>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工业互联网开发平台</w:t>
            </w:r>
          </w:p>
        </w:tc>
        <w:tc>
          <w:tcPr>
            <w:tcW w:w="600"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p>
        </w:tc>
        <w:tc>
          <w:tcPr>
            <w:tcW w:w="645" w:type="dxa"/>
            <w:shd w:val="clear" w:color="auto" w:fill="auto"/>
            <w:noWrap/>
            <w:vAlign w:val="center"/>
          </w:tcPr>
          <w:p>
            <w:pPr>
              <w:widowControl/>
              <w:adjustRightInd w:val="0"/>
              <w:snapToGrid w:val="0"/>
              <w:spacing w:line="3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套</w:t>
            </w:r>
          </w:p>
        </w:tc>
        <w:tc>
          <w:tcPr>
            <w:tcW w:w="6796" w:type="dxa"/>
            <w:shd w:val="clear" w:color="auto" w:fill="auto"/>
            <w:vAlign w:val="center"/>
          </w:tcPr>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1.提供IDE（集成开发环境），支持以可视化拖拽的方式生成SDK（软件开发工具包），配合脚本语言，支持快速二次开发。</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2.支持可视化低代码开发：支持以拖拽方式配置业务流程，结合查询语句、查询结果自动生成表格页面。可通过流程图进行运行调试，监控数据流。</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3.支持云端集成开发与调试：采用参照或相当于Visual Studio Online (Cloud IDE)，可实现多开发者同时在线开发。</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4.支持编程语法检查:支持对Java和Groovy编程语言的语法检查。</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5.支持面向对象化：包括对功能模块、数据源、模型、用户、脚本、方法、属性等进行对象化。</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6.支持前、后端开发分离:降低前后端系统耦合度,提高开发效率。</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7.支持多种类型数据库：提供统一数据库引擎，支持MySQL、MongoDB、SQL SERVER、Oracle等数据库。</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8.支持多态数据源切换：可根据不同条件、不同场景改变数据源。</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9.支持面向对象的大数据查询语言：RQL（兼容SQL）。支持语义查询，同时支持RDBMS与NoSQL。</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10.支持Hot-fix（热修改）：实现不停机/不停产更新，无需重启即时生效。采用模型驱动的开发模式：领域建模（数据库表）、工艺路线（业务逻辑）建模。</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11.支持分布式高性能日志及数据追溯与恢复：提供默认日志系统并适配第三方日志系统，实现统一的日志收集与管理。</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12.支持服务器运维监控：提供可视化的服务器监控，可实时监控服务器当前的CPU负载、内存消耗、网络带宽占、用户并发访问量等信息，支持对数据库服务器采用慢SQL执行监控，支持对异常服务器、负载过重等自动报警。</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13.支持远程监控生产现场：基于HTML5及部分原生开发，至少支持在Android版本的智能手机或平板上，实现远程监控生产现场。</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14.支持在线实时监控设备：可视化设备运行状态及参数。</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15.支持可视化展示：采用可视化的表单构造器、可视化的领域模型建模工具，可视化的流程建模工具。可通过图表、仪表盘，实现监控数据可视化、分析结果可视化。</w:t>
            </w:r>
          </w:p>
          <w:p>
            <w:pPr>
              <w:widowControl/>
              <w:adjustRightInd w:val="0"/>
              <w:snapToGrid w:val="0"/>
              <w:spacing w:line="3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16.支持云计算平台部署：采用微服务架构，同时适应企业内网服务器及云部署，支持部署到国内主流云计算平台，支持SaaS多租户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9809" w:type="dxa"/>
            <w:gridSpan w:val="5"/>
            <w:shd w:val="clear" w:color="auto" w:fill="auto"/>
            <w:noWrap/>
            <w:vAlign w:val="center"/>
          </w:tcPr>
          <w:p>
            <w:pPr>
              <w:widowControl/>
              <w:adjustRightInd w:val="0"/>
              <w:snapToGrid w:val="0"/>
              <w:spacing w:line="360" w:lineRule="exact"/>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合同签订时间</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自成交通知书发出之日起25个日历日内。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交付时间及地点</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交付时间：自合同签订之日起60个工作日内交付并完成所有的安装及调试。</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交付地点：广西工业职业技术学院武鸣校区：广西南宁市武鸣区城厢镇凤鸣路83号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质保期限</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按国家有关产品“三包”规定执行“三包”，自货物验收合格之日起计算，产品质保期2年（“技术参数要求”有要求的则按其要求）。若厂家质保期超过此年限的，合同履行过程中按厂家规定执行。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售后服务要求</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1.在质保期内，供应商应对货物出现的质量及安全问题负责处理解决并承担一切费用。</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2.质保期内出现无法排除的故障，供应商无条件更换同型号产品。</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3.质保期满后，供应商继续为采购人服务，仅收取零配件成本费。</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4.因人为因素出现的故障不在免费保修范围内。</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5.如在使用过程中发生质量问题，供应商维修响应时间：2小时以内；</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电话技术支持时间：24小时以内；若需上门维修，则在：48小时内到达现场并进行维修现场排除故障。</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6.成交供应商按采购人指定的地点负责送货上门、安装、调试，负责培训使用人员和维护人员。</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7.在质保期满后，根据双方协商另行签订维保合同。</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8.质保期外维修响应时间：如果系统出现故障，在接到维修服务的请求后，成交供应商工程师应在 2小时内作出响应，进行电话指导、网上诊断协助排除故障。必要时，在12 小时内到达现场，重大问题或其它无法迅速解决的问题应在 5 个工作日内解决或提出明确解决方案（具体以维保合同为准）。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付款方式          </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1.预付款；合同生效、担保措施生效以及实施条件具备后10个工作日内，支付合同总金额的30%；项目实施完毕且验收通过后，支付至合同总金额的100%。</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采购人付款前，成交供应商应向采购人开具等额有效的增值税发票，采购人未收到合格有效发票的，有权不予支付相应款项直至成交供应商提供合格发票，并不承担延迟付款责任。发票认证通过是付款的必要前提之一。</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3.付款方式：银行转账。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履约保证金</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1.履约保证金金额：按项目成交总金额的5%。（成交供应商为中小企业，履约保证金为政府采购合同金额的2%）</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2.履约保证金提交方式：成交供应商在签订合同前以银行转账、支票、汇票、本票或者金融机构、担保机构出具的保函等非现金方式向采购人提交。</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履约保证金退付方式、时间及条件：项目完成并验收合格，在成交供应商履行完合同约定的权利义务事项后且成交供应商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按合同标的额的30%承担违约责任，并承担采购人为此而支付的一切损失（包括但不限于律师费、公证费、鉴定费、诉讼费、保全费、公告费、诉讼财产保全责任险保费等一切费用）。</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4.缴纳履约保证金指定账户的信息：</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开户名：广西工业职业技术学院</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开户行：广西北部湾银行南宁市衡阳路支行</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账  号：1702012200017200。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报价要求</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竞标供应商须就本项目需求清单中的所有实施内容作完整报价。总报价包括但不限于采购标的及相关配件的价格、运输费用、安装调试费用、安全文明施工费、系统对接费、项目技术支持费、项目使用培训费用、派出技术人员的交通费、住宿费、伙食及通信补助费、税金、售后服务费及其他所有可能发生的一切费用。合同实施时，采购人将不予支付成交供应商没有列入的项目费用，并认为此项目的费用已包括在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规范标准</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验收标准及要求</w:t>
            </w:r>
          </w:p>
        </w:tc>
        <w:tc>
          <w:tcPr>
            <w:tcW w:w="8041" w:type="dxa"/>
            <w:gridSpan w:val="3"/>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1.验收依据</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按合同要求、成交供应商的项目响应文件及国家标准进行验收。</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2.验收标准</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（1）所有采购标的均已运输至指定地点，并安装调试完毕。</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（2）采购文件采购需求及采购合同约定的附件、工具、技术资料等齐全；提供项目相关使用说明书、合格证。</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3、验收要求</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（1）验收过程中所产生的一切费用均由成交供应商承担，报价时应考虑相关费用。</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采购人可以根据采购项目具体情况自行组织验收，如委托第三方机构组织实施的，由验收小组对照采购文件的技术参数要求核对检验，如不符合采购文件的技术参数要求的，按合同约定执行，成交供应商承担所有责任和费用。采购人保留进一步追究责任的权利。</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①验收活动开始前，成交供应商应对货物作出全面检查和对验收文件进行整理，并列出清单，作为采购人收货验收和使用的技术条件依据。</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②因验收不合格的，需要再次组织验收的，由此产生相关成本费用由成交供应商承担。</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（3）验收时成交供应商提供验收文档，具体如下：技术方案、实施方案、售后服务方案、培训方案、测试文档、使用说明书、电子文档（如有）等。</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对所有要求出具的证明文件的原件进行核查，如不符合采购文件的技术需求及要求，以及提供虚假承诺的，按相关规定做退货处理及违约处理，成交供应商承担所有责任和费用，采购人保留进一步追究责任的权利。</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（5）项目验收过程中，需委托第三方检测机构介入的，费用由成交供应商另行承担。</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（6）在验收过程中发现成交供应商有违约问题，可暂缓资金结算，待违约问题解决后，方可办理资金结算事宜。</w:t>
            </w:r>
          </w:p>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（7）成交供应商提交服务成果前应对提交的服务成果作出全面检查和对验收文件进行整理，并列出清单，作为采购人验收和使用的技术条件依据，检验的结果应随服务成果交给采购人。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9809" w:type="dxa"/>
            <w:gridSpan w:val="5"/>
            <w:shd w:val="clear" w:color="auto" w:fill="auto"/>
            <w:noWrap/>
            <w:vAlign w:val="center"/>
          </w:tcPr>
          <w:p>
            <w:pPr>
              <w:widowControl/>
              <w:adjustRightInd w:val="0"/>
              <w:snapToGrid w:val="0"/>
              <w:spacing w:line="312" w:lineRule="auto"/>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b/>
                <w:bCs/>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9809" w:type="dxa"/>
            <w:gridSpan w:val="5"/>
            <w:shd w:val="clear" w:color="auto" w:fill="auto"/>
            <w:noWrap/>
            <w:vAlign w:val="center"/>
          </w:tcPr>
          <w:p>
            <w:pPr>
              <w:widowControl/>
              <w:tabs>
                <w:tab w:val="left" w:pos="180"/>
                <w:tab w:val="left" w:pos="1620"/>
              </w:tabs>
              <w:spacing w:line="312"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一、进口产品说明：</w:t>
            </w:r>
          </w:p>
          <w:p>
            <w:pPr>
              <w:widowControl/>
              <w:tabs>
                <w:tab w:val="left" w:pos="180"/>
                <w:tab w:val="left" w:pos="1620"/>
              </w:tabs>
              <w:spacing w:line="312"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本项目所涉及的货物不接受进口产品（即通过中国海关报关验放进入中国境内且产自关境外的产品）参与竞标，</w:t>
            </w:r>
            <w:r>
              <w:rPr>
                <w:rFonts w:hint="eastAsia" w:asciiTheme="minorEastAsia" w:hAnsiTheme="minorEastAsia" w:cstheme="minorEastAsia"/>
                <w:b/>
                <w:color w:val="auto"/>
                <w:szCs w:val="21"/>
                <w:highlight w:val="none"/>
              </w:rPr>
              <w:t>如有进口产品参与竞标的作无效竞标处理</w:t>
            </w:r>
            <w:r>
              <w:rPr>
                <w:rFonts w:hint="eastAsia" w:asciiTheme="minorEastAsia" w:hAnsiTheme="minorEastAsia" w:cstheme="minorEastAsia"/>
                <w:color w:val="auto"/>
                <w:szCs w:val="21"/>
                <w:highlight w:val="none"/>
              </w:rPr>
              <w:t>。</w:t>
            </w:r>
          </w:p>
          <w:p>
            <w:pPr>
              <w:widowControl/>
              <w:tabs>
                <w:tab w:val="left" w:pos="180"/>
                <w:tab w:val="left" w:pos="1620"/>
              </w:tabs>
              <w:spacing w:line="312"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二、核心产品：</w:t>
            </w:r>
          </w:p>
          <w:p>
            <w:pPr>
              <w:widowControl/>
              <w:adjustRightInd w:val="0"/>
              <w:snapToGrid w:val="0"/>
              <w:spacing w:line="312" w:lineRule="auto"/>
              <w:jc w:val="left"/>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color w:val="auto"/>
                <w:szCs w:val="21"/>
                <w:highlight w:val="none"/>
              </w:rPr>
              <w:t>本项目的核心产品为“需求一览表”中第</w:t>
            </w:r>
            <w:r>
              <w:rPr>
                <w:rFonts w:asciiTheme="minorEastAsia" w:hAnsiTheme="minorEastAsia" w:cstheme="minorEastAsia"/>
                <w:color w:val="auto"/>
                <w:szCs w:val="21"/>
                <w:highlight w:val="none"/>
                <w:u w:val="single"/>
              </w:rPr>
              <w:t>2</w:t>
            </w:r>
            <w:r>
              <w:rPr>
                <w:rFonts w:hint="eastAsia" w:asciiTheme="minorEastAsia" w:hAnsiTheme="minorEastAsia" w:cstheme="minorEastAsia"/>
                <w:color w:val="auto"/>
                <w:szCs w:val="21"/>
                <w:highlight w:val="none"/>
              </w:rPr>
              <w:t>项产品</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szCs w:val="21"/>
                <w:highlight w:val="none"/>
              </w:rPr>
              <w:t>工业互联网工程技术人员（中级）实训台</w:t>
            </w:r>
            <w:r>
              <w:rPr>
                <w:rFonts w:hint="eastAsia" w:asciiTheme="minorEastAsia" w:hAnsiTheme="minorEastAsia" w:cstheme="minorEastAsia"/>
                <w:b/>
                <w:bCs/>
                <w:color w:val="auto"/>
                <w:szCs w:val="21"/>
                <w:highlight w:val="none"/>
              </w:rPr>
              <w:t>。</w:t>
            </w:r>
          </w:p>
          <w:p>
            <w:pPr>
              <w:widowControl/>
              <w:adjustRightInd w:val="0"/>
              <w:snapToGrid w:val="0"/>
              <w:spacing w:line="312" w:lineRule="auto"/>
              <w:jc w:val="left"/>
              <w:textAlignment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三、谈判小组根据与供应商谈判情况可能实质性变动的内容：未标注“▲”的内容</w:t>
            </w:r>
          </w:p>
        </w:tc>
      </w:tr>
    </w:tbl>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bookmarkEnd w:id="57"/>
    <w:p>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pPr>
        <w:spacing w:line="428" w:lineRule="exact"/>
        <w:rPr>
          <w:rFonts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20" w:beforeLines="50" w:after="120" w:afterLines="50" w:line="280" w:lineRule="exact"/>
        <w:jc w:val="center"/>
        <w:rPr>
          <w:rFonts w:ascii="宋体" w:hAnsi="宋体" w:cs="宋体"/>
          <w:b/>
          <w:bCs/>
          <w:color w:val="auto"/>
          <w:kern w:val="0"/>
          <w:sz w:val="30"/>
          <w:szCs w:val="30"/>
          <w:highlight w:val="none"/>
        </w:rPr>
      </w:pPr>
      <w:bookmarkStart w:id="59" w:name="_Toc28361_WPSOffice_Level2"/>
      <w:bookmarkStart w:id="60" w:name="_Toc80205922"/>
      <w:bookmarkStart w:id="61" w:name="_Toc20724"/>
      <w:r>
        <w:rPr>
          <w:rFonts w:hint="eastAsia" w:ascii="宋体" w:hAnsi="宋体" w:cs="宋体"/>
          <w:b/>
          <w:bCs/>
          <w:color w:val="auto"/>
          <w:kern w:val="0"/>
          <w:sz w:val="30"/>
          <w:szCs w:val="30"/>
          <w:highlight w:val="none"/>
        </w:rPr>
        <w:t>统计上大中小微型企业划分标准</w:t>
      </w:r>
      <w:bookmarkEnd w:id="59"/>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18"/>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pPr>
        <w:pStyle w:val="18"/>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8"/>
        <w:spacing w:line="360" w:lineRule="auto"/>
        <w:ind w:firstLine="452" w:firstLineChars="200"/>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Theme="minorEastAsia" w:hAnsiTheme="minorEastAsia" w:cstheme="minorEastAsia"/>
          <w:color w:val="auto"/>
          <w:szCs w:val="21"/>
          <w:highlight w:val="none"/>
        </w:rPr>
        <w:br w:type="page"/>
      </w:r>
      <w:bookmarkStart w:id="62" w:name="_Toc9409"/>
      <w:bookmarkStart w:id="63" w:name="_Toc16363"/>
      <w:bookmarkStart w:id="64" w:name="_Toc25569"/>
      <w:bookmarkStart w:id="65" w:name="_Toc382"/>
      <w:bookmarkStart w:id="66" w:name="_Toc10873"/>
      <w:bookmarkStart w:id="67" w:name="_Toc2044"/>
      <w:bookmarkStart w:id="68" w:name="_Toc1222"/>
      <w:r>
        <w:rPr>
          <w:rFonts w:hint="eastAsia" w:ascii="Cambria" w:hAnsi="Cambria" w:eastAsia="宋体" w:cs="Times New Roman"/>
          <w:b/>
          <w:color w:val="auto"/>
          <w:kern w:val="44"/>
          <w:sz w:val="32"/>
          <w:szCs w:val="32"/>
          <w:highlight w:val="none"/>
          <w:lang w:val="zh-CN"/>
        </w:rPr>
        <w:t>第三章 供应商须知</w:t>
      </w:r>
      <w:bookmarkEnd w:id="60"/>
      <w:bookmarkEnd w:id="61"/>
      <w:bookmarkEnd w:id="62"/>
      <w:bookmarkEnd w:id="63"/>
      <w:bookmarkEnd w:id="64"/>
      <w:bookmarkEnd w:id="65"/>
      <w:bookmarkEnd w:id="66"/>
      <w:bookmarkEnd w:id="67"/>
      <w:bookmarkEnd w:id="68"/>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bookmarkStart w:id="69" w:name="_Toc10590"/>
      <w:bookmarkStart w:id="70" w:name="_Toc80205923"/>
      <w:bookmarkStart w:id="71" w:name="_Toc28658"/>
      <w:r>
        <w:rPr>
          <w:rFonts w:hint="eastAsia" w:ascii="宋体" w:hAnsi="宋体" w:eastAsia="宋体" w:cs="Times New Roman"/>
          <w:bCs/>
          <w:color w:val="auto"/>
          <w:sz w:val="32"/>
          <w:szCs w:val="32"/>
          <w:highlight w:val="none"/>
          <w:lang w:val="zh-CN"/>
        </w:rPr>
        <w:t>第一节 供应商须知前附表</w:t>
      </w:r>
      <w:bookmarkEnd w:id="69"/>
      <w:bookmarkEnd w:id="70"/>
      <w:bookmarkEnd w:id="71"/>
    </w:p>
    <w:tbl>
      <w:tblPr>
        <w:tblStyle w:val="29"/>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400" w:lineRule="exact"/>
              <w:rPr>
                <w:rFonts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ascii="宋体" w:hAnsi="宋体" w:eastAsia="宋体" w:cs="宋体"/>
                <w:color w:val="auto"/>
                <w:szCs w:val="21"/>
                <w:highlight w:val="none"/>
              </w:rPr>
            </w:pPr>
            <w:bookmarkStart w:id="72" w:name="PO_3000001871_PM007_1"/>
            <w:r>
              <w:rPr>
                <w:rFonts w:hint="eastAsia" w:ascii="宋体" w:hAnsi="宋体" w:eastAsia="宋体" w:cs="Times New Roman"/>
                <w:color w:val="auto"/>
                <w:szCs w:val="21"/>
                <w:highlight w:val="none"/>
              </w:rPr>
              <w:t>详见竞争性谈判公告</w:t>
            </w:r>
            <w:bookmarkEnd w:id="72"/>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ascii="宋体" w:hAnsi="宋体" w:eastAsia="宋体" w:cs="Times New Roman"/>
                <w:color w:val="auto"/>
                <w:szCs w:val="21"/>
                <w:highlight w:val="none"/>
              </w:rPr>
            </w:pPr>
            <w:bookmarkStart w:id="73" w:name="PO_3000001871_PM044"/>
            <w:r>
              <w:rPr>
                <w:rFonts w:hint="eastAsia"/>
                <w:color w:val="auto"/>
                <w:highlight w:val="none"/>
              </w:rPr>
              <w:t>☑</w:t>
            </w:r>
            <w:r>
              <w:rPr>
                <w:rFonts w:hint="eastAsia" w:ascii="宋体" w:hAnsi="宋体" w:eastAsia="宋体" w:cs="Times New Roman"/>
                <w:color w:val="auto"/>
                <w:szCs w:val="21"/>
                <w:highlight w:val="none"/>
              </w:rPr>
              <w:t>不允许分包</w:t>
            </w:r>
            <w:bookmarkEnd w:id="73"/>
          </w:p>
          <w:p>
            <w:pPr>
              <w:pStyle w:val="11"/>
              <w:spacing w:line="360" w:lineRule="auto"/>
              <w:rPr>
                <w:color w:val="auto"/>
                <w:highlight w:val="none"/>
                <w:lang w:val="en-US"/>
              </w:rPr>
            </w:pPr>
            <w:r>
              <w:rPr>
                <w:rFonts w:hint="eastAsia"/>
                <w:color w:val="auto"/>
                <w:highlight w:val="none"/>
                <w:lang w:val="en-US"/>
              </w:rPr>
              <w:t>□允许分包</w:t>
            </w:r>
          </w:p>
          <w:p>
            <w:pPr>
              <w:spacing w:line="360" w:lineRule="auto"/>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ascii="宋体" w:hAnsi="宋体" w:eastAsia="宋体" w:cs="宋体"/>
                <w:color w:val="auto"/>
                <w:szCs w:val="21"/>
                <w:highlight w:val="none"/>
              </w:rPr>
            </w:pPr>
          </w:p>
        </w:tc>
        <w:tc>
          <w:tcPr>
            <w:tcW w:w="6586" w:type="dxa"/>
            <w:vAlign w:val="center"/>
          </w:tcPr>
          <w:p>
            <w:pPr>
              <w:spacing w:line="360"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1.供应商为法人或者其他组织的提供其营业执照等证明文件复印件（如营业执照或者事业单位法人证书或者执业许可证等），供应商为自然人的提供其有效身份证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w:t>
            </w:r>
            <w:r>
              <w:rPr>
                <w:rFonts w:hint="eastAsia" w:ascii="宋体" w:hAnsi="宋体" w:eastAsia="宋体" w:cs="宋体"/>
                <w:color w:val="auto"/>
                <w:szCs w:val="21"/>
                <w:highlight w:val="none"/>
                <w:u w:val="single"/>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10 </w:t>
            </w:r>
            <w:r>
              <w:rPr>
                <w:rFonts w:hint="eastAsia" w:ascii="宋体" w:hAnsi="宋体" w:eastAsia="宋体" w:cs="宋体"/>
                <w:color w:val="auto"/>
                <w:szCs w:val="21"/>
                <w:highlight w:val="none"/>
              </w:rPr>
              <w:t>月至首次响应文件提交截止时间止</w:t>
            </w:r>
            <w:r>
              <w:rPr>
                <w:rFonts w:hint="eastAsia" w:ascii="宋体" w:hAnsi="宋体" w:cs="宋体"/>
                <w:color w:val="auto"/>
                <w:szCs w:val="21"/>
                <w:highlight w:val="none"/>
              </w:rPr>
              <w:t>的</w:t>
            </w:r>
            <w:r>
              <w:rPr>
                <w:rFonts w:hint="eastAsia" w:ascii="宋体" w:hAnsi="宋体" w:eastAsia="宋体" w:cs="宋体"/>
                <w:color w:val="auto"/>
                <w:szCs w:val="21"/>
                <w:highlight w:val="none"/>
              </w:rPr>
              <w:t>任意</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w:t>
            </w:r>
            <w:r>
              <w:rPr>
                <w:rFonts w:hint="eastAsia" w:ascii="宋体" w:hAnsi="宋体" w:eastAsia="宋体" w:cs="宋体"/>
                <w:color w:val="auto"/>
                <w:szCs w:val="21"/>
                <w:highlight w:val="none"/>
                <w:u w:val="single"/>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月至首次响应文件提交截止时间止</w:t>
            </w:r>
            <w:r>
              <w:rPr>
                <w:rFonts w:hint="eastAsia" w:ascii="宋体" w:hAnsi="宋体" w:cs="宋体"/>
                <w:color w:val="auto"/>
                <w:szCs w:val="21"/>
                <w:highlight w:val="none"/>
              </w:rPr>
              <w:t>的</w:t>
            </w:r>
            <w:r>
              <w:rPr>
                <w:rFonts w:hint="eastAsia" w:ascii="宋体" w:hAnsi="宋体" w:eastAsia="宋体" w:cs="宋体"/>
                <w:color w:val="auto"/>
                <w:szCs w:val="21"/>
                <w:highlight w:val="none"/>
              </w:rPr>
              <w:t>任意</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rPr>
              <w:t>2023或2024</w:t>
            </w:r>
            <w:r>
              <w:rPr>
                <w:rFonts w:hint="eastAsia" w:ascii="宋体" w:hAnsi="宋体" w:eastAsia="宋体" w:cs="宋体"/>
                <w:color w:val="auto"/>
                <w:szCs w:val="21"/>
                <w:highlight w:val="none"/>
              </w:rPr>
              <w:t>年度经审计的财务报告复印件或者截标时间前半年内至少一个月能反映财务状况的报表或者供应商自拟的截标时间前半年内至少一个月的财务情况说明）</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bCs/>
                <w:color w:val="auto"/>
                <w:szCs w:val="21"/>
                <w:highlight w:val="none"/>
              </w:rPr>
              <w:t>）</w:t>
            </w:r>
          </w:p>
          <w:p>
            <w:pPr>
              <w:pStyle w:val="11"/>
              <w:spacing w:line="360" w:lineRule="auto"/>
              <w:rPr>
                <w:rFonts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本项目的特定资格要求：</w:t>
            </w:r>
            <w:r>
              <w:rPr>
                <w:rFonts w:hint="eastAsia" w:ascii="宋体" w:hAnsi="宋体" w:cs="宋体"/>
                <w:color w:val="auto"/>
                <w:szCs w:val="21"/>
                <w:highlight w:val="none"/>
                <w:lang w:val="en-US"/>
              </w:rPr>
              <w:t>无</w:t>
            </w:r>
            <w:r>
              <w:rPr>
                <w:rFonts w:hint="eastAsia" w:ascii="宋体" w:hAnsi="宋体" w:cs="宋体"/>
                <w:color w:val="auto"/>
                <w:szCs w:val="21"/>
                <w:highlight w:val="none"/>
              </w:rPr>
              <w:t>；（如有要求，则</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联合体竞标协议书</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联合体竞标时必须提供，否则响应文件作无效响应处理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8.除谈判文件规定必须提供以外，供应商认为需要提供的其他证明材料（格式自拟）。</w:t>
            </w:r>
          </w:p>
          <w:p>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1.以上标明“必须提供”的材料属于复印件的扫描件的，必须加盖供应商公章，否则响应文件作无效响应处理。</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pPr>
              <w:spacing w:line="360" w:lineRule="auto"/>
              <w:rPr>
                <w:color w:val="auto"/>
                <w:highlight w:val="none"/>
              </w:rPr>
            </w:pPr>
            <w:r>
              <w:rPr>
                <w:rFonts w:hint="eastAsia" w:ascii="宋体" w:hAnsi="宋体" w:cs="宋体"/>
                <w:color w:val="auto"/>
                <w:szCs w:val="21"/>
                <w:highlight w:val="none"/>
              </w:rPr>
              <w:t>4.谈判保证金提交凭证；（如有要求，则</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5.商务条款偏离表（格式后附）；（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6.供应商情况介绍（格式自拟）；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7.对应采购需求的商务条款提供的其他文件资料（格式自拟）；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8.供应商认为需要提供的其他有关资料（格式自拟）。</w:t>
            </w:r>
          </w:p>
          <w:p>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pPr>
              <w:spacing w:line="360" w:lineRule="auto"/>
              <w:ind w:firstLine="413" w:firstLineChars="196"/>
              <w:rPr>
                <w:rFonts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2.售后服务方案（部分格式后附）；（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4.对应采购需求的技术需求提供的其他文件资料（格式自拟）；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pPr>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响应文件作无效</w:t>
            </w:r>
            <w:r>
              <w:rPr>
                <w:rFonts w:hint="eastAsia" w:ascii="宋体" w:hAnsi="宋体" w:eastAsia="宋体" w:cs="Times New Roman"/>
                <w:b/>
                <w:color w:val="auto"/>
                <w:szCs w:val="21"/>
                <w:highlight w:val="none"/>
              </w:rPr>
              <w:t>响应处理）</w:t>
            </w:r>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Cs w:val="21"/>
                <w:highlight w:val="none"/>
              </w:rPr>
              <w:t>响应报价表（格式后附）；（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pStyle w:val="21"/>
              <w:spacing w:line="360" w:lineRule="auto"/>
              <w:rPr>
                <w:rFonts w:ascii="宋体" w:hAnsi="宋体" w:cs="宋体"/>
                <w:color w:val="auto"/>
                <w:sz w:val="21"/>
                <w:szCs w:val="21"/>
                <w:highlight w:val="none"/>
                <w:lang w:val="en-US"/>
              </w:rPr>
            </w:pPr>
            <w:r>
              <w:rPr>
                <w:rFonts w:hint="eastAsia" w:ascii="宋体" w:hAnsi="宋体"/>
                <w:color w:val="auto"/>
                <w:szCs w:val="21"/>
                <w:highlight w:val="none"/>
              </w:rPr>
              <w:t>3.</w:t>
            </w:r>
            <w:r>
              <w:rPr>
                <w:rFonts w:hint="eastAsia" w:ascii="宋体" w:hAnsi="宋体" w:cs="宋体"/>
                <w:color w:val="auto"/>
                <w:sz w:val="21"/>
                <w:szCs w:val="21"/>
                <w:highlight w:val="none"/>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highlight w:val="none"/>
              </w:rPr>
              <w:t>（如有请提供）</w:t>
            </w:r>
          </w:p>
          <w:p>
            <w:pPr>
              <w:spacing w:line="360" w:lineRule="auto"/>
              <w:jc w:val="left"/>
              <w:rPr>
                <w:rFonts w:ascii="宋体" w:hAnsi="宋体" w:eastAsia="宋体" w:cs="Times New Roman"/>
                <w:color w:val="auto"/>
                <w:szCs w:val="21"/>
                <w:highlight w:val="none"/>
              </w:rPr>
            </w:pPr>
            <w:r>
              <w:rPr>
                <w:rFonts w:hint="eastAsia" w:ascii="宋体" w:hAnsi="宋体" w:cs="宋体"/>
                <w:color w:val="auto"/>
                <w:szCs w:val="21"/>
                <w:highlight w:val="none"/>
              </w:rPr>
              <w:t>4.供应商针对报价需要说明的其他文件和说明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1.响应文件电子版要求：按照本</w:t>
            </w:r>
            <w:r>
              <w:rPr>
                <w:rFonts w:hint="eastAsia" w:ascii="宋体" w:hAnsi="宋体" w:cs="宋体"/>
                <w:color w:val="auto"/>
                <w:szCs w:val="21"/>
                <w:highlight w:val="none"/>
                <w:lang w:val="en-US"/>
              </w:rPr>
              <w:t>竞争性谈判</w:t>
            </w:r>
            <w:r>
              <w:rPr>
                <w:rFonts w:hint="eastAsia" w:ascii="宋体" w:hAnsi="宋体" w:cs="宋体"/>
                <w:color w:val="auto"/>
                <w:szCs w:val="21"/>
                <w:highlight w:val="none"/>
              </w:rPr>
              <w:t>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color w:val="auto"/>
                <w:szCs w:val="21"/>
                <w:highlight w:val="none"/>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color w:val="auto"/>
                <w:highlight w:val="none"/>
              </w:rPr>
            </w:pPr>
            <w:r>
              <w:rPr>
                <w:rFonts w:hint="eastAsia"/>
                <w:color w:val="auto"/>
                <w:highlight w:val="none"/>
              </w:rPr>
              <w:t>响应报价必须包含货物及标准附件、备品备件、专用工具的价格；运输、装卸、技术支持、售后服务等费用；必要的保险费用和各项税费；设备安装费用；验收费用等。</w:t>
            </w:r>
          </w:p>
          <w:p>
            <w:pPr>
              <w:pStyle w:val="13"/>
              <w:rPr>
                <w:b/>
                <w:bCs/>
                <w:color w:val="auto"/>
                <w:highlight w:val="none"/>
              </w:rPr>
            </w:pPr>
            <w:r>
              <w:rPr>
                <w:rFonts w:hint="eastAsia"/>
                <w:b/>
                <w:bCs/>
                <w:color w:val="auto"/>
                <w:highlight w:val="none"/>
              </w:rPr>
              <w:t>☑响应报价包含验收费用</w:t>
            </w:r>
          </w:p>
          <w:p>
            <w:pPr>
              <w:pStyle w:val="13"/>
              <w:rPr>
                <w:color w:val="auto"/>
                <w:highlight w:val="none"/>
              </w:rPr>
            </w:pPr>
            <w:r>
              <w:rPr>
                <w:rFonts w:hint="eastAsia"/>
                <w:b/>
                <w:bCs/>
                <w:color w:val="auto"/>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after="50" w:line="360" w:lineRule="auto"/>
              <w:ind w:left="283" w:hanging="283" w:hangingChars="135"/>
              <w:jc w:val="left"/>
              <w:rPr>
                <w:rFonts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spacing w:line="360" w:lineRule="auto"/>
              <w:rPr>
                <w:rFonts w:ascii="宋体" w:hAnsi="宋体"/>
                <w:b/>
                <w:bCs/>
                <w:color w:val="auto"/>
                <w:szCs w:val="21"/>
                <w:highlight w:val="none"/>
              </w:rPr>
            </w:pPr>
            <w:r>
              <w:rPr>
                <w:rFonts w:hint="eastAsia" w:ascii="宋体" w:hAnsi="宋体"/>
                <w:b/>
                <w:bCs/>
                <w:color w:val="auto"/>
                <w:szCs w:val="21"/>
                <w:highlight w:val="none"/>
              </w:rPr>
              <w:t>本项目是否需要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保证金详见竞争性谈判公告。</w:t>
            </w:r>
          </w:p>
          <w:p>
            <w:pPr>
              <w:snapToGrid w:val="0"/>
              <w:spacing w:line="360" w:lineRule="auto"/>
              <w:rPr>
                <w:rFonts w:ascii="宋体" w:hAnsi="宋体" w:cs="宋体"/>
                <w:b/>
                <w:bCs/>
                <w:color w:val="auto"/>
                <w:szCs w:val="21"/>
                <w:highlight w:val="none"/>
              </w:rPr>
            </w:pPr>
            <w:r>
              <w:rPr>
                <w:rFonts w:hint="eastAsia" w:ascii="宋体" w:hAnsi="宋体"/>
                <w:b/>
                <w:bCs/>
                <w:color w:val="auto"/>
                <w:szCs w:val="21"/>
                <w:highlight w:val="none"/>
              </w:rPr>
              <w:t>如本项目需要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r>
              <w:rPr>
                <w:rFonts w:hint="eastAsia" w:ascii="宋体" w:hAnsi="宋体" w:cs="宋体"/>
                <w:b/>
                <w:bCs/>
                <w:color w:val="auto"/>
                <w:szCs w:val="21"/>
                <w:highlight w:val="none"/>
              </w:rPr>
              <w:t>相关要求如下：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1.谈判保证金的缴纳方式：详见竞争性谈判公告。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2.谈判保证金的金额：详见竞争性谈判公告。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3.谈判保证金采用银行转账缴纳方式的，在首次响应文件提交截止时间前交至采购代理机构指定账户并且到账，供应商应将银行转账底单的复印件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作为谈判保证金提交凭证，放置于商务文件中，</w:t>
            </w:r>
            <w:r>
              <w:rPr>
                <w:rFonts w:hint="eastAsia" w:ascii="宋体" w:hAnsi="宋体" w:eastAsia="宋体" w:cs="宋体"/>
                <w:b/>
                <w:color w:val="auto"/>
                <w:szCs w:val="21"/>
                <w:highlight w:val="none"/>
              </w:rPr>
              <w:t>否则响应文件作无效响应处理</w:t>
            </w:r>
            <w:r>
              <w:rPr>
                <w:rFonts w:hint="eastAsia" w:ascii="宋体" w:hAnsi="宋体" w:cs="宋体"/>
                <w:color w:val="auto"/>
                <w:szCs w:val="21"/>
                <w:highlight w:val="none"/>
              </w:rPr>
              <w:t>。</w:t>
            </w:r>
          </w:p>
          <w:p>
            <w:pPr>
              <w:snapToGrid w:val="0"/>
              <w:spacing w:line="360" w:lineRule="auto"/>
              <w:rPr>
                <w:rFonts w:ascii="宋体" w:hAnsi="宋体"/>
                <w:color w:val="auto"/>
                <w:szCs w:val="21"/>
                <w:highlight w:val="none"/>
              </w:rPr>
            </w:pPr>
            <w:r>
              <w:rPr>
                <w:rFonts w:hint="eastAsia" w:ascii="宋体" w:hAnsi="宋体"/>
                <w:color w:val="auto"/>
                <w:szCs w:val="21"/>
                <w:highlight w:val="none"/>
              </w:rPr>
              <w:t>4.谈判保证金采用支票、汇票、本票或者金融机构、担保机构出具的保函等缴纳方式的，供应商应将支票、汇票、本票或者金融机构、担保机构出具的保函等的复印件作为谈判保证金提交凭证，放置于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否则响应文件作无效响应处理</w:t>
            </w:r>
            <w:r>
              <w:rPr>
                <w:rFonts w:hint="eastAsia" w:ascii="宋体" w:hAnsi="宋体"/>
                <w:color w:val="auto"/>
                <w:szCs w:val="21"/>
                <w:highlight w:val="none"/>
              </w:rPr>
              <w:t>。供应商必须在首次响应文件提交截止时间前将支票、汇票、本票或者金融机构、担保机构出具的保函</w:t>
            </w:r>
            <w:r>
              <w:rPr>
                <w:rFonts w:hint="eastAsia" w:ascii="宋体" w:hAnsi="宋体" w:cs="宋体"/>
                <w:color w:val="auto"/>
                <w:szCs w:val="21"/>
                <w:highlight w:val="none"/>
              </w:rPr>
              <w:t>（</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w:t>
            </w:r>
            <w:r>
              <w:rPr>
                <w:rFonts w:hint="eastAsia" w:ascii="宋体" w:hAnsi="宋体"/>
                <w:color w:val="auto"/>
                <w:szCs w:val="21"/>
                <w:highlight w:val="none"/>
              </w:rPr>
              <w:t>等原件提交给采购代理机构，由采购代理机构向供应商出具回执，并妥善保管。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5.谈判保证金指定账户：详见竞争性谈判公告。</w:t>
            </w:r>
          </w:p>
          <w:p>
            <w:pPr>
              <w:pStyle w:val="11"/>
              <w:rPr>
                <w:rFonts w:ascii="宋体" w:hAnsi="宋体" w:cs="宋体"/>
                <w:b/>
                <w:color w:val="auto"/>
                <w:szCs w:val="21"/>
                <w:highlight w:val="none"/>
              </w:rPr>
            </w:pPr>
            <w:r>
              <w:rPr>
                <w:rFonts w:hint="eastAsia" w:ascii="宋体" w:hAnsi="宋体" w:cs="宋体"/>
                <w:color w:val="auto"/>
                <w:szCs w:val="21"/>
                <w:highlight w:val="none"/>
                <w:lang w:val="en-US"/>
              </w:rPr>
              <w:t>6</w:t>
            </w:r>
            <w:r>
              <w:rPr>
                <w:rFonts w:hint="eastAsia" w:ascii="宋体" w:hAnsi="宋体" w:cs="宋体"/>
                <w:color w:val="auto"/>
                <w:szCs w:val="21"/>
                <w:highlight w:val="none"/>
              </w:rPr>
              <w:t>.供应商为联合体的，可以由联合体中的一方或者多方共同缴纳</w:t>
            </w:r>
            <w:r>
              <w:rPr>
                <w:rFonts w:hint="eastAsia"/>
                <w:color w:val="auto"/>
                <w:highlight w:val="none"/>
              </w:rPr>
              <w:t>谈判保证金</w:t>
            </w:r>
            <w:r>
              <w:rPr>
                <w:rFonts w:hint="eastAsia" w:ascii="宋体" w:hAnsi="宋体" w:cs="宋体"/>
                <w:color w:val="auto"/>
                <w:szCs w:val="21"/>
                <w:highlight w:val="none"/>
              </w:rPr>
              <w:t>，其缴纳的谈判保证金对联合体各方均具有约束力。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首次响应文件提交截止时间后提交的，或者未足额缴纳的，或者保函额度不足的，视为无效谈判保证金。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2.供应商采用现金方式或者从个人账户（自然人竞标除外）转出的谈判保证金，视为无效谈判保证金。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3.支票、汇票或者本票出现无效或者背书情形的，视为无效谈判保证金。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4.保函有效期低于竞标有效期的，视为无效谈判保证金。</w:t>
            </w:r>
          </w:p>
          <w:p>
            <w:pPr>
              <w:autoSpaceDE w:val="0"/>
              <w:autoSpaceDN w:val="0"/>
              <w:snapToGrid w:val="0"/>
              <w:spacing w:line="360" w:lineRule="auto"/>
              <w:textAlignment w:val="bottom"/>
              <w:rPr>
                <w:rFonts w:ascii="宋体" w:hAnsi="宋体" w:eastAsia="宋体" w:cs="Times New Roman"/>
                <w:color w:val="auto"/>
                <w:szCs w:val="21"/>
                <w:highlight w:val="none"/>
              </w:rPr>
            </w:pPr>
            <w:r>
              <w:rPr>
                <w:rFonts w:hint="eastAsia" w:ascii="宋体" w:hAnsi="宋体" w:cs="宋体"/>
                <w:b/>
                <w:color w:val="auto"/>
                <w:szCs w:val="21"/>
                <w:highlight w:val="none"/>
              </w:rPr>
              <w:t>5.谈判保证金采用金融、担保机构出具的保函为有条件保函的，视为无效谈判保证金</w:t>
            </w:r>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首次响应文件的补充、修改与撤回</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ascii="宋体" w:hAnsi="宋体" w:eastAsia="宋体" w:cs="宋体"/>
                <w:color w:val="auto"/>
                <w:szCs w:val="21"/>
                <w:highlight w:val="none"/>
              </w:rPr>
            </w:pPr>
          </w:p>
        </w:tc>
        <w:tc>
          <w:tcPr>
            <w:tcW w:w="6586"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586" w:type="dxa"/>
            <w:vAlign w:val="center"/>
          </w:tcPr>
          <w:p>
            <w:pPr>
              <w:snapToGrid w:val="0"/>
              <w:spacing w:line="360" w:lineRule="auto"/>
              <w:rPr>
                <w:rFonts w:ascii="宋体" w:hAnsi="宋体" w:eastAsia="宋体" w:cs="宋体"/>
                <w:color w:val="auto"/>
                <w:szCs w:val="21"/>
                <w:highlight w:val="none"/>
              </w:rPr>
            </w:pPr>
            <w:r>
              <w:rPr>
                <w:rFonts w:hint="eastAsia"/>
                <w:color w:val="auto"/>
                <w:highlight w:val="none"/>
              </w:rPr>
              <w:t>本项目采用最低评标价法。最低评标价法是指响应文件满足竞争性谈判文件全部实质性要求且评</w:t>
            </w:r>
            <w:r>
              <w:rPr>
                <w:rFonts w:hint="eastAsia" w:ascii="宋体" w:hAnsi="宋体" w:eastAsia="宋体" w:cs="宋体"/>
                <w:color w:val="auto"/>
                <w:szCs w:val="21"/>
                <w:highlight w:val="none"/>
              </w:rPr>
              <w:t>审价</w:t>
            </w:r>
            <w:r>
              <w:rPr>
                <w:rFonts w:hint="eastAsia"/>
                <w:color w:val="auto"/>
                <w:highlight w:val="none"/>
              </w:rPr>
              <w:t>最低的供应商为成交候选人的评审方法。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时间短优先、故障响应时间短优先的顺序排列。</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7</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pacing w:line="360" w:lineRule="auto"/>
              <w:rPr>
                <w:rFonts w:ascii="宋体" w:hAnsi="宋体"/>
                <w:b/>
                <w:bCs/>
                <w:color w:val="auto"/>
                <w:szCs w:val="21"/>
                <w:highlight w:val="none"/>
              </w:rPr>
            </w:pPr>
            <w:r>
              <w:rPr>
                <w:rFonts w:hint="eastAsia" w:ascii="宋体" w:hAnsi="宋体"/>
                <w:b/>
                <w:bCs/>
                <w:color w:val="auto"/>
                <w:szCs w:val="21"/>
                <w:highlight w:val="none"/>
              </w:rPr>
              <w:t>□ 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rPr>
              <w:t>保证金。</w:t>
            </w:r>
          </w:p>
          <w:p>
            <w:pPr>
              <w:spacing w:line="360" w:lineRule="auto"/>
              <w:rPr>
                <w:rFonts w:ascii="宋体" w:hAnsi="宋体" w:cs="宋体"/>
                <w:b/>
                <w:bCs/>
                <w:color w:val="auto"/>
                <w:szCs w:val="21"/>
                <w:highlight w:val="none"/>
              </w:rPr>
            </w:pPr>
            <w:r>
              <w:rPr>
                <w:rFonts w:hint="eastAsia" w:ascii="宋体" w:hAnsi="宋体"/>
                <w:b/>
                <w:bCs/>
                <w:color w:val="auto"/>
                <w:szCs w:val="21"/>
                <w:highlight w:val="none"/>
              </w:rPr>
              <w:t>☑ 本项目需要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rPr>
              <w:t>保证金，</w:t>
            </w:r>
            <w:r>
              <w:rPr>
                <w:rFonts w:hint="eastAsia" w:ascii="宋体" w:hAnsi="宋体" w:cs="宋体"/>
                <w:b/>
                <w:bCs/>
                <w:color w:val="auto"/>
                <w:szCs w:val="21"/>
                <w:highlight w:val="none"/>
              </w:rPr>
              <w:t>相关要求如下：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1.履约保证金金额：按项目成交总金额的5%。（成交供应商为中小企业，履约保证金为政府采购合同金额的2%）</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2.履约保证金提交方式：成交供应商在签订合同前以银行转账、支票、汇票、本票或者金融机构、担保机构出具的保函等非现金方式向采购人提交。</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履约保证金退付方式、时间及条件：项目完成并验收合格，在成交供应商履行完合同约定的权利义务事项后且成交供应商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按合同标的额的30%承担违约责任，并承担采购人为此而支付的一切损失（包括但不限于律师费、公证费、鉴定费、诉讼费、保全费、公告费、诉讼财产保全责任险保费等一切费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4.缴纳履约保证金指定账户的信息：</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开户名：广西工业职业技术学院</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开户行：广西北部湾银行南宁市衡阳路支行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  号：1702012200017200</w:t>
            </w:r>
          </w:p>
          <w:p>
            <w:pPr>
              <w:spacing w:line="420" w:lineRule="exact"/>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rPr>
              <w:br w:type="textWrapping"/>
            </w: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cs="宋体"/>
                <w:b/>
                <w:color w:val="auto"/>
                <w:szCs w:val="21"/>
                <w:highlight w:val="none"/>
              </w:rPr>
              <w:t>采用金融、担保机构出具保函的，必须为无条件保函，否则视为未按规定提交履约保证金。</w:t>
            </w:r>
          </w:p>
          <w:p>
            <w:pPr>
              <w:rPr>
                <w:rFonts w:ascii="宋体" w:hAnsi="宋体" w:eastAsia="宋体" w:cs="宋体"/>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委托代理人负责签订合同的，须携带有效的法定代表人授权委托书及其委托代理人身份证原件等其他资格证件。</w:t>
            </w:r>
          </w:p>
          <w:p>
            <w:pPr>
              <w:pStyle w:val="13"/>
              <w:rPr>
                <w:color w:val="auto"/>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r>
              <w:rPr>
                <w:rFonts w:ascii="宋体" w:hAnsi="宋体" w:eastAsia="宋体" w:cs="宋体"/>
                <w:color w:val="auto"/>
                <w:szCs w:val="21"/>
                <w:highlight w:val="none"/>
              </w:rPr>
              <w:t>.2</w:t>
            </w:r>
          </w:p>
        </w:tc>
        <w:tc>
          <w:tcPr>
            <w:tcW w:w="2382" w:type="dxa"/>
            <w:vAlign w:val="center"/>
          </w:tcPr>
          <w:p>
            <w:pPr>
              <w:spacing w:line="3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8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snapToGrid w:val="0"/>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w:t>
            </w:r>
            <w:bookmarkStart w:id="74" w:name="PO_3000001868_PM031_3"/>
            <w:r>
              <w:rPr>
                <w:rFonts w:hint="eastAsia" w:ascii="宋体" w:hAnsi="宋体" w:eastAsia="宋体" w:cs="宋体"/>
                <w:color w:val="auto"/>
                <w:szCs w:val="21"/>
                <w:highlight w:val="none"/>
              </w:rPr>
              <w:t>名称：</w:t>
            </w:r>
            <w:bookmarkEnd w:id="74"/>
            <w:r>
              <w:rPr>
                <w:rFonts w:hint="eastAsia" w:ascii="宋体" w:hAnsi="宋体" w:eastAsia="宋体" w:cs="宋体"/>
                <w:color w:val="auto"/>
                <w:szCs w:val="21"/>
                <w:highlight w:val="none"/>
              </w:rPr>
              <w:t>广西工业职业技术学院</w:t>
            </w:r>
          </w:p>
          <w:p>
            <w:pPr>
              <w:snapToGrid w:val="0"/>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联系电话：0771-3828335</w:t>
            </w:r>
          </w:p>
          <w:p>
            <w:pPr>
              <w:snapToGrid w:val="0"/>
              <w:spacing w:line="380" w:lineRule="exact"/>
              <w:rPr>
                <w:color w:val="auto"/>
                <w:szCs w:val="21"/>
                <w:highlight w:val="none"/>
              </w:rPr>
            </w:pPr>
            <w:r>
              <w:rPr>
                <w:rFonts w:hint="eastAsia" w:ascii="宋体" w:hAnsi="宋体" w:eastAsia="宋体" w:cs="宋体"/>
                <w:color w:val="auto"/>
                <w:szCs w:val="21"/>
                <w:highlight w:val="none"/>
              </w:rPr>
              <w:t>地址：南宁市秀灵路37号</w:t>
            </w:r>
            <w:r>
              <w:rPr>
                <w:rFonts w:hint="eastAsia"/>
                <w:color w:val="auto"/>
                <w:szCs w:val="21"/>
                <w:highlight w:val="none"/>
              </w:rPr>
              <w:t xml:space="preserve">    </w:t>
            </w:r>
          </w:p>
          <w:p>
            <w:pPr>
              <w:snapToGrid w:val="0"/>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（2）名称：</w:t>
            </w:r>
            <w:bookmarkStart w:id="75" w:name="PO_3000001867_PM031_3"/>
            <w:r>
              <w:rPr>
                <w:rFonts w:hint="eastAsia" w:ascii="宋体" w:hAnsi="宋体" w:eastAsia="宋体" w:cs="宋体"/>
                <w:color w:val="auto"/>
                <w:szCs w:val="21"/>
                <w:highlight w:val="none"/>
              </w:rPr>
              <w:t>广西科联招标中心有限公司</w:t>
            </w:r>
            <w:bookmarkEnd w:id="75"/>
          </w:p>
          <w:p>
            <w:pPr>
              <w:snapToGrid w:val="0"/>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联系电话：0771-3486228</w:t>
            </w:r>
          </w:p>
          <w:p>
            <w:pPr>
              <w:snapToGrid w:val="0"/>
              <w:spacing w:line="380" w:lineRule="exact"/>
              <w:rPr>
                <w:rFonts w:ascii="宋体" w:hAnsi="宋体" w:eastAsia="宋体" w:cs="Times New Roman"/>
                <w:color w:val="auto"/>
                <w:szCs w:val="21"/>
                <w:highlight w:val="none"/>
              </w:rPr>
            </w:pPr>
            <w:r>
              <w:rPr>
                <w:rFonts w:hint="eastAsia" w:ascii="宋体" w:hAnsi="宋体" w:eastAsia="宋体" w:cs="宋体"/>
                <w:color w:val="auto"/>
                <w:szCs w:val="21"/>
                <w:highlight w:val="none"/>
              </w:rPr>
              <w:t>通讯地址：广西科联招标中心有限公司103室（广西南宁市大学东路170号广西农机研究院内）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80" w:lineRule="exact"/>
              <w:jc w:val="center"/>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snapToGrid w:val="0"/>
              <w:spacing w:line="380" w:lineRule="exact"/>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30.6</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2.通讯方式</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bookmarkStart w:id="76" w:name="PO_3000001867_PM036"/>
            <w:r>
              <w:rPr>
                <w:rFonts w:hint="eastAsia" w:ascii="宋体" w:hAnsi="宋体" w:eastAsia="宋体" w:cs="Times New Roman"/>
                <w:color w:val="auto"/>
                <w:szCs w:val="21"/>
                <w:highlight w:val="none"/>
              </w:rPr>
              <w:t>广西壮族自治区财政厅政府采购监督管理</w:t>
            </w:r>
            <w:bookmarkEnd w:id="76"/>
            <w:r>
              <w:rPr>
                <w:rFonts w:hint="eastAsia" w:ascii="宋体" w:hAnsi="宋体" w:eastAsia="宋体" w:cs="Times New Roman"/>
                <w:color w:val="auto"/>
                <w:szCs w:val="21"/>
                <w:highlight w:val="none"/>
              </w:rPr>
              <w:t>处</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地址：南宁市桃源路69号广西财政大厦7楼</w:t>
            </w:r>
          </w:p>
          <w:p>
            <w:pPr>
              <w:snapToGrid w:val="0"/>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联系电话：</w:t>
            </w:r>
            <w:bookmarkStart w:id="77" w:name="PO_3000001867_PM038"/>
            <w:r>
              <w:rPr>
                <w:rFonts w:hint="eastAsia" w:ascii="宋体" w:hAnsi="宋体" w:eastAsia="宋体" w:cs="Times New Roman"/>
                <w:color w:val="auto"/>
                <w:szCs w:val="21"/>
                <w:highlight w:val="none"/>
              </w:rPr>
              <w:t>0771-</w:t>
            </w:r>
            <w:bookmarkEnd w:id="77"/>
            <w:r>
              <w:rPr>
                <w:rFonts w:hint="eastAsia" w:ascii="宋体" w:hAnsi="宋体" w:eastAsia="宋体" w:cs="Times New Roman"/>
                <w:color w:val="auto"/>
                <w:szCs w:val="21"/>
                <w:highlight w:val="none"/>
              </w:rPr>
              <w:t>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ascii="宋体" w:hAnsi="宋体" w:eastAsia="宋体" w:cs="宋体"/>
                <w:color w:val="auto"/>
                <w:kern w:val="0"/>
                <w:szCs w:val="21"/>
                <w:highlight w:val="none"/>
              </w:rPr>
            </w:pPr>
            <w:bookmarkStart w:id="78" w:name="PO_3000001871_PM025"/>
            <w:r>
              <w:rPr>
                <w:rFonts w:hint="eastAsia" w:ascii="宋体" w:hAnsi="宋体" w:eastAsia="宋体" w:cs="宋体"/>
                <w:color w:val="auto"/>
                <w:kern w:val="0"/>
                <w:szCs w:val="21"/>
                <w:highlight w:val="none"/>
              </w:rPr>
              <w:t>☑以项目（☑成交总金额/□采购预算/□暂定成交金额/□其他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highlight w:val="none"/>
              </w:rPr>
              <w:t>本须知正文第32.2条规定的收费计算标准（</w:t>
            </w:r>
            <w:r>
              <w:rPr>
                <w:rFonts w:hint="eastAsia" w:ascii="宋体" w:hAnsi="宋体" w:eastAsia="宋体" w:cs="宋体"/>
                <w:b/>
                <w:bCs/>
                <w:color w:val="auto"/>
                <w:kern w:val="0"/>
                <w:szCs w:val="21"/>
                <w:highlight w:val="none"/>
                <w:u w:val="single"/>
              </w:rPr>
              <w:t>货物类</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采用差额定率累进法计算出收费基准价格，采购代理机构收费以（☑收费基准价格/□收费基准价格下浮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）收取，如对应分标采购代理服务费不足壹万元的，按壹万元收取。</w:t>
            </w:r>
            <w:bookmarkEnd w:id="78"/>
          </w:p>
          <w:p>
            <w:pPr>
              <w:snapToGrid w:val="0"/>
              <w:spacing w:line="360" w:lineRule="auto"/>
              <w:rPr>
                <w:rFonts w:ascii="宋体" w:hAnsi="宋体" w:eastAsia="宋体" w:cs="宋体"/>
                <w:color w:val="auto"/>
                <w:highlight w:val="none"/>
              </w:rPr>
            </w:pP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开户银行：中国工商银行南宁市高新科技支行</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银行账号：2102111229300032105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tabs>
                <w:tab w:val="left" w:pos="1080"/>
              </w:tabs>
              <w:spacing w:line="360" w:lineRule="auto"/>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pPr>
              <w:pStyle w:val="11"/>
              <w:tabs>
                <w:tab w:val="center" w:pos="4153"/>
                <w:tab w:val="right" w:pos="8306"/>
              </w:tabs>
              <w:spacing w:line="360" w:lineRule="auto"/>
              <w:ind w:firstLine="420" w:firstLineChars="200"/>
              <w:rPr>
                <w:rFonts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6.本竞争性谈判文件所称的“以上”“以下”“以内”“届满”，包括本数；所称的“不满”“超过”“以外”，不包括本数。</w:t>
            </w:r>
          </w:p>
        </w:tc>
      </w:tr>
    </w:tbl>
    <w:p>
      <w:pPr>
        <w:keepNext/>
        <w:keepLines/>
        <w:spacing w:before="260" w:after="260" w:line="420" w:lineRule="exact"/>
        <w:jc w:val="center"/>
        <w:outlineLvl w:val="1"/>
        <w:rPr>
          <w:rFonts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79" w:name="_Toc20165"/>
      <w:bookmarkStart w:id="80" w:name="_Toc80205924"/>
      <w:bookmarkStart w:id="81" w:name="_Toc29286"/>
      <w:r>
        <w:rPr>
          <w:rFonts w:hint="eastAsia" w:ascii="宋体" w:hAnsi="宋体" w:eastAsia="宋体" w:cs="Times New Roman"/>
          <w:bCs/>
          <w:color w:val="auto"/>
          <w:sz w:val="32"/>
          <w:szCs w:val="32"/>
          <w:highlight w:val="none"/>
          <w:lang w:val="zh-CN"/>
        </w:rPr>
        <w:t>第二节 供应商须知正文</w:t>
      </w:r>
      <w:bookmarkEnd w:id="79"/>
      <w:bookmarkEnd w:id="80"/>
      <w:bookmarkEnd w:id="81"/>
    </w:p>
    <w:p>
      <w:pPr>
        <w:keepNext/>
        <w:keepLines/>
        <w:spacing w:line="360" w:lineRule="auto"/>
        <w:ind w:firstLine="640" w:firstLineChars="200"/>
        <w:outlineLvl w:val="2"/>
        <w:rPr>
          <w:rFonts w:ascii="宋体" w:hAnsi="宋体" w:eastAsia="宋体" w:cs="Times New Roman"/>
          <w:bCs/>
          <w:color w:val="auto"/>
          <w:sz w:val="32"/>
          <w:szCs w:val="32"/>
          <w:highlight w:val="none"/>
          <w:lang w:val="zh-CN"/>
        </w:rPr>
      </w:pPr>
      <w:bookmarkStart w:id="82" w:name="_Toc80205925"/>
      <w:bookmarkStart w:id="83" w:name="_Toc27704"/>
      <w:bookmarkStart w:id="84" w:name="_Toc18711"/>
      <w:r>
        <w:rPr>
          <w:rFonts w:hint="eastAsia" w:ascii="宋体" w:hAnsi="宋体" w:eastAsia="宋体" w:cs="Times New Roman"/>
          <w:bCs/>
          <w:color w:val="auto"/>
          <w:sz w:val="32"/>
          <w:szCs w:val="32"/>
          <w:highlight w:val="none"/>
          <w:lang w:val="zh-CN"/>
        </w:rPr>
        <w:t>一、总则</w:t>
      </w:r>
      <w:bookmarkEnd w:id="82"/>
      <w:bookmarkEnd w:id="83"/>
      <w:bookmarkEnd w:id="84"/>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 《中华人民共和国政府采购法实施条例》 《政府采购非招标采购方式管理办法》及本项目本级和上级财政部门政府采购有关规定的约束和保护。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ascii="黑体" w:hAnsi="黑体" w:eastAsia="黑体" w:cs="宋体"/>
          <w:b/>
          <w:bCs/>
          <w:color w:val="auto"/>
          <w:sz w:val="24"/>
          <w:szCs w:val="24"/>
          <w:highlight w:val="none"/>
        </w:rPr>
      </w:pPr>
      <w:bookmarkStart w:id="85" w:name="_Toc254970532"/>
      <w:bookmarkStart w:id="86" w:name="_Toc254970673"/>
      <w:r>
        <w:rPr>
          <w:rFonts w:hint="eastAsia" w:ascii="黑体" w:hAnsi="黑体" w:eastAsia="黑体" w:cs="宋体"/>
          <w:b/>
          <w:bCs/>
          <w:color w:val="auto"/>
          <w:sz w:val="24"/>
          <w:szCs w:val="24"/>
          <w:highlight w:val="none"/>
        </w:rPr>
        <w:t>7.特别说明</w:t>
      </w:r>
      <w:bookmarkEnd w:id="85"/>
      <w:bookmarkEnd w:id="86"/>
    </w:p>
    <w:p>
      <w:pPr>
        <w:spacing w:line="360" w:lineRule="auto"/>
        <w:ind w:firstLine="420" w:firstLineChars="200"/>
        <w:rPr>
          <w:rFonts w:ascii="宋体" w:hAnsi="宋体" w:eastAsia="宋体" w:cs="宋体"/>
          <w:color w:val="auto"/>
          <w:szCs w:val="21"/>
          <w:highlight w:val="none"/>
        </w:rPr>
      </w:pPr>
      <w:bookmarkStart w:id="87" w:name="_8.1提供相同品牌产品且通过资格审查、符合性审查的不同投标人参加同一合"/>
      <w:bookmarkEnd w:id="87"/>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（1）不同供应商的响应文件由同一单位或者个人编制；或不同供应商报名的IP地址一致的；</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（6）不同供应商的谈判保证金从同一单位或者个人账户转出。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88" w:name="_Hlk54682620"/>
      <w:r>
        <w:rPr>
          <w:rFonts w:hint="eastAsia" w:ascii="宋体" w:hAnsi="宋体" w:eastAsia="宋体" w:cs="宋体"/>
          <w:b/>
          <w:bCs/>
          <w:color w:val="auto"/>
          <w:szCs w:val="21"/>
          <w:highlight w:val="none"/>
        </w:rPr>
        <w:t>，将报同级监督管理部门</w:t>
      </w:r>
      <w:bookmarkEnd w:id="88"/>
      <w:r>
        <w:rPr>
          <w:rFonts w:hint="eastAsia" w:ascii="宋体" w:hAnsi="宋体" w:eastAsia="宋体" w:cs="宋体"/>
          <w:b/>
          <w:bCs/>
          <w:color w:val="auto"/>
          <w:szCs w:val="21"/>
          <w:highlight w:val="none"/>
        </w:rPr>
        <w:t>：</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89" w:name="_Toc254970534"/>
      <w:bookmarkStart w:id="90" w:name="_Toc254970675"/>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pPr>
        <w:spacing w:line="360" w:lineRule="auto"/>
        <w:ind w:firstLine="422" w:firstLineChars="200"/>
        <w:rPr>
          <w:rFonts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bookmarkStart w:id="91" w:name="_Toc80205926"/>
      <w:bookmarkStart w:id="92" w:name="_Toc10931"/>
      <w:bookmarkStart w:id="93" w:name="_Toc30516"/>
      <w:r>
        <w:rPr>
          <w:rFonts w:hint="eastAsia" w:ascii="宋体" w:hAnsi="宋体" w:eastAsia="宋体" w:cs="Times New Roman"/>
          <w:color w:val="auto"/>
          <w:sz w:val="32"/>
          <w:szCs w:val="32"/>
          <w:highlight w:val="none"/>
          <w:lang w:val="zh-CN"/>
        </w:rPr>
        <w:t>二、谈判文件</w:t>
      </w:r>
      <w:bookmarkEnd w:id="89"/>
      <w:bookmarkEnd w:id="90"/>
      <w:bookmarkEnd w:id="91"/>
      <w:bookmarkEnd w:id="92"/>
      <w:bookmarkEnd w:id="93"/>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94" w:name="_Toc80205927"/>
      <w:bookmarkStart w:id="95" w:name="_Toc12627"/>
      <w:bookmarkStart w:id="96" w:name="_Toc11107"/>
      <w:r>
        <w:rPr>
          <w:rFonts w:hint="eastAsia" w:ascii="宋体" w:hAnsi="宋体" w:eastAsia="宋体" w:cs="Times New Roman"/>
          <w:color w:val="auto"/>
          <w:sz w:val="32"/>
          <w:szCs w:val="32"/>
          <w:highlight w:val="none"/>
          <w:lang w:val="zh-CN"/>
        </w:rPr>
        <w:t>三、响应文件的编制</w:t>
      </w:r>
      <w:bookmarkEnd w:id="94"/>
      <w:bookmarkEnd w:id="95"/>
      <w:bookmarkEnd w:id="96"/>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（2）供应商必须就所竞标的项目/分标的单项内容作唯一报价。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15.3.2响应报价（包含首次报价、最后报价）超过所竞标项目/分标规定的采购预算金额或者最高限价的（如本项目公布了最高限价），其响应文件将作无效处理。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15.3.3</w:t>
      </w:r>
      <w:bookmarkStart w:id="97"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97"/>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17.1供应商须按“供应商须知前附表”的规定提交谈判保证金。</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17.2谈判保证金的退还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成交供应商的谈判保证金自成交通知书发出之日起5个工作日内退还，退还方式如下：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17.2.2成交供应商的谈判保证金自签订合同之日起5个工作日内退还，退还方式同未成交供应商的谈判保证金的退还方式；或者转为成交供应商的履约保证金。 </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17.3谈判保证金不计息。</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17.4供应商有下列情形之一的，谈判保证金将不予退还： </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（3）除因不可抗力或者竞争性谈判文件认可的情形以外，成交供应商不与采购人签订合同的；</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（5）竞争性谈判文件规定的其他情形。</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w:t>
      </w:r>
      <w:bookmarkStart w:id="98"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98"/>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”的身份认证，确保在电子交易过程中能够对相关数据电文进行加密和使用电子签名。</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color w:val="auto"/>
          <w:sz w:val="24"/>
          <w:szCs w:val="24"/>
          <w:highlight w:val="none"/>
        </w:rPr>
      </w:pPr>
      <w:bookmarkStart w:id="99" w:name="_Hlk45702405"/>
      <w:r>
        <w:rPr>
          <w:rFonts w:hint="eastAsia" w:ascii="黑体" w:hAnsi="黑体" w:eastAsia="黑体" w:cs="宋体"/>
          <w:b/>
          <w:bCs/>
          <w:color w:val="auto"/>
          <w:sz w:val="24"/>
          <w:szCs w:val="24"/>
          <w:highlight w:val="none"/>
        </w:rPr>
        <w:t>22. 截止时间后的撤回</w:t>
      </w:r>
    </w:p>
    <w:bookmarkEnd w:id="99"/>
    <w:p>
      <w:pPr>
        <w:pStyle w:val="13"/>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供应商在首次响应文件提交截止时间后向采购人、采购代理机构书面申请撤回响应文件的，将根据本须知正文第17.4条的规定不予退还其谈判保证金（</w:t>
      </w:r>
      <w:r>
        <w:rPr>
          <w:rFonts w:hint="eastAsia" w:ascii="宋体" w:hAnsi="宋体" w:cs="宋体"/>
          <w:color w:val="auto"/>
          <w:szCs w:val="21"/>
          <w:highlight w:val="none"/>
          <w:lang w:val="en-US"/>
        </w:rPr>
        <w:t>如有</w:t>
      </w:r>
      <w:r>
        <w:rPr>
          <w:rFonts w:hint="eastAsia" w:ascii="宋体" w:hAnsi="宋体" w:cs="宋体"/>
          <w:color w:val="auto"/>
          <w:szCs w:val="21"/>
          <w:highlight w:val="none"/>
        </w:rPr>
        <w:t>）。</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00" w:name="_Toc29978"/>
      <w:bookmarkStart w:id="101" w:name="_Toc80205928"/>
      <w:bookmarkStart w:id="102" w:name="_Toc8836"/>
      <w:r>
        <w:rPr>
          <w:rFonts w:hint="eastAsia" w:ascii="宋体" w:hAnsi="宋体" w:eastAsia="宋体" w:cs="Times New Roman"/>
          <w:color w:val="auto"/>
          <w:sz w:val="32"/>
          <w:szCs w:val="32"/>
          <w:highlight w:val="none"/>
          <w:lang w:val="zh-CN"/>
        </w:rPr>
        <w:t>四、评审及谈判</w:t>
      </w:r>
      <w:bookmarkEnd w:id="100"/>
      <w:bookmarkEnd w:id="101"/>
      <w:bookmarkEnd w:id="102"/>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23.谈判小组成立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24.1首次响应文件由谈判小组或者采购代理机构在“供应商须知前附表”规定的时间开启。</w:t>
      </w:r>
    </w:p>
    <w:p>
      <w:pPr>
        <w:spacing w:line="360" w:lineRule="auto"/>
        <w:ind w:firstLine="400" w:firstLineChars="200"/>
        <w:rPr>
          <w:rFonts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 xml:space="preserve">.2 </w:t>
      </w:r>
      <w:r>
        <w:rPr>
          <w:rFonts w:hint="eastAsia" w:ascii="宋体" w:hAnsi="宋体" w:eastAsia="宋体" w:cs="宋体"/>
          <w:bCs/>
          <w:color w:val="auto"/>
          <w:kern w:val="0"/>
          <w:sz w:val="20"/>
          <w:szCs w:val="21"/>
          <w:highlight w:val="none"/>
          <w:lang w:val="zh-CN"/>
        </w:rPr>
        <w:t>响应文件解密</w:t>
      </w:r>
    </w:p>
    <w:p>
      <w:pPr>
        <w:snapToGri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.3 电子交易活动的中止。）</w:t>
      </w:r>
    </w:p>
    <w:p>
      <w:pPr>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w:t>
      </w:r>
      <w:r>
        <w:rPr>
          <w:rFonts w:hint="eastAsia" w:ascii="宋体" w:hAnsi="宋体" w:cs="宋体"/>
          <w:color w:val="auto"/>
          <w:szCs w:val="21"/>
          <w:highlight w:val="none"/>
        </w:rPr>
        <w:t>广西政府采购云平台</w:t>
      </w:r>
      <w:r>
        <w:rPr>
          <w:rFonts w:hint="eastAsia" w:ascii="宋体" w:hAnsi="宋体" w:eastAsia="宋体" w:cs="宋体"/>
          <w:bCs/>
          <w:color w:val="auto"/>
          <w:kern w:val="0"/>
          <w:szCs w:val="21"/>
          <w:highlight w:val="none"/>
          <w:lang w:val="zh-CN"/>
        </w:rPr>
        <w:t>”电子开标大厅参加谈判的，视同认可谈判过程和结果，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pPr>
        <w:spacing w:line="360" w:lineRule="auto"/>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5.评审程序、评审方法和成交标准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highlight w:val="none"/>
        </w:rPr>
        <w:t>本项目的评审方法详见“供应商须知前附表”。</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25.2 采购需求负偏离要求及谈判顺序详见 “供应商须知前附表”。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25.3电子交易活动的中止。采购过程中出现以下情形，导致电子交易平台无法正常运行，或者无法保证电子交易的公平、公正和安全时，采购机构可中止电子交易活动：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25.4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03" w:name="_Toc27003"/>
      <w:bookmarkStart w:id="104" w:name="_Toc29707"/>
      <w:bookmarkStart w:id="105" w:name="_Toc80205929"/>
      <w:r>
        <w:rPr>
          <w:rFonts w:hint="eastAsia" w:ascii="宋体" w:hAnsi="宋体" w:eastAsia="宋体" w:cs="Times New Roman"/>
          <w:color w:val="auto"/>
          <w:sz w:val="32"/>
          <w:szCs w:val="32"/>
          <w:highlight w:val="none"/>
          <w:lang w:val="zh-CN"/>
        </w:rPr>
        <w:t>五、成交及合同</w:t>
      </w:r>
      <w:bookmarkEnd w:id="103"/>
      <w:bookmarkEnd w:id="104"/>
      <w:bookmarkEnd w:id="105"/>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6.确定成交供应商及结果公告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26.1确定成交供应商。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06"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06"/>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7.履约保证金</w:t>
      </w:r>
    </w:p>
    <w:p>
      <w:pPr>
        <w:pStyle w:val="11"/>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rPr>
        <w:t>7</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val="en-US"/>
        </w:rPr>
        <w:t>依法</w:t>
      </w:r>
      <w:r>
        <w:rPr>
          <w:rFonts w:hint="eastAsia" w:ascii="宋体" w:hAnsi="宋体" w:cs="宋体"/>
          <w:color w:val="auto"/>
          <w:szCs w:val="21"/>
          <w:highlight w:val="none"/>
        </w:rPr>
        <w:t>确定下一候选人为成交供应商，也可以重新开展政府采购活动。</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27.2签订合同后，如成交供应商不按双方签订的合同规定履约，则没收其全部履约保证金，履约保证金不足以赔偿损失的，按实际损失赔偿。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27.3在履约保证金退还日期前，若成交供应商的开户名称、开户银行、账号有变动的，请以书面形式通知履约保证金收取单位，否则由此产生的后果由成交供应商自负。</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8.签订合同</w:t>
      </w:r>
    </w:p>
    <w:p>
      <w:pPr>
        <w:adjustRightInd w:val="0"/>
        <w:snapToGri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28.1采购人与成交供应商应当在成交通知书规定的时间内，按照谈判文件确定的合同文本以及采购标的、货物技术、采购金额、采购数量、技术和货物要求等事项签订政府采购合同。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28.4如签订合同并生效后，供应商无故拒绝或延期，除按照合同条款处理外，列入不良行为记录，并给予通报。</w:t>
      </w:r>
    </w:p>
    <w:p>
      <w:pPr>
        <w:spacing w:line="360" w:lineRule="auto"/>
        <w:ind w:firstLine="420" w:firstLineChars="200"/>
        <w:rPr>
          <w:rFonts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28.5采购合同由采购人与成交供应商根据谈判文件、响应文件等内容签订，</w:t>
      </w:r>
      <w:r>
        <w:rPr>
          <w:rFonts w:hint="eastAsia" w:ascii="宋体" w:hAnsi="宋体" w:eastAsia="宋体" w:cs="宋体"/>
          <w:color w:val="auto"/>
          <w:szCs w:val="21"/>
          <w:highlight w:val="none"/>
        </w:rPr>
        <w:t>成交供应商应当在签订合同时按供应商须知前附表规定向采购人出示相关证明材料，经采购人核验合格后方可签订合同。</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29.政府采购合同公告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0. 询问、质疑和投诉</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4"/>
          <w:highlight w:val="none"/>
        </w:rPr>
        <w:t>30.2供应商认为谈判文件、采购过程或者成交结果使自己的合法权益受到损害的，应当在知道或者应知其权益受到损害之日起7个工作日内，以书面形式向采购人或者采购代理机构提出质疑，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color w:val="auto"/>
          <w:highlight w:val="none"/>
          <w:lang w:val="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ascii="宋体" w:hAnsi="宋体" w:eastAsia="宋体" w:cs="宋体"/>
          <w:color w:val="auto"/>
          <w:szCs w:val="24"/>
          <w:highlight w:val="none"/>
        </w:rPr>
      </w:pPr>
      <w:r>
        <w:rPr>
          <w:rFonts w:hint="eastAsia" w:ascii="宋体" w:hAnsi="宋体" w:eastAsia="宋体" w:cs="宋体"/>
          <w:b/>
          <w:bCs/>
          <w:color w:val="auto"/>
          <w:szCs w:val="24"/>
          <w:highlight w:val="none"/>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outlineLvl w:val="2"/>
        <w:rPr>
          <w:rFonts w:ascii="宋体" w:hAnsi="宋体" w:eastAsia="宋体" w:cs="Times New Roman"/>
          <w:bCs/>
          <w:color w:val="auto"/>
          <w:sz w:val="32"/>
          <w:szCs w:val="32"/>
          <w:highlight w:val="none"/>
          <w:lang w:val="zh-CN"/>
        </w:rPr>
      </w:pPr>
      <w:bookmarkStart w:id="107" w:name="_Toc25772"/>
      <w:bookmarkStart w:id="108" w:name="_Toc6502"/>
      <w:bookmarkStart w:id="109" w:name="_Toc80205930"/>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107"/>
      <w:bookmarkEnd w:id="108"/>
      <w:bookmarkEnd w:id="109"/>
    </w:p>
    <w:p>
      <w:pPr>
        <w:tabs>
          <w:tab w:val="left" w:pos="0"/>
        </w:tabs>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31.验收</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rPr>
        <w:t>（如有）</w:t>
      </w:r>
      <w:r>
        <w:rPr>
          <w:rFonts w:hint="eastAsia" w:ascii="宋体" w:hAnsi="宋体" w:eastAsia="宋体" w:cs="Helvetica"/>
          <w:color w:val="auto"/>
          <w:kern w:val="0"/>
          <w:szCs w:val="21"/>
          <w:highlight w:val="none"/>
        </w:rPr>
        <w:t>返还条件挂钩。履约验收的各项资料应当存档备查。</w:t>
      </w:r>
    </w:p>
    <w:p>
      <w:pPr>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Helvetica"/>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0" w:name="_Toc80205931"/>
      <w:bookmarkStart w:id="111" w:name="_Toc1379"/>
      <w:bookmarkStart w:id="112" w:name="_Toc15842"/>
      <w:r>
        <w:rPr>
          <w:rFonts w:hint="eastAsia" w:ascii="宋体" w:hAnsi="宋体" w:eastAsia="宋体" w:cs="Times New Roman"/>
          <w:color w:val="auto"/>
          <w:sz w:val="32"/>
          <w:szCs w:val="32"/>
          <w:highlight w:val="none"/>
          <w:lang w:val="zh-CN"/>
        </w:rPr>
        <w:t>七、其他事项</w:t>
      </w:r>
      <w:bookmarkEnd w:id="110"/>
      <w:bookmarkEnd w:id="111"/>
      <w:bookmarkEnd w:id="112"/>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2.采购代理服务费</w:t>
      </w:r>
    </w:p>
    <w:p>
      <w:pPr>
        <w:tabs>
          <w:tab w:val="left" w:pos="2835"/>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32.1采购代理服务费收费标准及缴费账户详见“供应商须知前附表”，供应商为联合体的，可以由联合体中的一方或者多方共同缴纳采购代理服务费。</w:t>
      </w:r>
    </w:p>
    <w:p>
      <w:pPr>
        <w:pStyle w:val="13"/>
        <w:ind w:firstLine="420" w:firstLineChars="200"/>
        <w:rPr>
          <w:rFonts w:ascii="宋体" w:hAnsi="宋体" w:cs="宋体"/>
          <w:color w:val="auto"/>
          <w:highlight w:val="none"/>
          <w:lang w:val="en-US"/>
        </w:rPr>
      </w:pPr>
      <w:r>
        <w:rPr>
          <w:rFonts w:hint="eastAsia" w:ascii="宋体" w:hAnsi="宋体" w:cs="宋体"/>
          <w:color w:val="auto"/>
          <w:highlight w:val="none"/>
          <w:lang w:val="en-US"/>
        </w:rPr>
        <w:t>32.2采购代理服务费收费计算标准：</w:t>
      </w:r>
    </w:p>
    <w:tbl>
      <w:tblPr>
        <w:tblStyle w:val="29"/>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100亿元以上</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注： </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150 － 100 ）万元 ×1.1％＝ 0.55 万元</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合计收费＝ 1.5 ＋ 0.55＝ 2.05 （万元）</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33</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Ansi="宋体" w:cs="宋体"/>
          <w:color w:val="auto"/>
          <w:highlight w:val="none"/>
        </w:rPr>
      </w:pPr>
      <w:r>
        <w:rPr>
          <w:rFonts w:hint="eastAsia"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.3</w:t>
      </w:r>
      <w:bookmarkStart w:id="113"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18"/>
        <w:spacing w:line="360" w:lineRule="auto"/>
        <w:ind w:firstLine="420" w:firstLineChars="200"/>
        <w:rPr>
          <w:rFonts w:hAnsi="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1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w:t>
      </w:r>
      <w:r>
        <w:rPr>
          <w:rFonts w:hint="eastAsia" w:ascii="宋体" w:hAnsi="宋体" w:eastAsia="宋体" w:cs="宋体"/>
          <w:color w:val="auto"/>
          <w:sz w:val="24"/>
          <w:highlight w:val="none"/>
        </w:rPr>
        <w:t>广西线上“政采贷”</w:t>
      </w:r>
      <w:r>
        <w:rPr>
          <w:rFonts w:hint="eastAsia" w:ascii="宋体" w:hAnsi="宋体" w:eastAsia="宋体" w:cs="宋体"/>
          <w:color w:val="auto"/>
          <w:sz w:val="24"/>
          <w:szCs w:val="24"/>
          <w:highlight w:val="none"/>
        </w:rPr>
        <w:t>政策告知函</w:t>
      </w:r>
    </w:p>
    <w:p>
      <w:pPr>
        <w:spacing w:line="58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ascii="宋体" w:hAnsi="宋体" w:cs="宋体"/>
          <w:color w:val="auto"/>
          <w:szCs w:val="32"/>
          <w:highlight w:val="none"/>
        </w:rPr>
      </w:pPr>
    </w:p>
    <w:p>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5"/>
          <w:rFonts w:hint="eastAsia" w:ascii="宋体" w:hAnsi="宋体" w:eastAsia="宋体" w:cs="宋体"/>
          <w:color w:val="auto"/>
          <w:szCs w:val="21"/>
          <w:highlight w:val="none"/>
        </w:rPr>
        <w:t>https://www.crcrfsp.com/</w:t>
      </w:r>
      <w:r>
        <w:rPr>
          <w:rStyle w:val="35"/>
          <w:rFonts w:hint="eastAsia"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pPr>
        <w:spacing w:line="360" w:lineRule="auto"/>
        <w:ind w:firstLine="402" w:firstLineChars="200"/>
        <w:contextualSpacing/>
        <w:rPr>
          <w:rFonts w:ascii="宋体" w:hAnsi="宋体" w:eastAsia="宋体" w:cs="Times New Roman"/>
          <w:b/>
          <w:color w:val="auto"/>
          <w:kern w:val="0"/>
          <w:sz w:val="20"/>
          <w:szCs w:val="21"/>
          <w:highlight w:val="none"/>
        </w:rPr>
      </w:pPr>
    </w:p>
    <w:p>
      <w:pPr>
        <w:rPr>
          <w:rFonts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pPr>
        <w:pStyle w:val="2"/>
        <w:spacing w:line="360" w:lineRule="auto"/>
        <w:ind w:firstLine="1325" w:firstLineChars="300"/>
        <w:rPr>
          <w:color w:val="auto"/>
          <w:highlight w:val="none"/>
        </w:rPr>
      </w:pPr>
      <w:bookmarkStart w:id="114" w:name="_Toc17139"/>
      <w:bookmarkStart w:id="115" w:name="_Toc23199"/>
      <w:bookmarkStart w:id="116" w:name="_Toc11174"/>
      <w:bookmarkStart w:id="117" w:name="_Toc80205932"/>
      <w:r>
        <w:rPr>
          <w:rFonts w:hint="eastAsia"/>
          <w:color w:val="auto"/>
          <w:highlight w:val="none"/>
        </w:rPr>
        <w:t>第四章 评审程序、评审方法和成交标准</w:t>
      </w:r>
      <w:bookmarkEnd w:id="114"/>
      <w:bookmarkEnd w:id="115"/>
      <w:bookmarkEnd w:id="116"/>
      <w:bookmarkEnd w:id="117"/>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18" w:name="_Toc18230"/>
      <w:bookmarkStart w:id="119" w:name="_Toc10464"/>
      <w:bookmarkStart w:id="120" w:name="_Toc80205933"/>
      <w:r>
        <w:rPr>
          <w:rFonts w:hint="eastAsia" w:ascii="宋体" w:hAnsi="宋体" w:eastAsia="宋体" w:cs="Times New Roman"/>
          <w:bCs/>
          <w:color w:val="auto"/>
          <w:sz w:val="32"/>
          <w:szCs w:val="32"/>
          <w:highlight w:val="none"/>
          <w:lang w:val="zh-CN"/>
        </w:rPr>
        <w:t>第一节 评审程序和评审方法</w:t>
      </w:r>
      <w:bookmarkEnd w:id="118"/>
      <w:bookmarkEnd w:id="119"/>
      <w:bookmarkEnd w:id="120"/>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eastAsia="宋体" w:cs="宋体"/>
          <w:color w:val="auto"/>
          <w:szCs w:val="21"/>
          <w:highlight w:val="none"/>
        </w:rPr>
      </w:pPr>
      <w:bookmarkStart w:id="121"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21"/>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ascii="宋体" w:hAnsi="宋体" w:eastAsia="宋体" w:cs="宋体"/>
          <w:color w:val="auto"/>
          <w:szCs w:val="21"/>
          <w:highlight w:val="none"/>
        </w:rPr>
      </w:pPr>
      <w:bookmarkStart w:id="122"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22"/>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pStyle w:val="13"/>
        <w:ind w:firstLine="420" w:firstLineChars="200"/>
        <w:rPr>
          <w:rFonts w:ascii="宋体" w:hAnsi="宋体" w:cs="宋体"/>
          <w:color w:val="auto"/>
          <w:highlight w:val="none"/>
        </w:rPr>
      </w:pPr>
      <w:r>
        <w:rPr>
          <w:rFonts w:hint="eastAsia" w:ascii="宋体" w:hAnsi="宋体" w:cs="宋体"/>
          <w:color w:val="auto"/>
          <w:szCs w:val="21"/>
          <w:highlight w:val="none"/>
        </w:rPr>
        <w:t>15）提交的谈判保证金无效的或者未按照竞争性谈判文件的规定提交谈判保证金；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16）法律、法规和谈判文件规定的其他无效情形。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谈判文件允许有备选方案或者其他约定的除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4）响应报价（包含首次报价、最后报价）超过所竞标项目/分标规定的采购预算金额或者最高限价的（如本项目公布了最高限价）；</w:t>
      </w:r>
      <w:bookmarkStart w:id="123" w:name="_Hlk42596405"/>
      <w:r>
        <w:rPr>
          <w:rFonts w:hint="eastAsia" w:ascii="宋体" w:hAnsi="宋体" w:eastAsia="宋体" w:cs="宋体"/>
          <w:color w:val="auto"/>
          <w:szCs w:val="21"/>
          <w:highlight w:val="none"/>
        </w:rPr>
        <w:t>响应报价（包含首次报价、最后报价）</w:t>
      </w:r>
      <w:bookmarkEnd w:id="123"/>
      <w:bookmarkStart w:id="124" w:name="_Hlk42596276"/>
      <w:r>
        <w:rPr>
          <w:rFonts w:hint="eastAsia" w:ascii="宋体" w:hAnsi="宋体" w:eastAsia="宋体" w:cs="宋体"/>
          <w:color w:val="auto"/>
          <w:szCs w:val="21"/>
          <w:highlight w:val="none"/>
        </w:rPr>
        <w:t>超过谈判文件分项采购预算金额或者最高限价的</w:t>
      </w:r>
      <w:bookmarkEnd w:id="124"/>
      <w:r>
        <w:rPr>
          <w:rFonts w:hint="eastAsia" w:ascii="宋体" w:hAnsi="宋体" w:eastAsia="宋体" w:cs="宋体"/>
          <w:color w:val="auto"/>
          <w:szCs w:val="21"/>
          <w:highlight w:val="none"/>
        </w:rPr>
        <w:t>（如本项目公布了最高限价）；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远程不见面开标大厅响应最后报价。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分标规定的采购预算金额或者最高限价的（如本项目公布了最高限价）（全流程电子化评标多轮报价设置了上限控制价，即预算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420" w:lineRule="exact"/>
        <w:ind w:firstLine="422" w:firstLineChars="200"/>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pPr>
        <w:pStyle w:val="21"/>
        <w:rPr>
          <w:b/>
          <w:bCs/>
          <w:color w:val="auto"/>
          <w:highlight w:val="none"/>
        </w:rPr>
      </w:pP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rPr>
        <w:t>供应商在其</w:t>
      </w:r>
      <w:r>
        <w:rPr>
          <w:rFonts w:hint="eastAsia" w:ascii="宋体" w:hAnsi="宋体" w:eastAsia="宋体" w:cs="宋体"/>
          <w:color w:val="auto"/>
          <w:szCs w:val="21"/>
          <w:highlight w:val="none"/>
        </w:rPr>
        <w:t>响应文件中提供《中小企业声明函》，且其提供的货物全部由符合政策要求的小型、微型企业制造，即货物由小型、微型企业生产且使用该小型、微型企业商号或者注册商标，对其最后报价给予</w:t>
      </w:r>
      <w:r>
        <w:rPr>
          <w:rFonts w:ascii="宋体" w:hAnsi="宋体" w:eastAsia="宋体" w:cs="宋体"/>
          <w:color w:val="auto"/>
          <w:szCs w:val="21"/>
          <w:highlight w:val="none"/>
        </w:rPr>
        <w:t>10%的扣除。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6.5政策性扣除计算方法。</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供应商被评定为监狱企业或者残疾人福利性单位或者其</w:t>
      </w:r>
      <w:r>
        <w:rPr>
          <w:rFonts w:hint="eastAsia" w:ascii="宋体" w:hAnsi="宋体" w:eastAsia="宋体" w:cs="宋体"/>
          <w:color w:val="auto"/>
          <w:szCs w:val="21"/>
          <w:highlight w:val="none"/>
        </w:rPr>
        <w:t>提供的货物全部由符合政策要求的小型、微型企业制造，即货物由小型、微型企业生产且使用该小型、微型企业商号或者注册商标的</w:t>
      </w:r>
      <w:r>
        <w:rPr>
          <w:rFonts w:hint="eastAsia" w:ascii="宋体" w:hAnsi="宋体" w:eastAsia="宋体" w:cs="宋体"/>
          <w:color w:val="auto"/>
          <w:highlight w:val="none"/>
        </w:rPr>
        <w:t>，该供应商的最后报价给予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%的扣除，扣除后的价格为评审价，即评审价=最后报价×（1-</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rPr>
        <w:t>6%</w:t>
      </w:r>
      <w:r>
        <w:rPr>
          <w:rFonts w:hint="eastAsia" w:ascii="宋体" w:hAnsi="宋体" w:eastAsia="宋体" w:cs="宋体"/>
          <w:color w:val="auto"/>
          <w:highlight w:val="none"/>
        </w:rPr>
        <w:t>）。</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6.6除上述情况外，评审价＝最后报价。</w:t>
      </w:r>
    </w:p>
    <w:p>
      <w:pPr>
        <w:pStyle w:val="13"/>
        <w:rPr>
          <w:rFonts w:ascii="宋体" w:hAnsi="宋体" w:cs="宋体"/>
          <w:color w:val="auto"/>
          <w:highlight w:val="none"/>
        </w:rPr>
      </w:pP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25" w:name="_Toc17730"/>
      <w:bookmarkStart w:id="126" w:name="_Toc80205934"/>
      <w:bookmarkStart w:id="127" w:name="_Toc5389"/>
      <w:r>
        <w:rPr>
          <w:rFonts w:hint="eastAsia" w:ascii="宋体" w:hAnsi="宋体" w:eastAsia="宋体" w:cs="Times New Roman"/>
          <w:bCs/>
          <w:color w:val="auto"/>
          <w:sz w:val="32"/>
          <w:szCs w:val="32"/>
          <w:highlight w:val="none"/>
          <w:lang w:val="zh-CN"/>
        </w:rPr>
        <w:t>第二节 评审原则</w:t>
      </w:r>
      <w:bookmarkEnd w:id="125"/>
      <w:bookmarkEnd w:id="126"/>
      <w:bookmarkEnd w:id="127"/>
    </w:p>
    <w:p>
      <w:pPr>
        <w:spacing w:line="360" w:lineRule="auto"/>
        <w:ind w:firstLine="480" w:firstLineChars="200"/>
        <w:jc w:val="left"/>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28" w:name="_Toc432194885"/>
      <w:bookmarkStart w:id="129" w:name="_Toc321836413"/>
      <w:bookmarkStart w:id="130" w:name="_Toc432106535"/>
    </w:p>
    <w:bookmarkEnd w:id="128"/>
    <w:bookmarkEnd w:id="129"/>
    <w:bookmarkEnd w:id="130"/>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31" w:name="_Toc16039"/>
      <w:bookmarkStart w:id="132" w:name="_Toc80205935"/>
      <w:bookmarkStart w:id="133" w:name="_Toc9627"/>
      <w:r>
        <w:rPr>
          <w:rFonts w:hint="eastAsia" w:ascii="宋体" w:hAnsi="宋体" w:eastAsia="宋体" w:cs="Times New Roman"/>
          <w:bCs/>
          <w:color w:val="auto"/>
          <w:sz w:val="32"/>
          <w:szCs w:val="32"/>
          <w:highlight w:val="none"/>
          <w:lang w:val="zh-CN"/>
        </w:rPr>
        <w:t>第三节 评审报告</w:t>
      </w:r>
      <w:bookmarkEnd w:id="131"/>
      <w:bookmarkEnd w:id="132"/>
      <w:bookmarkEnd w:id="133"/>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25条规定的顺序推荐）,并在线编写电子评审报告。</w:t>
      </w:r>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34" w:name="_Toc27241"/>
      <w:bookmarkStart w:id="135" w:name="_Toc80205936"/>
      <w:bookmarkStart w:id="136" w:name="_Toc17221"/>
      <w:r>
        <w:rPr>
          <w:rFonts w:hint="eastAsia" w:ascii="宋体" w:hAnsi="宋体" w:eastAsia="宋体" w:cs="Times New Roman"/>
          <w:bCs/>
          <w:color w:val="auto"/>
          <w:sz w:val="32"/>
          <w:szCs w:val="32"/>
          <w:highlight w:val="none"/>
          <w:lang w:val="zh-CN"/>
        </w:rPr>
        <w:t>第四节 评审过程的保密与录像</w:t>
      </w:r>
      <w:bookmarkEnd w:id="134"/>
      <w:bookmarkEnd w:id="135"/>
      <w:bookmarkEnd w:id="136"/>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37" w:name="_Toc80205937"/>
      <w:bookmarkStart w:id="138" w:name="_Toc71"/>
      <w:bookmarkStart w:id="139" w:name="_Toc28917"/>
      <w:bookmarkStart w:id="140" w:name="_Toc916"/>
      <w:bookmarkStart w:id="141" w:name="_Toc9300"/>
      <w:bookmarkStart w:id="142" w:name="_Toc25678"/>
      <w:bookmarkStart w:id="143" w:name="_Toc30615"/>
      <w:bookmarkStart w:id="144" w:name="_Toc4187"/>
      <w:bookmarkStart w:id="145" w:name="_Toc21666"/>
      <w:r>
        <w:rPr>
          <w:rFonts w:hint="eastAsia" w:ascii="Times New Roman" w:hAnsi="Times New Roman" w:eastAsia="宋体" w:cs="Times New Roman"/>
          <w:b/>
          <w:bCs/>
          <w:color w:val="auto"/>
          <w:kern w:val="44"/>
          <w:sz w:val="44"/>
          <w:szCs w:val="44"/>
          <w:highlight w:val="none"/>
          <w:lang w:val="zh-CN"/>
        </w:rPr>
        <w:t>第五章 响应文件格式</w:t>
      </w:r>
      <w:bookmarkEnd w:id="137"/>
      <w:r>
        <w:rPr>
          <w:rFonts w:ascii="Times New Roman" w:hAnsi="Times New Roman" w:eastAsia="宋体" w:cs="Times New Roman"/>
          <w:b/>
          <w:bCs/>
          <w:color w:val="auto"/>
          <w:kern w:val="44"/>
          <w:sz w:val="44"/>
          <w:szCs w:val="44"/>
          <w:highlight w:val="none"/>
          <w:lang w:val="zh-CN"/>
        </w:rPr>
        <w:br w:type="page"/>
      </w:r>
      <w:bookmarkEnd w:id="138"/>
      <w:bookmarkEnd w:id="139"/>
      <w:bookmarkEnd w:id="140"/>
      <w:bookmarkEnd w:id="141"/>
      <w:bookmarkEnd w:id="142"/>
      <w:bookmarkEnd w:id="143"/>
      <w:bookmarkEnd w:id="144"/>
      <w:bookmarkEnd w:id="145"/>
    </w:p>
    <w:p>
      <w:pPr>
        <w:spacing w:line="240" w:lineRule="atLeast"/>
        <w:rPr>
          <w:rFonts w:ascii="宋体" w:hAnsi="宋体" w:eastAsia="宋体" w:cs="Times New Roman"/>
          <w:b/>
          <w:bCs/>
          <w:color w:val="auto"/>
          <w:szCs w:val="24"/>
          <w:highlight w:val="none"/>
        </w:rPr>
      </w:pPr>
    </w:p>
    <w:p>
      <w:pPr>
        <w:snapToGrid w:val="0"/>
        <w:spacing w:before="120" w:beforeLines="50" w:after="50" w:line="360" w:lineRule="auto"/>
        <w:jc w:val="center"/>
        <w:outlineLvl w:val="1"/>
        <w:rPr>
          <w:rFonts w:ascii="宋体" w:hAnsi="宋体" w:eastAsia="宋体" w:cs="Times New Roman"/>
          <w:bCs/>
          <w:color w:val="auto"/>
          <w:sz w:val="32"/>
          <w:szCs w:val="32"/>
          <w:highlight w:val="none"/>
        </w:rPr>
      </w:pPr>
      <w:bookmarkStart w:id="146" w:name="_Toc80205939"/>
      <w:bookmarkStart w:id="147" w:name="_Toc10486"/>
      <w:bookmarkStart w:id="148" w:name="_Toc17254"/>
      <w:r>
        <w:rPr>
          <w:rFonts w:hint="eastAsia" w:ascii="宋体" w:hAnsi="宋体" w:eastAsia="宋体" w:cs="Times New Roman"/>
          <w:bCs/>
          <w:color w:val="auto"/>
          <w:sz w:val="32"/>
          <w:szCs w:val="32"/>
          <w:highlight w:val="none"/>
        </w:rPr>
        <w:t>第一节 资格证明文件格式</w:t>
      </w:r>
      <w:bookmarkEnd w:id="146"/>
      <w:bookmarkEnd w:id="147"/>
      <w:bookmarkEnd w:id="148"/>
    </w:p>
    <w:p>
      <w:pPr>
        <w:pStyle w:val="21"/>
        <w:rPr>
          <w:rFonts w:ascii="宋体" w:hAnsi="宋体" w:cs="宋体"/>
          <w:b/>
          <w:bCs/>
          <w:color w:val="auto"/>
          <w:sz w:val="28"/>
          <w:szCs w:val="28"/>
          <w:highlight w:val="none"/>
        </w:rPr>
      </w:pPr>
    </w:p>
    <w:p>
      <w:pPr>
        <w:pStyle w:val="21"/>
        <w:rPr>
          <w:rFonts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pPr>
        <w:snapToGrid w:val="0"/>
        <w:spacing w:before="120" w:beforeLines="50" w:after="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120"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ind w:left="142"/>
        <w:jc w:val="left"/>
        <w:rPr>
          <w:rFonts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spacing w:line="320" w:lineRule="exact"/>
        <w:jc w:val="left"/>
        <w:rPr>
          <w:rFonts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3</w:t>
      </w:r>
      <w:r>
        <w:rPr>
          <w:rFonts w:hint="eastAsia" w:ascii="宋体" w:hAnsi="宋体" w:eastAsia="宋体" w:cs="宋体"/>
          <w:b/>
          <w:color w:val="auto"/>
          <w:kern w:val="0"/>
          <w:sz w:val="28"/>
          <w:szCs w:val="28"/>
          <w:highlight w:val="none"/>
        </w:rPr>
        <w:t>.声明函的格式：</w:t>
      </w:r>
    </w:p>
    <w:p>
      <w:pPr>
        <w:spacing w:line="320" w:lineRule="exact"/>
        <w:jc w:val="center"/>
        <w:rPr>
          <w:rFonts w:ascii="宋体" w:hAnsi="宋体" w:eastAsia="宋体" w:cs="Times New Roman"/>
          <w:b/>
          <w:color w:val="auto"/>
          <w:sz w:val="32"/>
          <w:szCs w:val="32"/>
          <w:highlight w:val="none"/>
        </w:rPr>
      </w:pPr>
    </w:p>
    <w:p>
      <w:pPr>
        <w:spacing w:line="320" w:lineRule="exact"/>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ascii="宋体" w:hAnsi="宋体" w:eastAsia="宋体" w:cs="Times New Roman"/>
          <w:color w:val="auto"/>
          <w:sz w:val="24"/>
          <w:szCs w:val="20"/>
          <w:highlight w:val="none"/>
        </w:rPr>
      </w:pPr>
    </w:p>
    <w:p>
      <w:pPr>
        <w:spacing w:line="360" w:lineRule="exact"/>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49" w:name="PO_3000001871_PM031"/>
      <w:r>
        <w:rPr>
          <w:rFonts w:hint="eastAsia" w:ascii="宋体" w:hAnsi="宋体" w:eastAsia="宋体" w:cs="宋体"/>
          <w:color w:val="auto"/>
          <w:sz w:val="24"/>
          <w:szCs w:val="24"/>
          <w:highlight w:val="none"/>
          <w:u w:val="single"/>
        </w:rPr>
        <w:t>广西科联招标中心有限公司</w:t>
      </w:r>
      <w:bookmarkEnd w:id="149"/>
      <w:r>
        <w:rPr>
          <w:rFonts w:hint="eastAsia" w:ascii="宋体" w:hAnsi="宋体" w:eastAsia="宋体" w:cs="宋体"/>
          <w:color w:val="auto"/>
          <w:sz w:val="24"/>
          <w:szCs w:val="24"/>
          <w:highlight w:val="none"/>
        </w:rPr>
        <w:t>：</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50" w:name="PO_3000001871_PM002_4"/>
      <w:r>
        <w:rPr>
          <w:rFonts w:hint="eastAsia" w:ascii="宋体" w:hAnsi="宋体" w:eastAsia="宋体" w:cs="宋体"/>
          <w:i/>
          <w:iCs/>
          <w:color w:val="auto"/>
          <w:sz w:val="24"/>
          <w:szCs w:val="24"/>
          <w:highlight w:val="none"/>
        </w:rPr>
        <w:t>（</w:t>
      </w:r>
      <w:bookmarkEnd w:id="150"/>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（2）已详细审查谈判文件的全部内容，包括澄清或者更正公告（如有）；</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注：如为联合体竞标，盖章处须加盖联合体各方公章，否则其响应文件作无效响应处理。</w:t>
      </w:r>
    </w:p>
    <w:p>
      <w:pPr>
        <w:tabs>
          <w:tab w:val="left" w:pos="939"/>
        </w:tabs>
        <w:spacing w:line="360" w:lineRule="exact"/>
        <w:ind w:firstLine="480" w:firstLineChars="200"/>
        <w:contextualSpacing/>
        <w:rPr>
          <w:rFonts w:ascii="宋体" w:hAnsi="宋体" w:eastAsia="宋体" w:cs="宋体"/>
          <w:color w:val="auto"/>
          <w:sz w:val="24"/>
          <w:szCs w:val="24"/>
          <w:highlight w:val="none"/>
        </w:rPr>
      </w:pPr>
    </w:p>
    <w:p>
      <w:pPr>
        <w:autoSpaceDE w:val="0"/>
        <w:autoSpaceDN w:val="0"/>
        <w:spacing w:line="360" w:lineRule="exact"/>
        <w:ind w:left="4365" w:leftChars="1850" w:hanging="480" w:hanging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exact"/>
        <w:ind w:firstLine="6120" w:firstLineChars="2550"/>
        <w:rPr>
          <w:rFonts w:ascii="宋体" w:hAnsi="宋体" w:eastAsia="宋体" w:cs="宋体"/>
          <w:color w:val="auto"/>
          <w:kern w:val="0"/>
          <w:sz w:val="24"/>
          <w:szCs w:val="24"/>
          <w:highlight w:val="none"/>
          <w:lang w:val="zh-CN"/>
        </w:rPr>
        <w:sectPr>
          <w:footerReference r:id="rId9" w:type="default"/>
          <w:pgSz w:w="11910" w:h="16840"/>
          <w:pgMar w:top="1134" w:right="1134" w:bottom="1134" w:left="1134" w:header="720" w:footer="720" w:gutter="0"/>
          <w:cols w:space="720" w:num="1"/>
        </w:sectPr>
      </w:pPr>
      <w:r>
        <w:rPr>
          <w:rFonts w:hint="eastAsia" w:ascii="宋体" w:hAnsi="宋体" w:eastAsia="宋体" w:cs="宋体"/>
          <w:color w:val="auto"/>
          <w:kern w:val="0"/>
          <w:sz w:val="24"/>
          <w:szCs w:val="24"/>
          <w:highlight w:val="none"/>
          <w:lang w:val="zh-CN"/>
        </w:rPr>
        <w:t>日期：  年  月   日</w:t>
      </w:r>
    </w:p>
    <w:p>
      <w:pPr>
        <w:overflowPunct w:val="0"/>
        <w:spacing w:line="520" w:lineRule="exact"/>
        <w:rPr>
          <w:rFonts w:ascii="宋体" w:hAnsi="宋体" w:eastAsia="宋体" w:cs="Times New Roman"/>
          <w:b/>
          <w:bCs/>
          <w:color w:val="auto"/>
          <w:sz w:val="32"/>
          <w:szCs w:val="32"/>
          <w:highlight w:val="none"/>
        </w:rPr>
      </w:pPr>
      <w:r>
        <w:rPr>
          <w:rFonts w:hint="eastAsia" w:ascii="宋体" w:hAnsi="宋体" w:eastAsia="宋体" w:cs="宋体"/>
          <w:b/>
          <w:color w:val="auto"/>
          <w:kern w:val="0"/>
          <w:sz w:val="28"/>
          <w:szCs w:val="28"/>
          <w:highlight w:val="none"/>
        </w:rPr>
        <w:t>4.联合体竞标协议书的格式：</w:t>
      </w:r>
    </w:p>
    <w:p>
      <w:pPr>
        <w:spacing w:line="600" w:lineRule="exact"/>
        <w:jc w:val="center"/>
        <w:rPr>
          <w:rFonts w:ascii="方正小标宋简体" w:hAnsi="方正小标宋简体" w:eastAsia="方正小标宋简体" w:cs="方正小标宋简体"/>
          <w:color w:val="auto"/>
          <w:sz w:val="44"/>
          <w:szCs w:val="44"/>
          <w:highlight w:val="none"/>
          <w:lang w:val="zh-CN"/>
        </w:rPr>
      </w:pPr>
    </w:p>
    <w:p>
      <w:pPr>
        <w:spacing w:line="600" w:lineRule="exact"/>
        <w:jc w:val="center"/>
        <w:rPr>
          <w:rFonts w:ascii="宋体" w:hAnsi="宋体" w:eastAsia="宋体" w:cs="宋体"/>
          <w:color w:val="auto"/>
          <w:sz w:val="44"/>
          <w:szCs w:val="44"/>
          <w:highlight w:val="none"/>
          <w:lang w:val="zh-CN"/>
        </w:rPr>
      </w:pPr>
      <w:r>
        <w:rPr>
          <w:rFonts w:hint="eastAsia" w:ascii="宋体" w:hAnsi="宋体" w:eastAsia="宋体" w:cs="宋体"/>
          <w:b/>
          <w:bCs/>
          <w:color w:val="auto"/>
          <w:sz w:val="32"/>
          <w:szCs w:val="32"/>
          <w:highlight w:val="none"/>
          <w:lang w:val="zh-CN"/>
        </w:rPr>
        <w:t>联合体竞标协议书</w:t>
      </w:r>
    </w:p>
    <w:p>
      <w:pPr>
        <w:autoSpaceDE w:val="0"/>
        <w:autoSpaceDN w:val="0"/>
        <w:adjustRightInd w:val="0"/>
        <w:spacing w:line="360" w:lineRule="auto"/>
        <w:jc w:val="left"/>
        <w:rPr>
          <w:rFonts w:ascii="宋体" w:hAnsi="宋体" w:eastAsia="宋体" w:cs="宋体"/>
          <w:color w:val="auto"/>
          <w:kern w:val="0"/>
          <w:szCs w:val="21"/>
          <w:highlight w:val="none"/>
          <w:u w:val="single"/>
        </w:rPr>
      </w:pP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bookmarkStart w:id="151" w:name="PO_3000001871_PM031_4"/>
      <w:r>
        <w:rPr>
          <w:rFonts w:hint="eastAsia" w:ascii="宋体" w:hAnsi="宋体" w:eastAsia="宋体" w:cs="宋体"/>
          <w:color w:val="auto"/>
          <w:kern w:val="0"/>
          <w:sz w:val="24"/>
          <w:szCs w:val="24"/>
          <w:highlight w:val="none"/>
          <w:u w:val="single"/>
        </w:rPr>
        <w:t>广西科联招标中心有限公司</w:t>
      </w:r>
      <w:bookmarkEnd w:id="151"/>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bookmarkStart w:id="152" w:name="PO_3000001871_PM001_4"/>
      <w:r>
        <w:rPr>
          <w:rFonts w:hint="eastAsia" w:ascii="宋体" w:hAnsi="宋体" w:eastAsia="宋体" w:cs="宋体"/>
          <w:i/>
          <w:iCs/>
          <w:color w:val="auto"/>
          <w:kern w:val="0"/>
          <w:sz w:val="24"/>
          <w:szCs w:val="24"/>
          <w:highlight w:val="none"/>
        </w:rPr>
        <w:t>（</w:t>
      </w:r>
      <w:bookmarkEnd w:id="152"/>
      <w:r>
        <w:rPr>
          <w:rFonts w:hint="eastAsia" w:ascii="宋体" w:hAnsi="宋体" w:eastAsia="宋体" w:cs="宋体"/>
          <w:i/>
          <w:iCs/>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）竞争性谈判采购。现就联合体竞标事宜订立如下协议：</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（某成员单位名称）为联合体名称牵头人。</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exact"/>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本联合体中，</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（某成员单位名称）为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（请填写：中型、小型、微型）企业，其协议合同金额占联合体协议合同总金额的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ascii="宋体" w:hAnsi="宋体" w:eastAsia="宋体" w:cs="宋体"/>
          <w:color w:val="auto"/>
          <w:kern w:val="0"/>
          <w:sz w:val="24"/>
          <w:szCs w:val="24"/>
          <w:highlight w:val="none"/>
        </w:rPr>
      </w:pP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ascii="宋体" w:hAnsi="宋体" w:eastAsia="宋体" w:cs="宋体"/>
          <w:color w:val="auto"/>
          <w:kern w:val="0"/>
          <w:szCs w:val="21"/>
          <w:highlight w:val="none"/>
        </w:rPr>
      </w:pP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（签字）</w:t>
      </w:r>
    </w:p>
    <w:p>
      <w:pPr>
        <w:pStyle w:val="6"/>
        <w:overflowPunct w:val="0"/>
        <w:spacing w:line="360" w:lineRule="exact"/>
        <w:ind w:firstLineChars="175"/>
        <w:rPr>
          <w:rFonts w:ascii="宋体" w:hAnsi="宋体" w:cs="宋体"/>
          <w:color w:val="auto"/>
          <w:sz w:val="24"/>
          <w:highlight w:val="none"/>
        </w:rPr>
      </w:pPr>
      <w:r>
        <w:rPr>
          <w:rFonts w:hint="eastAsia" w:ascii="宋体" w:hAnsi="宋体" w:cs="宋体"/>
          <w:color w:val="auto"/>
          <w:sz w:val="24"/>
          <w:highlight w:val="none"/>
        </w:rPr>
        <w:t>……</w:t>
      </w:r>
    </w:p>
    <w:p>
      <w:pPr>
        <w:autoSpaceDE w:val="0"/>
        <w:autoSpaceDN w:val="0"/>
        <w:adjustRightInd w:val="0"/>
        <w:spacing w:line="360" w:lineRule="exact"/>
        <w:jc w:val="left"/>
        <w:rPr>
          <w:rFonts w:ascii="宋体" w:hAnsi="宋体" w:eastAsia="宋体" w:cs="宋体"/>
          <w:color w:val="auto"/>
          <w:kern w:val="0"/>
          <w:sz w:val="24"/>
          <w:szCs w:val="24"/>
          <w:highlight w:val="none"/>
        </w:rPr>
      </w:pPr>
    </w:p>
    <w:p>
      <w:pPr>
        <w:autoSpaceDE w:val="0"/>
        <w:autoSpaceDN w:val="0"/>
        <w:adjustRightInd w:val="0"/>
        <w:spacing w:line="360" w:lineRule="exact"/>
        <w:jc w:val="left"/>
        <w:rPr>
          <w:rFonts w:ascii="宋体" w:hAnsi="宋体" w:eastAsia="宋体" w:cs="宋体"/>
          <w:color w:val="auto"/>
          <w:kern w:val="0"/>
          <w:sz w:val="24"/>
          <w:szCs w:val="24"/>
          <w:highlight w:val="none"/>
        </w:rPr>
      </w:pPr>
    </w:p>
    <w:p>
      <w:pPr>
        <w:autoSpaceDE w:val="0"/>
        <w:autoSpaceDN w:val="0"/>
        <w:spacing w:line="360" w:lineRule="exact"/>
        <w:ind w:left="4365" w:leftChars="1850" w:hanging="480" w:hangingChars="200"/>
        <w:rPr>
          <w:rFonts w:ascii="宋体" w:hAnsi="宋体" w:eastAsia="宋体" w:cs="宋体"/>
          <w:color w:val="auto"/>
          <w:kern w:val="0"/>
          <w:sz w:val="24"/>
          <w:szCs w:val="24"/>
          <w:highlight w:val="none"/>
        </w:rPr>
      </w:pPr>
    </w:p>
    <w:p>
      <w:pPr>
        <w:autoSpaceDE w:val="0"/>
        <w:autoSpaceDN w:val="0"/>
        <w:spacing w:line="360" w:lineRule="exact"/>
        <w:ind w:firstLine="6120" w:firstLineChars="25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val="0"/>
        <w:autoSpaceDN w:val="0"/>
        <w:spacing w:line="360" w:lineRule="exact"/>
        <w:ind w:firstLine="6120" w:firstLineChars="2550"/>
        <w:rPr>
          <w:rFonts w:ascii="仿宋_GB2312" w:hAnsi="仿宋" w:eastAsia="仿宋_GB2312" w:cs="仿宋_GB2312"/>
          <w:color w:val="auto"/>
          <w:kern w:val="0"/>
          <w:sz w:val="24"/>
          <w:szCs w:val="24"/>
          <w:highlight w:val="none"/>
          <w:lang w:val="zh-CN"/>
        </w:rPr>
      </w:pPr>
    </w:p>
    <w:p>
      <w:pPr>
        <w:autoSpaceDE w:val="0"/>
        <w:autoSpaceDN w:val="0"/>
        <w:spacing w:line="360" w:lineRule="auto"/>
        <w:ind w:firstLine="6120" w:firstLineChars="2550"/>
        <w:rPr>
          <w:rFonts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bookmarkStart w:id="153" w:name="_Toc798"/>
      <w:bookmarkStart w:id="154" w:name="_Toc26899"/>
      <w:bookmarkStart w:id="155" w:name="_Toc80205940"/>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53"/>
      <w:bookmarkEnd w:id="154"/>
      <w:bookmarkEnd w:id="155"/>
    </w:p>
    <w:p>
      <w:pPr>
        <w:snapToGrid w:val="0"/>
        <w:spacing w:before="120" w:beforeLines="50" w:after="50"/>
        <w:rPr>
          <w:rFonts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pPr>
        <w:spacing w:line="360" w:lineRule="auto"/>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pPr>
        <w:spacing w:line="520" w:lineRule="exact"/>
        <w:ind w:firstLine="220" w:firstLineChars="50"/>
        <w:jc w:val="left"/>
        <w:rPr>
          <w:rFonts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ascii="方正小标宋简体" w:hAnsi="方正小标宋简体" w:eastAsia="方正小标宋简体" w:cs="方正小标宋简体"/>
          <w:color w:val="auto"/>
          <w:sz w:val="44"/>
          <w:szCs w:val="44"/>
          <w:highlight w:val="none"/>
        </w:rPr>
      </w:pPr>
    </w:p>
    <w:p>
      <w:pPr>
        <w:spacing w:line="520" w:lineRule="exact"/>
        <w:jc w:val="center"/>
        <w:rPr>
          <w:rFonts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ascii="仿宋_GB2312" w:hAnsi="仿宋_GB2312" w:eastAsia="仿宋_GB2312" w:cs="仿宋_GB2312"/>
          <w:color w:val="auto"/>
          <w:sz w:val="32"/>
          <w:szCs w:val="32"/>
          <w:highlight w:val="none"/>
        </w:rPr>
      </w:pP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6.不同供应商的谈判保证金从同一单位或者个人账户转出。</w:t>
      </w: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ascii="宋体" w:hAnsi="宋体" w:eastAsia="宋体" w:cs="仿宋_GB2312"/>
          <w:color w:val="auto"/>
          <w:sz w:val="24"/>
          <w:szCs w:val="24"/>
          <w:highlight w:val="none"/>
        </w:rPr>
      </w:pP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1"/>
        <w:rPr>
          <w:rFonts w:ascii="宋体" w:hAnsi="宋体" w:cs="仿宋_GB2312"/>
          <w:b/>
          <w:bCs/>
          <w:color w:val="auto"/>
          <w:sz w:val="24"/>
          <w:szCs w:val="24"/>
          <w:highlight w:val="none"/>
        </w:rPr>
      </w:pPr>
    </w:p>
    <w:p>
      <w:pPr>
        <w:pStyle w:val="21"/>
        <w:rPr>
          <w:rFonts w:ascii="宋体" w:hAnsi="宋体" w:cs="仿宋_GB2312"/>
          <w:b/>
          <w:bCs/>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520" w:lineRule="exact"/>
        <w:ind w:firstLine="6360" w:firstLineChars="2650"/>
        <w:jc w:val="left"/>
        <w:rPr>
          <w:rFonts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pPr>
        <w:pStyle w:val="21"/>
        <w:rPr>
          <w:color w:val="auto"/>
          <w:highlight w:val="none"/>
        </w:rPr>
      </w:pPr>
    </w:p>
    <w:p>
      <w:pPr>
        <w:spacing w:line="520" w:lineRule="exact"/>
        <w:jc w:val="center"/>
        <w:rPr>
          <w:rFonts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ascii="宋体" w:hAnsi="宋体" w:eastAsia="宋体" w:cs="宋体"/>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ascii="宋体" w:hAnsi="宋体" w:eastAsia="宋体" w:cs="宋体"/>
          <w:color w:val="auto"/>
          <w:sz w:val="24"/>
          <w:szCs w:val="24"/>
          <w:highlight w:val="none"/>
        </w:rPr>
      </w:pPr>
    </w:p>
    <w:p>
      <w:pPr>
        <w:spacing w:line="360" w:lineRule="auto"/>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ascii="宋体" w:hAnsi="宋体" w:eastAsia="宋体" w:cs="仿宋_GB2312"/>
          <w:color w:val="auto"/>
          <w:sz w:val="24"/>
          <w:szCs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法定代表人身份证复印件粘贴处（正、反面）</w:t>
            </w:r>
          </w:p>
        </w:tc>
      </w:tr>
    </w:tbl>
    <w:p>
      <w:pPr>
        <w:spacing w:line="360" w:lineRule="auto"/>
        <w:ind w:firstLine="482" w:firstLineChars="200"/>
        <w:contextualSpacing/>
        <w:jc w:val="left"/>
        <w:rPr>
          <w:rFonts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ascii="宋体" w:hAnsi="宋体" w:eastAsia="宋体" w:cs="Times New Roman"/>
          <w:b/>
          <w:color w:val="auto"/>
          <w:szCs w:val="21"/>
          <w:highlight w:val="none"/>
        </w:rPr>
      </w:pPr>
    </w:p>
    <w:p>
      <w:pPr>
        <w:snapToGrid w:val="0"/>
        <w:spacing w:line="360" w:lineRule="auto"/>
        <w:jc w:val="left"/>
        <w:rPr>
          <w:rFonts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20" w:lineRule="exact"/>
        <w:jc w:val="center"/>
        <w:rPr>
          <w:rFonts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pPr>
        <w:spacing w:line="520" w:lineRule="exact"/>
        <w:jc w:val="center"/>
        <w:rPr>
          <w:rFonts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56" w:name="PO_3000001923_PM031_1"/>
      <w:r>
        <w:rPr>
          <w:rFonts w:hint="eastAsia" w:ascii="宋体" w:hAnsi="宋体" w:eastAsia="宋体" w:cs="宋体"/>
          <w:color w:val="auto"/>
          <w:sz w:val="24"/>
          <w:szCs w:val="24"/>
          <w:highlight w:val="none"/>
          <w:u w:val="single"/>
        </w:rPr>
        <w:t>广西科联招标中心有限公司</w:t>
      </w:r>
      <w:bookmarkEnd w:id="156"/>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00" w:lineRule="exact"/>
        <w:jc w:val="center"/>
        <w:rPr>
          <w:rFonts w:ascii="仿宋_GB2312" w:hAnsi="仿宋_GB2312" w:eastAsia="仿宋_GB2312" w:cs="仿宋_GB2312"/>
          <w:color w:val="auto"/>
          <w:sz w:val="32"/>
          <w:szCs w:val="32"/>
          <w:highlight w:val="none"/>
        </w:rPr>
      </w:pP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pPr>
        <w:spacing w:line="360" w:lineRule="auto"/>
        <w:ind w:firstLine="1560" w:firstLineChars="6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pPr>
        <w:spacing w:line="360" w:lineRule="auto"/>
        <w:ind w:firstLine="3000" w:firstLineChars="12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牵头人名称（盖公章）：</w:t>
      </w:r>
    </w:p>
    <w:p>
      <w:pPr>
        <w:spacing w:line="360" w:lineRule="auto"/>
        <w:ind w:firstLine="3840" w:firstLineChars="16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ascii="宋体" w:hAnsi="宋体" w:eastAsia="宋体" w:cs="仿宋_GB2312"/>
          <w:color w:val="auto"/>
          <w:sz w:val="24"/>
          <w:szCs w:val="24"/>
          <w:highlight w:val="none"/>
        </w:rPr>
      </w:pPr>
    </w:p>
    <w:p>
      <w:pPr>
        <w:spacing w:line="360" w:lineRule="auto"/>
        <w:ind w:firstLine="3120" w:firstLineChars="13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pPr>
        <w:spacing w:line="360" w:lineRule="auto"/>
        <w:ind w:firstLine="3840" w:firstLineChars="16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ascii="宋体" w:hAnsi="宋体" w:eastAsia="宋体" w:cs="仿宋_GB2312"/>
          <w:color w:val="auto"/>
          <w:sz w:val="24"/>
          <w:szCs w:val="24"/>
          <w:highlight w:val="none"/>
        </w:rPr>
      </w:pP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否则其响应文件作无效响应处理。</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pPr>
        <w:snapToGrid w:val="0"/>
        <w:spacing w:line="360" w:lineRule="auto"/>
        <w:rPr>
          <w:rFonts w:ascii="宋体" w:hAnsi="宋体" w:eastAsia="宋体" w:cs="Times New Roman"/>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rPr>
        <w:t>6.商务条款偏离表的格式：</w:t>
      </w:r>
    </w:p>
    <w:p>
      <w:pPr>
        <w:spacing w:line="50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spacing w:line="360" w:lineRule="auto"/>
        <w:contextualSpacing/>
        <w:rPr>
          <w:rFonts w:cs="仿宋_GB2312"/>
          <w:color w:val="auto"/>
          <w:sz w:val="24"/>
          <w:highlight w:val="none"/>
        </w:rPr>
      </w:pPr>
    </w:p>
    <w:p>
      <w:pPr>
        <w:spacing w:line="360" w:lineRule="auto"/>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bl>
    <w:p>
      <w:pPr>
        <w:spacing w:line="400" w:lineRule="exact"/>
        <w:ind w:left="42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400" w:lineRule="exact"/>
        <w:ind w:firstLine="420" w:firstLineChars="175"/>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pPr>
        <w:spacing w:line="400" w:lineRule="exact"/>
        <w:ind w:firstLine="480" w:firstLineChars="20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ascii="宋体" w:hAnsi="宋体" w:eastAsia="宋体" w:cs="宋体"/>
          <w:color w:val="auto"/>
          <w:kern w:val="0"/>
          <w:sz w:val="24"/>
          <w:szCs w:val="24"/>
          <w:highlight w:val="none"/>
          <w:lang w:val="zh-CN"/>
        </w:rPr>
      </w:pPr>
    </w:p>
    <w:p>
      <w:pPr>
        <w:spacing w:line="400" w:lineRule="exact"/>
        <w:ind w:firstLine="480" w:firstLineChars="200"/>
        <w:contextualSpacing/>
        <w:rPr>
          <w:rFonts w:ascii="宋体" w:hAnsi="宋体" w:eastAsia="宋体" w:cs="宋体"/>
          <w:color w:val="auto"/>
          <w:kern w:val="0"/>
          <w:sz w:val="24"/>
          <w:szCs w:val="24"/>
          <w:highlight w:val="none"/>
          <w:lang w:val="zh-CN"/>
        </w:rPr>
      </w:pPr>
    </w:p>
    <w:p>
      <w:pPr>
        <w:spacing w:line="360" w:lineRule="auto"/>
        <w:ind w:right="-817" w:rightChars="-389"/>
        <w:contextualSpacing/>
        <w:rPr>
          <w:rFonts w:ascii="宋体" w:hAnsi="宋体" w:eastAsia="宋体" w:cs="宋体"/>
          <w:color w:val="auto"/>
          <w:sz w:val="24"/>
          <w:szCs w:val="24"/>
          <w:highlight w:val="none"/>
        </w:rPr>
      </w:pPr>
    </w:p>
    <w:p>
      <w:pPr>
        <w:spacing w:line="360" w:lineRule="auto"/>
        <w:ind w:firstLine="3840" w:firstLineChars="16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before="120" w:beforeLines="50" w:after="50"/>
        <w:rPr>
          <w:rFonts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pPr>
        <w:snapToGrid w:val="0"/>
        <w:ind w:left="480" w:hanging="480" w:hangingChars="200"/>
        <w:contextualSpacing/>
        <w:rPr>
          <w:rFonts w:ascii="宋体" w:hAnsi="宋体" w:eastAsia="宋体" w:cs="Times New Roman"/>
          <w:color w:val="auto"/>
          <w:sz w:val="24"/>
          <w:szCs w:val="24"/>
          <w:highlight w:val="none"/>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r>
    </w:tbl>
    <w:p>
      <w:pPr>
        <w:snapToGrid w:val="0"/>
        <w:ind w:left="480" w:hanging="480" w:hangingChars="200"/>
        <w:contextualSpacing/>
        <w:rPr>
          <w:rFonts w:ascii="宋体" w:hAnsi="宋体" w:eastAsia="宋体" w:cs="Times New Roman"/>
          <w:color w:val="auto"/>
          <w:sz w:val="24"/>
          <w:szCs w:val="24"/>
          <w:highlight w:val="none"/>
        </w:rPr>
      </w:pPr>
    </w:p>
    <w:p>
      <w:pPr>
        <w:snapToGrid w:val="0"/>
        <w:ind w:left="480" w:hanging="480" w:hangingChars="200"/>
        <w:contextualSpacing/>
        <w:rPr>
          <w:rFonts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autoSpaceDE w:val="0"/>
        <w:autoSpaceDN w:val="0"/>
        <w:spacing w:line="360" w:lineRule="auto"/>
        <w:rPr>
          <w:rFonts w:ascii="宋体" w:hAnsi="宋体" w:eastAsia="宋体" w:cs="宋体"/>
          <w:color w:val="auto"/>
          <w:sz w:val="32"/>
          <w:szCs w:val="32"/>
          <w:highlight w:val="none"/>
        </w:rPr>
      </w:pPr>
    </w:p>
    <w:p>
      <w:pPr>
        <w:spacing w:line="360" w:lineRule="auto"/>
        <w:ind w:left="-218" w:leftChars="-104" w:firstLine="48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ascii="宋体" w:hAnsi="宋体" w:eastAsia="宋体" w:cs="宋体"/>
          <w:color w:val="auto"/>
          <w:szCs w:val="21"/>
          <w:highlight w:val="none"/>
        </w:rPr>
      </w:pPr>
    </w:p>
    <w:p>
      <w:pPr>
        <w:snapToGrid w:val="0"/>
        <w:spacing w:line="360" w:lineRule="auto"/>
        <w:ind w:left="4410" w:leftChars="2100" w:firstLine="5670" w:firstLineChars="270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jc w:val="left"/>
        <w:rPr>
          <w:rFonts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pPr>
        <w:spacing w:line="500" w:lineRule="exact"/>
        <w:jc w:val="center"/>
        <w:rPr>
          <w:rFonts w:ascii="仿宋_GB2312" w:hAnsi="仿宋_GB2312" w:eastAsia="仿宋_GB2312" w:cs="仿宋_GB2312"/>
          <w:color w:val="auto"/>
          <w:sz w:val="32"/>
          <w:szCs w:val="32"/>
          <w:highlight w:val="none"/>
        </w:rPr>
      </w:pPr>
    </w:p>
    <w:p>
      <w:pPr>
        <w:spacing w:line="50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jc w:val="center"/>
        <w:rPr>
          <w:rFonts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ascii="宋体" w:hAnsi="宋体" w:eastAsia="宋体" w:cs="宋体"/>
          <w:color w:val="auto"/>
          <w:sz w:val="24"/>
          <w:szCs w:val="24"/>
          <w:highlight w:val="none"/>
        </w:rPr>
      </w:pPr>
    </w:p>
    <w:p>
      <w:pPr>
        <w:spacing w:line="360" w:lineRule="auto"/>
        <w:ind w:firstLine="240" w:firstLineChars="1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ascii="宋体" w:hAnsi="宋体" w:eastAsia="宋体" w:cs="宋体"/>
          <w:color w:val="auto"/>
          <w:kern w:val="0"/>
          <w:sz w:val="24"/>
          <w:szCs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rPr>
              <w:t>采购需求中的</w:t>
            </w:r>
            <w:r>
              <w:rPr>
                <w:rFonts w:hint="eastAsia" w:ascii="宋体" w:hAnsi="宋体" w:cs="宋体"/>
                <w:color w:val="auto"/>
                <w:szCs w:val="21"/>
                <w:highlight w:val="none"/>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响应文件响应的</w:t>
            </w:r>
            <w:r>
              <w:rPr>
                <w:rFonts w:hint="eastAsia" w:ascii="宋体" w:hAnsi="宋体" w:cs="宋体"/>
                <w:color w:val="auto"/>
                <w:szCs w:val="21"/>
                <w:highlight w:val="none"/>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pPr>
        <w:spacing w:line="360" w:lineRule="auto"/>
        <w:contextualSpacing/>
        <w:rPr>
          <w:rFonts w:ascii="宋体" w:hAnsi="宋体" w:eastAsia="宋体" w:cs="宋体"/>
          <w:color w:val="auto"/>
          <w:kern w:val="0"/>
          <w:szCs w:val="21"/>
          <w:highlight w:val="none"/>
          <w:lang w:val="zh-CN"/>
        </w:rPr>
      </w:pPr>
    </w:p>
    <w:p>
      <w:pPr>
        <w:spacing w:line="360" w:lineRule="auto"/>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3.表格内容均需按要求填写并盖公章，不得留空（有说明可以留空的除外），</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p>
    <w:p>
      <w:pPr>
        <w:snapToGrid w:val="0"/>
        <w:spacing w:before="165" w:beforeLines="50" w:after="5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9.售后服务方案</w:t>
      </w:r>
    </w:p>
    <w:p>
      <w:pPr>
        <w:snapToGrid w:val="0"/>
        <w:spacing w:before="165" w:beforeLines="50" w:after="50"/>
        <w:ind w:left="143" w:leftChars="68"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由供应商按本项目竞争性谈判文件“第二章  采购需求”中商务条款部分的售后服务要求自行填写，其中要包含售后服务承诺。</w:t>
      </w:r>
    </w:p>
    <w:p>
      <w:pPr>
        <w:snapToGrid w:val="0"/>
        <w:spacing w:before="165"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（参照此格式自制）</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bl>
    <w:p>
      <w:pPr>
        <w:autoSpaceDE w:val="0"/>
        <w:autoSpaceDN w:val="0"/>
        <w:spacing w:line="360" w:lineRule="auto"/>
        <w:rPr>
          <w:rFonts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注：关于项目涉及的所有售后服务机构均在本表注明，包括供应商本单位和符合条件的第三方服务机构。</w:t>
      </w:r>
    </w:p>
    <w:p>
      <w:pPr>
        <w:autoSpaceDE w:val="0"/>
        <w:autoSpaceDN w:val="0"/>
        <w:spacing w:line="360" w:lineRule="auto"/>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（参照此格式自制）</w:t>
      </w:r>
    </w:p>
    <w:tbl>
      <w:tblPr>
        <w:tblStyle w:val="2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bl>
    <w:p>
      <w:pPr>
        <w:spacing w:line="440" w:lineRule="exact"/>
        <w:ind w:firstLine="396" w:firstLineChars="198"/>
        <w:rPr>
          <w:rFonts w:ascii="宋体" w:hAnsi="宋体" w:eastAsia="宋体" w:cs="宋体"/>
          <w:color w:val="auto"/>
          <w:kern w:val="0"/>
          <w:sz w:val="20"/>
          <w:szCs w:val="21"/>
          <w:highlight w:val="none"/>
          <w:lang w:val="zh-CN"/>
        </w:rPr>
      </w:pPr>
    </w:p>
    <w:p>
      <w:pPr>
        <w:spacing w:line="500" w:lineRule="exact"/>
        <w:rPr>
          <w:rFonts w:ascii="宋体" w:hAnsi="宋体" w:eastAsia="宋体" w:cs="宋体"/>
          <w:color w:val="auto"/>
          <w:sz w:val="32"/>
          <w:szCs w:val="32"/>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rPr>
        <w:t>10.项目实施人员一览表（如有要求）</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pPr>
        <w:pStyle w:val="21"/>
        <w:rPr>
          <w:rFonts w:ascii="宋体" w:hAnsi="宋体" w:cs="宋体"/>
          <w:color w:val="auto"/>
          <w:highlight w:val="none"/>
        </w:rPr>
      </w:pPr>
    </w:p>
    <w:p>
      <w:pP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所竞分标（此处有分标时填写具体分标号，无分标时填写“无”）：</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single"/>
        </w:rPr>
        <w:t xml:space="preserve"> </w:t>
      </w:r>
    </w:p>
    <w:p>
      <w:pPr>
        <w:keepNext/>
        <w:autoSpaceDE w:val="0"/>
        <w:autoSpaceDN w:val="0"/>
        <w:spacing w:line="360" w:lineRule="auto"/>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29"/>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bl>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供应商可参照上述的格式自行编制，</w:t>
      </w:r>
      <w:r>
        <w:rPr>
          <w:rFonts w:hint="eastAsia" w:ascii="宋体" w:hAnsi="宋体" w:eastAsia="宋体" w:cs="宋体"/>
          <w:b/>
          <w:color w:val="auto"/>
          <w:sz w:val="24"/>
          <w:szCs w:val="24"/>
          <w:highlight w:val="none"/>
        </w:rPr>
        <w:t>并注明所在响应技术文件页码。</w:t>
      </w: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（参照此格式自制）</w:t>
      </w:r>
    </w:p>
    <w:tbl>
      <w:tblPr>
        <w:tblStyle w:val="2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bl>
    <w:p>
      <w:pPr>
        <w:spacing w:line="360" w:lineRule="auto"/>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注：供应商可参照上述的格式自行编制，并注明所在响应技术文件页码。</w:t>
      </w:r>
    </w:p>
    <w:p>
      <w:pPr>
        <w:snapToGrid w:val="0"/>
        <w:spacing w:line="360" w:lineRule="auto"/>
        <w:ind w:firstLine="602" w:firstLineChars="200"/>
        <w:rPr>
          <w:rFonts w:ascii="宋体" w:hAnsi="宋体" w:eastAsia="宋体" w:cs="宋体"/>
          <w:b/>
          <w:color w:val="auto"/>
          <w:sz w:val="30"/>
          <w:szCs w:val="30"/>
          <w:highlight w:val="none"/>
        </w:rPr>
      </w:pPr>
    </w:p>
    <w:p>
      <w:pPr>
        <w:autoSpaceDE w:val="0"/>
        <w:autoSpaceDN w:val="0"/>
        <w:spacing w:line="360" w:lineRule="auto"/>
        <w:ind w:firstLine="6505" w:firstLineChars="2700"/>
        <w:rPr>
          <w:rFonts w:ascii="宋体" w:hAnsi="宋体" w:eastAsia="宋体" w:cs="宋体"/>
          <w:b/>
          <w:bCs/>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ascii="仿宋_GB2312" w:hAnsi="仿宋_GB2312" w:eastAsia="仿宋_GB2312" w:cs="仿宋_GB2312"/>
          <w:color w:val="auto"/>
          <w:sz w:val="32"/>
          <w:szCs w:val="32"/>
          <w:highlight w:val="none"/>
        </w:rPr>
      </w:pPr>
    </w:p>
    <w:p>
      <w:pPr>
        <w:autoSpaceDE w:val="0"/>
        <w:autoSpaceDN w:val="0"/>
        <w:spacing w:line="360" w:lineRule="auto"/>
        <w:ind w:firstLine="6480" w:firstLineChars="2700"/>
        <w:rPr>
          <w:rFonts w:ascii="仿宋_GB2312" w:hAnsi="仿宋" w:eastAsia="仿宋_GB2312" w:cs="仿宋_GB2312"/>
          <w:color w:val="auto"/>
          <w:kern w:val="0"/>
          <w:sz w:val="24"/>
          <w:szCs w:val="24"/>
          <w:highlight w:val="none"/>
          <w:lang w:val="zh-CN"/>
        </w:rPr>
      </w:pPr>
    </w:p>
    <w:p>
      <w:pPr>
        <w:adjustRightInd w:val="0"/>
        <w:snapToGrid w:val="0"/>
        <w:spacing w:line="300" w:lineRule="auto"/>
        <w:rPr>
          <w:rFonts w:ascii="宋体" w:hAnsi="宋体" w:eastAsia="宋体" w:cs="Times New Roman"/>
          <w:color w:val="auto"/>
          <w:szCs w:val="21"/>
          <w:highlight w:val="none"/>
          <w:u w:val="single"/>
        </w:rPr>
      </w:pPr>
    </w:p>
    <w:p>
      <w:pPr>
        <w:keepNext/>
        <w:keepLines/>
        <w:spacing w:before="260" w:after="260" w:line="416" w:lineRule="auto"/>
        <w:jc w:val="center"/>
        <w:outlineLvl w:val="1"/>
        <w:rPr>
          <w:rFonts w:ascii="宋体" w:hAnsi="宋体" w:eastAsia="宋体" w:cs="Times New Roman"/>
          <w:b/>
          <w:bCs/>
          <w:color w:val="auto"/>
          <w:sz w:val="32"/>
          <w:szCs w:val="32"/>
          <w:highlight w:val="none"/>
          <w:lang w:val="zh-CN"/>
        </w:rPr>
      </w:pPr>
      <w:bookmarkStart w:id="157" w:name="_Toc80205941"/>
      <w:bookmarkStart w:id="158" w:name="_Toc17296"/>
      <w:bookmarkStart w:id="159" w:name="_Toc13020"/>
      <w:r>
        <w:rPr>
          <w:rFonts w:hint="eastAsia" w:ascii="宋体" w:hAnsi="宋体" w:eastAsia="宋体" w:cs="Times New Roman"/>
          <w:b/>
          <w:bCs/>
          <w:color w:val="auto"/>
          <w:sz w:val="32"/>
          <w:szCs w:val="32"/>
          <w:highlight w:val="none"/>
          <w:lang w:val="zh-CN"/>
        </w:rPr>
        <w:t>第三节 报价文件格式</w:t>
      </w:r>
      <w:bookmarkEnd w:id="157"/>
      <w:bookmarkEnd w:id="158"/>
      <w:bookmarkEnd w:id="159"/>
    </w:p>
    <w:p>
      <w:pPr>
        <w:pStyle w:val="21"/>
        <w:rPr>
          <w:color w:val="auto"/>
          <w:highlight w:val="none"/>
        </w:rPr>
      </w:pPr>
    </w:p>
    <w:p>
      <w:pPr>
        <w:pStyle w:val="21"/>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65" w:beforeLines="50" w:after="5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ascii="宋体" w:hAnsi="宋体" w:eastAsia="宋体" w:cs="仿宋_GB2312"/>
          <w:bCs/>
          <w:color w:val="auto"/>
          <w:sz w:val="32"/>
          <w:szCs w:val="32"/>
          <w:highlight w:val="none"/>
        </w:rPr>
      </w:pPr>
    </w:p>
    <w:p>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ascii="宋体" w:hAnsi="宋体" w:eastAsia="宋体" w:cs="仿宋_GB2312"/>
          <w:bCs/>
          <w:color w:val="auto"/>
          <w:sz w:val="32"/>
          <w:szCs w:val="32"/>
          <w:highlight w:val="none"/>
        </w:rPr>
      </w:pPr>
    </w:p>
    <w:p>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65"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65" w:beforeLines="50" w:after="50" w:line="360" w:lineRule="auto"/>
        <w:jc w:val="left"/>
        <w:rPr>
          <w:rFonts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65" w:afterLines="50" w:line="360" w:lineRule="auto"/>
        <w:jc w:val="left"/>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ascii="仿宋_GB2312" w:hAnsi="仿宋" w:eastAsia="仿宋_GB2312" w:cs="仿宋_GB2312"/>
          <w:b/>
          <w:bCs/>
          <w:i/>
          <w:iCs/>
          <w:color w:val="auto"/>
          <w:sz w:val="24"/>
          <w:szCs w:val="24"/>
          <w:highlight w:val="none"/>
        </w:rPr>
      </w:pPr>
    </w:p>
    <w:p>
      <w:pPr>
        <w:snapToGrid w:val="0"/>
        <w:spacing w:before="165" w:beforeLines="50" w:after="50" w:line="360" w:lineRule="auto"/>
        <w:ind w:left="142" w:firstLine="640" w:firstLineChars="200"/>
        <w:jc w:val="left"/>
        <w:rPr>
          <w:rFonts w:ascii="仿宋_GB2312" w:hAnsi="仿宋_GB2312" w:eastAsia="仿宋_GB2312" w:cs="仿宋_GB2312"/>
          <w:color w:val="auto"/>
          <w:sz w:val="32"/>
          <w:szCs w:val="32"/>
          <w:highlight w:val="none"/>
        </w:rPr>
      </w:pPr>
    </w:p>
    <w:p>
      <w:pPr>
        <w:spacing w:line="500" w:lineRule="exact"/>
        <w:rPr>
          <w:rFonts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pPr>
        <w:spacing w:line="360" w:lineRule="auto"/>
        <w:rPr>
          <w:rFonts w:ascii="Times New Roman" w:hAnsi="Times New Roman" w:eastAsia="宋体" w:cs="Times New Roman"/>
          <w:color w:val="auto"/>
          <w:kern w:val="0"/>
          <w:sz w:val="20"/>
          <w:szCs w:val="21"/>
          <w:highlight w:val="none"/>
          <w:lang w:val="zh-CN"/>
        </w:rPr>
      </w:pPr>
    </w:p>
    <w:p>
      <w:pPr>
        <w:spacing w:line="360" w:lineRule="auto"/>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zh-CN"/>
        </w:rPr>
        <w:t>致：</w:t>
      </w:r>
      <w:r>
        <w:rPr>
          <w:rFonts w:hint="eastAsia" w:ascii="宋体" w:hAnsi="宋体" w:eastAsia="宋体" w:cs="宋体"/>
          <w:color w:val="auto"/>
          <w:kern w:val="0"/>
          <w:sz w:val="20"/>
          <w:szCs w:val="21"/>
          <w:highlight w:val="none"/>
          <w:u w:val="single"/>
          <w:lang w:val="zh-CN"/>
        </w:rPr>
        <w:t xml:space="preserve"> </w:t>
      </w:r>
      <w:bookmarkStart w:id="160" w:name="PO_3000001871_PM031_6"/>
      <w:r>
        <w:rPr>
          <w:rFonts w:hint="eastAsia" w:ascii="宋体" w:hAnsi="宋体" w:eastAsia="宋体" w:cs="宋体"/>
          <w:color w:val="auto"/>
          <w:kern w:val="0"/>
          <w:sz w:val="20"/>
          <w:szCs w:val="21"/>
          <w:highlight w:val="none"/>
          <w:u w:val="single"/>
        </w:rPr>
        <w:t>广西科联招标中心有限公司</w:t>
      </w:r>
      <w:bookmarkEnd w:id="160"/>
      <w:r>
        <w:rPr>
          <w:rFonts w:hint="eastAsia" w:ascii="宋体" w:hAnsi="宋体" w:eastAsia="宋体" w:cs="宋体"/>
          <w:color w:val="auto"/>
          <w:kern w:val="0"/>
          <w:sz w:val="20"/>
          <w:szCs w:val="21"/>
          <w:highlight w:val="none"/>
          <w:u w:val="single"/>
        </w:rPr>
        <w:t xml:space="preserve">         </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我方已仔细阅读了贵方组织的</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项目（项目编号：</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lang w:val="zh-CN"/>
        </w:rPr>
        <w:t xml:space="preserve">）的竞争性谈判文件的全部内容，现正式递交下述文件参加贵方组织的本次政府采购活动： </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一、首次报价文件电子版（包含按“第三章 供应商须知”提交的全部文件）；</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二、技术文件电子版（包含按“第三章 供应商须知”提交的全部文件）；商务文件电子版（包含按“第三章 供应商须知”提交的全部文件）；</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三、资格证明文件电子版（包含按“第三章供应商须知”提交的全部文件）。</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据此函，</w:t>
      </w:r>
      <w:r>
        <w:rPr>
          <w:rFonts w:hint="eastAsia" w:ascii="宋体" w:hAnsi="宋体" w:eastAsia="宋体" w:cs="宋体"/>
          <w:color w:val="auto"/>
          <w:kern w:val="0"/>
          <w:sz w:val="20"/>
          <w:szCs w:val="21"/>
          <w:highlight w:val="none"/>
        </w:rPr>
        <w:t>我方</w:t>
      </w:r>
      <w:r>
        <w:rPr>
          <w:rFonts w:hint="eastAsia" w:ascii="宋体" w:hAnsi="宋体" w:eastAsia="宋体" w:cs="宋体"/>
          <w:color w:val="auto"/>
          <w:kern w:val="0"/>
          <w:sz w:val="20"/>
          <w:szCs w:val="21"/>
          <w:highlight w:val="none"/>
          <w:lang w:val="zh-CN"/>
        </w:rPr>
        <w:t>兹宣布：</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我方愿意以</w:t>
      </w:r>
      <w:r>
        <w:rPr>
          <w:rFonts w:hint="eastAsia" w:ascii="宋体" w:hAnsi="宋体" w:eastAsia="宋体" w:cs="宋体"/>
          <w:color w:val="auto"/>
          <w:kern w:val="0"/>
          <w:sz w:val="20"/>
          <w:szCs w:val="21"/>
          <w:highlight w:val="none"/>
        </w:rPr>
        <w:t>谈判时</w:t>
      </w:r>
      <w:r>
        <w:rPr>
          <w:rFonts w:hint="eastAsia" w:ascii="宋体" w:hAnsi="宋体" w:eastAsia="宋体" w:cs="宋体"/>
          <w:color w:val="auto"/>
          <w:highlight w:val="none"/>
        </w:rPr>
        <w:t>提交的最后报价表中的竞标总报价</w:t>
      </w:r>
      <w:r>
        <w:rPr>
          <w:rFonts w:hint="eastAsia" w:ascii="宋体" w:hAnsi="宋体" w:eastAsia="宋体" w:cs="宋体"/>
          <w:color w:val="auto"/>
          <w:kern w:val="0"/>
          <w:sz w:val="20"/>
          <w:szCs w:val="21"/>
          <w:highlight w:val="none"/>
          <w:lang w:val="zh-CN"/>
        </w:rPr>
        <w:t>，在承诺的交付时间内提供本项目竞争性谈判文件“第二章</w:t>
      </w:r>
      <w:r>
        <w:rPr>
          <w:rFonts w:hint="eastAsia" w:ascii="宋体" w:hAnsi="宋体" w:eastAsia="宋体" w:cs="宋体"/>
          <w:color w:val="auto"/>
          <w:kern w:val="0"/>
          <w:sz w:val="20"/>
          <w:szCs w:val="21"/>
          <w:highlight w:val="none"/>
        </w:rPr>
        <w:t xml:space="preserve">  采购需求</w:t>
      </w:r>
      <w:r>
        <w:rPr>
          <w:rFonts w:hint="eastAsia" w:ascii="宋体" w:hAnsi="宋体" w:eastAsia="宋体" w:cs="宋体"/>
          <w:color w:val="auto"/>
          <w:kern w:val="0"/>
          <w:sz w:val="20"/>
          <w:szCs w:val="21"/>
          <w:highlight w:val="none"/>
          <w:lang w:val="zh-CN"/>
        </w:rPr>
        <w:t>”的“需求一览表”中相应的采购内容</w:t>
      </w:r>
      <w:r>
        <w:rPr>
          <w:rFonts w:hint="eastAsia" w:ascii="宋体" w:hAnsi="宋体" w:eastAsia="宋体" w:cs="宋体"/>
          <w:color w:val="auto"/>
          <w:highlight w:val="none"/>
        </w:rPr>
        <w:t>，具体详见最后报价表</w:t>
      </w:r>
      <w:r>
        <w:rPr>
          <w:rFonts w:hint="eastAsia" w:ascii="宋体" w:hAnsi="宋体" w:eastAsia="宋体" w:cs="宋体"/>
          <w:color w:val="auto"/>
          <w:kern w:val="0"/>
          <w:sz w:val="20"/>
          <w:szCs w:val="21"/>
          <w:highlight w:val="none"/>
          <w:lang w:val="zh-CN"/>
        </w:rPr>
        <w:t>。</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 w:val="20"/>
          <w:szCs w:val="21"/>
          <w:highlight w:val="none"/>
        </w:rPr>
        <w:t>竞标</w:t>
      </w:r>
      <w:r>
        <w:rPr>
          <w:rFonts w:hint="eastAsia" w:ascii="宋体" w:hAnsi="宋体" w:eastAsia="宋体" w:cs="宋体"/>
          <w:color w:val="auto"/>
          <w:kern w:val="0"/>
          <w:sz w:val="20"/>
          <w:szCs w:val="21"/>
          <w:highlight w:val="none"/>
          <w:lang w:val="zh-CN"/>
        </w:rPr>
        <w:t>有效期内不修改、撤销响应文件。</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3</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我方在此声明，所递交的响应文件及有关资料内容完整、真实和准确。</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4</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如本项目采购内容涉及须符合国家强制规定的，我方承诺我方本次竞标均符合国家有关强制规定。</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5</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6</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我方已详细审核竞争性谈判文件，我方知道必须放弃提出含糊不清或误解问题的权利。</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7</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我方承诺满足竞争性谈判文件第六章“合同文本”的条款，承担完成合同的责任和义务。</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8</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我方同意应贵方要求提供与本竞标有关的任何数据或资料。若贵方需要，我方愿意提供我方作出的一切承诺的证明材料。</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9</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我方完全理解贵方不一定接受响应报价最低的供应商为成交供应商的行为。</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10</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
        </w:numPr>
        <w:tabs>
          <w:tab w:val="left" w:pos="945"/>
        </w:tabs>
        <w:spacing w:line="360" w:lineRule="auto"/>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提供虚假材料谋取中标、成交的；</w:t>
      </w:r>
    </w:p>
    <w:p>
      <w:pPr>
        <w:numPr>
          <w:ilvl w:val="0"/>
          <w:numId w:val="1"/>
        </w:numPr>
        <w:tabs>
          <w:tab w:val="left" w:pos="945"/>
        </w:tabs>
        <w:spacing w:line="360" w:lineRule="auto"/>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采取不正当手段诋毁、排挤其他供应商的；</w:t>
      </w:r>
    </w:p>
    <w:p>
      <w:pPr>
        <w:numPr>
          <w:ilvl w:val="0"/>
          <w:numId w:val="1"/>
        </w:numPr>
        <w:tabs>
          <w:tab w:val="left" w:pos="945"/>
        </w:tabs>
        <w:spacing w:line="360" w:lineRule="auto"/>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与采购人、其他供应商或者采购代理机构恶意串通的；</w:t>
      </w:r>
    </w:p>
    <w:p>
      <w:pPr>
        <w:numPr>
          <w:ilvl w:val="0"/>
          <w:numId w:val="1"/>
        </w:numPr>
        <w:tabs>
          <w:tab w:val="left" w:pos="945"/>
        </w:tabs>
        <w:spacing w:line="360" w:lineRule="auto"/>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向采购人、采购代理机构行贿或者提供其他不正当利益的；</w:t>
      </w:r>
    </w:p>
    <w:p>
      <w:pPr>
        <w:numPr>
          <w:ilvl w:val="0"/>
          <w:numId w:val="1"/>
        </w:numPr>
        <w:tabs>
          <w:tab w:val="left" w:pos="945"/>
        </w:tabs>
        <w:spacing w:line="360" w:lineRule="auto"/>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在采购过程中与采购人进行协商谈判的；</w:t>
      </w:r>
    </w:p>
    <w:p>
      <w:pPr>
        <w:numPr>
          <w:ilvl w:val="0"/>
          <w:numId w:val="1"/>
        </w:numPr>
        <w:tabs>
          <w:tab w:val="left" w:pos="945"/>
        </w:tabs>
        <w:spacing w:line="360" w:lineRule="auto"/>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拒绝有关部门监督检查或提供虚假情况的。</w:t>
      </w:r>
    </w:p>
    <w:p>
      <w:pPr>
        <w:spacing w:line="360" w:lineRule="auto"/>
        <w:ind w:firstLine="42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r>
        <w:rPr>
          <w:rFonts w:hint="eastAsia" w:eastAsia="宋体" w:cs="Times New Roman"/>
          <w:color w:val="auto"/>
          <w:highlight w:val="none"/>
        </w:rPr>
        <w:t>以上事项如有虚假或</w:t>
      </w:r>
      <w:r>
        <w:rPr>
          <w:rFonts w:hint="eastAsia" w:cs="Times New Roman"/>
          <w:color w:val="auto"/>
          <w:highlight w:val="none"/>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rPr>
        <w:t>者</w:t>
      </w:r>
      <w:r>
        <w:rPr>
          <w:rFonts w:hint="eastAsia" w:eastAsia="宋体" w:cs="Times New Roman"/>
          <w:color w:val="auto"/>
          <w:highlight w:val="none"/>
        </w:rPr>
        <w:t>免除法律责任的辩解。</w:t>
      </w:r>
    </w:p>
    <w:p>
      <w:pPr>
        <w:spacing w:line="360" w:lineRule="auto"/>
        <w:ind w:firstLine="420"/>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1</w:t>
      </w: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zh-CN"/>
        </w:rPr>
        <w:t>与本谈判有关的一切正式往来信函请寄：</w:t>
      </w:r>
    </w:p>
    <w:p>
      <w:pPr>
        <w:spacing w:line="360" w:lineRule="auto"/>
        <w:ind w:firstLine="42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地址：</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电话：</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传真：</w:t>
      </w:r>
      <w:r>
        <w:rPr>
          <w:rFonts w:hint="eastAsia" w:ascii="宋体" w:hAnsi="宋体" w:eastAsia="宋体" w:cs="宋体"/>
          <w:color w:val="auto"/>
          <w:kern w:val="0"/>
          <w:sz w:val="20"/>
          <w:szCs w:val="21"/>
          <w:highlight w:val="none"/>
          <w:u w:val="single"/>
          <w:lang w:val="zh-CN"/>
        </w:rPr>
        <w:t>　　　　　　　　　　　　　　　　　　　　　　　　　　　　</w:t>
      </w:r>
    </w:p>
    <w:p>
      <w:pPr>
        <w:spacing w:line="360" w:lineRule="auto"/>
        <w:ind w:firstLine="420"/>
        <w:rPr>
          <w:rFonts w:ascii="宋体" w:hAnsi="宋体" w:eastAsia="宋体" w:cs="宋体"/>
          <w:color w:val="auto"/>
          <w:highlight w:val="none"/>
          <w:lang w:val="zh-CN"/>
        </w:rPr>
      </w:pPr>
      <w:r>
        <w:rPr>
          <w:rFonts w:hint="eastAsia" w:ascii="宋体" w:hAnsi="宋体" w:eastAsia="宋体" w:cs="宋体"/>
          <w:color w:val="auto"/>
          <w:highlight w:val="none"/>
          <w:lang w:val="zh-CN"/>
        </w:rPr>
        <w:t>电子邮箱：</w:t>
      </w:r>
      <w:r>
        <w:rPr>
          <w:rFonts w:hint="eastAsia" w:ascii="宋体" w:hAnsi="宋体" w:eastAsia="宋体" w:cs="宋体"/>
          <w:color w:val="auto"/>
          <w:kern w:val="0"/>
          <w:sz w:val="20"/>
          <w:szCs w:val="21"/>
          <w:highlight w:val="none"/>
          <w:u w:val="single"/>
          <w:lang w:val="zh-CN"/>
        </w:rPr>
        <w:t>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邮政编码：</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开户名称：</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开户银行：</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银行账号：</w:t>
      </w:r>
      <w:r>
        <w:rPr>
          <w:rFonts w:hint="eastAsia" w:ascii="宋体" w:hAnsi="宋体" w:eastAsia="宋体" w:cs="宋体"/>
          <w:color w:val="auto"/>
          <w:kern w:val="0"/>
          <w:sz w:val="20"/>
          <w:szCs w:val="21"/>
          <w:highlight w:val="none"/>
          <w:u w:val="single"/>
          <w:lang w:val="zh-CN"/>
        </w:rPr>
        <w:t xml:space="preserve">                                                    </w:t>
      </w:r>
    </w:p>
    <w:p>
      <w:pPr>
        <w:tabs>
          <w:tab w:val="left" w:pos="939"/>
        </w:tabs>
        <w:spacing w:line="360" w:lineRule="auto"/>
        <w:ind w:left="141" w:leftChars="67" w:firstLine="315" w:firstLineChars="15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ind w:firstLine="6000" w:firstLineChars="2500"/>
        <w:rPr>
          <w:rFonts w:ascii="宋体" w:hAnsi="宋体" w:eastAsia="宋体" w:cs="宋体"/>
          <w:color w:val="auto"/>
          <w:kern w:val="0"/>
          <w:sz w:val="24"/>
          <w:szCs w:val="24"/>
          <w:highlight w:val="none"/>
          <w:lang w:val="zh-CN"/>
        </w:rPr>
        <w:sectPr>
          <w:pgSz w:w="11906" w:h="16838"/>
          <w:pgMar w:top="1134" w:right="1134" w:bottom="1134" w:left="1134" w:header="720" w:footer="720" w:gutter="0"/>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品牌</w:t>
            </w:r>
          </w:p>
          <w:p>
            <w:pPr>
              <w:jc w:val="center"/>
              <w:rPr>
                <w:rFonts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单项合价（元）</w:t>
            </w:r>
          </w:p>
          <w:p>
            <w:pPr>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pPr>
        <w:pStyle w:val="21"/>
        <w:numPr>
          <w:ilvl w:val="255"/>
          <w:numId w:val="0"/>
        </w:num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否则其响应作无效响应处理。</w:t>
      </w:r>
    </w:p>
    <w:p>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特别提示：采购代理机构将对项目名称和项目编号，成交供应商名称、地址和成交金额，主要成交标的的名称、规格型号、数量、单价等予以公示。</w:t>
      </w:r>
    </w:p>
    <w:p>
      <w:pPr>
        <w:snapToGrid w:val="0"/>
        <w:spacing w:line="360" w:lineRule="auto"/>
        <w:ind w:left="479" w:leftChars="228"/>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符合采购文件中列明的可享受中小企业扶持政策的供应商，请填写中小企业声明函。</w:t>
      </w:r>
    </w:p>
    <w:p>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500" w:lineRule="exact"/>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品牌</w:t>
            </w:r>
          </w:p>
          <w:p>
            <w:pPr>
              <w:jc w:val="center"/>
              <w:rPr>
                <w:rFonts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单项合价（元）</w:t>
            </w:r>
          </w:p>
          <w:p>
            <w:pPr>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21"/>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640" w:firstLineChars="200"/>
        <w:jc w:val="left"/>
        <w:rPr>
          <w:rFonts w:ascii="宋体" w:hAnsi="宋体" w:eastAsia="宋体" w:cs="宋体"/>
          <w:i/>
          <w:iCs/>
          <w:color w:val="auto"/>
          <w:kern w:val="0"/>
          <w:sz w:val="32"/>
          <w:szCs w:val="32"/>
          <w:highlight w:val="none"/>
          <w:lang w:val="zh-CN"/>
        </w:rPr>
      </w:pPr>
    </w:p>
    <w:p>
      <w:pPr>
        <w:autoSpaceDE w:val="0"/>
        <w:autoSpaceDN w:val="0"/>
        <w:spacing w:line="360" w:lineRule="auto"/>
        <w:rPr>
          <w:rFonts w:ascii="宋体" w:hAnsi="宋体" w:eastAsia="宋体" w:cs="宋体"/>
          <w:i/>
          <w:iCs/>
          <w:color w:val="auto"/>
          <w:kern w:val="0"/>
          <w:sz w:val="32"/>
          <w:szCs w:val="32"/>
          <w:highlight w:val="none"/>
          <w:lang w:val="zh-CN"/>
        </w:rPr>
      </w:pPr>
    </w:p>
    <w:p>
      <w:pPr>
        <w:autoSpaceDE w:val="0"/>
        <w:autoSpaceDN w:val="0"/>
        <w:spacing w:line="360" w:lineRule="auto"/>
        <w:rPr>
          <w:rFonts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1"/>
        <w:rPr>
          <w:color w:val="auto"/>
          <w:highlight w:val="none"/>
        </w:rPr>
      </w:pPr>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r>
        <w:rPr>
          <w:rFonts w:ascii="宋体" w:hAnsi="宋体" w:eastAsia="宋体" w:cs="Times New Roman"/>
          <w:color w:val="auto"/>
          <w:sz w:val="24"/>
          <w:szCs w:val="32"/>
          <w:highlight w:val="none"/>
          <w:lang w:val="zh-CN"/>
        </w:rPr>
        <w:br w:type="page"/>
      </w:r>
      <w:bookmarkStart w:id="161" w:name="_Toc13939"/>
      <w:bookmarkStart w:id="162" w:name="_Toc23320"/>
      <w:bookmarkStart w:id="163" w:name="_Toc80205942"/>
      <w:r>
        <w:rPr>
          <w:rFonts w:hint="eastAsia" w:ascii="宋体" w:hAnsi="宋体" w:eastAsia="宋体" w:cs="Times New Roman"/>
          <w:b/>
          <w:bCs/>
          <w:color w:val="auto"/>
          <w:sz w:val="32"/>
          <w:szCs w:val="32"/>
          <w:highlight w:val="none"/>
          <w:lang w:val="zh-CN"/>
        </w:rPr>
        <w:t>第四节 其他文书、文件格式</w:t>
      </w:r>
      <w:bookmarkEnd w:id="161"/>
      <w:bookmarkEnd w:id="162"/>
      <w:bookmarkEnd w:id="163"/>
    </w:p>
    <w:p>
      <w:pPr>
        <w:spacing w:line="500" w:lineRule="exact"/>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zh-CN"/>
        </w:rPr>
        <w:t>中小企业声明函的格式：</w:t>
      </w:r>
    </w:p>
    <w:p>
      <w:pPr>
        <w:pStyle w:val="13"/>
        <w:rPr>
          <w:rFonts w:ascii="宋体" w:hAnsi="宋体" w:cs="宋体"/>
          <w:color w:val="auto"/>
          <w:highlight w:val="none"/>
        </w:rPr>
      </w:pPr>
    </w:p>
    <w:p>
      <w:pPr>
        <w:spacing w:line="300" w:lineRule="auto"/>
        <w:ind w:firstLine="3534" w:firstLineChars="1100"/>
        <w:rPr>
          <w:rFonts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ascii="宋体" w:hAnsi="宋体" w:eastAsia="宋体" w:cs="宋体"/>
          <w:color w:val="auto"/>
          <w:sz w:val="24"/>
          <w:szCs w:val="24"/>
          <w:highlight w:val="none"/>
          <w:lang w:val="zh-CN"/>
        </w:rPr>
      </w:pPr>
    </w:p>
    <w:p>
      <w:pPr>
        <w:spacing w:line="360" w:lineRule="auto"/>
        <w:ind w:left="-426" w:right="142" w:firstLine="640"/>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pacing w:line="360" w:lineRule="auto"/>
        <w:ind w:left="-405" w:leftChars="-193" w:right="142" w:firstLine="453" w:firstLineChars="189"/>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pPr>
        <w:spacing w:line="360" w:lineRule="auto"/>
        <w:ind w:left="-426" w:right="142" w:firstLine="567"/>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pPr>
        <w:spacing w:line="360" w:lineRule="auto"/>
        <w:ind w:left="3960" w:right="1808"/>
        <w:contextualSpacing/>
        <w:rPr>
          <w:rFonts w:ascii="宋体" w:hAnsi="宋体" w:eastAsia="宋体" w:cs="宋体"/>
          <w:color w:val="auto"/>
          <w:sz w:val="24"/>
          <w:szCs w:val="24"/>
          <w:highlight w:val="none"/>
          <w:lang w:val="zh-CN"/>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ascii="宋体" w:hAnsi="宋体" w:eastAsia="宋体" w:cs="宋体"/>
          <w:color w:val="auto"/>
          <w:szCs w:val="24"/>
          <w:highlight w:val="none"/>
          <w:lang w:val="zh-CN"/>
        </w:rPr>
      </w:pPr>
    </w:p>
    <w:p>
      <w:pPr>
        <w:spacing w:line="360" w:lineRule="auto"/>
        <w:contextualSpacing/>
        <w:jc w:val="left"/>
        <w:rPr>
          <w:rFonts w:ascii="宋体" w:hAnsi="宋体" w:eastAsia="宋体" w:cs="宋体"/>
          <w:color w:val="auto"/>
          <w:szCs w:val="21"/>
          <w:highlight w:val="none"/>
        </w:rPr>
      </w:pPr>
    </w:p>
    <w:p>
      <w:pPr>
        <w:spacing w:line="400" w:lineRule="exact"/>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pStyle w:val="21"/>
        <w:rPr>
          <w:rFonts w:ascii="宋体" w:hAnsi="宋体" w:cs="仿宋_GB2312"/>
          <w:color w:val="auto"/>
          <w:sz w:val="24"/>
          <w:szCs w:val="24"/>
          <w:highlight w:val="none"/>
        </w:rPr>
      </w:pPr>
    </w:p>
    <w:p>
      <w:pPr>
        <w:spacing w:line="520" w:lineRule="exact"/>
        <w:rPr>
          <w:rFonts w:ascii="宋体" w:hAnsi="宋体" w:eastAsia="宋体" w:cs="仿宋_GB2312"/>
          <w:color w:val="auto"/>
          <w:sz w:val="24"/>
          <w:szCs w:val="24"/>
          <w:highlight w:val="none"/>
        </w:rPr>
      </w:pPr>
    </w:p>
    <w:p>
      <w:pPr>
        <w:numPr>
          <w:ilvl w:val="255"/>
          <w:numId w:val="0"/>
        </w:numPr>
        <w:spacing w:line="520" w:lineRule="exact"/>
        <w:rPr>
          <w:rFonts w:hAnsi="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hAnsi="宋体" w:cs="宋体"/>
          <w:b/>
          <w:color w:val="auto"/>
          <w:sz w:val="28"/>
          <w:szCs w:val="28"/>
          <w:highlight w:val="none"/>
        </w:rPr>
        <w:t>残疾人福利性单位声明函的格式：</w:t>
      </w:r>
    </w:p>
    <w:p>
      <w:pPr>
        <w:numPr>
          <w:ilvl w:val="255"/>
          <w:numId w:val="0"/>
        </w:numPr>
        <w:spacing w:line="520" w:lineRule="exact"/>
        <w:rPr>
          <w:rFonts w:hAnsi="宋体" w:cs="宋体"/>
          <w:b/>
          <w:color w:val="auto"/>
          <w:sz w:val="28"/>
          <w:szCs w:val="28"/>
          <w:highlight w:val="none"/>
        </w:rPr>
      </w:pPr>
    </w:p>
    <w:p>
      <w:pPr>
        <w:spacing w:line="52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ascii="仿宋_GB2312" w:hAnsi="仿宋_GB2312" w:eastAsia="仿宋_GB2312" w:cs="仿宋_GB2312"/>
          <w:color w:val="auto"/>
          <w:sz w:val="32"/>
          <w:szCs w:val="32"/>
          <w:highlight w:val="none"/>
        </w:rPr>
      </w:pP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ind w:firstLine="2400" w:firstLineChars="10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pPr>
        <w:spacing w:line="360" w:lineRule="auto"/>
        <w:ind w:firstLine="4320" w:firstLineChars="18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pStyle w:val="21"/>
        <w:rPr>
          <w:rFonts w:ascii="宋体" w:hAnsi="宋体" w:cs="仿宋_GB2312"/>
          <w:color w:val="auto"/>
          <w:sz w:val="24"/>
          <w:szCs w:val="24"/>
          <w:highlight w:val="none"/>
        </w:rPr>
      </w:pPr>
    </w:p>
    <w:p>
      <w:pPr>
        <w:widowControl/>
        <w:shd w:val="clear" w:color="auto" w:fill="FFFFFF"/>
        <w:spacing w:line="480" w:lineRule="atLeast"/>
        <w:rPr>
          <w:rFonts w:ascii="宋体" w:hAnsi="宋体" w:eastAsia="宋体" w:cs="宋体"/>
          <w:color w:val="auto"/>
          <w:kern w:val="0"/>
          <w:sz w:val="28"/>
          <w:szCs w:val="28"/>
          <w:highlight w:val="none"/>
        </w:rPr>
      </w:pPr>
      <w:r>
        <w:rPr>
          <w:rFonts w:hint="eastAsia" w:ascii="宋体" w:hAnsi="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pPr>
        <w:widowControl/>
        <w:jc w:val="left"/>
        <w:rPr>
          <w:rFonts w:ascii="宋体" w:hAnsi="宋体" w:eastAsia="宋体" w:cs="宋体"/>
          <w:color w:val="auto"/>
          <w:kern w:val="0"/>
          <w:sz w:val="28"/>
          <w:szCs w:val="28"/>
          <w:highlight w:val="none"/>
        </w:rPr>
      </w:pPr>
    </w:p>
    <w:p>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9"/>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8"/>
        <w:snapToGrid w:val="0"/>
        <w:rPr>
          <w:rFonts w:hAnsi="宋体"/>
          <w:color w:val="auto"/>
          <w:highlight w:val="none"/>
        </w:rPr>
      </w:pPr>
      <w:r>
        <w:rPr>
          <w:rFonts w:hAnsi="宋体"/>
          <w:color w:val="auto"/>
          <w:highlight w:val="none"/>
        </w:rPr>
        <w:br w:type="page"/>
      </w:r>
    </w:p>
    <w:p>
      <w:pPr>
        <w:rPr>
          <w:rFonts w:ascii="宋体" w:hAnsi="宋体" w:cs="宋体"/>
          <w:color w:val="auto"/>
          <w:sz w:val="28"/>
          <w:szCs w:val="28"/>
          <w:highlight w:val="none"/>
        </w:rPr>
      </w:pPr>
      <w:r>
        <w:rPr>
          <w:rFonts w:hint="eastAsia" w:ascii="宋体" w:hAnsi="宋体" w:cs="宋体"/>
          <w:color w:val="auto"/>
          <w:sz w:val="28"/>
          <w:szCs w:val="28"/>
          <w:highlight w:val="none"/>
        </w:rPr>
        <w:t>4.政府采购项目履约保证金退付意见书的格式：</w:t>
      </w:r>
    </w:p>
    <w:p>
      <w:pPr>
        <w:rPr>
          <w:rFonts w:ascii="宋体" w:hAnsi="宋体" w:cs="宋体"/>
          <w:color w:val="auto"/>
          <w:sz w:val="28"/>
          <w:szCs w:val="28"/>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highlight w:val="none"/>
              </w:rPr>
            </w:pPr>
            <w:r>
              <w:rPr>
                <w:rFonts w:hint="eastAsia"/>
                <w:color w:val="auto"/>
                <w:sz w:val="24"/>
                <w:highlight w:val="none"/>
              </w:rPr>
              <w:t>供</w:t>
            </w:r>
          </w:p>
          <w:p>
            <w:pPr>
              <w:jc w:val="center"/>
              <w:rPr>
                <w:color w:val="auto"/>
                <w:sz w:val="24"/>
                <w:highlight w:val="none"/>
              </w:rPr>
            </w:pPr>
            <w:r>
              <w:rPr>
                <w:rFonts w:hint="eastAsia"/>
                <w:color w:val="auto"/>
                <w:sz w:val="24"/>
                <w:highlight w:val="none"/>
              </w:rPr>
              <w:t>应</w:t>
            </w:r>
          </w:p>
          <w:p>
            <w:pPr>
              <w:jc w:val="center"/>
              <w:rPr>
                <w:color w:val="auto"/>
                <w:sz w:val="24"/>
                <w:highlight w:val="none"/>
              </w:rPr>
            </w:pPr>
            <w:r>
              <w:rPr>
                <w:rFonts w:hint="eastAsia"/>
                <w:color w:val="auto"/>
                <w:sz w:val="24"/>
                <w:highlight w:val="none"/>
              </w:rPr>
              <w:t>商</w:t>
            </w:r>
          </w:p>
          <w:p>
            <w:pPr>
              <w:jc w:val="center"/>
              <w:rPr>
                <w:color w:val="auto"/>
                <w:sz w:val="24"/>
                <w:highlight w:val="none"/>
              </w:rPr>
            </w:pPr>
            <w:r>
              <w:rPr>
                <w:rFonts w:hint="eastAsia"/>
                <w:color w:val="auto"/>
                <w:sz w:val="24"/>
                <w:highlight w:val="none"/>
              </w:rPr>
              <w:t>申</w:t>
            </w:r>
          </w:p>
          <w:p>
            <w:pPr>
              <w:jc w:val="center"/>
              <w:rPr>
                <w:color w:val="auto"/>
                <w:sz w:val="24"/>
                <w:highlight w:val="none"/>
              </w:rPr>
            </w:pPr>
            <w:r>
              <w:rPr>
                <w:rFonts w:hint="eastAsia"/>
                <w:color w:val="auto"/>
                <w:sz w:val="24"/>
                <w:highlight w:val="none"/>
              </w:rPr>
              <w:t>请</w:t>
            </w:r>
          </w:p>
        </w:tc>
        <w:tc>
          <w:tcPr>
            <w:tcW w:w="8009" w:type="dxa"/>
            <w:vAlign w:val="center"/>
          </w:tcPr>
          <w:p>
            <w:pPr>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highlight w:val="none"/>
              </w:rPr>
            </w:pPr>
          </w:p>
        </w:tc>
        <w:tc>
          <w:tcPr>
            <w:tcW w:w="8009" w:type="dxa"/>
            <w:vAlign w:val="center"/>
          </w:tcPr>
          <w:p>
            <w:pPr>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highlight w:val="none"/>
              </w:rPr>
            </w:pPr>
          </w:p>
        </w:tc>
        <w:tc>
          <w:tcPr>
            <w:tcW w:w="8009" w:type="dxa"/>
          </w:tcPr>
          <w:p>
            <w:pPr>
              <w:rPr>
                <w:color w:val="auto"/>
                <w:sz w:val="24"/>
                <w:highlight w:val="none"/>
              </w:rPr>
            </w:pPr>
            <w:r>
              <w:rPr>
                <w:rFonts w:hint="eastAsia"/>
                <w:color w:val="auto"/>
                <w:sz w:val="24"/>
                <w:highlight w:val="none"/>
              </w:rPr>
              <w:t xml:space="preserve">  </w:t>
            </w:r>
          </w:p>
          <w:p>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color w:val="auto"/>
                <w:sz w:val="24"/>
                <w:highlight w:val="none"/>
              </w:rPr>
            </w:pPr>
            <w:r>
              <w:rPr>
                <w:rFonts w:hint="eastAsia"/>
                <w:color w:val="auto"/>
                <w:sz w:val="24"/>
                <w:highlight w:val="none"/>
              </w:rPr>
              <w:t>（大写）人民币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pPr>
              <w:rPr>
                <w:color w:val="auto"/>
                <w:sz w:val="24"/>
                <w:highlight w:val="none"/>
              </w:rPr>
            </w:pPr>
            <w:r>
              <w:rPr>
                <w:rFonts w:hint="eastAsia"/>
                <w:color w:val="auto"/>
                <w:sz w:val="24"/>
                <w:highlight w:val="none"/>
              </w:rPr>
              <w:t>单位名称：</w:t>
            </w:r>
          </w:p>
          <w:p>
            <w:pPr>
              <w:rPr>
                <w:color w:val="auto"/>
                <w:sz w:val="24"/>
                <w:highlight w:val="none"/>
              </w:rPr>
            </w:pPr>
            <w:r>
              <w:rPr>
                <w:rFonts w:hint="eastAsia"/>
                <w:color w:val="auto"/>
                <w:sz w:val="24"/>
                <w:highlight w:val="none"/>
              </w:rPr>
              <w:t>开户银行：</w:t>
            </w:r>
          </w:p>
          <w:p>
            <w:pPr>
              <w:rPr>
                <w:color w:val="auto"/>
                <w:sz w:val="24"/>
                <w:highlight w:val="none"/>
              </w:rPr>
            </w:pPr>
            <w:r>
              <w:rPr>
                <w:rFonts w:hint="eastAsia"/>
                <w:color w:val="auto"/>
                <w:sz w:val="24"/>
                <w:highlight w:val="none"/>
              </w:rPr>
              <w:t>账    号：</w:t>
            </w:r>
          </w:p>
          <w:p>
            <w:pPr>
              <w:rPr>
                <w:color w:val="auto"/>
                <w:sz w:val="24"/>
                <w:highlight w:val="none"/>
              </w:rPr>
            </w:pPr>
            <w:r>
              <w:rPr>
                <w:rFonts w:hint="eastAsia"/>
                <w:color w:val="auto"/>
                <w:sz w:val="24"/>
                <w:highlight w:val="none"/>
              </w:rPr>
              <w:t>联系人及电话：</w:t>
            </w:r>
          </w:p>
          <w:p>
            <w:pPr>
              <w:rPr>
                <w:color w:val="auto"/>
                <w:sz w:val="24"/>
                <w:highlight w:val="none"/>
              </w:rPr>
            </w:pPr>
          </w:p>
          <w:p>
            <w:pPr>
              <w:jc w:val="center"/>
              <w:rPr>
                <w:color w:val="auto"/>
                <w:sz w:val="24"/>
                <w:highlight w:val="none"/>
              </w:rPr>
            </w:pPr>
            <w:r>
              <w:rPr>
                <w:rFonts w:hint="eastAsia"/>
                <w:color w:val="auto"/>
                <w:sz w:val="24"/>
                <w:highlight w:val="none"/>
              </w:rPr>
              <w:t xml:space="preserve">                           供应商签章：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highlight w:val="none"/>
              </w:rPr>
            </w:pPr>
            <w:r>
              <w:rPr>
                <w:rFonts w:hint="eastAsia"/>
                <w:color w:val="auto"/>
                <w:sz w:val="24"/>
                <w:highlight w:val="none"/>
              </w:rPr>
              <w:t>采</w:t>
            </w:r>
          </w:p>
          <w:p>
            <w:pPr>
              <w:jc w:val="center"/>
              <w:rPr>
                <w:color w:val="auto"/>
                <w:sz w:val="24"/>
                <w:highlight w:val="none"/>
              </w:rPr>
            </w:pPr>
            <w:r>
              <w:rPr>
                <w:rFonts w:hint="eastAsia"/>
                <w:color w:val="auto"/>
                <w:sz w:val="24"/>
                <w:highlight w:val="none"/>
              </w:rPr>
              <w:t>购</w:t>
            </w:r>
          </w:p>
          <w:p>
            <w:pPr>
              <w:jc w:val="center"/>
              <w:rPr>
                <w:color w:val="auto"/>
                <w:sz w:val="24"/>
                <w:highlight w:val="none"/>
              </w:rPr>
            </w:pPr>
            <w:r>
              <w:rPr>
                <w:rFonts w:hint="eastAsia"/>
                <w:color w:val="auto"/>
                <w:sz w:val="24"/>
                <w:highlight w:val="none"/>
              </w:rPr>
              <w:t>单</w:t>
            </w:r>
          </w:p>
          <w:p>
            <w:pPr>
              <w:jc w:val="center"/>
              <w:rPr>
                <w:color w:val="auto"/>
                <w:sz w:val="24"/>
                <w:highlight w:val="none"/>
              </w:rPr>
            </w:pPr>
            <w:r>
              <w:rPr>
                <w:rFonts w:hint="eastAsia"/>
                <w:color w:val="auto"/>
                <w:sz w:val="24"/>
                <w:highlight w:val="none"/>
              </w:rPr>
              <w:t>位</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p>
          <w:p>
            <w:pPr>
              <w:rPr>
                <w:color w:val="auto"/>
                <w:sz w:val="24"/>
                <w:highlight w:val="none"/>
              </w:rPr>
            </w:pPr>
            <w:r>
              <w:rPr>
                <w:rFonts w:hint="eastAsia"/>
                <w:color w:val="auto"/>
                <w:sz w:val="24"/>
                <w:highlight w:val="none"/>
              </w:rPr>
              <w:t>退付意见：是否同意退付履约保证金及退付金额：</w:t>
            </w:r>
          </w:p>
          <w:p>
            <w:pPr>
              <w:rPr>
                <w:color w:val="auto"/>
                <w:sz w:val="24"/>
                <w:highlight w:val="none"/>
              </w:rPr>
            </w:pPr>
          </w:p>
          <w:p>
            <w:pPr>
              <w:rPr>
                <w:color w:val="auto"/>
                <w:sz w:val="24"/>
                <w:highlight w:val="none"/>
              </w:rPr>
            </w:pPr>
          </w:p>
          <w:p>
            <w:pPr>
              <w:rPr>
                <w:color w:val="auto"/>
                <w:sz w:val="24"/>
                <w:highlight w:val="none"/>
              </w:rPr>
            </w:pPr>
            <w:r>
              <w:rPr>
                <w:rFonts w:hint="eastAsia"/>
                <w:color w:val="auto"/>
                <w:sz w:val="24"/>
                <w:highlight w:val="none"/>
              </w:rPr>
              <w:t xml:space="preserve">联系人及电话：                                </w:t>
            </w:r>
          </w:p>
          <w:p>
            <w:pPr>
              <w:rPr>
                <w:color w:val="auto"/>
                <w:sz w:val="24"/>
                <w:highlight w:val="none"/>
              </w:rPr>
            </w:pPr>
          </w:p>
          <w:p>
            <w:pPr>
              <w:ind w:firstLine="4560" w:firstLineChars="1900"/>
              <w:rPr>
                <w:color w:val="auto"/>
                <w:sz w:val="24"/>
                <w:highlight w:val="none"/>
              </w:rPr>
            </w:pPr>
            <w:r>
              <w:rPr>
                <w:rFonts w:hint="eastAsia"/>
                <w:color w:val="auto"/>
                <w:sz w:val="24"/>
                <w:highlight w:val="none"/>
              </w:rPr>
              <w:t xml:space="preserve"> 采购单位签章：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highlight w:val="none"/>
              </w:rPr>
            </w:pPr>
            <w:r>
              <w:rPr>
                <w:rFonts w:hint="eastAsia"/>
                <w:color w:val="auto"/>
                <w:sz w:val="24"/>
                <w:highlight w:val="none"/>
              </w:rPr>
              <w:t>财</w:t>
            </w:r>
          </w:p>
          <w:p>
            <w:pPr>
              <w:jc w:val="center"/>
              <w:rPr>
                <w:color w:val="auto"/>
                <w:sz w:val="24"/>
                <w:highlight w:val="none"/>
              </w:rPr>
            </w:pPr>
            <w:r>
              <w:rPr>
                <w:rFonts w:hint="eastAsia"/>
                <w:color w:val="auto"/>
                <w:sz w:val="24"/>
                <w:highlight w:val="none"/>
              </w:rPr>
              <w:t>务</w:t>
            </w:r>
          </w:p>
          <w:p>
            <w:pPr>
              <w:jc w:val="center"/>
              <w:rPr>
                <w:color w:val="auto"/>
                <w:sz w:val="24"/>
                <w:highlight w:val="none"/>
              </w:rPr>
            </w:pPr>
            <w:r>
              <w:rPr>
                <w:rFonts w:hint="eastAsia"/>
                <w:color w:val="auto"/>
                <w:sz w:val="24"/>
                <w:highlight w:val="none"/>
              </w:rPr>
              <w:t>部</w:t>
            </w:r>
          </w:p>
          <w:p>
            <w:pPr>
              <w:jc w:val="center"/>
              <w:rPr>
                <w:color w:val="auto"/>
                <w:sz w:val="24"/>
                <w:highlight w:val="none"/>
              </w:rPr>
            </w:pPr>
            <w:r>
              <w:rPr>
                <w:rFonts w:hint="eastAsia"/>
                <w:color w:val="auto"/>
                <w:sz w:val="24"/>
                <w:highlight w:val="none"/>
              </w:rPr>
              <w:t>门</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pPr>
              <w:rPr>
                <w:color w:val="auto"/>
                <w:sz w:val="24"/>
                <w:highlight w:val="none"/>
              </w:rPr>
            </w:pPr>
          </w:p>
          <w:p>
            <w:pPr>
              <w:rPr>
                <w:color w:val="auto"/>
                <w:sz w:val="24"/>
                <w:highlight w:val="none"/>
              </w:rPr>
            </w:pPr>
            <w:r>
              <w:rPr>
                <w:rFonts w:hint="eastAsia"/>
                <w:color w:val="auto"/>
                <w:sz w:val="24"/>
                <w:highlight w:val="none"/>
              </w:rPr>
              <w:t>会计审核：</w:t>
            </w:r>
          </w:p>
          <w:p>
            <w:pPr>
              <w:rPr>
                <w:color w:val="auto"/>
                <w:sz w:val="24"/>
                <w:highlight w:val="none"/>
              </w:rPr>
            </w:pPr>
          </w:p>
          <w:p>
            <w:pPr>
              <w:rPr>
                <w:color w:val="auto"/>
                <w:sz w:val="24"/>
                <w:highlight w:val="none"/>
              </w:rPr>
            </w:pPr>
            <w:r>
              <w:rPr>
                <w:rFonts w:hint="eastAsia"/>
                <w:color w:val="auto"/>
                <w:sz w:val="24"/>
                <w:highlight w:val="none"/>
              </w:rPr>
              <w:t>财务负责人审核：</w:t>
            </w:r>
          </w:p>
          <w:p>
            <w:pPr>
              <w:rPr>
                <w:color w:val="auto"/>
                <w:sz w:val="24"/>
                <w:highlight w:val="none"/>
              </w:rPr>
            </w:pPr>
          </w:p>
          <w:p>
            <w:pPr>
              <w:rPr>
                <w:color w:val="auto"/>
                <w:sz w:val="24"/>
                <w:highlight w:val="none"/>
              </w:rPr>
            </w:pPr>
            <w:r>
              <w:rPr>
                <w:rFonts w:hint="eastAsia"/>
                <w:color w:val="auto"/>
                <w:sz w:val="24"/>
                <w:highlight w:val="none"/>
              </w:rPr>
              <w:t>单位负责人签字：</w:t>
            </w:r>
          </w:p>
          <w:p>
            <w:pPr>
              <w:rPr>
                <w:color w:val="auto"/>
                <w:sz w:val="24"/>
                <w:highlight w:val="none"/>
              </w:rPr>
            </w:pPr>
          </w:p>
          <w:p>
            <w:pPr>
              <w:rPr>
                <w:color w:val="auto"/>
                <w:sz w:val="24"/>
                <w:highlight w:val="none"/>
              </w:rPr>
            </w:pPr>
            <w:r>
              <w:rPr>
                <w:rFonts w:hint="eastAsia"/>
                <w:color w:val="auto"/>
                <w:sz w:val="24"/>
                <w:highlight w:val="none"/>
              </w:rPr>
              <w:t>出纳办理转账日期：</w:t>
            </w:r>
          </w:p>
        </w:tc>
      </w:tr>
    </w:tbl>
    <w:p>
      <w:pPr>
        <w:pStyle w:val="13"/>
        <w:ind w:left="1" w:firstLine="2" w:firstLineChars="1"/>
        <w:rPr>
          <w:rFonts w:ascii="宋体"/>
          <w:b/>
          <w:bCs/>
          <w:color w:val="auto"/>
          <w:sz w:val="18"/>
          <w:szCs w:val="18"/>
          <w:highlight w:val="none"/>
        </w:rPr>
      </w:pPr>
    </w:p>
    <w:p>
      <w:pPr>
        <w:pStyle w:val="13"/>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pStyle w:val="21"/>
        <w:rPr>
          <w:rFonts w:ascii="宋体" w:hAnsi="宋体" w:cs="仿宋_GB2312"/>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360" w:lineRule="auto"/>
        <w:jc w:val="center"/>
        <w:rPr>
          <w:rFonts w:ascii="宋体" w:hAnsi="宋体" w:eastAsia="宋体" w:cs="Times New Roman"/>
          <w:b/>
          <w:bCs/>
          <w:color w:val="auto"/>
          <w:sz w:val="44"/>
          <w:szCs w:val="44"/>
          <w:highlight w:val="none"/>
        </w:rPr>
      </w:pPr>
    </w:p>
    <w:p>
      <w:pPr>
        <w:spacing w:line="360" w:lineRule="auto"/>
        <w:jc w:val="center"/>
        <w:rPr>
          <w:rFonts w:ascii="宋体" w:hAnsi="宋体" w:eastAsia="宋体" w:cs="Times New Roman"/>
          <w:b/>
          <w:bCs/>
          <w:color w:val="auto"/>
          <w:sz w:val="44"/>
          <w:szCs w:val="44"/>
          <w:highlight w:val="none"/>
        </w:rPr>
      </w:pPr>
    </w:p>
    <w:p>
      <w:pPr>
        <w:keepNext/>
        <w:keepLines/>
        <w:spacing w:before="340" w:after="330" w:line="578" w:lineRule="auto"/>
        <w:jc w:val="center"/>
        <w:outlineLvl w:val="0"/>
        <w:rPr>
          <w:rFonts w:ascii="宋体" w:hAnsi="宋体" w:eastAsia="宋体" w:cs="Times New Roman"/>
          <w:color w:val="auto"/>
          <w:kern w:val="44"/>
          <w:sz w:val="44"/>
          <w:szCs w:val="44"/>
          <w:highlight w:val="none"/>
          <w:lang w:val="zh-CN"/>
        </w:rPr>
      </w:pPr>
      <w:bookmarkStart w:id="164" w:name="_Toc20554"/>
      <w:bookmarkStart w:id="165" w:name="_Toc22077"/>
      <w:bookmarkStart w:id="166" w:name="_Toc23849"/>
      <w:bookmarkStart w:id="167" w:name="_Toc15382"/>
      <w:bookmarkStart w:id="168" w:name="_Toc4631"/>
      <w:bookmarkStart w:id="169" w:name="_Toc10008"/>
      <w:bookmarkStart w:id="170" w:name="_Toc21248"/>
      <w:bookmarkStart w:id="171" w:name="_Toc80205943"/>
      <w:bookmarkStart w:id="172" w:name="_Toc19175"/>
      <w:r>
        <w:rPr>
          <w:rFonts w:hint="eastAsia" w:ascii="宋体" w:hAnsi="宋体" w:eastAsia="宋体" w:cs="Times New Roman"/>
          <w:color w:val="auto"/>
          <w:kern w:val="44"/>
          <w:sz w:val="44"/>
          <w:szCs w:val="44"/>
          <w:highlight w:val="none"/>
          <w:lang w:val="zh-CN"/>
        </w:rPr>
        <w:t>第六章 合同文本</w:t>
      </w:r>
      <w:bookmarkEnd w:id="164"/>
      <w:bookmarkEnd w:id="165"/>
      <w:bookmarkEnd w:id="166"/>
      <w:bookmarkEnd w:id="167"/>
      <w:bookmarkEnd w:id="168"/>
      <w:bookmarkEnd w:id="169"/>
      <w:bookmarkEnd w:id="170"/>
      <w:bookmarkEnd w:id="171"/>
    </w:p>
    <w:bookmarkEnd w:id="172"/>
    <w:p>
      <w:pPr>
        <w:keepNext/>
        <w:keepLines/>
        <w:spacing w:before="340" w:after="330" w:line="578" w:lineRule="auto"/>
        <w:jc w:val="center"/>
        <w:outlineLvl w:val="0"/>
        <w:rPr>
          <w:rFonts w:ascii="仿宋_GB2312" w:hAnsi="楷体" w:eastAsia="仿宋_GB2312" w:cs="Times New Roman"/>
          <w:b/>
          <w:bCs/>
          <w:color w:val="auto"/>
          <w:kern w:val="44"/>
          <w:sz w:val="24"/>
          <w:szCs w:val="44"/>
          <w:highlight w:val="none"/>
          <w:u w:val="single"/>
          <w:lang w:val="zh-CN"/>
        </w:rPr>
      </w:pPr>
    </w:p>
    <w:p>
      <w:pPr>
        <w:jc w:val="left"/>
        <w:rPr>
          <w:rFonts w:ascii="宋体" w:hAnsi="宋体"/>
          <w:b/>
          <w:color w:val="auto"/>
          <w:sz w:val="24"/>
          <w:szCs w:val="24"/>
          <w:highlight w:val="none"/>
        </w:rPr>
      </w:pPr>
      <w:r>
        <w:rPr>
          <w:rFonts w:hint="eastAsia" w:ascii="宋体" w:hAnsi="宋体"/>
          <w:b/>
          <w:color w:val="auto"/>
          <w:sz w:val="24"/>
          <w:szCs w:val="24"/>
          <w:highlight w:val="none"/>
        </w:rPr>
        <w:br w:type="page"/>
      </w:r>
    </w:p>
    <w:p>
      <w:pPr>
        <w:spacing w:line="360" w:lineRule="exact"/>
        <w:rPr>
          <w:rFonts w:ascii="宋体" w:hAnsi="宋体" w:eastAsia="宋体" w:cs="Courier New"/>
          <w:b/>
          <w:i/>
          <w:iCs/>
          <w:color w:val="auto"/>
          <w:sz w:val="32"/>
          <w:szCs w:val="32"/>
          <w:highlight w:val="none"/>
        </w:rPr>
      </w:pPr>
    </w:p>
    <w:p>
      <w:pPr>
        <w:snapToGrid w:val="0"/>
        <w:spacing w:line="400" w:lineRule="exact"/>
        <w:jc w:val="center"/>
        <w:rPr>
          <w:rFonts w:ascii="宋体" w:hAnsi="宋体"/>
          <w:b/>
          <w:bCs/>
          <w:color w:val="auto"/>
          <w:sz w:val="32"/>
          <w:szCs w:val="32"/>
          <w:highlight w:val="none"/>
        </w:rPr>
      </w:pPr>
    </w:p>
    <w:p>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firstLine="5250" w:firstLineChars="2500"/>
        <w:rPr>
          <w:rFonts w:ascii="宋体" w:hAnsi="宋体"/>
          <w:bCs/>
          <w:color w:val="auto"/>
          <w:szCs w:val="21"/>
          <w:highlight w:val="none"/>
        </w:rPr>
      </w:pPr>
    </w:p>
    <w:p>
      <w:pPr>
        <w:snapToGrid w:val="0"/>
        <w:spacing w:line="360" w:lineRule="auto"/>
        <w:ind w:right="480" w:firstLine="4410" w:firstLineChars="21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合同编号：</w:t>
      </w:r>
      <w:r>
        <w:rPr>
          <w:rFonts w:hint="eastAsia" w:asciiTheme="minorEastAsia" w:hAnsiTheme="minorEastAsia" w:cstheme="minorEastAsia"/>
          <w:color w:val="auto"/>
          <w:szCs w:val="21"/>
          <w:highlight w:val="none"/>
          <w:u w:val="single"/>
        </w:rPr>
        <w:t xml:space="preserve">                 </w:t>
      </w:r>
    </w:p>
    <w:p>
      <w:pPr>
        <w:pStyle w:val="21"/>
        <w:spacing w:line="360" w:lineRule="auto"/>
        <w:ind w:firstLine="4410" w:firstLineChars="2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采购计划号：</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line="400" w:lineRule="exact"/>
        <w:rPr>
          <w:rFonts w:asciiTheme="minorEastAsia" w:hAnsiTheme="minorEastAsia" w:cstheme="minorEastAsia"/>
          <w:color w:val="auto"/>
          <w:szCs w:val="21"/>
          <w:highlight w:val="none"/>
        </w:rPr>
      </w:pPr>
    </w:p>
    <w:p>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采购人（甲方）：</w:t>
      </w:r>
      <w:r>
        <w:rPr>
          <w:rFonts w:hint="eastAsia" w:asciiTheme="minorEastAsia" w:hAnsiTheme="minorEastAsia" w:cstheme="minorEastAsia"/>
          <w:color w:val="auto"/>
          <w:szCs w:val="21"/>
          <w:highlight w:val="none"/>
          <w:u w:val="single"/>
        </w:rPr>
        <w:t xml:space="preserve">                          </w:t>
      </w:r>
    </w:p>
    <w:p>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成交供应商（乙方）：</w:t>
      </w:r>
      <w:r>
        <w:rPr>
          <w:rFonts w:hint="eastAsia" w:asciiTheme="minorEastAsia" w:hAnsiTheme="minorEastAsia" w:cstheme="minorEastAsia"/>
          <w:color w:val="auto"/>
          <w:szCs w:val="21"/>
          <w:highlight w:val="none"/>
          <w:u w:val="single"/>
        </w:rPr>
        <w:t xml:space="preserve">                          </w:t>
      </w:r>
    </w:p>
    <w:p>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u w:val="single"/>
        </w:rPr>
        <w:t xml:space="preserve">                               </w:t>
      </w:r>
    </w:p>
    <w:p>
      <w:pPr>
        <w:snapToGrid w:val="0"/>
        <w:spacing w:line="360" w:lineRule="auto"/>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项目编号：</w:t>
      </w:r>
      <w:r>
        <w:rPr>
          <w:rFonts w:hint="eastAsia" w:asciiTheme="minorEastAsia" w:hAnsiTheme="minorEastAsia" w:cstheme="minorEastAsia"/>
          <w:color w:val="auto"/>
          <w:szCs w:val="21"/>
          <w:highlight w:val="none"/>
          <w:u w:val="single"/>
        </w:rPr>
        <w:t xml:space="preserve">                               </w:t>
      </w:r>
    </w:p>
    <w:p>
      <w:pPr>
        <w:snapToGrid w:val="0"/>
        <w:spacing w:line="360" w:lineRule="auto"/>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签订地点：</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签订时间：</w:t>
      </w:r>
      <w:r>
        <w:rPr>
          <w:rFonts w:hint="eastAsia" w:asciiTheme="minorEastAsia" w:hAnsiTheme="minorEastAsia" w:cstheme="minorEastAsia"/>
          <w:color w:val="auto"/>
          <w:szCs w:val="21"/>
          <w:highlight w:val="none"/>
          <w:u w:val="single"/>
        </w:rPr>
        <w:t xml:space="preserve">              </w:t>
      </w:r>
    </w:p>
    <w:p>
      <w:pPr>
        <w:snapToGrid w:val="0"/>
        <w:spacing w:line="360" w:lineRule="auto"/>
        <w:ind w:firstLine="420" w:firstLineChars="200"/>
        <w:rPr>
          <w:rFonts w:asciiTheme="minorEastAsia" w:hAnsiTheme="minorEastAsia" w:cstheme="minorEastAsia"/>
          <w:color w:val="auto"/>
          <w:szCs w:val="21"/>
          <w:highlight w:val="none"/>
        </w:rPr>
      </w:pPr>
    </w:p>
    <w:p>
      <w:pPr>
        <w:snapToGrid w:val="0"/>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根据《中华人民共和国政府采购法》《中华人民共和国民法典》等法律、法规规定，按照竞争性谈判文件规定条款和成交供应商承诺，甲乙双方签订本合同。</w:t>
      </w:r>
    </w:p>
    <w:p>
      <w:pPr>
        <w:snapToGrid w:val="0"/>
        <w:spacing w:line="360" w:lineRule="auto"/>
        <w:ind w:firstLine="422" w:firstLineChars="200"/>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第一条　合同标的</w:t>
      </w:r>
    </w:p>
    <w:p>
      <w:pPr>
        <w:snapToGrid w:val="0"/>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1.合同总金额：</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w:t>
      </w:r>
    </w:p>
    <w:p>
      <w:pPr>
        <w:snapToGrid w:val="0"/>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2.供货一览表</w:t>
      </w:r>
    </w:p>
    <w:tbl>
      <w:tblPr>
        <w:tblStyle w:val="29"/>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序号</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标的名称</w:t>
            </w:r>
          </w:p>
        </w:tc>
        <w:tc>
          <w:tcPr>
            <w:tcW w:w="105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品牌</w:t>
            </w:r>
          </w:p>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（如有）</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规格型号</w:t>
            </w:r>
          </w:p>
        </w:tc>
        <w:tc>
          <w:tcPr>
            <w:tcW w:w="1210"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生产厂家</w:t>
            </w:r>
          </w:p>
        </w:tc>
        <w:tc>
          <w:tcPr>
            <w:tcW w:w="737"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单位</w:t>
            </w:r>
          </w:p>
        </w:tc>
        <w:tc>
          <w:tcPr>
            <w:tcW w:w="735"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数量①</w:t>
            </w:r>
          </w:p>
        </w:tc>
        <w:tc>
          <w:tcPr>
            <w:tcW w:w="1285"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单价（元）②</w:t>
            </w:r>
          </w:p>
        </w:tc>
        <w:tc>
          <w:tcPr>
            <w:tcW w:w="1500"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单项合计（元）</w:t>
            </w:r>
          </w:p>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③＝①X②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059" w:type="dxa"/>
            <w:vAlign w:val="center"/>
          </w:tcPr>
          <w:p>
            <w:pPr>
              <w:snapToGrid w:val="0"/>
              <w:spacing w:line="360" w:lineRule="auto"/>
              <w:jc w:val="center"/>
              <w:rPr>
                <w:rFonts w:asciiTheme="minorEastAsia" w:hAnsiTheme="minorEastAsia" w:cstheme="minorEastAsia"/>
                <w:color w:val="auto"/>
                <w:szCs w:val="21"/>
                <w:highlight w:val="none"/>
              </w:rPr>
            </w:pP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210" w:type="dxa"/>
          </w:tcPr>
          <w:p>
            <w:pPr>
              <w:snapToGrid w:val="0"/>
              <w:spacing w:line="360" w:lineRule="auto"/>
              <w:jc w:val="center"/>
              <w:rPr>
                <w:rFonts w:asciiTheme="minorEastAsia" w:hAnsiTheme="minorEastAsia" w:cstheme="minorEastAsia"/>
                <w:color w:val="auto"/>
                <w:szCs w:val="21"/>
                <w:highlight w:val="none"/>
              </w:rPr>
            </w:pPr>
          </w:p>
        </w:tc>
        <w:tc>
          <w:tcPr>
            <w:tcW w:w="737" w:type="dxa"/>
          </w:tcPr>
          <w:p>
            <w:pPr>
              <w:snapToGrid w:val="0"/>
              <w:spacing w:line="360" w:lineRule="auto"/>
              <w:jc w:val="center"/>
              <w:rPr>
                <w:rFonts w:asciiTheme="minorEastAsia" w:hAnsiTheme="minorEastAsia" w:cstheme="minorEastAsia"/>
                <w:color w:val="auto"/>
                <w:szCs w:val="21"/>
                <w:highlight w:val="none"/>
              </w:rPr>
            </w:pPr>
          </w:p>
        </w:tc>
        <w:tc>
          <w:tcPr>
            <w:tcW w:w="735" w:type="dxa"/>
          </w:tcPr>
          <w:p>
            <w:pPr>
              <w:snapToGrid w:val="0"/>
              <w:spacing w:line="360" w:lineRule="auto"/>
              <w:jc w:val="center"/>
              <w:rPr>
                <w:rFonts w:asciiTheme="minorEastAsia" w:hAnsiTheme="minorEastAsia" w:cstheme="minorEastAsia"/>
                <w:color w:val="auto"/>
                <w:szCs w:val="21"/>
                <w:highlight w:val="none"/>
              </w:rPr>
            </w:pPr>
          </w:p>
        </w:tc>
        <w:tc>
          <w:tcPr>
            <w:tcW w:w="1285" w:type="dxa"/>
            <w:vAlign w:val="center"/>
          </w:tcPr>
          <w:p>
            <w:pPr>
              <w:snapToGrid w:val="0"/>
              <w:spacing w:line="360" w:lineRule="auto"/>
              <w:jc w:val="center"/>
              <w:rPr>
                <w:rFonts w:asciiTheme="minorEastAsia" w:hAnsiTheme="minorEastAsia" w:cstheme="minorEastAsia"/>
                <w:color w:val="auto"/>
                <w:szCs w:val="21"/>
                <w:highlight w:val="none"/>
              </w:rPr>
            </w:pPr>
          </w:p>
        </w:tc>
        <w:tc>
          <w:tcPr>
            <w:tcW w:w="1500" w:type="dxa"/>
            <w:vAlign w:val="center"/>
          </w:tcPr>
          <w:p>
            <w:pPr>
              <w:snapToGrid w:val="0"/>
              <w:spacing w:line="360" w:lineRule="auto"/>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059" w:type="dxa"/>
            <w:vAlign w:val="center"/>
          </w:tcPr>
          <w:p>
            <w:pPr>
              <w:snapToGrid w:val="0"/>
              <w:spacing w:line="360" w:lineRule="auto"/>
              <w:jc w:val="center"/>
              <w:rPr>
                <w:rFonts w:asciiTheme="minorEastAsia" w:hAnsiTheme="minorEastAsia" w:cstheme="minorEastAsia"/>
                <w:color w:val="auto"/>
                <w:szCs w:val="21"/>
                <w:highlight w:val="none"/>
              </w:rPr>
            </w:pP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210" w:type="dxa"/>
          </w:tcPr>
          <w:p>
            <w:pPr>
              <w:snapToGrid w:val="0"/>
              <w:spacing w:line="360" w:lineRule="auto"/>
              <w:jc w:val="center"/>
              <w:rPr>
                <w:rFonts w:asciiTheme="minorEastAsia" w:hAnsiTheme="minorEastAsia" w:cstheme="minorEastAsia"/>
                <w:color w:val="auto"/>
                <w:szCs w:val="21"/>
                <w:highlight w:val="none"/>
              </w:rPr>
            </w:pPr>
          </w:p>
        </w:tc>
        <w:tc>
          <w:tcPr>
            <w:tcW w:w="737" w:type="dxa"/>
          </w:tcPr>
          <w:p>
            <w:pPr>
              <w:snapToGrid w:val="0"/>
              <w:spacing w:line="360" w:lineRule="auto"/>
              <w:jc w:val="center"/>
              <w:rPr>
                <w:rFonts w:asciiTheme="minorEastAsia" w:hAnsiTheme="minorEastAsia" w:cstheme="minorEastAsia"/>
                <w:color w:val="auto"/>
                <w:szCs w:val="21"/>
                <w:highlight w:val="none"/>
              </w:rPr>
            </w:pPr>
          </w:p>
        </w:tc>
        <w:tc>
          <w:tcPr>
            <w:tcW w:w="735" w:type="dxa"/>
          </w:tcPr>
          <w:p>
            <w:pPr>
              <w:snapToGrid w:val="0"/>
              <w:spacing w:line="360" w:lineRule="auto"/>
              <w:jc w:val="center"/>
              <w:rPr>
                <w:rFonts w:asciiTheme="minorEastAsia" w:hAnsiTheme="minorEastAsia" w:cstheme="minorEastAsia"/>
                <w:color w:val="auto"/>
                <w:szCs w:val="21"/>
                <w:highlight w:val="none"/>
              </w:rPr>
            </w:pPr>
          </w:p>
        </w:tc>
        <w:tc>
          <w:tcPr>
            <w:tcW w:w="1285" w:type="dxa"/>
            <w:vAlign w:val="center"/>
          </w:tcPr>
          <w:p>
            <w:pPr>
              <w:snapToGrid w:val="0"/>
              <w:spacing w:line="360" w:lineRule="auto"/>
              <w:jc w:val="center"/>
              <w:rPr>
                <w:rFonts w:asciiTheme="minorEastAsia" w:hAnsiTheme="minorEastAsia" w:cstheme="minorEastAsia"/>
                <w:color w:val="auto"/>
                <w:szCs w:val="21"/>
                <w:highlight w:val="none"/>
              </w:rPr>
            </w:pPr>
          </w:p>
        </w:tc>
        <w:tc>
          <w:tcPr>
            <w:tcW w:w="1500" w:type="dxa"/>
            <w:vAlign w:val="center"/>
          </w:tcPr>
          <w:p>
            <w:pPr>
              <w:snapToGrid w:val="0"/>
              <w:spacing w:line="360" w:lineRule="auto"/>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059" w:type="dxa"/>
            <w:vAlign w:val="center"/>
          </w:tcPr>
          <w:p>
            <w:pPr>
              <w:snapToGrid w:val="0"/>
              <w:spacing w:line="360" w:lineRule="auto"/>
              <w:jc w:val="center"/>
              <w:rPr>
                <w:rFonts w:asciiTheme="minorEastAsia" w:hAnsiTheme="minorEastAsia" w:cstheme="minorEastAsia"/>
                <w:color w:val="auto"/>
                <w:szCs w:val="21"/>
                <w:highlight w:val="none"/>
              </w:rPr>
            </w:pP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210" w:type="dxa"/>
          </w:tcPr>
          <w:p>
            <w:pPr>
              <w:snapToGrid w:val="0"/>
              <w:spacing w:line="360" w:lineRule="auto"/>
              <w:jc w:val="center"/>
              <w:rPr>
                <w:rFonts w:asciiTheme="minorEastAsia" w:hAnsiTheme="minorEastAsia" w:cstheme="minorEastAsia"/>
                <w:color w:val="auto"/>
                <w:szCs w:val="21"/>
                <w:highlight w:val="none"/>
              </w:rPr>
            </w:pPr>
          </w:p>
        </w:tc>
        <w:tc>
          <w:tcPr>
            <w:tcW w:w="737" w:type="dxa"/>
          </w:tcPr>
          <w:p>
            <w:pPr>
              <w:snapToGrid w:val="0"/>
              <w:spacing w:line="360" w:lineRule="auto"/>
              <w:jc w:val="center"/>
              <w:rPr>
                <w:rFonts w:asciiTheme="minorEastAsia" w:hAnsiTheme="minorEastAsia" w:cstheme="minorEastAsia"/>
                <w:color w:val="auto"/>
                <w:szCs w:val="21"/>
                <w:highlight w:val="none"/>
              </w:rPr>
            </w:pPr>
          </w:p>
        </w:tc>
        <w:tc>
          <w:tcPr>
            <w:tcW w:w="735" w:type="dxa"/>
          </w:tcPr>
          <w:p>
            <w:pPr>
              <w:snapToGrid w:val="0"/>
              <w:spacing w:line="360" w:lineRule="auto"/>
              <w:jc w:val="center"/>
              <w:rPr>
                <w:rFonts w:asciiTheme="minorEastAsia" w:hAnsiTheme="minorEastAsia" w:cstheme="minorEastAsia"/>
                <w:color w:val="auto"/>
                <w:szCs w:val="21"/>
                <w:highlight w:val="none"/>
              </w:rPr>
            </w:pPr>
          </w:p>
        </w:tc>
        <w:tc>
          <w:tcPr>
            <w:tcW w:w="1285" w:type="dxa"/>
            <w:vAlign w:val="center"/>
          </w:tcPr>
          <w:p>
            <w:pPr>
              <w:snapToGrid w:val="0"/>
              <w:spacing w:line="360" w:lineRule="auto"/>
              <w:jc w:val="center"/>
              <w:rPr>
                <w:rFonts w:asciiTheme="minorEastAsia" w:hAnsiTheme="minorEastAsia" w:cstheme="minorEastAsia"/>
                <w:color w:val="auto"/>
                <w:szCs w:val="21"/>
                <w:highlight w:val="none"/>
              </w:rPr>
            </w:pPr>
          </w:p>
        </w:tc>
        <w:tc>
          <w:tcPr>
            <w:tcW w:w="1500" w:type="dxa"/>
            <w:vAlign w:val="center"/>
          </w:tcPr>
          <w:p>
            <w:pPr>
              <w:snapToGrid w:val="0"/>
              <w:spacing w:line="360" w:lineRule="auto"/>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合同总金额：（大写）</w:t>
            </w:r>
            <w:r>
              <w:rPr>
                <w:rFonts w:hint="eastAsia" w:asciiTheme="minorEastAsia" w:hAnsiTheme="minorEastAsia" w:cstheme="minorEastAsia"/>
                <w:color w:val="auto"/>
                <w:szCs w:val="21"/>
                <w:highlight w:val="none"/>
                <w:u w:val="single"/>
              </w:rPr>
              <w:t xml:space="preserve">人民币           </w:t>
            </w:r>
            <w:r>
              <w:rPr>
                <w:rFonts w:hint="eastAsia" w:asciiTheme="minorEastAsia" w:hAnsiTheme="minorEastAsia" w:cstheme="minorEastAsia"/>
                <w:color w:val="auto"/>
                <w:szCs w:val="21"/>
                <w:highlight w:val="none"/>
              </w:rPr>
              <w:t>（小写）¥</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w:t>
            </w:r>
          </w:p>
        </w:tc>
      </w:tr>
    </w:tbl>
    <w:p>
      <w:pPr>
        <w:snapToGrid w:val="0"/>
        <w:spacing w:line="360" w:lineRule="auto"/>
        <w:ind w:right="420"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3.合同总金额包括货物价款及标准附件、备品备件、专用工具的价格；运输、装卸、技术支持、售后服务等费用；必要的保险费用和各项税费；设备安装费用；验收费用等。</w:t>
      </w:r>
    </w:p>
    <w:p>
      <w:pPr>
        <w:snapToGrid w:val="0"/>
        <w:spacing w:line="44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第二条　质量要求</w:t>
      </w:r>
    </w:p>
    <w:p>
      <w:pPr>
        <w:snapToGrid w:val="0"/>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40" w:lineRule="exact"/>
        <w:ind w:firstLine="420" w:firstLineChars="200"/>
        <w:rPr>
          <w:rFonts w:ascii="宋体" w:hAnsi="宋体" w:cs="宋体"/>
          <w:color w:val="auto"/>
          <w:szCs w:val="21"/>
          <w:highlight w:val="none"/>
          <w:u w:val="single"/>
        </w:rPr>
      </w:pPr>
      <w:r>
        <w:rPr>
          <w:rFonts w:hint="eastAsia" w:asciiTheme="minorEastAsia" w:hAnsiTheme="minorEastAsia" w:cstheme="minorEastAsia"/>
          <w:color w:val="auto"/>
          <w:szCs w:val="21"/>
          <w:highlight w:val="none"/>
        </w:rPr>
        <w:t>2.乙方所提供的货物必须是全新、未使用的原装产品，且在正常安装、使用和保养条件下，其</w:t>
      </w:r>
      <w:r>
        <w:rPr>
          <w:rFonts w:hint="eastAsia" w:ascii="宋体" w:hAnsi="宋体" w:cs="宋体"/>
          <w:color w:val="auto"/>
          <w:szCs w:val="21"/>
          <w:highlight w:val="none"/>
        </w:rPr>
        <w:t>使用寿命期内各项指标均达到竞争性谈判文件规定或者响应文件承诺的质量要求。</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1.乙方应保证所提供货物在使用时不会侵犯任何第三方的专利权、商标权、工业设计权或者其他权利。</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2.乙方应按竞争性谈判文件规定或者响应文件承诺的时间向甲方提供使用货物的有关技术资料。</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4.乙方保证将要交付的货物的所有权完全属于乙方且无任何抵押、质押、查封等产权瑕疵。</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w:t>
      </w:r>
    </w:p>
    <w:p>
      <w:pPr>
        <w:snapToGrid w:val="0"/>
        <w:spacing w:line="440" w:lineRule="exact"/>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1.交付时间：</w:t>
      </w:r>
      <w:r>
        <w:rPr>
          <w:rFonts w:hint="eastAsia" w:ascii="宋体" w:hAnsi="宋体" w:cs="宋体"/>
          <w:color w:val="auto"/>
          <w:szCs w:val="21"/>
          <w:highlight w:val="none"/>
          <w:u w:val="single"/>
        </w:rPr>
        <w:t>自合同签订之日起    个工作日内交付并完成所有的安装及调试</w:t>
      </w:r>
      <w:r>
        <w:rPr>
          <w:rFonts w:hint="eastAsia" w:ascii="宋体" w:hAnsi="宋体" w:cs="宋体"/>
          <w:color w:val="auto"/>
          <w:szCs w:val="21"/>
          <w:highlight w:val="none"/>
        </w:rPr>
        <w:t>。</w:t>
      </w:r>
    </w:p>
    <w:p>
      <w:pPr>
        <w:snapToGrid w:val="0"/>
        <w:spacing w:line="440" w:lineRule="exact"/>
        <w:ind w:firstLine="630" w:firstLineChars="300"/>
        <w:rPr>
          <w:rFonts w:ascii="宋体" w:hAnsi="宋体"/>
          <w:color w:val="auto"/>
          <w:szCs w:val="21"/>
          <w:highlight w:val="none"/>
        </w:rPr>
      </w:pPr>
      <w:r>
        <w:rPr>
          <w:rFonts w:hint="eastAsia" w:ascii="宋体" w:hAnsi="宋体" w:cs="宋体"/>
          <w:color w:val="auto"/>
          <w:szCs w:val="21"/>
          <w:highlight w:val="none"/>
        </w:rPr>
        <w:t>交付地点：</w:t>
      </w:r>
      <w:r>
        <w:rPr>
          <w:rFonts w:hint="eastAsia" w:ascii="宋体" w:hAnsi="宋体"/>
          <w:color w:val="auto"/>
          <w:szCs w:val="21"/>
          <w:highlight w:val="none"/>
          <w:u w:val="single"/>
        </w:rPr>
        <w:t>广西工业职业技术学院武鸣校区：广西南宁市武鸣区城厢镇凤鸣路83号</w:t>
      </w:r>
      <w:r>
        <w:rPr>
          <w:rFonts w:hint="eastAsia" w:ascii="宋体" w:hAnsi="宋体"/>
          <w:color w:val="auto"/>
          <w:szCs w:val="21"/>
          <w:highlight w:val="none"/>
        </w:rPr>
        <w:t>。</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2.乙方提供不符合竞争性谈判文件规定或者响应文件承诺的和本合同规定的货物，甲方有权拒绝接受。</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3.乙方应将所提供货物的装箱清单、用户手册、原厂保修卡、随机资料、工具和备品、备件等交付给甲方，如有缺失应在2日内补齐，否则视为逾期交货。</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乙方在首次供货时，必须随货提供生产厂家针对供货产品的售后保证声明原件，否则甲方不予签收。如7天内不能按要求提供售后保证声明原件，</w:t>
      </w:r>
      <w:r>
        <w:rPr>
          <w:rFonts w:hint="eastAsia"/>
          <w:color w:val="auto"/>
          <w:highlight w:val="none"/>
        </w:rPr>
        <w:t>甲方有权单方面终止合同，乙方已收取的合同款项退还甲方；乙方提交的履约保证金不予退还，并且甲方保留追究乙方虚假应标的法律责任</w:t>
      </w:r>
      <w:r>
        <w:rPr>
          <w:rFonts w:hint="eastAsia" w:ascii="宋体" w:hAnsi="宋体"/>
          <w:color w:val="auto"/>
          <w:szCs w:val="21"/>
          <w:highlight w:val="none"/>
        </w:rPr>
        <w:t>。</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安装和培训</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2.乙方响应文件承诺负责甲方有关人员的培训。培训时间、地点：</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售后服务</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1.乙方应按照国家有关法律法规和“三包”规定以及本合同所附的《服务承诺》，为甲方提供售后服务。</w:t>
      </w:r>
    </w:p>
    <w:p>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2.乙方提供的服务承诺和售后服务及保修期责任等其他具体约定事项。（见合同附件）</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第七条　付款方式</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1.当采购数量与实际使用数量不一致时，</w:t>
      </w:r>
      <w:r>
        <w:rPr>
          <w:rFonts w:hint="eastAsia" w:ascii="宋体" w:hAnsi="宋体" w:eastAsia="宋体" w:cs="宋体"/>
          <w:color w:val="auto"/>
          <w:kern w:val="0"/>
          <w:szCs w:val="21"/>
          <w:highlight w:val="none"/>
          <w:lang w:eastAsia="zh-Hans"/>
        </w:rPr>
        <w:t>甲方书面向乙方增加采购数量</w:t>
      </w:r>
      <w:r>
        <w:rPr>
          <w:rFonts w:hint="eastAsia" w:ascii="宋体" w:hAnsi="宋体" w:eastAsia="宋体" w:cs="宋体"/>
          <w:color w:val="auto"/>
          <w:kern w:val="0"/>
          <w:szCs w:val="21"/>
          <w:highlight w:val="none"/>
          <w:lang w:val="zh-CN"/>
        </w:rPr>
        <w:t>，乙方应根据实际使用量供货，甲方按</w:t>
      </w:r>
      <w:r>
        <w:rPr>
          <w:rFonts w:hint="eastAsia" w:ascii="宋体" w:hAnsi="宋体" w:eastAsia="宋体" w:cs="宋体"/>
          <w:color w:val="auto"/>
          <w:kern w:val="0"/>
          <w:szCs w:val="21"/>
          <w:highlight w:val="none"/>
        </w:rPr>
        <w:t>实际数量</w:t>
      </w:r>
      <w:r>
        <w:rPr>
          <w:rFonts w:hint="eastAsia" w:ascii="宋体" w:hAnsi="宋体" w:eastAsia="宋体" w:cs="宋体"/>
          <w:color w:val="auto"/>
          <w:kern w:val="0"/>
          <w:szCs w:val="21"/>
          <w:highlight w:val="none"/>
          <w:lang w:val="zh-CN"/>
        </w:rPr>
        <w:t>确定最终合同支付金额。合同的最终</w:t>
      </w:r>
      <w:r>
        <w:rPr>
          <w:rFonts w:hint="eastAsia" w:ascii="宋体" w:hAnsi="宋体" w:eastAsia="宋体" w:cs="宋体"/>
          <w:color w:val="auto"/>
          <w:kern w:val="0"/>
          <w:szCs w:val="21"/>
          <w:highlight w:val="none"/>
        </w:rPr>
        <w:t>支付</w:t>
      </w:r>
      <w:r>
        <w:rPr>
          <w:rFonts w:hint="eastAsia" w:ascii="宋体" w:hAnsi="宋体" w:eastAsia="宋体" w:cs="宋体"/>
          <w:color w:val="auto"/>
          <w:kern w:val="0"/>
          <w:szCs w:val="21"/>
          <w:highlight w:val="none"/>
          <w:lang w:val="zh-CN"/>
        </w:rPr>
        <w:t>金额按实际使用量乘以</w:t>
      </w:r>
      <w:r>
        <w:rPr>
          <w:rFonts w:hint="eastAsia" w:ascii="宋体" w:hAnsi="宋体" w:eastAsia="宋体" w:cs="宋体"/>
          <w:color w:val="auto"/>
          <w:kern w:val="0"/>
          <w:szCs w:val="21"/>
          <w:highlight w:val="none"/>
        </w:rPr>
        <w:t>对应标的成交</w:t>
      </w:r>
      <w:r>
        <w:rPr>
          <w:rFonts w:hint="eastAsia" w:ascii="宋体" w:hAnsi="宋体" w:eastAsia="宋体" w:cs="宋体"/>
          <w:color w:val="auto"/>
          <w:kern w:val="0"/>
          <w:szCs w:val="21"/>
          <w:highlight w:val="none"/>
          <w:lang w:val="zh-CN"/>
        </w:rPr>
        <w:t>单价进行计算，但不得超出合同总价的10%，超过10%的按10%计算。</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2.</w:t>
      </w:r>
      <w:r>
        <w:rPr>
          <w:rFonts w:hint="eastAsia" w:ascii="宋体" w:hAnsi="宋体" w:eastAsia="宋体" w:cs="宋体"/>
          <w:color w:val="auto"/>
          <w:kern w:val="0"/>
          <w:szCs w:val="21"/>
          <w:highlight w:val="none"/>
          <w:lang w:val="zh-CN"/>
        </w:rPr>
        <w:t>付款方式</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（1）预付款；合同生效、担保措施生效以及实施条件具备后10个工作日内，支付合同总金额的30%；项目实施完毕且验收通过后，支付至合同总金额的100%。</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甲方</w:t>
      </w:r>
      <w:r>
        <w:rPr>
          <w:rFonts w:hint="eastAsia" w:ascii="宋体" w:hAnsi="宋体" w:eastAsia="宋体" w:cs="宋体"/>
          <w:color w:val="auto"/>
          <w:kern w:val="0"/>
          <w:szCs w:val="21"/>
          <w:highlight w:val="none"/>
          <w:lang w:val="zh-CN"/>
        </w:rPr>
        <w:t>付款前，</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val="zh-CN"/>
        </w:rPr>
        <w:t>应向甲方开具等额有效的增值税发票，甲方未收到合格有效发票的，有权不予支付相应款项直至乙方提供合格发票，并不承担延迟付款责任。发票认证通过是付款的必要前提之一。</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（3）付款方式：银行转账。</w:t>
      </w:r>
    </w:p>
    <w:p>
      <w:pPr>
        <w:snapToGrid w:val="0"/>
        <w:spacing w:line="440" w:lineRule="exact"/>
        <w:ind w:firstLine="402" w:firstLineChars="200"/>
        <w:rPr>
          <w:rFonts w:ascii="宋体" w:hAnsi="宋体" w:eastAsia="宋体" w:cs="宋体"/>
          <w:b/>
          <w:color w:val="auto"/>
          <w:kern w:val="0"/>
          <w:sz w:val="20"/>
          <w:szCs w:val="21"/>
          <w:highlight w:val="none"/>
          <w:lang w:val="zh-CN"/>
        </w:rPr>
      </w:pPr>
      <w:r>
        <w:rPr>
          <w:rFonts w:hint="eastAsia" w:ascii="宋体" w:hAnsi="宋体" w:eastAsia="宋体" w:cs="宋体"/>
          <w:b/>
          <w:color w:val="auto"/>
          <w:kern w:val="0"/>
          <w:sz w:val="20"/>
          <w:szCs w:val="21"/>
          <w:highlight w:val="none"/>
          <w:lang w:val="zh-CN"/>
        </w:rPr>
        <w:t>第八条　履约保证金</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1.履约保证金金额：按成交金额的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2.履约保证金递交方式：乙方在签订合同前以银行转账、支票、汇票、本票或者金融机构、担保机构出具的保函等非现金方式向甲方提交。</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3.履约保证金退付方式、时间及条件：项目完成并验收合格，在乙方履行完合同约定的权利义务事项后且乙方无违约情形的，由乙方向甲方财务部门提供审签完成的《采购项目合同验收书》（格式见详见第五章，规定详见桂财采〔2015〕22号）及《采购项目履约保证金退付意见书》（格式后附），甲方财务部门在收到合格材料后5个工作日内办理退还手续（不计利息）。如最终验收与合同不符，全部履约保证金不予退还，而且由乙方按合同标的额的30%承担违约责任，并承担甲方为此而支付的一切损失（包括但不限于律师费、公证费、鉴定费、诉讼费、保全费、公告费、诉讼财产保全责任险保费等一切费用）。</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开户名：广西工业职业技术学院</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开户行：广西北部湾银行南宁市衡阳路支行</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 xml:space="preserve">账  号：1702012200017200 </w:t>
      </w:r>
    </w:p>
    <w:p>
      <w:pPr>
        <w:snapToGrid w:val="0"/>
        <w:spacing w:line="440" w:lineRule="exact"/>
        <w:ind w:left="-61" w:firstLine="514"/>
        <w:rPr>
          <w:rFonts w:ascii="宋体" w:hAnsi="宋体" w:cs="宋体"/>
          <w:b/>
          <w:color w:val="auto"/>
          <w:szCs w:val="21"/>
          <w:highlight w:val="none"/>
        </w:rPr>
      </w:pPr>
      <w:r>
        <w:rPr>
          <w:rFonts w:hint="eastAsia" w:ascii="宋体" w:hAnsi="宋体" w:cs="宋体"/>
          <w:b/>
          <w:color w:val="auto"/>
          <w:szCs w:val="21"/>
          <w:highlight w:val="none"/>
        </w:rPr>
        <w:t>第九条  税费</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napToGrid w:val="0"/>
        <w:spacing w:line="440" w:lineRule="exact"/>
        <w:ind w:left="-61" w:firstLine="514"/>
        <w:rPr>
          <w:rFonts w:ascii="宋体" w:hAnsi="宋体" w:cs="宋体"/>
          <w:color w:val="auto"/>
          <w:szCs w:val="21"/>
          <w:highlight w:val="none"/>
        </w:rPr>
      </w:pPr>
      <w:r>
        <w:rPr>
          <w:rFonts w:hint="eastAsia" w:ascii="宋体" w:hAnsi="宋体" w:cs="宋体"/>
          <w:b/>
          <w:color w:val="auto"/>
          <w:szCs w:val="21"/>
          <w:highlight w:val="none"/>
        </w:rPr>
        <w:t>第十条  质量保证及售后服务</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1.</w:t>
      </w:r>
      <w:r>
        <w:rPr>
          <w:rFonts w:hint="eastAsia" w:ascii="宋体" w:hAnsi="宋体" w:eastAsia="宋体" w:cs="宋体"/>
          <w:color w:val="auto"/>
          <w:kern w:val="0"/>
          <w:szCs w:val="21"/>
          <w:highlight w:val="none"/>
          <w:lang w:val="zh-CN"/>
        </w:rPr>
        <w:t>乙方应按响应文件承诺的产品名称、商标品牌、生产厂家、规格型号、技术参数、质量标准向甲方提供未经使用的全新产品。不符合要求的，根据实际情况，经双方协商，可按以下办法处理：</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⑴更换：由乙方承担所发生的全部费用。</w:t>
      </w:r>
    </w:p>
    <w:p>
      <w:pPr>
        <w:snapToGri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⑵贬值处理：由甲乙双方合议定价。</w:t>
      </w:r>
    </w:p>
    <w:p>
      <w:pPr>
        <w:snapToGri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⑶退货处理：乙方应退还甲方支付的合同款，同时应承担该货物的直接费用（运输、保险、检验、货款利息及银行手续费等）。</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Times New Roman"/>
          <w:color w:val="auto"/>
          <w:kern w:val="0"/>
          <w:szCs w:val="21"/>
          <w:highlight w:val="none"/>
          <w:lang w:val="zh-CN"/>
        </w:rPr>
        <w:t>如在使用过程中发生质量问题，乙方在接到甲方通知后</w:t>
      </w:r>
      <w:r>
        <w:rPr>
          <w:rFonts w:hint="eastAsia" w:ascii="宋体" w:hAnsi="宋体" w:eastAsia="宋体" w:cs="Times New Roman"/>
          <w:color w:val="auto"/>
          <w:kern w:val="0"/>
          <w:szCs w:val="21"/>
          <w:highlight w:val="none"/>
          <w:u w:val="single"/>
          <w:lang w:val="zh-CN"/>
        </w:rPr>
        <w:t>按乙方响应文件承诺时间</w:t>
      </w:r>
      <w:r>
        <w:rPr>
          <w:rFonts w:hint="eastAsia" w:ascii="宋体" w:hAnsi="宋体" w:eastAsia="宋体" w:cs="Times New Roman"/>
          <w:color w:val="auto"/>
          <w:kern w:val="0"/>
          <w:szCs w:val="21"/>
          <w:highlight w:val="none"/>
          <w:lang w:val="zh-CN"/>
        </w:rPr>
        <w:t>到达甲方现场处理</w:t>
      </w:r>
      <w:r>
        <w:rPr>
          <w:rFonts w:hint="eastAsia" w:ascii="宋体" w:hAnsi="宋体" w:eastAsia="宋体" w:cs="宋体"/>
          <w:color w:val="auto"/>
          <w:kern w:val="0"/>
          <w:szCs w:val="21"/>
          <w:highlight w:val="none"/>
          <w:lang w:val="zh-CN"/>
        </w:rPr>
        <w:t>。</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3.在质保期内，乙方应对货物出现的质量及安全问题负责处理解决并承担一切费用。</w:t>
      </w:r>
    </w:p>
    <w:p>
      <w:pPr>
        <w:snapToGrid w:val="0"/>
        <w:spacing w:line="440" w:lineRule="exact"/>
        <w:ind w:left="-61" w:firstLine="514"/>
        <w:rPr>
          <w:rFonts w:ascii="宋体" w:hAnsi="宋体" w:cs="宋体"/>
          <w:color w:val="auto"/>
          <w:szCs w:val="21"/>
          <w:highlight w:val="none"/>
        </w:rPr>
      </w:pPr>
      <w:r>
        <w:rPr>
          <w:rFonts w:hint="eastAsia" w:ascii="宋体" w:hAnsi="宋体" w:cs="宋体"/>
          <w:b/>
          <w:color w:val="auto"/>
          <w:szCs w:val="21"/>
          <w:highlight w:val="none"/>
        </w:rPr>
        <w:t>第十一条  调试和验收</w:t>
      </w:r>
    </w:p>
    <w:p>
      <w:pPr>
        <w:snapToGrid w:val="0"/>
        <w:spacing w:line="44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甲方对乙方提交的货物依据谈判文件上的技术规格要求和国家有关质量标准进行现场初步验收，外观、说明书符合谈判文件技术要求的，给予签收，初步验收不合格的不予签收。货到后，甲方应当在到货（安装、调试完）后五个工作日内按照谈判文件上的验收标准、验收方法及方案进行测试验收。测试验收合格后由甲乙双方签署货物验收单并加盖甲方公章，甲乙双方各执一份。</w:t>
      </w:r>
    </w:p>
    <w:p>
      <w:pPr>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2.乙方交货前应对产品作出全面检查和对验收文件进行整理，并列出清单，作为甲方收货验收和使用的技术条件依据，检验的结果应随货物交甲方。</w:t>
      </w:r>
    </w:p>
    <w:p>
      <w:pPr>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3.对技术复杂的货物，甲方应请国家认可的专业检测机构参与初步验收及最终验收，并由其出具质量检测报告。</w:t>
      </w:r>
    </w:p>
    <w:p>
      <w:pPr>
        <w:snapToGrid w:val="0"/>
        <w:spacing w:line="440" w:lineRule="exact"/>
        <w:ind w:firstLine="420" w:firstLineChars="200"/>
        <w:rPr>
          <w:rFonts w:ascii="宋体" w:hAnsi="宋体" w:cs="宋体"/>
          <w:color w:val="auto"/>
          <w:highlight w:val="none"/>
        </w:rPr>
      </w:pPr>
      <w:r>
        <w:rPr>
          <w:rFonts w:hint="eastAsia" w:ascii="宋体" w:hAnsi="宋体"/>
          <w:color w:val="auto"/>
          <w:kern w:val="0"/>
          <w:szCs w:val="21"/>
          <w:highlight w:val="none"/>
        </w:rPr>
        <w:t>4.验收时乙方必须在场，验收完毕后作出验收结果报告，乙方不在场的，视为同意验收结果；</w:t>
      </w:r>
      <w:r>
        <w:rPr>
          <w:rFonts w:hint="eastAsia" w:ascii="宋体" w:hAnsi="宋体" w:cs="宋体"/>
          <w:color w:val="auto"/>
          <w:highlight w:val="none"/>
        </w:rPr>
        <w:t>验收费用由乙方负责。</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3 </w:t>
      </w:r>
      <w:r>
        <w:rPr>
          <w:rFonts w:hint="eastAsia" w:ascii="宋体" w:hAnsi="宋体"/>
          <w:color w:val="auto"/>
          <w:szCs w:val="21"/>
          <w:highlight w:val="none"/>
        </w:rPr>
        <w:t>日内及时予以解决。</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7.具体验收条款详见采购需求的商务条款。</w:t>
      </w:r>
    </w:p>
    <w:p>
      <w:pPr>
        <w:snapToGrid w:val="0"/>
        <w:spacing w:line="440" w:lineRule="exact"/>
        <w:ind w:firstLine="413" w:firstLineChars="196"/>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第十</w:t>
      </w:r>
      <w:r>
        <w:rPr>
          <w:rFonts w:hint="eastAsia" w:ascii="宋体" w:hAnsi="宋体" w:eastAsia="宋体" w:cs="宋体"/>
          <w:b/>
          <w:color w:val="auto"/>
          <w:kern w:val="0"/>
          <w:szCs w:val="21"/>
          <w:highlight w:val="none"/>
        </w:rPr>
        <w:t>二</w:t>
      </w:r>
      <w:r>
        <w:rPr>
          <w:rFonts w:hint="eastAsia" w:ascii="宋体" w:hAnsi="宋体" w:eastAsia="宋体" w:cs="宋体"/>
          <w:b/>
          <w:color w:val="auto"/>
          <w:kern w:val="0"/>
          <w:szCs w:val="21"/>
          <w:highlight w:val="none"/>
          <w:lang w:val="zh-CN"/>
        </w:rPr>
        <w:t>条  货物包装、发运及运输</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1.乙方提供的货物均应按谈判文件要求的包装材料、包装标准、包装方式进行包装，每一包装单元内应附详细的装箱单和质量合格证。货物的运输方式：不计。</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2.乙方负责货物运输，货物运输合理损耗及计算方法：损耗由乙方承担。</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3.乙方应在货物发运前对其进行满足运输距离、防潮、防震、防锈和防破损装卸等要求包装，以保证货物安全运达甲方指定地点。</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4.使用说明书、质量检验证明书、随配附件和工具以及清单一并附于货物内。</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5.乙方在货物发运手续办理完毕后二十四小时内或货到甲方四十八小时前通知甲方，以准备接货。</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6.货物在交付甲方前发生的风险均由乙方负责。</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7.货物在规定的交付期限内由乙方送达甲方指定的地点视为交付，乙方同时需通知甲方货物已送达。</w:t>
      </w:r>
    </w:p>
    <w:p>
      <w:pPr>
        <w:snapToGrid w:val="0"/>
        <w:spacing w:line="440" w:lineRule="exact"/>
        <w:ind w:firstLine="422" w:firstLineChars="200"/>
        <w:rPr>
          <w:rFonts w:ascii="宋体" w:hAnsi="宋体" w:cs="宋体"/>
          <w:b/>
          <w:color w:val="auto"/>
          <w:szCs w:val="21"/>
          <w:highlight w:val="none"/>
        </w:rPr>
      </w:pPr>
      <w:r>
        <w:rPr>
          <w:rFonts w:hint="eastAsia" w:ascii="宋体" w:hAnsi="宋体"/>
          <w:b/>
          <w:color w:val="auto"/>
          <w:szCs w:val="21"/>
          <w:highlight w:val="none"/>
        </w:rPr>
        <w:t>第十三条　</w:t>
      </w:r>
      <w:r>
        <w:rPr>
          <w:rFonts w:hint="eastAsia" w:ascii="宋体" w:hAnsi="宋体" w:cs="宋体"/>
          <w:b/>
          <w:color w:val="auto"/>
          <w:szCs w:val="21"/>
          <w:highlight w:val="none"/>
        </w:rPr>
        <w:t>保密义务</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乙方应对因签署本合同或在本合同履行期间获得的或收到甲方的商务、财务、技术、产品的信息、用户资料或其他标明保密的文件或信息的内容保守秘密，未经甲方书面同意，不得向本合同以外的任何第三方披露。保密资料接受方可仅为本合同目的向其确有知悉必要的工作人员披露甲方提供的保密资料，但同时须告知其工作人员遵守本条规定的保密及非经对方书面同意不得擅自披露的义务。乙方应仅为本合同目的而复制和使用保密资料。</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bCs/>
          <w:color w:val="auto"/>
          <w:kern w:val="0"/>
          <w:highlight w:val="none"/>
        </w:rPr>
        <w:t>第十四条</w:t>
      </w:r>
      <w:r>
        <w:rPr>
          <w:rFonts w:ascii="宋体" w:hAnsi="宋体" w:cs="宋体"/>
          <w:b/>
          <w:bCs/>
          <w:color w:val="auto"/>
          <w:kern w:val="0"/>
          <w:highlight w:val="none"/>
        </w:rPr>
        <w:t xml:space="preserve"> </w:t>
      </w:r>
      <w:r>
        <w:rPr>
          <w:rFonts w:hint="eastAsia" w:ascii="宋体" w:hAnsi="宋体" w:cs="宋体"/>
          <w:b/>
          <w:color w:val="auto"/>
          <w:szCs w:val="21"/>
          <w:highlight w:val="none"/>
        </w:rPr>
        <w:t>　违约责任</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1.乙方所提供的货物规格、技术标准、材料等质量验收不合格的，应及时更换其他厂家产品，更换不及时的按逾期交货处罚；因质量问题甲方不同意接收的或特殊情况甲方同意接收的，乙方应向甲方支付</w:t>
      </w:r>
      <w:r>
        <w:rPr>
          <w:rFonts w:hint="eastAsia" w:ascii="宋体" w:hAnsi="宋体"/>
          <w:color w:val="auto"/>
          <w:szCs w:val="21"/>
          <w:highlight w:val="none"/>
          <w:lang w:eastAsia="zh-Hans"/>
        </w:rPr>
        <w:t>合同</w:t>
      </w:r>
      <w:r>
        <w:rPr>
          <w:rFonts w:hint="eastAsia" w:ascii="宋体" w:hAnsi="宋体"/>
          <w:color w:val="auto"/>
          <w:szCs w:val="21"/>
          <w:highlight w:val="none"/>
        </w:rPr>
        <w:t>总</w:t>
      </w:r>
      <w:r>
        <w:rPr>
          <w:rFonts w:hint="eastAsia" w:ascii="宋体" w:hAnsi="宋体"/>
          <w:color w:val="auto"/>
          <w:szCs w:val="21"/>
          <w:highlight w:val="none"/>
          <w:lang w:eastAsia="zh-Hans"/>
        </w:rPr>
        <w:t>金额</w:t>
      </w:r>
      <w:r>
        <w:rPr>
          <w:rFonts w:ascii="宋体" w:hAnsi="宋体"/>
          <w:color w:val="auto"/>
          <w:szCs w:val="21"/>
          <w:highlight w:val="none"/>
          <w:lang w:eastAsia="zh-Hans"/>
        </w:rPr>
        <w:t>20%</w:t>
      </w:r>
      <w:r>
        <w:rPr>
          <w:rFonts w:hint="eastAsia" w:ascii="宋体" w:hAnsi="宋体"/>
          <w:color w:val="auto"/>
          <w:szCs w:val="21"/>
          <w:highlight w:val="none"/>
        </w:rPr>
        <w:t xml:space="preserve">违约金并赔偿甲方经济损失。                                       </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2.乙方提供的货物如侵犯了第三方合法权益而引发的任何纠纷或诉讼，均由乙方负责交涉并承担全部责任。同时，乙方还应按合同总金额的</w:t>
      </w:r>
      <w:r>
        <w:rPr>
          <w:rFonts w:ascii="宋体" w:hAnsi="宋体"/>
          <w:color w:val="auto"/>
          <w:szCs w:val="21"/>
          <w:highlight w:val="none"/>
        </w:rPr>
        <w:t>20%</w:t>
      </w:r>
      <w:r>
        <w:rPr>
          <w:rFonts w:hint="eastAsia" w:ascii="宋体" w:hAnsi="宋体"/>
          <w:color w:val="auto"/>
          <w:szCs w:val="21"/>
          <w:highlight w:val="none"/>
        </w:rPr>
        <w:t>赔偿甲方因此受到的损失，且不能免除乙方履行本合同的义务。</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3.因包装、运输引起的货物损坏，按质量不合格处理。</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4.甲方无故延期接收货物，每天向对方偿付</w:t>
      </w:r>
      <w:r>
        <w:rPr>
          <w:rFonts w:hint="eastAsia" w:ascii="宋体" w:hAnsi="宋体"/>
          <w:color w:val="auto"/>
          <w:szCs w:val="21"/>
          <w:highlight w:val="none"/>
          <w:lang w:eastAsia="zh-Hans"/>
        </w:rPr>
        <w:t>应付未付合同金额</w:t>
      </w:r>
      <w:r>
        <w:rPr>
          <w:rFonts w:ascii="宋体" w:hAnsi="宋体"/>
          <w:color w:val="auto"/>
          <w:szCs w:val="21"/>
          <w:highlight w:val="none"/>
        </w:rPr>
        <w:t>0.4</w:t>
      </w:r>
      <w:r>
        <w:rPr>
          <w:rFonts w:hint="eastAsia" w:ascii="宋体" w:hAnsi="宋体"/>
          <w:color w:val="auto"/>
          <w:szCs w:val="21"/>
          <w:highlight w:val="none"/>
        </w:rPr>
        <w:t>‰违约金。</w:t>
      </w:r>
    </w:p>
    <w:p>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甲方延期付货款的，每天向乙方偿付延期货款额</w:t>
      </w:r>
      <w:r>
        <w:rPr>
          <w:rFonts w:hint="eastAsia" w:ascii="宋体" w:hAnsi="宋体"/>
          <w:color w:val="auto"/>
          <w:szCs w:val="21"/>
          <w:highlight w:val="none"/>
          <w:u w:val="single"/>
        </w:rPr>
        <w:t xml:space="preserve"> </w:t>
      </w:r>
      <w:r>
        <w:rPr>
          <w:rFonts w:ascii="宋体" w:hAnsi="宋体"/>
          <w:color w:val="auto"/>
          <w:szCs w:val="21"/>
          <w:highlight w:val="none"/>
          <w:u w:val="single"/>
        </w:rPr>
        <w:t>0</w:t>
      </w:r>
      <w:r>
        <w:rPr>
          <w:rFonts w:hint="eastAsia" w:ascii="宋体" w:hAnsi="宋体"/>
          <w:color w:val="auto"/>
          <w:szCs w:val="21"/>
          <w:highlight w:val="none"/>
          <w:u w:val="single"/>
          <w:lang w:eastAsia="zh-Hans"/>
        </w:rPr>
        <w:t>.</w:t>
      </w:r>
      <w:r>
        <w:rPr>
          <w:rFonts w:ascii="宋体" w:hAnsi="宋体"/>
          <w:color w:val="auto"/>
          <w:szCs w:val="21"/>
          <w:highlight w:val="none"/>
          <w:u w:val="single"/>
          <w:lang w:eastAsia="zh-Hans"/>
        </w:rPr>
        <w:t>4</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Hans"/>
        </w:rPr>
        <w:t>违约金</w:t>
      </w:r>
      <w:r>
        <w:rPr>
          <w:rFonts w:hint="eastAsia" w:ascii="宋体" w:hAnsi="宋体"/>
          <w:color w:val="auto"/>
          <w:szCs w:val="21"/>
          <w:highlight w:val="none"/>
        </w:rPr>
        <w:t>，但</w:t>
      </w:r>
      <w:r>
        <w:rPr>
          <w:rFonts w:hint="eastAsia" w:ascii="宋体" w:hAnsi="宋体"/>
          <w:color w:val="auto"/>
          <w:szCs w:val="21"/>
          <w:highlight w:val="none"/>
          <w:lang w:eastAsia="zh-Hans"/>
        </w:rPr>
        <w:t>违约金</w:t>
      </w:r>
      <w:r>
        <w:rPr>
          <w:rFonts w:hint="eastAsia" w:ascii="宋体" w:hAnsi="宋体"/>
          <w:color w:val="auto"/>
          <w:szCs w:val="21"/>
          <w:highlight w:val="none"/>
        </w:rPr>
        <w:t>累计不得超过延期货款额</w:t>
      </w:r>
      <w:r>
        <w:rPr>
          <w:rFonts w:hint="eastAsia" w:ascii="宋体" w:hAnsi="宋体"/>
          <w:color w:val="auto"/>
          <w:szCs w:val="21"/>
          <w:highlight w:val="none"/>
          <w:u w:val="single"/>
        </w:rPr>
        <w:t xml:space="preserve"> 5% </w:t>
      </w:r>
      <w:r>
        <w:rPr>
          <w:rFonts w:hint="eastAsia" w:ascii="宋体" w:hAnsi="宋体"/>
          <w:color w:val="auto"/>
          <w:szCs w:val="21"/>
          <w:highlight w:val="none"/>
        </w:rPr>
        <w:t>。</w:t>
      </w:r>
    </w:p>
    <w:p>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.乙方逾期交货的，每迟延一日，应按</w:t>
      </w:r>
      <w:r>
        <w:rPr>
          <w:rFonts w:hint="eastAsia" w:ascii="宋体" w:hAnsi="宋体"/>
          <w:color w:val="auto"/>
          <w:szCs w:val="21"/>
          <w:highlight w:val="none"/>
          <w:lang w:eastAsia="zh-Hans"/>
        </w:rPr>
        <w:t>合同合计金额</w:t>
      </w:r>
      <w:r>
        <w:rPr>
          <w:rFonts w:hint="eastAsia" w:ascii="宋体" w:hAnsi="宋体"/>
          <w:color w:val="auto"/>
          <w:szCs w:val="21"/>
          <w:highlight w:val="none"/>
        </w:rPr>
        <w:t>的</w:t>
      </w:r>
      <w:r>
        <w:rPr>
          <w:rFonts w:ascii="宋体" w:hAnsi="宋体"/>
          <w:color w:val="auto"/>
          <w:szCs w:val="21"/>
          <w:highlight w:val="none"/>
        </w:rPr>
        <w:t>0.4</w:t>
      </w:r>
      <w:r>
        <w:rPr>
          <w:rFonts w:hint="eastAsia" w:ascii="宋体" w:hAnsi="宋体"/>
          <w:color w:val="auto"/>
          <w:szCs w:val="21"/>
          <w:highlight w:val="none"/>
        </w:rPr>
        <w:t>‰支付违约金。</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7.乙方提供的货物在服务期内，因设计、工艺或材料的缺陷和其它质量原因造成的任何人身及财产损害，均由乙方承担，若有履约保证金，费用从中扣除，不足部分，乙方应在收到甲方通知之日起</w:t>
      </w:r>
      <w:r>
        <w:rPr>
          <w:rFonts w:ascii="宋体" w:hAnsi="宋体"/>
          <w:color w:val="auto"/>
          <w:szCs w:val="21"/>
          <w:highlight w:val="none"/>
        </w:rPr>
        <w:t>3</w:t>
      </w:r>
      <w:r>
        <w:rPr>
          <w:rFonts w:hint="eastAsia" w:ascii="宋体" w:hAnsi="宋体"/>
          <w:color w:val="auto"/>
          <w:szCs w:val="21"/>
          <w:highlight w:val="none"/>
        </w:rPr>
        <w:t>日补足。</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8.乙方泄露保密资料的，应当按合同标的</w:t>
      </w:r>
      <w:r>
        <w:rPr>
          <w:rFonts w:ascii="宋体" w:hAnsi="宋体"/>
          <w:color w:val="auto"/>
          <w:szCs w:val="21"/>
          <w:highlight w:val="none"/>
        </w:rPr>
        <w:t>20%</w:t>
      </w:r>
      <w:r>
        <w:rPr>
          <w:rFonts w:hint="eastAsia" w:ascii="宋体" w:hAnsi="宋体"/>
          <w:color w:val="auto"/>
          <w:szCs w:val="21"/>
          <w:highlight w:val="none"/>
        </w:rPr>
        <w:t>向乙方支付违约金，如造成甲方损失的，还应赔偿甲方一切损失。</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乙方未按约提供真实、有效、合法的正式增值税专用发票的，除须向甲方补开合法发票外，须赔偿甲方发票票面金额一倍的违约金，且甲方有权解除合同，要求乙方退还已付款项。</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其它违约行为按</w:t>
      </w:r>
      <w:r>
        <w:rPr>
          <w:rFonts w:hint="eastAsia" w:ascii="宋体" w:hAnsi="宋体"/>
          <w:color w:val="auto"/>
          <w:szCs w:val="21"/>
          <w:highlight w:val="none"/>
          <w:lang w:eastAsia="zh-Hans"/>
        </w:rPr>
        <w:t>合同</w:t>
      </w:r>
      <w:r>
        <w:rPr>
          <w:rFonts w:hint="eastAsia" w:ascii="宋体" w:hAnsi="宋体"/>
          <w:color w:val="auto"/>
          <w:szCs w:val="21"/>
          <w:highlight w:val="none"/>
        </w:rPr>
        <w:t>总</w:t>
      </w:r>
      <w:r>
        <w:rPr>
          <w:rFonts w:hint="eastAsia" w:ascii="宋体" w:hAnsi="宋体"/>
          <w:color w:val="auto"/>
          <w:szCs w:val="21"/>
          <w:highlight w:val="none"/>
          <w:lang w:eastAsia="zh-Hans"/>
        </w:rPr>
        <w:t>金额</w:t>
      </w:r>
      <w:r>
        <w:rPr>
          <w:rFonts w:hint="eastAsia" w:ascii="宋体" w:hAnsi="宋体"/>
          <w:color w:val="auto"/>
          <w:szCs w:val="21"/>
          <w:highlight w:val="none"/>
        </w:rPr>
        <w:t>5%收取违约金并赔偿经济损失。</w:t>
      </w:r>
    </w:p>
    <w:p>
      <w:pPr>
        <w:spacing w:line="44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11.</w:t>
      </w:r>
      <w:r>
        <w:rPr>
          <w:rFonts w:hint="eastAsia" w:ascii="宋体" w:hAnsi="宋体"/>
          <w:color w:val="auto"/>
          <w:szCs w:val="21"/>
          <w:highlight w:val="none"/>
          <w:lang w:eastAsia="zh-Hans"/>
        </w:rPr>
        <w:t>如乙方需要支付违约金的，甲方有权直接从履约保证金扣除，</w:t>
      </w:r>
      <w:r>
        <w:rPr>
          <w:rFonts w:hint="eastAsia"/>
          <w:color w:val="auto"/>
          <w:highlight w:val="none"/>
        </w:rPr>
        <w:t>不足部分，乙方应在收到甲方通知之日起3日补足</w:t>
      </w:r>
      <w:r>
        <w:rPr>
          <w:rFonts w:hint="eastAsia" w:ascii="宋体" w:hAnsi="宋体"/>
          <w:color w:val="auto"/>
          <w:szCs w:val="21"/>
          <w:highlight w:val="none"/>
          <w:lang w:eastAsia="zh-Hans"/>
        </w:rPr>
        <w:t>。</w:t>
      </w:r>
    </w:p>
    <w:p>
      <w:pPr>
        <w:spacing w:line="440" w:lineRule="exact"/>
        <w:ind w:firstLine="420" w:firstLineChars="200"/>
        <w:rPr>
          <w:color w:val="auto"/>
          <w:highlight w:val="none"/>
        </w:rPr>
      </w:pPr>
      <w:r>
        <w:rPr>
          <w:rFonts w:hint="eastAsia" w:ascii="宋体" w:hAnsi="宋体"/>
          <w:color w:val="auto"/>
          <w:szCs w:val="21"/>
          <w:highlight w:val="none"/>
        </w:rPr>
        <w:t>12</w:t>
      </w:r>
      <w:r>
        <w:rPr>
          <w:rFonts w:ascii="宋体" w:hAnsi="宋体"/>
          <w:color w:val="auto"/>
          <w:szCs w:val="21"/>
          <w:highlight w:val="none"/>
          <w:lang w:eastAsia="zh-Hans"/>
        </w:rPr>
        <w:t>.</w:t>
      </w:r>
      <w:r>
        <w:rPr>
          <w:rFonts w:hint="eastAsia" w:ascii="宋体" w:hAnsi="宋体"/>
          <w:color w:val="auto"/>
          <w:szCs w:val="21"/>
          <w:highlight w:val="none"/>
        </w:rPr>
        <w:t>乙方存在任何违约行为的，除按合同约定承担责任外，还应赔偿甲方的一切损失（包括但不限于赔偿金、补偿金、违约金、为实现债权而支付的律师费、</w:t>
      </w:r>
      <w:r>
        <w:rPr>
          <w:rFonts w:hint="eastAsia" w:ascii="宋体" w:hAnsi="宋体"/>
          <w:color w:val="auto"/>
          <w:szCs w:val="21"/>
          <w:highlight w:val="none"/>
          <w:lang w:eastAsia="zh-Hans"/>
        </w:rPr>
        <w:t>公证费、鉴定费、</w:t>
      </w:r>
      <w:r>
        <w:rPr>
          <w:rFonts w:hint="eastAsia" w:ascii="宋体" w:hAnsi="宋体"/>
          <w:color w:val="auto"/>
          <w:szCs w:val="21"/>
          <w:highlight w:val="none"/>
        </w:rPr>
        <w:t>诉讼费、保全费、公证费、</w:t>
      </w:r>
      <w:r>
        <w:rPr>
          <w:rFonts w:hint="eastAsia" w:ascii="宋体" w:hAnsi="宋体"/>
          <w:color w:val="auto"/>
          <w:szCs w:val="21"/>
          <w:highlight w:val="none"/>
          <w:lang w:eastAsia="zh-Hans"/>
        </w:rPr>
        <w:t>公告费、</w:t>
      </w:r>
      <w:r>
        <w:rPr>
          <w:rFonts w:ascii="宋体" w:hAnsi="宋体"/>
          <w:color w:val="auto"/>
          <w:szCs w:val="21"/>
          <w:highlight w:val="none"/>
          <w:lang w:eastAsia="zh-Hans"/>
        </w:rPr>
        <w:t>诉讼财产</w:t>
      </w:r>
      <w:r>
        <w:rPr>
          <w:rFonts w:hint="eastAsia" w:ascii="宋体" w:hAnsi="宋体"/>
          <w:color w:val="auto"/>
          <w:szCs w:val="21"/>
          <w:highlight w:val="none"/>
        </w:rPr>
        <w:t>保全责任险保费等一切费用）。</w:t>
      </w:r>
    </w:p>
    <w:p>
      <w:pPr>
        <w:snapToGrid w:val="0"/>
        <w:spacing w:line="440" w:lineRule="exact"/>
        <w:ind w:firstLine="413" w:firstLineChars="196"/>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第十</w:t>
      </w:r>
      <w:r>
        <w:rPr>
          <w:rFonts w:hint="eastAsia" w:ascii="宋体" w:hAnsi="宋体" w:eastAsia="宋体" w:cs="宋体"/>
          <w:b/>
          <w:color w:val="auto"/>
          <w:kern w:val="0"/>
          <w:szCs w:val="21"/>
          <w:highlight w:val="none"/>
        </w:rPr>
        <w:t>五</w:t>
      </w:r>
      <w:r>
        <w:rPr>
          <w:rFonts w:hint="eastAsia" w:ascii="宋体" w:hAnsi="宋体" w:eastAsia="宋体" w:cs="宋体"/>
          <w:b/>
          <w:color w:val="auto"/>
          <w:kern w:val="0"/>
          <w:szCs w:val="21"/>
          <w:highlight w:val="none"/>
          <w:lang w:val="zh-CN"/>
        </w:rPr>
        <w:t>条  不可抗力事件处理</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1.在合同有效期内，任何一方因不可抗力事件导致不能履行合同，则合同履行期可延长，其延长期与不可抗力影响期相同。</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2.不可抗力事件发生后，应立即通知对方，并寄送有关权威机构出具的证明。</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第十六条  通知</w:t>
      </w:r>
    </w:p>
    <w:p>
      <w:pPr>
        <w:snapToGrid w:val="0"/>
        <w:spacing w:line="440" w:lineRule="exact"/>
        <w:ind w:firstLine="420" w:firstLineChars="200"/>
        <w:rPr>
          <w:rFonts w:ascii="宋体"/>
          <w:color w:val="auto"/>
          <w:szCs w:val="21"/>
          <w:highlight w:val="none"/>
        </w:rPr>
      </w:pPr>
      <w:r>
        <w:rPr>
          <w:rFonts w:hint="eastAsia" w:ascii="宋体"/>
          <w:color w:val="auto"/>
          <w:szCs w:val="21"/>
          <w:highlight w:val="none"/>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第十七条</w:t>
      </w:r>
      <w:r>
        <w:rPr>
          <w:rFonts w:ascii="宋体" w:hAnsi="宋体"/>
          <w:b/>
          <w:color w:val="auto"/>
          <w:szCs w:val="21"/>
          <w:highlight w:val="none"/>
        </w:rPr>
        <w:t xml:space="preserve"> </w:t>
      </w:r>
      <w:r>
        <w:rPr>
          <w:rFonts w:hint="eastAsia" w:ascii="宋体" w:hAnsi="宋体" w:cs="宋体"/>
          <w:b/>
          <w:color w:val="auto"/>
          <w:szCs w:val="21"/>
          <w:highlight w:val="none"/>
        </w:rPr>
        <w:t xml:space="preserve">  合同争议解决</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w:t>
      </w:r>
      <w:r>
        <w:rPr>
          <w:rFonts w:hint="eastAsia" w:ascii="宋体" w:hAnsi="宋体" w:cs="宋体"/>
          <w:color w:val="auto"/>
          <w:szCs w:val="21"/>
          <w:highlight w:val="none"/>
          <w:lang w:eastAsia="zh-Hans"/>
        </w:rPr>
        <w:t>所在地</w:t>
      </w:r>
      <w:r>
        <w:rPr>
          <w:rFonts w:hint="eastAsia" w:ascii="宋体" w:hAnsi="宋体" w:cs="宋体"/>
          <w:color w:val="auto"/>
          <w:szCs w:val="21"/>
          <w:highlight w:val="none"/>
        </w:rPr>
        <w:t>有管辖权的人民法院提起诉讼。</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3.诉讼期间，本合同继续履行。</w:t>
      </w:r>
    </w:p>
    <w:p>
      <w:pPr>
        <w:snapToGrid w:val="0"/>
        <w:spacing w:line="440" w:lineRule="exact"/>
        <w:ind w:firstLine="413" w:firstLineChars="196"/>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第十</w:t>
      </w:r>
      <w:r>
        <w:rPr>
          <w:rFonts w:hint="eastAsia" w:ascii="宋体" w:hAnsi="宋体" w:eastAsia="宋体" w:cs="宋体"/>
          <w:b/>
          <w:color w:val="auto"/>
          <w:kern w:val="0"/>
          <w:szCs w:val="21"/>
          <w:highlight w:val="none"/>
        </w:rPr>
        <w:t>八</w:t>
      </w:r>
      <w:r>
        <w:rPr>
          <w:rFonts w:hint="eastAsia" w:ascii="宋体" w:hAnsi="宋体" w:eastAsia="宋体" w:cs="宋体"/>
          <w:b/>
          <w:color w:val="auto"/>
          <w:kern w:val="0"/>
          <w:szCs w:val="21"/>
          <w:highlight w:val="none"/>
          <w:lang w:val="zh-CN"/>
        </w:rPr>
        <w:t>条  合同生效及其他</w:t>
      </w:r>
    </w:p>
    <w:p>
      <w:pPr>
        <w:snapToGrid w:val="0"/>
        <w:spacing w:line="44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 合同经双方法定代表人或者其委托代理人签字并加盖单位公章后生效（委托代理人签字的需后附法定代表人授权委托书，格式自拟）。</w:t>
      </w:r>
    </w:p>
    <w:p>
      <w:pPr>
        <w:snapToGrid w:val="0"/>
        <w:spacing w:line="44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2.合同执行中涉及采购资金和采购内容修改或者补充的，须经财政部门审批，并签书面补充协议报财政部门备案，方可作为主合同不可分割的一部分。</w:t>
      </w:r>
    </w:p>
    <w:p>
      <w:pPr>
        <w:snapToGrid w:val="0"/>
        <w:spacing w:line="440" w:lineRule="exact"/>
        <w:ind w:left="283" w:leftChars="135" w:firstLine="143"/>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3.本合同未尽事宜，遵照《中华人民共和国民法典》有关条文执行。</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第十九条　合同的变更、终止与转让</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第二十条　</w:t>
      </w:r>
      <w:r>
        <w:rPr>
          <w:rFonts w:hint="eastAsia" w:ascii="宋体" w:hAnsi="宋体" w:cs="宋体"/>
          <w:b/>
          <w:bCs/>
          <w:color w:val="auto"/>
          <w:kern w:val="0"/>
          <w:szCs w:val="21"/>
          <w:highlight w:val="none"/>
        </w:rPr>
        <w:t>本合同书与下列文件一起构成合同文件</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1.成交通知书；</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2.响应函；</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3.商务条款偏离表和技术需求偏离表；</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4.采购需求；</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5.响应报价表；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6.其他合同文件。</w:t>
      </w:r>
    </w:p>
    <w:p>
      <w:pPr>
        <w:snapToGrid w:val="0"/>
        <w:spacing w:line="440" w:lineRule="exact"/>
        <w:ind w:firstLine="371" w:firstLineChars="177"/>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zh-CN"/>
        </w:rPr>
        <w:t>.上述合同文件互相补充和解释。如果合同文件之间存在矛盾或者不一致之处，以上述文件的排列顺序在先者为准。</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第二十一条　</w:t>
      </w:r>
      <w:r>
        <w:rPr>
          <w:rFonts w:hint="eastAsia" w:ascii="宋体" w:hAnsi="宋体" w:cs="宋体"/>
          <w:color w:val="auto"/>
          <w:szCs w:val="21"/>
          <w:highlight w:val="none"/>
        </w:rPr>
        <w:t>本合同一式七份，具有同等法律效力，财政部门（政府采购监管部门）、采购代理机构各一份，甲方四份，乙方一份（可根据需要另增加）。</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auto"/>
              <w:rPr>
                <w:rFonts w:ascii="宋体" w:hAnsi="宋体"/>
                <w:color w:val="auto"/>
                <w:szCs w:val="21"/>
                <w:highlight w:val="none"/>
              </w:rPr>
            </w:pPr>
          </w:p>
          <w:p>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line="360" w:lineRule="auto"/>
              <w:rPr>
                <w:rFonts w:ascii="宋体" w:hAnsi="宋体"/>
                <w:color w:val="auto"/>
                <w:szCs w:val="21"/>
                <w:highlight w:val="none"/>
              </w:rPr>
            </w:pPr>
          </w:p>
          <w:p>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法定代表人或者其委托代理人：</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bl>
    <w:p>
      <w:pPr>
        <w:snapToGrid w:val="0"/>
        <w:spacing w:line="360" w:lineRule="auto"/>
        <w:ind w:left="480" w:hanging="480" w:hangingChars="200"/>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ascii="宋体" w:hAnsi="宋体"/>
          <w:b/>
          <w:color w:val="auto"/>
          <w:sz w:val="24"/>
          <w:highlight w:val="none"/>
        </w:rPr>
        <w:br w:type="page"/>
      </w: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bookmarkStart w:id="173" w:name="_Toc31751"/>
      <w:bookmarkStart w:id="174" w:name="_Toc80205947"/>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
          <w:bCs/>
          <w:color w:val="auto"/>
          <w:kern w:val="44"/>
          <w:sz w:val="44"/>
          <w:szCs w:val="44"/>
          <w:highlight w:val="none"/>
          <w:lang w:val="zh-CN"/>
        </w:rPr>
        <w:sectPr>
          <w:pgSz w:w="11910" w:h="16840"/>
          <w:pgMar w:top="1134" w:right="1134" w:bottom="1134" w:left="1134" w:header="720" w:footer="720" w:gutter="0"/>
          <w:cols w:space="720" w:num="1"/>
        </w:sectPr>
      </w:pPr>
      <w:bookmarkStart w:id="175" w:name="_Toc27629"/>
      <w:bookmarkStart w:id="176" w:name="_Toc25054"/>
      <w:bookmarkStart w:id="177" w:name="_Toc32254"/>
      <w:bookmarkStart w:id="178" w:name="_Toc5523"/>
      <w:bookmarkStart w:id="179" w:name="_Toc6393"/>
      <w:bookmarkStart w:id="180" w:name="_Toc2169"/>
      <w:bookmarkStart w:id="181" w:name="_Toc24483"/>
      <w:r>
        <w:rPr>
          <w:rFonts w:hint="eastAsia" w:ascii="宋体" w:hAnsi="宋体" w:eastAsia="宋体" w:cs="仿宋_GB2312"/>
          <w:bCs/>
          <w:color w:val="auto"/>
          <w:kern w:val="44"/>
          <w:sz w:val="44"/>
          <w:szCs w:val="44"/>
          <w:highlight w:val="none"/>
          <w:lang w:val="zh-CN"/>
        </w:rPr>
        <w:t>第七章 质疑、投诉材料格式</w:t>
      </w:r>
      <w:bookmarkEnd w:id="173"/>
      <w:bookmarkEnd w:id="174"/>
      <w:bookmarkEnd w:id="175"/>
      <w:bookmarkEnd w:id="176"/>
      <w:bookmarkEnd w:id="177"/>
      <w:bookmarkEnd w:id="178"/>
      <w:bookmarkEnd w:id="179"/>
      <w:bookmarkEnd w:id="180"/>
      <w:bookmarkEnd w:id="181"/>
    </w:p>
    <w:p>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spacing w:line="360" w:lineRule="auto"/>
        <w:ind w:left="25" w:leftChars="12" w:firstLine="352" w:firstLineChars="147"/>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spacing w:line="360" w:lineRule="auto"/>
        <w:ind w:left="25" w:leftChars="12" w:firstLine="472" w:firstLineChars="196"/>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contextualSpacing/>
        <w:rPr>
          <w:rFonts w:ascii="宋体" w:hAnsi="宋体" w:eastAsia="宋体" w:cs="Times New Roman"/>
          <w:b/>
          <w:color w:val="auto"/>
          <w:kern w:val="0"/>
          <w:sz w:val="24"/>
          <w:szCs w:val="24"/>
          <w:highlight w:val="none"/>
          <w:lang w:val="zh-CN"/>
        </w:rPr>
      </w:pPr>
    </w:p>
    <w:p>
      <w:pPr>
        <w:spacing w:line="360" w:lineRule="auto"/>
        <w:contextualSpacing/>
        <w:rPr>
          <w:rFonts w:ascii="宋体" w:hAnsi="宋体" w:eastAsia="宋体" w:cs="Times New Roman"/>
          <w:b/>
          <w:color w:val="auto"/>
          <w:kern w:val="0"/>
          <w:sz w:val="24"/>
          <w:szCs w:val="24"/>
          <w:highlight w:val="none"/>
          <w:lang w:val="zh-CN"/>
        </w:rPr>
      </w:pPr>
    </w:p>
    <w:p>
      <w:pPr>
        <w:spacing w:line="360" w:lineRule="auto"/>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spacing w:line="360" w:lineRule="auto"/>
        <w:ind w:left="25" w:leftChars="12" w:firstLine="354" w:firstLineChars="147"/>
        <w:contextualSpacing/>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snapToGrid w:val="0"/>
        <w:rPr>
          <w:rFonts w:ascii="宋体" w:hAnsi="Courier New" w:eastAsia="宋体" w:cs="Times New Roman"/>
          <w:b/>
          <w:color w:val="auto"/>
          <w:kern w:val="0"/>
          <w:sz w:val="24"/>
          <w:szCs w:val="24"/>
          <w:highlight w:val="none"/>
          <w:lang w:val="zh-CN"/>
        </w:rPr>
      </w:pPr>
    </w:p>
    <w:p>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pPr>
        <w:spacing w:line="360" w:lineRule="auto"/>
        <w:ind w:firstLine="241"/>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241"/>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ascii="宋体" w:hAnsi="宋体" w:eastAsia="宋体" w:cs="Times New Roman"/>
          <w:color w:val="auto"/>
          <w:kern w:val="0"/>
          <w:sz w:val="24"/>
          <w:szCs w:val="24"/>
          <w:highlight w:val="none"/>
          <w:lang w:val="zh-CN"/>
        </w:rPr>
      </w:pP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rPr>
          <w:rFonts w:ascii="宋体" w:hAnsi="宋体" w:eastAsia="宋体" w:cs="Times New Roman"/>
          <w:color w:val="auto"/>
          <w:kern w:val="0"/>
          <w:sz w:val="24"/>
          <w:szCs w:val="24"/>
          <w:highlight w:val="none"/>
          <w:lang w:val="zh-CN"/>
        </w:rPr>
      </w:pP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pPr>
        <w:snapToGrid w:val="0"/>
        <w:spacing w:line="360" w:lineRule="auto"/>
        <w:rPr>
          <w:rFonts w:ascii="宋体" w:hAnsi="宋体" w:eastAsia="宋体" w:cs="Times New Roman"/>
          <w:b/>
          <w:color w:val="auto"/>
          <w:kern w:val="0"/>
          <w:sz w:val="24"/>
          <w:szCs w:val="24"/>
          <w:highlight w:val="none"/>
          <w:lang w:val="zh-CN"/>
        </w:rPr>
      </w:pPr>
    </w:p>
    <w:p>
      <w:pPr>
        <w:snapToGrid w:val="0"/>
        <w:spacing w:line="360" w:lineRule="auto"/>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pPr>
        <w:spacing w:line="360" w:lineRule="auto"/>
        <w:ind w:left="25" w:leftChars="12" w:firstLine="354" w:firstLineChars="147"/>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pPr>
        <w:rPr>
          <w:rFonts w:ascii="Times New Roman" w:hAnsi="Times New Roman" w:eastAsia="宋体" w:cs="Times New Roman"/>
          <w:color w:val="auto"/>
          <w:szCs w:val="24"/>
          <w:highlight w:val="none"/>
          <w:lang w:val="zh-CN"/>
        </w:rPr>
      </w:pPr>
    </w:p>
    <w:p>
      <w:pPr>
        <w:rPr>
          <w:rFonts w:ascii="Times New Roman" w:hAnsi="Times New Roman" w:eastAsia="宋体" w:cs="Times New Roman"/>
          <w:color w:val="auto"/>
          <w:szCs w:val="24"/>
          <w:highlight w:val="none"/>
        </w:rPr>
      </w:pPr>
    </w:p>
    <w:p>
      <w:pPr>
        <w:rPr>
          <w:color w:val="auto"/>
          <w:highlight w:val="none"/>
        </w:rPr>
      </w:pPr>
    </w:p>
    <w:sectPr>
      <w:footerReference r:id="rId11" w:type="first"/>
      <w:footerReference r:id="rId10"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20" w:hanging="420"/>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21"/>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21"/>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21"/>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MzRhY2JlYjM0ZTEwMWVlM2YzNWExMTA1NTcxNDAifQ=="/>
  </w:docVars>
  <w:rsids>
    <w:rsidRoot w:val="007C21E9"/>
    <w:rsid w:val="00013A77"/>
    <w:rsid w:val="000822E4"/>
    <w:rsid w:val="000903CF"/>
    <w:rsid w:val="00293058"/>
    <w:rsid w:val="007C21E9"/>
    <w:rsid w:val="008C20B8"/>
    <w:rsid w:val="009511CD"/>
    <w:rsid w:val="009B5C60"/>
    <w:rsid w:val="00A612AB"/>
    <w:rsid w:val="00DA616D"/>
    <w:rsid w:val="00F306B7"/>
    <w:rsid w:val="00F97CDD"/>
    <w:rsid w:val="00FF1901"/>
    <w:rsid w:val="011D075F"/>
    <w:rsid w:val="01574459"/>
    <w:rsid w:val="01CB02C6"/>
    <w:rsid w:val="01FF46E4"/>
    <w:rsid w:val="02217A18"/>
    <w:rsid w:val="024457B0"/>
    <w:rsid w:val="0250392C"/>
    <w:rsid w:val="02700A12"/>
    <w:rsid w:val="027F4BED"/>
    <w:rsid w:val="02D81677"/>
    <w:rsid w:val="02F33579"/>
    <w:rsid w:val="03036BF9"/>
    <w:rsid w:val="03214847"/>
    <w:rsid w:val="036B6560"/>
    <w:rsid w:val="0372245E"/>
    <w:rsid w:val="037F62D3"/>
    <w:rsid w:val="03930F0A"/>
    <w:rsid w:val="03E301C6"/>
    <w:rsid w:val="03FB16C0"/>
    <w:rsid w:val="044F16F0"/>
    <w:rsid w:val="05304A58"/>
    <w:rsid w:val="05827A6F"/>
    <w:rsid w:val="05B10123"/>
    <w:rsid w:val="05BA0F6E"/>
    <w:rsid w:val="05C85B6F"/>
    <w:rsid w:val="05CF2A51"/>
    <w:rsid w:val="05F17190"/>
    <w:rsid w:val="05F55A06"/>
    <w:rsid w:val="061C77CE"/>
    <w:rsid w:val="065B47F7"/>
    <w:rsid w:val="06695A20"/>
    <w:rsid w:val="068407F0"/>
    <w:rsid w:val="06852C34"/>
    <w:rsid w:val="06B45B9F"/>
    <w:rsid w:val="07032602"/>
    <w:rsid w:val="078556FE"/>
    <w:rsid w:val="07E278AB"/>
    <w:rsid w:val="08162E97"/>
    <w:rsid w:val="08841649"/>
    <w:rsid w:val="0892386F"/>
    <w:rsid w:val="0896540B"/>
    <w:rsid w:val="08A72DDC"/>
    <w:rsid w:val="08DB7137"/>
    <w:rsid w:val="08E40B8D"/>
    <w:rsid w:val="090B3A39"/>
    <w:rsid w:val="094521FA"/>
    <w:rsid w:val="096F5B1B"/>
    <w:rsid w:val="09786076"/>
    <w:rsid w:val="098E29CC"/>
    <w:rsid w:val="09AF056B"/>
    <w:rsid w:val="09CF3FB8"/>
    <w:rsid w:val="0A2D2358"/>
    <w:rsid w:val="0A303492"/>
    <w:rsid w:val="0A4D49DC"/>
    <w:rsid w:val="0A7D2FA4"/>
    <w:rsid w:val="0B097343"/>
    <w:rsid w:val="0B254482"/>
    <w:rsid w:val="0B2D703C"/>
    <w:rsid w:val="0B4A3976"/>
    <w:rsid w:val="0B5551FE"/>
    <w:rsid w:val="0BC843BD"/>
    <w:rsid w:val="0BEA62BE"/>
    <w:rsid w:val="0C423B4C"/>
    <w:rsid w:val="0CBC262F"/>
    <w:rsid w:val="0CC61B2F"/>
    <w:rsid w:val="0D22418C"/>
    <w:rsid w:val="0D982CF5"/>
    <w:rsid w:val="0DBA1896"/>
    <w:rsid w:val="0E015DD7"/>
    <w:rsid w:val="0E411532"/>
    <w:rsid w:val="0E752256"/>
    <w:rsid w:val="0E9D4D60"/>
    <w:rsid w:val="0EAE428B"/>
    <w:rsid w:val="0EBF4080"/>
    <w:rsid w:val="0ECA4573"/>
    <w:rsid w:val="0F2C2E76"/>
    <w:rsid w:val="0F6A1F1A"/>
    <w:rsid w:val="0F7C513B"/>
    <w:rsid w:val="0F7E6819"/>
    <w:rsid w:val="0FB55CA2"/>
    <w:rsid w:val="1018013C"/>
    <w:rsid w:val="101F264D"/>
    <w:rsid w:val="10240EAE"/>
    <w:rsid w:val="10267F1F"/>
    <w:rsid w:val="109E1CBC"/>
    <w:rsid w:val="10CF7081"/>
    <w:rsid w:val="113E5504"/>
    <w:rsid w:val="113F075A"/>
    <w:rsid w:val="11534D38"/>
    <w:rsid w:val="11694069"/>
    <w:rsid w:val="116C2CA8"/>
    <w:rsid w:val="119E326A"/>
    <w:rsid w:val="11A56003"/>
    <w:rsid w:val="11AB207C"/>
    <w:rsid w:val="11B56492"/>
    <w:rsid w:val="12290F0E"/>
    <w:rsid w:val="12412737"/>
    <w:rsid w:val="12415A70"/>
    <w:rsid w:val="128E5246"/>
    <w:rsid w:val="12B14A74"/>
    <w:rsid w:val="12FC28BE"/>
    <w:rsid w:val="13264E55"/>
    <w:rsid w:val="13813795"/>
    <w:rsid w:val="147D4F72"/>
    <w:rsid w:val="148A3D0B"/>
    <w:rsid w:val="1497248C"/>
    <w:rsid w:val="149C28BF"/>
    <w:rsid w:val="14A45FB0"/>
    <w:rsid w:val="14A6243D"/>
    <w:rsid w:val="15412561"/>
    <w:rsid w:val="155234DD"/>
    <w:rsid w:val="156A7853"/>
    <w:rsid w:val="158E19C1"/>
    <w:rsid w:val="159C4EFE"/>
    <w:rsid w:val="15C60DCC"/>
    <w:rsid w:val="162F52A8"/>
    <w:rsid w:val="16493163"/>
    <w:rsid w:val="165401BC"/>
    <w:rsid w:val="16C14BCE"/>
    <w:rsid w:val="16E46F14"/>
    <w:rsid w:val="16E87E3D"/>
    <w:rsid w:val="17120F22"/>
    <w:rsid w:val="172B12F3"/>
    <w:rsid w:val="179C641F"/>
    <w:rsid w:val="17B86748"/>
    <w:rsid w:val="17BA0187"/>
    <w:rsid w:val="17C47764"/>
    <w:rsid w:val="17E413A1"/>
    <w:rsid w:val="18023817"/>
    <w:rsid w:val="18AF432C"/>
    <w:rsid w:val="18DF0FE7"/>
    <w:rsid w:val="198E56A0"/>
    <w:rsid w:val="1992381E"/>
    <w:rsid w:val="19AA594A"/>
    <w:rsid w:val="19C21A99"/>
    <w:rsid w:val="19C40971"/>
    <w:rsid w:val="19F17C09"/>
    <w:rsid w:val="1A0E41E2"/>
    <w:rsid w:val="1A1B57CD"/>
    <w:rsid w:val="1A7D169C"/>
    <w:rsid w:val="1AB33A4E"/>
    <w:rsid w:val="1AC71182"/>
    <w:rsid w:val="1AE64D67"/>
    <w:rsid w:val="1B382423"/>
    <w:rsid w:val="1B4E247D"/>
    <w:rsid w:val="1B5003D3"/>
    <w:rsid w:val="1B597FF7"/>
    <w:rsid w:val="1B6612C9"/>
    <w:rsid w:val="1BF64E38"/>
    <w:rsid w:val="1C0F2192"/>
    <w:rsid w:val="1C3D560A"/>
    <w:rsid w:val="1C4A28E3"/>
    <w:rsid w:val="1C642B1A"/>
    <w:rsid w:val="1C830837"/>
    <w:rsid w:val="1C8B2EA7"/>
    <w:rsid w:val="1CAB5E94"/>
    <w:rsid w:val="1CB75DAF"/>
    <w:rsid w:val="1D5860E0"/>
    <w:rsid w:val="1D7853F7"/>
    <w:rsid w:val="1D9D1A60"/>
    <w:rsid w:val="1DAF7A74"/>
    <w:rsid w:val="1DB409DB"/>
    <w:rsid w:val="1DC34DD9"/>
    <w:rsid w:val="1DD44CD6"/>
    <w:rsid w:val="1DE541AF"/>
    <w:rsid w:val="1E415936"/>
    <w:rsid w:val="1EB7105D"/>
    <w:rsid w:val="1F002B00"/>
    <w:rsid w:val="1F2A0E70"/>
    <w:rsid w:val="1F526FB3"/>
    <w:rsid w:val="1F9F7F10"/>
    <w:rsid w:val="1FC73078"/>
    <w:rsid w:val="1FC9696C"/>
    <w:rsid w:val="20682955"/>
    <w:rsid w:val="206F45D9"/>
    <w:rsid w:val="20A22E61"/>
    <w:rsid w:val="20AA183D"/>
    <w:rsid w:val="20D11800"/>
    <w:rsid w:val="20D17529"/>
    <w:rsid w:val="20DF35F5"/>
    <w:rsid w:val="20E60491"/>
    <w:rsid w:val="20F71370"/>
    <w:rsid w:val="210431F4"/>
    <w:rsid w:val="215C59D3"/>
    <w:rsid w:val="218E49DB"/>
    <w:rsid w:val="21DA13C0"/>
    <w:rsid w:val="21DB5AB4"/>
    <w:rsid w:val="220B2862"/>
    <w:rsid w:val="225B1540"/>
    <w:rsid w:val="22AD570A"/>
    <w:rsid w:val="231E655E"/>
    <w:rsid w:val="233F18A9"/>
    <w:rsid w:val="237130FB"/>
    <w:rsid w:val="237A74F0"/>
    <w:rsid w:val="237F7B4B"/>
    <w:rsid w:val="238306FE"/>
    <w:rsid w:val="239B7D19"/>
    <w:rsid w:val="23E85BCA"/>
    <w:rsid w:val="24367BD5"/>
    <w:rsid w:val="245B23CF"/>
    <w:rsid w:val="24603FA7"/>
    <w:rsid w:val="24963CCF"/>
    <w:rsid w:val="24986210"/>
    <w:rsid w:val="24B81ED1"/>
    <w:rsid w:val="24BC52F1"/>
    <w:rsid w:val="24E753E1"/>
    <w:rsid w:val="25290C20"/>
    <w:rsid w:val="25644CFB"/>
    <w:rsid w:val="26037C97"/>
    <w:rsid w:val="26062336"/>
    <w:rsid w:val="263F5510"/>
    <w:rsid w:val="2641436D"/>
    <w:rsid w:val="26650CFE"/>
    <w:rsid w:val="266F5212"/>
    <w:rsid w:val="26866639"/>
    <w:rsid w:val="26931184"/>
    <w:rsid w:val="26B17E46"/>
    <w:rsid w:val="27261C55"/>
    <w:rsid w:val="27996369"/>
    <w:rsid w:val="279F1523"/>
    <w:rsid w:val="27A060EE"/>
    <w:rsid w:val="27A83535"/>
    <w:rsid w:val="27B839C1"/>
    <w:rsid w:val="27F62352"/>
    <w:rsid w:val="27F70088"/>
    <w:rsid w:val="27F80870"/>
    <w:rsid w:val="28033475"/>
    <w:rsid w:val="285E1230"/>
    <w:rsid w:val="286B40D0"/>
    <w:rsid w:val="288D2BA7"/>
    <w:rsid w:val="28A56D74"/>
    <w:rsid w:val="28CA5E86"/>
    <w:rsid w:val="29095871"/>
    <w:rsid w:val="290C539D"/>
    <w:rsid w:val="29230B26"/>
    <w:rsid w:val="295335C6"/>
    <w:rsid w:val="298E4DCE"/>
    <w:rsid w:val="29BF7193"/>
    <w:rsid w:val="29D61C04"/>
    <w:rsid w:val="29E1562F"/>
    <w:rsid w:val="2A046273"/>
    <w:rsid w:val="2A077C31"/>
    <w:rsid w:val="2A4223DA"/>
    <w:rsid w:val="2A4C1CBA"/>
    <w:rsid w:val="2AA07BC7"/>
    <w:rsid w:val="2AD01E8E"/>
    <w:rsid w:val="2AEA63A2"/>
    <w:rsid w:val="2B55197B"/>
    <w:rsid w:val="2B564195"/>
    <w:rsid w:val="2B5A7FF7"/>
    <w:rsid w:val="2BE74F7F"/>
    <w:rsid w:val="2C17787B"/>
    <w:rsid w:val="2C50160E"/>
    <w:rsid w:val="2C526025"/>
    <w:rsid w:val="2C5741F8"/>
    <w:rsid w:val="2CA912D0"/>
    <w:rsid w:val="2CB814C7"/>
    <w:rsid w:val="2CFC7DA1"/>
    <w:rsid w:val="2D354F55"/>
    <w:rsid w:val="2D586C07"/>
    <w:rsid w:val="2E267AAE"/>
    <w:rsid w:val="2EBC5ED0"/>
    <w:rsid w:val="2EE43201"/>
    <w:rsid w:val="2F28021B"/>
    <w:rsid w:val="2F4460DD"/>
    <w:rsid w:val="2F546A5B"/>
    <w:rsid w:val="2F6061FA"/>
    <w:rsid w:val="2FAE1719"/>
    <w:rsid w:val="300050D2"/>
    <w:rsid w:val="300A2253"/>
    <w:rsid w:val="300F463E"/>
    <w:rsid w:val="304F5A47"/>
    <w:rsid w:val="30643430"/>
    <w:rsid w:val="307A7FB1"/>
    <w:rsid w:val="307C438B"/>
    <w:rsid w:val="30905E99"/>
    <w:rsid w:val="30F56C6E"/>
    <w:rsid w:val="31013CC3"/>
    <w:rsid w:val="31172076"/>
    <w:rsid w:val="31306402"/>
    <w:rsid w:val="31396EFD"/>
    <w:rsid w:val="31647AAC"/>
    <w:rsid w:val="31B95D43"/>
    <w:rsid w:val="32077110"/>
    <w:rsid w:val="3216323D"/>
    <w:rsid w:val="323B2880"/>
    <w:rsid w:val="32AA4AAD"/>
    <w:rsid w:val="32C963C0"/>
    <w:rsid w:val="32DA429C"/>
    <w:rsid w:val="32F6543D"/>
    <w:rsid w:val="332018FF"/>
    <w:rsid w:val="333F343F"/>
    <w:rsid w:val="335C4EDA"/>
    <w:rsid w:val="33722773"/>
    <w:rsid w:val="33C5268F"/>
    <w:rsid w:val="342437A7"/>
    <w:rsid w:val="34317897"/>
    <w:rsid w:val="34613F15"/>
    <w:rsid w:val="3463243E"/>
    <w:rsid w:val="34743D26"/>
    <w:rsid w:val="348273D4"/>
    <w:rsid w:val="35447101"/>
    <w:rsid w:val="35480275"/>
    <w:rsid w:val="359C3F8A"/>
    <w:rsid w:val="368D08AD"/>
    <w:rsid w:val="368F2BEB"/>
    <w:rsid w:val="36D13CC6"/>
    <w:rsid w:val="37006F53"/>
    <w:rsid w:val="3717778E"/>
    <w:rsid w:val="371F5976"/>
    <w:rsid w:val="3747202B"/>
    <w:rsid w:val="37AC1F65"/>
    <w:rsid w:val="37E54FA0"/>
    <w:rsid w:val="37E6666B"/>
    <w:rsid w:val="37EB3B9D"/>
    <w:rsid w:val="37FD2E72"/>
    <w:rsid w:val="384E79F8"/>
    <w:rsid w:val="385A55DE"/>
    <w:rsid w:val="385F2FBF"/>
    <w:rsid w:val="386629E9"/>
    <w:rsid w:val="38845E7E"/>
    <w:rsid w:val="38A3375B"/>
    <w:rsid w:val="38A70067"/>
    <w:rsid w:val="38D60B41"/>
    <w:rsid w:val="390B4155"/>
    <w:rsid w:val="39195460"/>
    <w:rsid w:val="392A049E"/>
    <w:rsid w:val="3970374E"/>
    <w:rsid w:val="39886599"/>
    <w:rsid w:val="39894A1A"/>
    <w:rsid w:val="398A077C"/>
    <w:rsid w:val="399D0FAB"/>
    <w:rsid w:val="39A122D0"/>
    <w:rsid w:val="39AB655A"/>
    <w:rsid w:val="39B95146"/>
    <w:rsid w:val="39EA2F5F"/>
    <w:rsid w:val="39F03604"/>
    <w:rsid w:val="3A5A096E"/>
    <w:rsid w:val="3A5B056F"/>
    <w:rsid w:val="3A6A4AE7"/>
    <w:rsid w:val="3A6F521E"/>
    <w:rsid w:val="3A756C76"/>
    <w:rsid w:val="3ADD73C6"/>
    <w:rsid w:val="3B5509C6"/>
    <w:rsid w:val="3BA260E2"/>
    <w:rsid w:val="3CFF4663"/>
    <w:rsid w:val="3D3B536E"/>
    <w:rsid w:val="3D9866A6"/>
    <w:rsid w:val="3DB135FF"/>
    <w:rsid w:val="3DB339C8"/>
    <w:rsid w:val="3DB51BFC"/>
    <w:rsid w:val="3E082B8C"/>
    <w:rsid w:val="3E351BF4"/>
    <w:rsid w:val="3E5C28BB"/>
    <w:rsid w:val="3E646774"/>
    <w:rsid w:val="3E736717"/>
    <w:rsid w:val="3E862809"/>
    <w:rsid w:val="3EF732F4"/>
    <w:rsid w:val="3F060785"/>
    <w:rsid w:val="3F302E94"/>
    <w:rsid w:val="3F3514F6"/>
    <w:rsid w:val="3F3538AF"/>
    <w:rsid w:val="3F646EED"/>
    <w:rsid w:val="3F967FAC"/>
    <w:rsid w:val="3FB670F9"/>
    <w:rsid w:val="3FB70DDA"/>
    <w:rsid w:val="3FC1296F"/>
    <w:rsid w:val="3FE17866"/>
    <w:rsid w:val="3FFB07ED"/>
    <w:rsid w:val="403F2197"/>
    <w:rsid w:val="40853C52"/>
    <w:rsid w:val="410459C4"/>
    <w:rsid w:val="412A4DF8"/>
    <w:rsid w:val="412C0C24"/>
    <w:rsid w:val="41480BFA"/>
    <w:rsid w:val="416750F2"/>
    <w:rsid w:val="41C64225"/>
    <w:rsid w:val="421D4EA6"/>
    <w:rsid w:val="427F1068"/>
    <w:rsid w:val="42993D4D"/>
    <w:rsid w:val="42F05AF9"/>
    <w:rsid w:val="432A5A06"/>
    <w:rsid w:val="436446AC"/>
    <w:rsid w:val="43777787"/>
    <w:rsid w:val="43D227C4"/>
    <w:rsid w:val="43FA0D9A"/>
    <w:rsid w:val="44473DD4"/>
    <w:rsid w:val="446C3689"/>
    <w:rsid w:val="4497149C"/>
    <w:rsid w:val="44CE4B84"/>
    <w:rsid w:val="44F00076"/>
    <w:rsid w:val="450E702C"/>
    <w:rsid w:val="45386DA3"/>
    <w:rsid w:val="457635EC"/>
    <w:rsid w:val="45A271CF"/>
    <w:rsid w:val="45C04752"/>
    <w:rsid w:val="45F54D27"/>
    <w:rsid w:val="45F778F0"/>
    <w:rsid w:val="4624449B"/>
    <w:rsid w:val="468948B3"/>
    <w:rsid w:val="46B57629"/>
    <w:rsid w:val="46C14906"/>
    <w:rsid w:val="46CB0A6B"/>
    <w:rsid w:val="46CE73EA"/>
    <w:rsid w:val="472C05EE"/>
    <w:rsid w:val="4762121A"/>
    <w:rsid w:val="47937301"/>
    <w:rsid w:val="47C8182E"/>
    <w:rsid w:val="47F409BD"/>
    <w:rsid w:val="47FB3498"/>
    <w:rsid w:val="47FC6B7A"/>
    <w:rsid w:val="485052D8"/>
    <w:rsid w:val="48CF747F"/>
    <w:rsid w:val="48FA2A51"/>
    <w:rsid w:val="491403CF"/>
    <w:rsid w:val="49156D95"/>
    <w:rsid w:val="493424A6"/>
    <w:rsid w:val="4955729B"/>
    <w:rsid w:val="496074EF"/>
    <w:rsid w:val="498F1A34"/>
    <w:rsid w:val="49965291"/>
    <w:rsid w:val="49CC5CF4"/>
    <w:rsid w:val="49D8660C"/>
    <w:rsid w:val="49DF4588"/>
    <w:rsid w:val="49E014E1"/>
    <w:rsid w:val="4A1258A3"/>
    <w:rsid w:val="4A1743C6"/>
    <w:rsid w:val="4A3009D4"/>
    <w:rsid w:val="4AE61714"/>
    <w:rsid w:val="4B1B05A1"/>
    <w:rsid w:val="4B29541F"/>
    <w:rsid w:val="4B5B5F59"/>
    <w:rsid w:val="4B651054"/>
    <w:rsid w:val="4B790C73"/>
    <w:rsid w:val="4BB626BF"/>
    <w:rsid w:val="4BF52E1B"/>
    <w:rsid w:val="4C353356"/>
    <w:rsid w:val="4C3F6109"/>
    <w:rsid w:val="4C8A0551"/>
    <w:rsid w:val="4C9E5CED"/>
    <w:rsid w:val="4CF4135C"/>
    <w:rsid w:val="4D075106"/>
    <w:rsid w:val="4D1C2E8A"/>
    <w:rsid w:val="4D4A034A"/>
    <w:rsid w:val="4D5D5E3B"/>
    <w:rsid w:val="4D767F1E"/>
    <w:rsid w:val="4D8F32A0"/>
    <w:rsid w:val="4DD16A27"/>
    <w:rsid w:val="4E0D7324"/>
    <w:rsid w:val="4E1A512D"/>
    <w:rsid w:val="4E2509D2"/>
    <w:rsid w:val="4E374B25"/>
    <w:rsid w:val="4E614C78"/>
    <w:rsid w:val="4E6605CA"/>
    <w:rsid w:val="4EAB0114"/>
    <w:rsid w:val="4EB2609A"/>
    <w:rsid w:val="4EC21D09"/>
    <w:rsid w:val="4EE96625"/>
    <w:rsid w:val="4F044D97"/>
    <w:rsid w:val="4F4F29EA"/>
    <w:rsid w:val="4F522C31"/>
    <w:rsid w:val="4F654F68"/>
    <w:rsid w:val="4F8F6D42"/>
    <w:rsid w:val="4FA908D9"/>
    <w:rsid w:val="500408DE"/>
    <w:rsid w:val="500A7FBC"/>
    <w:rsid w:val="50163486"/>
    <w:rsid w:val="503C2CE4"/>
    <w:rsid w:val="5080374E"/>
    <w:rsid w:val="50A14F50"/>
    <w:rsid w:val="50B27017"/>
    <w:rsid w:val="50C6631B"/>
    <w:rsid w:val="50F1639A"/>
    <w:rsid w:val="51083745"/>
    <w:rsid w:val="516850BA"/>
    <w:rsid w:val="516F3258"/>
    <w:rsid w:val="518C2C3D"/>
    <w:rsid w:val="51A01538"/>
    <w:rsid w:val="51DB39B9"/>
    <w:rsid w:val="522A6F3E"/>
    <w:rsid w:val="5257234F"/>
    <w:rsid w:val="52720BC3"/>
    <w:rsid w:val="527A2805"/>
    <w:rsid w:val="52922181"/>
    <w:rsid w:val="52AB41DD"/>
    <w:rsid w:val="52E0467E"/>
    <w:rsid w:val="53070C6E"/>
    <w:rsid w:val="532924FD"/>
    <w:rsid w:val="53746B8D"/>
    <w:rsid w:val="538C78B4"/>
    <w:rsid w:val="53BE59EE"/>
    <w:rsid w:val="53C4320D"/>
    <w:rsid w:val="53CD6ECD"/>
    <w:rsid w:val="541F6F1A"/>
    <w:rsid w:val="547436E0"/>
    <w:rsid w:val="54AD202B"/>
    <w:rsid w:val="54B20A58"/>
    <w:rsid w:val="54B836B4"/>
    <w:rsid w:val="54E258CE"/>
    <w:rsid w:val="55514833"/>
    <w:rsid w:val="55706236"/>
    <w:rsid w:val="55A1249C"/>
    <w:rsid w:val="55A62B8A"/>
    <w:rsid w:val="55DF61D7"/>
    <w:rsid w:val="568D7B85"/>
    <w:rsid w:val="56F67C83"/>
    <w:rsid w:val="57061B4B"/>
    <w:rsid w:val="5736758D"/>
    <w:rsid w:val="57515444"/>
    <w:rsid w:val="57560E52"/>
    <w:rsid w:val="5766386C"/>
    <w:rsid w:val="57670253"/>
    <w:rsid w:val="57775CAB"/>
    <w:rsid w:val="57AB500F"/>
    <w:rsid w:val="57CD7318"/>
    <w:rsid w:val="57E30AE1"/>
    <w:rsid w:val="58127246"/>
    <w:rsid w:val="581773FE"/>
    <w:rsid w:val="58311AAA"/>
    <w:rsid w:val="58363036"/>
    <w:rsid w:val="58984351"/>
    <w:rsid w:val="58AF1DF6"/>
    <w:rsid w:val="58FA76E7"/>
    <w:rsid w:val="592438F8"/>
    <w:rsid w:val="596078FE"/>
    <w:rsid w:val="597F637D"/>
    <w:rsid w:val="59882C3D"/>
    <w:rsid w:val="59B04FE8"/>
    <w:rsid w:val="59BF56A8"/>
    <w:rsid w:val="5A107157"/>
    <w:rsid w:val="5A1233D7"/>
    <w:rsid w:val="5A2426EB"/>
    <w:rsid w:val="5A501676"/>
    <w:rsid w:val="5AAC1340"/>
    <w:rsid w:val="5AC039E7"/>
    <w:rsid w:val="5B0A12CC"/>
    <w:rsid w:val="5B2C167F"/>
    <w:rsid w:val="5B4C010D"/>
    <w:rsid w:val="5B673AB6"/>
    <w:rsid w:val="5B835D00"/>
    <w:rsid w:val="5BCF5517"/>
    <w:rsid w:val="5BD61BB0"/>
    <w:rsid w:val="5C33344D"/>
    <w:rsid w:val="5C47491A"/>
    <w:rsid w:val="5CA5043C"/>
    <w:rsid w:val="5CB94636"/>
    <w:rsid w:val="5CC4676D"/>
    <w:rsid w:val="5D293D84"/>
    <w:rsid w:val="5D3662B3"/>
    <w:rsid w:val="5D6A7321"/>
    <w:rsid w:val="5D82193F"/>
    <w:rsid w:val="5DBC2E9F"/>
    <w:rsid w:val="5E006713"/>
    <w:rsid w:val="5E326B7D"/>
    <w:rsid w:val="5E4173F2"/>
    <w:rsid w:val="5E493FE8"/>
    <w:rsid w:val="5E6C6963"/>
    <w:rsid w:val="5EA00D2C"/>
    <w:rsid w:val="5ECB4F8C"/>
    <w:rsid w:val="5ED5673A"/>
    <w:rsid w:val="5EEE5B65"/>
    <w:rsid w:val="5F76621D"/>
    <w:rsid w:val="5FD21DA9"/>
    <w:rsid w:val="600F33B6"/>
    <w:rsid w:val="601E3E49"/>
    <w:rsid w:val="602D199B"/>
    <w:rsid w:val="60711F15"/>
    <w:rsid w:val="607169C6"/>
    <w:rsid w:val="60866FE9"/>
    <w:rsid w:val="60A42C31"/>
    <w:rsid w:val="60C166EF"/>
    <w:rsid w:val="614E60D8"/>
    <w:rsid w:val="61734C5D"/>
    <w:rsid w:val="61E01682"/>
    <w:rsid w:val="61FD59BC"/>
    <w:rsid w:val="62585A7C"/>
    <w:rsid w:val="62EE71CA"/>
    <w:rsid w:val="63403FBC"/>
    <w:rsid w:val="63D43630"/>
    <w:rsid w:val="64083C3F"/>
    <w:rsid w:val="64117515"/>
    <w:rsid w:val="64857D05"/>
    <w:rsid w:val="64B77BC7"/>
    <w:rsid w:val="64D375A3"/>
    <w:rsid w:val="64FC3B9A"/>
    <w:rsid w:val="653D1B90"/>
    <w:rsid w:val="655D015B"/>
    <w:rsid w:val="65901B77"/>
    <w:rsid w:val="659B7170"/>
    <w:rsid w:val="65DA6397"/>
    <w:rsid w:val="65FD47A4"/>
    <w:rsid w:val="66052F39"/>
    <w:rsid w:val="660A0B49"/>
    <w:rsid w:val="66635961"/>
    <w:rsid w:val="666B47EA"/>
    <w:rsid w:val="6677718C"/>
    <w:rsid w:val="668A4D5C"/>
    <w:rsid w:val="669E0F91"/>
    <w:rsid w:val="67045800"/>
    <w:rsid w:val="67303947"/>
    <w:rsid w:val="674C6803"/>
    <w:rsid w:val="675237C7"/>
    <w:rsid w:val="67855FB8"/>
    <w:rsid w:val="682F280A"/>
    <w:rsid w:val="68552E02"/>
    <w:rsid w:val="687F6274"/>
    <w:rsid w:val="68D96000"/>
    <w:rsid w:val="68EC2B74"/>
    <w:rsid w:val="690D6941"/>
    <w:rsid w:val="691D6BEF"/>
    <w:rsid w:val="692270F9"/>
    <w:rsid w:val="69333C1F"/>
    <w:rsid w:val="6A310ACA"/>
    <w:rsid w:val="6A475C3C"/>
    <w:rsid w:val="6A762D68"/>
    <w:rsid w:val="6A7F2149"/>
    <w:rsid w:val="6ACB2D3F"/>
    <w:rsid w:val="6B072B94"/>
    <w:rsid w:val="6B7226E0"/>
    <w:rsid w:val="6B7554DF"/>
    <w:rsid w:val="6BA81731"/>
    <w:rsid w:val="6BBC39AC"/>
    <w:rsid w:val="6BDA195D"/>
    <w:rsid w:val="6BDA2004"/>
    <w:rsid w:val="6BF37332"/>
    <w:rsid w:val="6C2216A6"/>
    <w:rsid w:val="6C800049"/>
    <w:rsid w:val="6CD21729"/>
    <w:rsid w:val="6CD8269F"/>
    <w:rsid w:val="6D311F7D"/>
    <w:rsid w:val="6D39117E"/>
    <w:rsid w:val="6D556E3C"/>
    <w:rsid w:val="6D5D2B62"/>
    <w:rsid w:val="6D6745F5"/>
    <w:rsid w:val="6D8117F8"/>
    <w:rsid w:val="6DB56881"/>
    <w:rsid w:val="6E0923D8"/>
    <w:rsid w:val="6E482931"/>
    <w:rsid w:val="6E6648EE"/>
    <w:rsid w:val="6E7243FD"/>
    <w:rsid w:val="6E8610ED"/>
    <w:rsid w:val="6F41302D"/>
    <w:rsid w:val="6F42354B"/>
    <w:rsid w:val="6F610C1F"/>
    <w:rsid w:val="6F9D5714"/>
    <w:rsid w:val="6FCE7735"/>
    <w:rsid w:val="705A50F3"/>
    <w:rsid w:val="707B198B"/>
    <w:rsid w:val="70BB6549"/>
    <w:rsid w:val="70C8462E"/>
    <w:rsid w:val="70D9311B"/>
    <w:rsid w:val="71290211"/>
    <w:rsid w:val="71762C26"/>
    <w:rsid w:val="71A0693C"/>
    <w:rsid w:val="71E068B0"/>
    <w:rsid w:val="71E36583"/>
    <w:rsid w:val="71EC182A"/>
    <w:rsid w:val="722331A5"/>
    <w:rsid w:val="72C429AD"/>
    <w:rsid w:val="72D73503"/>
    <w:rsid w:val="730D1CCA"/>
    <w:rsid w:val="73281380"/>
    <w:rsid w:val="735143BA"/>
    <w:rsid w:val="737F23C2"/>
    <w:rsid w:val="73956BEF"/>
    <w:rsid w:val="73CD4ED4"/>
    <w:rsid w:val="73EF6ABA"/>
    <w:rsid w:val="741572BE"/>
    <w:rsid w:val="741E4D72"/>
    <w:rsid w:val="743254BC"/>
    <w:rsid w:val="744637BC"/>
    <w:rsid w:val="74C97E89"/>
    <w:rsid w:val="74F5031E"/>
    <w:rsid w:val="753D2E6F"/>
    <w:rsid w:val="754444B6"/>
    <w:rsid w:val="758449E9"/>
    <w:rsid w:val="758E4672"/>
    <w:rsid w:val="75B66ADA"/>
    <w:rsid w:val="762C3780"/>
    <w:rsid w:val="764D6A4B"/>
    <w:rsid w:val="768B2013"/>
    <w:rsid w:val="769F05AF"/>
    <w:rsid w:val="772103AE"/>
    <w:rsid w:val="7765236E"/>
    <w:rsid w:val="77775D89"/>
    <w:rsid w:val="77865594"/>
    <w:rsid w:val="779C20FF"/>
    <w:rsid w:val="779C7574"/>
    <w:rsid w:val="77A7245B"/>
    <w:rsid w:val="780C2EA6"/>
    <w:rsid w:val="78166FF5"/>
    <w:rsid w:val="78674783"/>
    <w:rsid w:val="786848AD"/>
    <w:rsid w:val="78685C72"/>
    <w:rsid w:val="78A52233"/>
    <w:rsid w:val="78FE3DD4"/>
    <w:rsid w:val="791315C3"/>
    <w:rsid w:val="79447889"/>
    <w:rsid w:val="79606AA8"/>
    <w:rsid w:val="7966655A"/>
    <w:rsid w:val="799C62EB"/>
    <w:rsid w:val="79AF1C2F"/>
    <w:rsid w:val="79C74800"/>
    <w:rsid w:val="7A6016BC"/>
    <w:rsid w:val="7A952101"/>
    <w:rsid w:val="7AA97D3A"/>
    <w:rsid w:val="7AD0558D"/>
    <w:rsid w:val="7B307F57"/>
    <w:rsid w:val="7B3F19BB"/>
    <w:rsid w:val="7B46197D"/>
    <w:rsid w:val="7C194312"/>
    <w:rsid w:val="7C1973BE"/>
    <w:rsid w:val="7C247CA2"/>
    <w:rsid w:val="7C5400E1"/>
    <w:rsid w:val="7C74092F"/>
    <w:rsid w:val="7C824FF2"/>
    <w:rsid w:val="7CF3413E"/>
    <w:rsid w:val="7D61609A"/>
    <w:rsid w:val="7DA94EE7"/>
    <w:rsid w:val="7E213C36"/>
    <w:rsid w:val="7E3E1F98"/>
    <w:rsid w:val="7E3F68A0"/>
    <w:rsid w:val="7E600DC3"/>
    <w:rsid w:val="7E694279"/>
    <w:rsid w:val="7E765D97"/>
    <w:rsid w:val="7E7E700C"/>
    <w:rsid w:val="7EA50B70"/>
    <w:rsid w:val="7EC47289"/>
    <w:rsid w:val="7EEF0E7A"/>
    <w:rsid w:val="7EFD0989"/>
    <w:rsid w:val="7F0251EE"/>
    <w:rsid w:val="7F5C31CD"/>
    <w:rsid w:val="7F6B5095"/>
    <w:rsid w:val="7FA147C6"/>
    <w:rsid w:val="7FC17032"/>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45"/>
    <w:autoRedefine/>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4">
    <w:name w:val="heading 3"/>
    <w:basedOn w:val="1"/>
    <w:next w:val="1"/>
    <w:link w:val="46"/>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5"/>
    <w:basedOn w:val="1"/>
    <w:next w:val="6"/>
    <w:link w:val="47"/>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7">
    <w:name w:val="heading 8"/>
    <w:basedOn w:val="1"/>
    <w:next w:val="1"/>
    <w:link w:val="48"/>
    <w:autoRedefine/>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8">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1">
    <w:name w:val="Default Paragraph Font"/>
    <w:autoRedefine/>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1"/>
    <w:autoRedefine/>
    <w:qFormat/>
    <w:uiPriority w:val="0"/>
    <w:pPr>
      <w:jc w:val="left"/>
    </w:pPr>
    <w:rPr>
      <w:rFonts w:ascii="Times New Roman" w:hAnsi="Times New Roman" w:eastAsia="宋体" w:cs="Times New Roman"/>
      <w:szCs w:val="24"/>
      <w:lang w:val="zh-CN"/>
    </w:rPr>
  </w:style>
  <w:style w:type="paragraph" w:styleId="12">
    <w:name w:val="Body Text 3"/>
    <w:basedOn w:val="1"/>
    <w:link w:val="53"/>
    <w:autoRedefine/>
    <w:unhideWhenUsed/>
    <w:qFormat/>
    <w:uiPriority w:val="99"/>
    <w:pPr>
      <w:spacing w:after="120"/>
    </w:pPr>
    <w:rPr>
      <w:rFonts w:ascii="Times New Roman" w:hAnsi="Times New Roman" w:eastAsia="宋体" w:cs="Times New Roman"/>
      <w:sz w:val="16"/>
      <w:szCs w:val="16"/>
      <w:lang w:val="zh-CN"/>
    </w:rPr>
  </w:style>
  <w:style w:type="paragraph" w:styleId="13">
    <w:name w:val="Body Text"/>
    <w:basedOn w:val="1"/>
    <w:next w:val="14"/>
    <w:link w:val="55"/>
    <w:autoRedefine/>
    <w:unhideWhenUsed/>
    <w:qFormat/>
    <w:uiPriority w:val="0"/>
    <w:pPr>
      <w:spacing w:after="120"/>
    </w:pPr>
    <w:rPr>
      <w:rFonts w:ascii="Times New Roman" w:hAnsi="Times New Roman" w:eastAsia="宋体" w:cs="Times New Roman"/>
      <w:szCs w:val="24"/>
      <w:lang w:val="zh-CN"/>
    </w:rPr>
  </w:style>
  <w:style w:type="paragraph" w:styleId="14">
    <w:name w:val="Body Text First Indent 2"/>
    <w:basedOn w:val="1"/>
    <w:link w:val="108"/>
    <w:autoRedefine/>
    <w:semiHidden/>
    <w:unhideWhenUsed/>
    <w:qFormat/>
    <w:uiPriority w:val="99"/>
    <w:pPr>
      <w:spacing w:after="120"/>
      <w:ind w:left="420" w:leftChars="200" w:firstLine="420" w:firstLineChars="200"/>
    </w:pPr>
    <w:rPr>
      <w:rFonts w:ascii="Times New Roman" w:eastAsia="宋体"/>
      <w:szCs w:val="24"/>
    </w:rPr>
  </w:style>
  <w:style w:type="paragraph" w:styleId="15">
    <w:name w:val="Body Text Indent"/>
    <w:basedOn w:val="1"/>
    <w:link w:val="57"/>
    <w:autoRedefine/>
    <w:qFormat/>
    <w:uiPriority w:val="0"/>
    <w:pPr>
      <w:ind w:firstLine="830" w:firstLineChars="352"/>
    </w:pPr>
    <w:rPr>
      <w:rFonts w:ascii="仿宋_GB2312" w:hAnsi="Times New Roman" w:eastAsia="仿宋_GB2312" w:cs="Times New Roman"/>
      <w:kern w:val="0"/>
      <w:sz w:val="32"/>
      <w:szCs w:val="20"/>
      <w:lang w:val="zh-CN"/>
    </w:rPr>
  </w:style>
  <w:style w:type="paragraph" w:styleId="1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toc 3"/>
    <w:basedOn w:val="1"/>
    <w:next w:val="1"/>
    <w:autoRedefine/>
    <w:semiHidden/>
    <w:unhideWhenUsed/>
    <w:qFormat/>
    <w:uiPriority w:val="39"/>
    <w:pPr>
      <w:ind w:left="840" w:leftChars="400"/>
    </w:pPr>
  </w:style>
  <w:style w:type="paragraph" w:styleId="18">
    <w:name w:val="Plain Text"/>
    <w:basedOn w:val="1"/>
    <w:link w:val="61"/>
    <w:autoRedefine/>
    <w:qFormat/>
    <w:uiPriority w:val="0"/>
    <w:rPr>
      <w:rFonts w:ascii="宋体" w:hAnsi="Courier New" w:eastAsia="宋体" w:cs="Times New Roman"/>
      <w:kern w:val="0"/>
      <w:sz w:val="20"/>
      <w:szCs w:val="21"/>
      <w:lang w:val="zh-CN"/>
    </w:rPr>
  </w:style>
  <w:style w:type="paragraph" w:styleId="19">
    <w:name w:val="Date"/>
    <w:basedOn w:val="1"/>
    <w:next w:val="1"/>
    <w:link w:val="63"/>
    <w:autoRedefine/>
    <w:unhideWhenUsed/>
    <w:qFormat/>
    <w:uiPriority w:val="99"/>
    <w:pPr>
      <w:ind w:left="100" w:leftChars="2500"/>
    </w:pPr>
    <w:rPr>
      <w:rFonts w:ascii="Times New Roman" w:hAnsi="Times New Roman" w:eastAsia="宋体" w:cs="Times New Roman"/>
      <w:szCs w:val="24"/>
      <w:lang w:val="zh-CN"/>
    </w:rPr>
  </w:style>
  <w:style w:type="paragraph" w:styleId="20">
    <w:name w:val="Balloon Text"/>
    <w:basedOn w:val="1"/>
    <w:link w:val="99"/>
    <w:autoRedefine/>
    <w:semiHidden/>
    <w:qFormat/>
    <w:uiPriority w:val="0"/>
    <w:rPr>
      <w:rFonts w:ascii="Times New Roman" w:hAnsi="Times New Roman" w:eastAsia="宋体" w:cs="Times New Roman"/>
      <w:sz w:val="18"/>
      <w:szCs w:val="18"/>
    </w:rPr>
  </w:style>
  <w:style w:type="paragraph" w:styleId="21">
    <w:name w:val="footer"/>
    <w:basedOn w:val="1"/>
    <w:next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2">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3">
    <w:name w:val="toc 1"/>
    <w:basedOn w:val="1"/>
    <w:next w:val="1"/>
    <w:autoRedefine/>
    <w:semiHidden/>
    <w:unhideWhenUsed/>
    <w:qFormat/>
    <w:uiPriority w:val="39"/>
  </w:style>
  <w:style w:type="paragraph" w:styleId="24">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5">
    <w:name w:val="toc 2"/>
    <w:basedOn w:val="1"/>
    <w:next w:val="1"/>
    <w:autoRedefine/>
    <w:semiHidden/>
    <w:unhideWhenUsed/>
    <w:qFormat/>
    <w:uiPriority w:val="39"/>
    <w:pPr>
      <w:ind w:left="420" w:leftChars="200"/>
    </w:pPr>
  </w:style>
  <w:style w:type="paragraph" w:styleId="26">
    <w:name w:val="Normal (Web)"/>
    <w:basedOn w:val="1"/>
    <w:autoRedefine/>
    <w:unhideWhenUsed/>
    <w:qFormat/>
    <w:uiPriority w:val="99"/>
    <w:rPr>
      <w:rFonts w:ascii="Calibri" w:hAnsi="Calibri" w:eastAsia="宋体" w:cs="Times New Roman"/>
      <w:kern w:val="0"/>
      <w:sz w:val="24"/>
      <w:szCs w:val="24"/>
    </w:rPr>
  </w:style>
  <w:style w:type="paragraph" w:styleId="27">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28">
    <w:name w:val="annotation subject"/>
    <w:basedOn w:val="11"/>
    <w:next w:val="11"/>
    <w:link w:val="72"/>
    <w:autoRedefine/>
    <w:qFormat/>
    <w:uiPriority w:val="99"/>
    <w:rPr>
      <w:b/>
      <w:bCs/>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uiPriority w:val="0"/>
    <w:rPr>
      <w:b/>
    </w:r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1 Char"/>
    <w:basedOn w:val="31"/>
    <w:autoRedefine/>
    <w:qFormat/>
    <w:uiPriority w:val="9"/>
    <w:rPr>
      <w:b/>
      <w:bCs/>
      <w:kern w:val="44"/>
      <w:sz w:val="44"/>
      <w:szCs w:val="44"/>
    </w:rPr>
  </w:style>
  <w:style w:type="character" w:customStyle="1" w:styleId="39">
    <w:name w:val="标题 2 Char"/>
    <w:basedOn w:val="31"/>
    <w:autoRedefine/>
    <w:qFormat/>
    <w:uiPriority w:val="9"/>
    <w:rPr>
      <w:rFonts w:asciiTheme="majorHAnsi" w:hAnsiTheme="majorHAnsi" w:eastAsiaTheme="majorEastAsia" w:cstheme="majorBidi"/>
      <w:b/>
      <w:bCs/>
      <w:sz w:val="32"/>
      <w:szCs w:val="32"/>
    </w:rPr>
  </w:style>
  <w:style w:type="character" w:customStyle="1" w:styleId="40">
    <w:name w:val="标题 3 Char"/>
    <w:basedOn w:val="31"/>
    <w:autoRedefine/>
    <w:qFormat/>
    <w:uiPriority w:val="9"/>
    <w:rPr>
      <w:b/>
      <w:bCs/>
      <w:sz w:val="32"/>
      <w:szCs w:val="32"/>
    </w:rPr>
  </w:style>
  <w:style w:type="character" w:customStyle="1" w:styleId="41">
    <w:name w:val="标题 5 Char"/>
    <w:basedOn w:val="31"/>
    <w:autoRedefine/>
    <w:qFormat/>
    <w:uiPriority w:val="9"/>
    <w:rPr>
      <w:b/>
      <w:bCs/>
      <w:sz w:val="28"/>
      <w:szCs w:val="28"/>
    </w:rPr>
  </w:style>
  <w:style w:type="character" w:customStyle="1" w:styleId="42">
    <w:name w:val="标题 8 Char"/>
    <w:basedOn w:val="31"/>
    <w:autoRedefine/>
    <w:qFormat/>
    <w:uiPriority w:val="0"/>
    <w:rPr>
      <w:rFonts w:asciiTheme="majorHAnsi" w:hAnsiTheme="majorHAnsi" w:eastAsiaTheme="majorEastAsia" w:cstheme="majorBidi"/>
      <w:sz w:val="24"/>
      <w:szCs w:val="24"/>
    </w:rPr>
  </w:style>
  <w:style w:type="character" w:customStyle="1" w:styleId="43">
    <w:name w:val="标题 9 Char"/>
    <w:basedOn w:val="31"/>
    <w:autoRedefine/>
    <w:semiHidden/>
    <w:qFormat/>
    <w:uiPriority w:val="9"/>
    <w:rPr>
      <w:rFonts w:asciiTheme="majorHAnsi" w:hAnsiTheme="majorHAnsi" w:eastAsiaTheme="majorEastAsia" w:cstheme="majorBidi"/>
      <w:szCs w:val="21"/>
    </w:rPr>
  </w:style>
  <w:style w:type="character" w:customStyle="1" w:styleId="44">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5">
    <w:name w:val="标题 2 字符"/>
    <w:link w:val="3"/>
    <w:autoRedefine/>
    <w:qFormat/>
    <w:uiPriority w:val="9"/>
    <w:rPr>
      <w:rFonts w:ascii="Cambria" w:hAnsi="Cambria" w:eastAsia="宋体" w:cs="Times New Roman"/>
      <w:b/>
      <w:bCs/>
      <w:sz w:val="32"/>
      <w:szCs w:val="32"/>
      <w:lang w:val="zh-CN" w:eastAsia="zh-CN"/>
    </w:rPr>
  </w:style>
  <w:style w:type="character" w:customStyle="1" w:styleId="46">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47">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48">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49">
    <w:name w:val="标题 9 字符"/>
    <w:link w:val="8"/>
    <w:autoRedefine/>
    <w:qFormat/>
    <w:uiPriority w:val="9"/>
    <w:rPr>
      <w:rFonts w:ascii="Cambria" w:hAnsi="Cambria" w:eastAsia="宋体" w:cs="Times New Roman"/>
      <w:szCs w:val="21"/>
      <w:lang w:val="zh-CN" w:eastAsia="zh-CN"/>
    </w:rPr>
  </w:style>
  <w:style w:type="character" w:customStyle="1" w:styleId="50">
    <w:name w:val="批注文字 Char"/>
    <w:basedOn w:val="31"/>
    <w:autoRedefine/>
    <w:qFormat/>
    <w:uiPriority w:val="0"/>
  </w:style>
  <w:style w:type="character" w:customStyle="1" w:styleId="51">
    <w:name w:val="批注文字 字符2"/>
    <w:link w:val="11"/>
    <w:autoRedefine/>
    <w:qFormat/>
    <w:uiPriority w:val="0"/>
    <w:rPr>
      <w:rFonts w:ascii="Times New Roman" w:hAnsi="Times New Roman" w:eastAsia="宋体" w:cs="Times New Roman"/>
      <w:szCs w:val="24"/>
      <w:lang w:val="zh-CN" w:eastAsia="zh-CN"/>
    </w:rPr>
  </w:style>
  <w:style w:type="character" w:customStyle="1" w:styleId="52">
    <w:name w:val="正文文本 3 Char"/>
    <w:basedOn w:val="31"/>
    <w:autoRedefine/>
    <w:qFormat/>
    <w:uiPriority w:val="99"/>
    <w:rPr>
      <w:sz w:val="16"/>
      <w:szCs w:val="16"/>
    </w:rPr>
  </w:style>
  <w:style w:type="character" w:customStyle="1" w:styleId="53">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1"/>
    <w:autoRedefine/>
    <w:qFormat/>
    <w:uiPriority w:val="0"/>
  </w:style>
  <w:style w:type="character" w:customStyle="1" w:styleId="55">
    <w:name w:val="正文文本 字符1"/>
    <w:link w:val="13"/>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1"/>
    <w:autoRedefine/>
    <w:qFormat/>
    <w:uiPriority w:val="0"/>
  </w:style>
  <w:style w:type="character" w:customStyle="1" w:styleId="57">
    <w:name w:val="正文文本缩进 字符1"/>
    <w:link w:val="15"/>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autoRedefine/>
    <w:qFormat/>
    <w:uiPriority w:val="99"/>
    <w:pPr>
      <w:ind w:firstLine="420" w:firstLineChars="200"/>
    </w:pPr>
    <w:rPr>
      <w:rFonts w:ascii="Times New Roman" w:hAnsi="Times New Roman" w:eastAsia="宋体" w:cs="Times New Roman"/>
      <w:szCs w:val="24"/>
    </w:rPr>
  </w:style>
  <w:style w:type="paragraph" w:styleId="5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1"/>
    <w:autoRedefine/>
    <w:qFormat/>
    <w:uiPriority w:val="0"/>
    <w:rPr>
      <w:rFonts w:ascii="宋体" w:hAnsi="Courier New" w:eastAsia="宋体" w:cs="Courier New"/>
      <w:szCs w:val="21"/>
    </w:rPr>
  </w:style>
  <w:style w:type="character" w:customStyle="1" w:styleId="61">
    <w:name w:val="纯文本 字符3"/>
    <w:link w:val="18"/>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1"/>
    <w:autoRedefine/>
    <w:qFormat/>
    <w:uiPriority w:val="99"/>
  </w:style>
  <w:style w:type="character" w:customStyle="1" w:styleId="63">
    <w:name w:val="日期 字符"/>
    <w:link w:val="19"/>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1"/>
    <w:autoRedefine/>
    <w:semiHidden/>
    <w:qFormat/>
    <w:uiPriority w:val="0"/>
    <w:rPr>
      <w:sz w:val="18"/>
      <w:szCs w:val="18"/>
    </w:rPr>
  </w:style>
  <w:style w:type="character" w:customStyle="1" w:styleId="65">
    <w:name w:val="页脚 Char"/>
    <w:basedOn w:val="31"/>
    <w:autoRedefine/>
    <w:qFormat/>
    <w:uiPriority w:val="99"/>
    <w:rPr>
      <w:sz w:val="18"/>
      <w:szCs w:val="18"/>
    </w:rPr>
  </w:style>
  <w:style w:type="character" w:customStyle="1" w:styleId="66">
    <w:name w:val="页脚 字符"/>
    <w:link w:val="21"/>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1"/>
    <w:autoRedefine/>
    <w:qFormat/>
    <w:uiPriority w:val="99"/>
    <w:rPr>
      <w:sz w:val="18"/>
      <w:szCs w:val="18"/>
    </w:rPr>
  </w:style>
  <w:style w:type="character" w:customStyle="1" w:styleId="68">
    <w:name w:val="页眉 字符"/>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1"/>
    <w:autoRedefine/>
    <w:qFormat/>
    <w:uiPriority w:val="10"/>
    <w:rPr>
      <w:rFonts w:eastAsia="宋体" w:asciiTheme="majorHAnsi" w:hAnsiTheme="majorHAnsi" w:cstheme="majorBidi"/>
      <w:b/>
      <w:bCs/>
      <w:sz w:val="32"/>
      <w:szCs w:val="32"/>
    </w:rPr>
  </w:style>
  <w:style w:type="character" w:customStyle="1" w:styleId="70">
    <w:name w:val="标题 字符"/>
    <w:link w:val="27"/>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字符"/>
    <w:link w:val="28"/>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autoRedefine/>
    <w:qFormat/>
    <w:uiPriority w:val="0"/>
    <w:rPr>
      <w:rFonts w:ascii="Times New Roman" w:hAnsi="Times New Roman"/>
      <w:kern w:val="2"/>
      <w:sz w:val="21"/>
      <w:szCs w:val="24"/>
    </w:rPr>
  </w:style>
  <w:style w:type="character" w:customStyle="1" w:styleId="79">
    <w:name w:val="未处理的提及1"/>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autoRedefine/>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字符"/>
    <w:link w:val="20"/>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文本首行缩进 2 字符1"/>
    <w:basedOn w:val="56"/>
    <w:link w:val="14"/>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0">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9282</Words>
  <Characters>52910</Characters>
  <Lines>440</Lines>
  <Paragraphs>124</Paragraphs>
  <TotalTime>20</TotalTime>
  <ScaleCrop>false</ScaleCrop>
  <LinksUpToDate>false</LinksUpToDate>
  <CharactersWithSpaces>62068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2025-04-17T08:18:00Z</dcterms:created>
  <dc:creator>个人用户</dc:creator>
  <cp:lastModifiedBy>PP</cp:lastModifiedBy>
  <dcterms:modified xsi:type="dcterms:W3CDTF">2025-05-06T02:38:46Z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BFE9BD9606B14A6A8C229BFBF7ABFEFE_12</vt:lpwstr>
  </property>
</Properties>
</file>