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Times New Roman"/>
          <w:color w:val="auto"/>
          <w:sz w:val="52"/>
          <w:szCs w:val="52"/>
          <w:highlight w:val="none"/>
        </w:rPr>
      </w:pPr>
    </w:p>
    <w:p>
      <w:pPr>
        <w:shd w:val="clear" w:color="auto" w:fill="auto"/>
        <w:spacing w:line="360" w:lineRule="auto"/>
        <w:jc w:val="center"/>
        <w:rPr>
          <w:rFonts w:ascii="宋体" w:hAnsi="宋体" w:eastAsia="宋体"/>
          <w:b/>
          <w:color w:val="auto"/>
          <w:sz w:val="48"/>
          <w:szCs w:val="48"/>
          <w:highlight w:val="none"/>
        </w:rPr>
      </w:pPr>
      <w:r>
        <w:rPr>
          <w:rFonts w:hint="eastAsia" w:ascii="宋体" w:hAnsi="宋体" w:eastAsia="宋体" w:cs="宋体"/>
          <w:b/>
          <w:bCs/>
          <w:color w:val="auto"/>
          <w:sz w:val="72"/>
          <w:szCs w:val="72"/>
          <w:highlight w:val="none"/>
          <w:lang w:eastAsia="zh-CN"/>
        </w:rPr>
        <w:t>广西</w:t>
      </w:r>
      <w:r>
        <w:rPr>
          <w:rFonts w:hint="eastAsia" w:ascii="宋体" w:hAnsi="宋体" w:eastAsia="宋体" w:cs="宋体"/>
          <w:b/>
          <w:bCs/>
          <w:color w:val="auto"/>
          <w:sz w:val="72"/>
          <w:szCs w:val="72"/>
          <w:highlight w:val="none"/>
          <w:lang w:val="en-US" w:eastAsia="zh-CN"/>
        </w:rPr>
        <w:t>科联</w:t>
      </w:r>
      <w:r>
        <w:rPr>
          <w:rFonts w:hint="eastAsia" w:ascii="宋体" w:hAnsi="宋体" w:eastAsia="宋体" w:cs="宋体"/>
          <w:b/>
          <w:bCs/>
          <w:color w:val="auto"/>
          <w:sz w:val="72"/>
          <w:szCs w:val="72"/>
          <w:highlight w:val="none"/>
        </w:rPr>
        <w:t>招标中心有限公司</w:t>
      </w:r>
    </w:p>
    <w:p>
      <w:pPr>
        <w:shd w:val="clear" w:color="auto" w:fill="auto"/>
        <w:snapToGrid w:val="0"/>
        <w:spacing w:before="120" w:beforeLines="50" w:line="360" w:lineRule="auto"/>
        <w:jc w:val="center"/>
        <w:rPr>
          <w:rFonts w:ascii="宋体" w:hAnsi="宋体" w:eastAsia="宋体" w:cs="宋体"/>
          <w:color w:val="auto"/>
          <w:sz w:val="72"/>
          <w:szCs w:val="72"/>
          <w:highlight w:val="none"/>
        </w:rPr>
      </w:pPr>
      <w:r>
        <w:rPr>
          <w:rFonts w:hint="eastAsia" w:ascii="宋体" w:hAnsi="宋体" w:eastAsia="宋体" w:cs="宋体"/>
          <w:b/>
          <w:color w:val="auto"/>
          <w:sz w:val="110"/>
          <w:szCs w:val="110"/>
          <w:highlight w:val="none"/>
        </w:rPr>
        <w:t>招</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标</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文</w:t>
      </w:r>
      <w:r>
        <w:rPr>
          <w:rFonts w:hint="eastAsia" w:ascii="宋体" w:hAnsi="宋体" w:eastAsia="宋体"/>
          <w:b/>
          <w:color w:val="auto"/>
          <w:sz w:val="110"/>
          <w:szCs w:val="110"/>
          <w:highlight w:val="none"/>
        </w:rPr>
        <w:t xml:space="preserve"> </w:t>
      </w:r>
      <w:r>
        <w:rPr>
          <w:rFonts w:hint="eastAsia" w:ascii="宋体" w:hAnsi="宋体" w:eastAsia="宋体" w:cs="宋体"/>
          <w:b/>
          <w:color w:val="auto"/>
          <w:sz w:val="110"/>
          <w:szCs w:val="110"/>
          <w:highlight w:val="none"/>
        </w:rPr>
        <w:t>件</w:t>
      </w:r>
    </w:p>
    <w:p>
      <w:pPr>
        <w:snapToGrid w:val="0"/>
        <w:spacing w:before="165" w:beforeLines="50" w:line="360" w:lineRule="auto"/>
        <w:rPr>
          <w:rFonts w:hint="eastAsia" w:ascii="宋体" w:hAnsi="宋体" w:eastAsia="宋体" w:cs="宋体"/>
          <w:color w:val="auto"/>
          <w:sz w:val="30"/>
          <w:szCs w:val="72"/>
          <w:highlight w:val="none"/>
        </w:rPr>
      </w:pPr>
    </w:p>
    <w:p>
      <w:pPr>
        <w:widowControl w:val="0"/>
        <w:snapToGrid w:val="0"/>
        <w:jc w:val="left"/>
        <w:rPr>
          <w:rFonts w:hint="eastAsia" w:ascii="宋体" w:hAnsi="宋体" w:eastAsia="宋体" w:cs="宋体"/>
          <w:color w:val="auto"/>
          <w:kern w:val="2"/>
          <w:sz w:val="30"/>
          <w:szCs w:val="72"/>
          <w:highlight w:val="none"/>
          <w:lang w:val="en-US" w:eastAsia="zh-CN" w:bidi="ar-SA"/>
        </w:rPr>
      </w:pPr>
    </w:p>
    <w:p>
      <w:pPr>
        <w:rPr>
          <w:rFonts w:hint="eastAsia" w:eastAsia="宋体"/>
          <w:color w:val="auto"/>
          <w:highlight w:val="none"/>
        </w:rPr>
      </w:pPr>
    </w:p>
    <w:p>
      <w:pPr>
        <w:widowControl w:val="0"/>
        <w:snapToGrid w:val="0"/>
        <w:spacing w:before="50" w:after="120" w:line="360" w:lineRule="auto"/>
        <w:ind w:firstLine="1795" w:firstLineChars="596"/>
        <w:jc w:val="both"/>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项目</w:t>
      </w:r>
      <w:r>
        <w:rPr>
          <w:rFonts w:hint="eastAsia" w:ascii="宋体" w:hAnsi="宋体" w:eastAsia="宋体" w:cs="宋体"/>
          <w:b/>
          <w:bCs/>
          <w:color w:val="auto"/>
          <w:w w:val="95"/>
          <w:kern w:val="2"/>
          <w:sz w:val="30"/>
          <w:szCs w:val="30"/>
          <w:highlight w:val="none"/>
          <w:lang w:val="en-US" w:eastAsia="zh-CN" w:bidi="ar-SA"/>
        </w:rPr>
        <w:t>名称</w:t>
      </w:r>
      <w:r>
        <w:rPr>
          <w:rFonts w:hint="eastAsia" w:ascii="宋体" w:hAnsi="宋体" w:eastAsia="宋体" w:cs="宋体"/>
          <w:b/>
          <w:bCs/>
          <w:color w:val="auto"/>
          <w:kern w:val="2"/>
          <w:sz w:val="30"/>
          <w:szCs w:val="30"/>
          <w:highlight w:val="none"/>
          <w:lang w:val="en-US" w:eastAsia="zh-CN" w:bidi="ar-SA"/>
        </w:rPr>
        <w:t>：</w:t>
      </w:r>
      <w:bookmarkStart w:id="0" w:name="OLE_LINK3"/>
      <w:r>
        <w:rPr>
          <w:rFonts w:hint="eastAsia" w:ascii="宋体" w:hAnsi="宋体" w:cs="宋体"/>
          <w:b/>
          <w:bCs/>
          <w:color w:val="auto"/>
          <w:kern w:val="2"/>
          <w:sz w:val="30"/>
          <w:szCs w:val="30"/>
          <w:highlight w:val="none"/>
          <w:lang w:val="en-US" w:eastAsia="zh-CN" w:bidi="ar-SA"/>
        </w:rPr>
        <w:t>云胶片服务</w:t>
      </w:r>
      <w:bookmarkEnd w:id="0"/>
    </w:p>
    <w:p>
      <w:pPr>
        <w:snapToGrid w:val="0"/>
        <w:spacing w:before="165" w:beforeLines="50" w:line="360" w:lineRule="auto"/>
        <w:ind w:firstLine="1717" w:firstLineChars="6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bCs/>
          <w:color w:val="auto"/>
          <w:w w:val="95"/>
          <w:sz w:val="30"/>
          <w:szCs w:val="30"/>
          <w:highlight w:val="none"/>
          <w:lang w:eastAsia="zh-CN"/>
        </w:rPr>
        <w:t>LBZC2025-G3-990037-GXKL</w:t>
      </w: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shd w:val="clear" w:color="auto" w:fill="auto"/>
        <w:snapToGrid w:val="0"/>
        <w:spacing w:before="120"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 购 人：</w:t>
      </w:r>
      <w:r>
        <w:rPr>
          <w:rFonts w:hint="eastAsia" w:ascii="宋体" w:hAnsi="宋体" w:cs="宋体"/>
          <w:b/>
          <w:bCs/>
          <w:color w:val="auto"/>
          <w:w w:val="95"/>
          <w:kern w:val="2"/>
          <w:sz w:val="30"/>
          <w:szCs w:val="30"/>
          <w:highlight w:val="none"/>
          <w:lang w:val="en-US" w:eastAsia="zh-CN" w:bidi="ar-SA"/>
        </w:rPr>
        <w:t>来宾市人民医院</w:t>
      </w:r>
    </w:p>
    <w:p>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1" w:name="PO_3000001867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1"/>
    </w:p>
    <w:p>
      <w:pPr>
        <w:widowControl w:val="0"/>
        <w:snapToGrid w:val="0"/>
        <w:spacing w:before="50" w:after="120" w:line="360" w:lineRule="auto"/>
        <w:ind w:firstLine="841" w:firstLineChars="294"/>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 xml:space="preserve">                     </w:t>
      </w:r>
    </w:p>
    <w:p>
      <w:pPr>
        <w:widowControl w:val="0"/>
        <w:snapToGrid w:val="0"/>
        <w:spacing w:before="50" w:after="120" w:line="360" w:lineRule="auto"/>
        <w:jc w:val="center"/>
        <w:rPr>
          <w:rFonts w:hint="eastAsia" w:ascii="宋体" w:hAnsi="宋体" w:eastAsia="宋体" w:cs="宋体"/>
          <w:b/>
          <w:bCs/>
          <w:color w:val="auto"/>
          <w:w w:val="95"/>
          <w:kern w:val="2"/>
          <w:sz w:val="30"/>
          <w:szCs w:val="30"/>
          <w:highlight w:val="none"/>
          <w:lang w:val="en-US" w:eastAsia="zh-CN" w:bidi="ar-SA"/>
        </w:rPr>
      </w:pPr>
    </w:p>
    <w:p>
      <w:pPr>
        <w:widowControl/>
        <w:spacing w:line="360" w:lineRule="auto"/>
        <w:jc w:val="center"/>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r>
        <w:rPr>
          <w:rFonts w:hint="eastAsia" w:ascii="宋体" w:hAnsi="宋体" w:eastAsia="宋体" w:cs="宋体"/>
          <w:b/>
          <w:bCs/>
          <w:color w:val="auto"/>
          <w:w w:val="95"/>
          <w:kern w:val="2"/>
          <w:sz w:val="30"/>
          <w:szCs w:val="30"/>
          <w:highlight w:val="none"/>
          <w:lang w:val="en-US" w:eastAsia="zh-CN" w:bidi="ar-SA"/>
        </w:rPr>
        <w:t>2025年</w:t>
      </w:r>
      <w:r>
        <w:rPr>
          <w:rFonts w:hint="eastAsia" w:ascii="宋体"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pPr>
        <w:pStyle w:val="17"/>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pPr>
        <w:pStyle w:val="19"/>
        <w:tabs>
          <w:tab w:val="right" w:leader="dot" w:pos="9637"/>
        </w:tabs>
        <w:rPr>
          <w:color w:val="auto"/>
          <w:highlight w:val="none"/>
        </w:rPr>
      </w:pPr>
    </w:p>
    <w:p>
      <w:pPr>
        <w:pStyle w:val="19"/>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2" w:name="_Toc532545041"/>
    </w:p>
    <w:p>
      <w:pPr>
        <w:rPr>
          <w:rFonts w:hint="eastAsia" w:eastAsia="宋体" w:cs="Times New Roman"/>
          <w:color w:val="auto"/>
          <w:highlight w:val="none"/>
        </w:rPr>
      </w:pPr>
      <w:r>
        <w:rPr>
          <w:rFonts w:hint="eastAsia" w:eastAsia="宋体" w:cs="Times New Roman"/>
          <w:color w:val="auto"/>
          <w:highlight w:val="none"/>
        </w:rPr>
        <w:br w:type="page"/>
      </w:r>
    </w:p>
    <w:p>
      <w:pPr>
        <w:pStyle w:val="17"/>
        <w:jc w:val="center"/>
        <w:outlineLvl w:val="0"/>
        <w:rPr>
          <w:rFonts w:hint="eastAsia" w:ascii="Times New Roman" w:hAnsi="Times New Roman" w:eastAsia="宋体" w:cs="Times New Roman"/>
          <w:b/>
          <w:color w:val="auto"/>
          <w:sz w:val="36"/>
          <w:szCs w:val="20"/>
          <w:highlight w:val="none"/>
        </w:rPr>
      </w:pPr>
      <w:bookmarkStart w:id="3" w:name="_Toc16576"/>
      <w:bookmarkStart w:id="4" w:name="_Toc20258"/>
      <w:bookmarkStart w:id="5" w:name="_Toc12228"/>
      <w:bookmarkStart w:id="6" w:name="_Toc8345"/>
      <w:bookmarkStart w:id="7" w:name="_Toc184"/>
      <w:bookmarkStart w:id="8" w:name="_Toc9949"/>
      <w:bookmarkStart w:id="9" w:name="_Toc18459"/>
      <w:bookmarkStart w:id="10" w:name="_Toc16222"/>
      <w:bookmarkStart w:id="11" w:name="_Toc18707"/>
      <w:bookmarkStart w:id="12" w:name="_Toc19537"/>
      <w:bookmarkStart w:id="13" w:name="_Toc11500"/>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2"/>
      <w:bookmarkEnd w:id="3"/>
      <w:bookmarkEnd w:id="4"/>
      <w:bookmarkEnd w:id="5"/>
      <w:bookmarkEnd w:id="6"/>
      <w:bookmarkEnd w:id="7"/>
      <w:bookmarkEnd w:id="8"/>
      <w:bookmarkEnd w:id="9"/>
      <w:bookmarkEnd w:id="10"/>
      <w:bookmarkEnd w:id="11"/>
      <w:bookmarkEnd w:id="12"/>
      <w:bookmarkEnd w:id="13"/>
    </w:p>
    <w:p>
      <w:pPr>
        <w:pStyle w:val="17"/>
        <w:jc w:val="center"/>
        <w:rPr>
          <w:rFonts w:hint="eastAsia" w:ascii="Times New Roman" w:hAnsi="Times New Roman" w:eastAsia="宋体" w:cs="Times New Roman"/>
          <w:b/>
          <w:color w:val="auto"/>
          <w:sz w:val="30"/>
          <w:szCs w:val="30"/>
          <w:highlight w:val="none"/>
        </w:rPr>
      </w:pPr>
    </w:p>
    <w:p>
      <w:pPr>
        <w:pStyle w:val="17"/>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云胶片服务</w:t>
      </w:r>
      <w:r>
        <w:rPr>
          <w:rFonts w:hint="eastAsia" w:ascii="宋体" w:hAnsi="宋体" w:eastAsia="宋体" w:cs="宋体"/>
          <w:color w:val="auto"/>
          <w:szCs w:val="21"/>
          <w:highlight w:val="none"/>
        </w:rPr>
        <w:t>招标项目的潜在投标人应在广西政府采购云平台（https://www.gcy.zfcg.gxzf.gov.cn/）获取招标文件，并于</w:t>
      </w:r>
      <w:bookmarkStart w:id="14" w:name="PO_3000001866_PM015"/>
      <w:bookmarkStart w:id="15" w:name="PO_3000001867_PM015"/>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bookmarkEnd w:id="14"/>
      <w:bookmarkEnd w:id="15"/>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递交投标文件。</w:t>
      </w:r>
    </w:p>
    <w:p>
      <w:pPr>
        <w:spacing w:line="360" w:lineRule="auto"/>
        <w:rPr>
          <w:rFonts w:ascii="黑体" w:hAnsi="黑体" w:eastAsia="黑体" w:cs="Times New Roman"/>
          <w:b/>
          <w:bCs/>
          <w:color w:val="auto"/>
          <w:sz w:val="24"/>
          <w:highlight w:val="none"/>
        </w:rPr>
      </w:pPr>
      <w:bookmarkStart w:id="16" w:name="_Toc35393621"/>
      <w:bookmarkStart w:id="17" w:name="_Toc28359079"/>
      <w:bookmarkStart w:id="18" w:name="_Toc35393790"/>
      <w:bookmarkStart w:id="19" w:name="_Toc28359002"/>
      <w:bookmarkStart w:id="20" w:name="_Hlk24379207"/>
      <w:r>
        <w:rPr>
          <w:rFonts w:hint="eastAsia" w:ascii="黑体" w:hAnsi="黑体" w:eastAsia="黑体" w:cs="Times New Roman"/>
          <w:b/>
          <w:bCs/>
          <w:color w:val="auto"/>
          <w:sz w:val="24"/>
          <w:highlight w:val="none"/>
        </w:rPr>
        <w:t>一、项目基本情况</w:t>
      </w:r>
      <w:bookmarkEnd w:id="16"/>
      <w:bookmarkEnd w:id="17"/>
      <w:bookmarkEnd w:id="18"/>
      <w:bookmarkEnd w:id="19"/>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eastAsia="zh-CN"/>
        </w:rPr>
        <w:t>LBZC2025-G3-990037-GXKL</w:t>
      </w:r>
      <w:r>
        <w:rPr>
          <w:rFonts w:hint="eastAsia" w:ascii="宋体" w:hAnsi="宋体" w:eastAsia="宋体" w:cs="Times New Roman"/>
          <w:color w:val="auto"/>
          <w:szCs w:val="21"/>
          <w:highlight w:val="none"/>
        </w:rPr>
        <w:t xml:space="preserve"> </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bookmarkEnd w:id="20"/>
      <w:bookmarkStart w:id="21" w:name="OLE_LINK5"/>
      <w:r>
        <w:rPr>
          <w:rFonts w:hint="eastAsia" w:ascii="宋体" w:hAnsi="宋体" w:cs="宋体"/>
          <w:color w:val="auto"/>
          <w:szCs w:val="21"/>
          <w:highlight w:val="none"/>
          <w:u w:val="single"/>
          <w:lang w:val="en-US" w:eastAsia="zh-CN"/>
        </w:rPr>
        <w:t>云胶片服务</w:t>
      </w:r>
      <w:bookmarkEnd w:id="21"/>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bookmarkStart w:id="22" w:name="PO_3000001867_PM001392"/>
      <w:r>
        <w:rPr>
          <w:rFonts w:hint="eastAsia" w:ascii="宋体" w:hAnsi="宋体" w:cs="Times New Roman"/>
          <w:color w:val="auto"/>
          <w:szCs w:val="21"/>
          <w:highlight w:val="none"/>
          <w:lang w:val="en-US" w:eastAsia="zh-CN"/>
        </w:rPr>
        <w:t>3000000</w:t>
      </w:r>
      <w:r>
        <w:rPr>
          <w:rFonts w:hint="eastAsia" w:ascii="宋体" w:hAnsi="宋体" w:eastAsia="宋体" w:cs="Times New Roman"/>
          <w:color w:val="auto"/>
          <w:szCs w:val="21"/>
          <w:highlight w:val="none"/>
        </w:rPr>
        <w:t>.00</w:t>
      </w:r>
      <w:bookmarkEnd w:id="22"/>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采购需求：</w:t>
      </w:r>
      <w:r>
        <w:rPr>
          <w:rFonts w:hint="eastAsia" w:ascii="宋体" w:hAnsi="宋体" w:eastAsia="宋体" w:cs="宋体"/>
          <w:color w:val="auto"/>
          <w:szCs w:val="21"/>
          <w:highlight w:val="none"/>
        </w:rPr>
        <w:t xml:space="preserve"> </w:t>
      </w:r>
      <w:bookmarkStart w:id="23" w:name="PO_3000001867_PM004"/>
      <w:r>
        <w:rPr>
          <w:rFonts w:hint="eastAsia" w:ascii="宋体" w:hAnsi="宋体" w:eastAsia="宋体" w:cs="宋体"/>
          <w:color w:val="auto"/>
          <w:szCs w:val="21"/>
          <w:highlight w:val="none"/>
        </w:rPr>
        <w:t xml:space="preserve"> </w:t>
      </w:r>
      <w:bookmarkEnd w:id="23"/>
    </w:p>
    <w:p>
      <w:pPr>
        <w:spacing w:line="336" w:lineRule="auto"/>
        <w:rPr>
          <w:rFonts w:ascii="宋体" w:hAnsi="宋体" w:eastAsia="宋体" w:cs="Times New Roman"/>
          <w:color w:val="auto"/>
          <w:szCs w:val="21"/>
          <w:highlight w:val="none"/>
        </w:rPr>
      </w:pPr>
      <w:bookmarkStart w:id="24" w:name="_Toc35393791"/>
      <w:bookmarkStart w:id="25" w:name="_Toc28359003"/>
      <w:bookmarkStart w:id="26" w:name="_Toc28359080"/>
      <w:bookmarkStart w:id="27" w:name="_Toc35393622"/>
      <w:r>
        <w:rPr>
          <w:rFonts w:hint="eastAsia" w:ascii="宋体" w:hAnsi="宋体" w:eastAsia="宋体" w:cs="Times New Roman"/>
          <w:color w:val="auto"/>
          <w:szCs w:val="21"/>
          <w:highlight w:val="none"/>
        </w:rPr>
        <w:t>标项名称:</w:t>
      </w:r>
      <w:r>
        <w:rPr>
          <w:rFonts w:hint="eastAsia" w:ascii="宋体" w:hAnsi="宋体" w:cs="宋体"/>
          <w:color w:val="auto"/>
          <w:szCs w:val="21"/>
          <w:highlight w:val="none"/>
          <w:u w:val="single"/>
          <w:lang w:val="en-US" w:eastAsia="zh-CN"/>
        </w:rPr>
        <w:t>云胶片服务</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数量:不限</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预算金额（元）:</w:t>
      </w:r>
      <w:r>
        <w:rPr>
          <w:rFonts w:hint="eastAsia" w:ascii="宋体" w:hAnsi="宋体" w:eastAsia="宋体" w:cs="Times New Roman"/>
          <w:color w:val="auto"/>
          <w:szCs w:val="21"/>
          <w:highlight w:val="none"/>
          <w:lang w:val="en-US" w:eastAsia="zh-CN"/>
        </w:rPr>
        <w:t>3000000.00</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简要规格描述或项目基本概况介绍、用途：</w:t>
      </w:r>
      <w:bookmarkStart w:id="28" w:name="OLE_LINK16"/>
      <w:r>
        <w:rPr>
          <w:rFonts w:hint="eastAsia" w:ascii="宋体" w:hAnsi="宋体" w:eastAsia="宋体" w:cs="Times New Roman"/>
          <w:color w:val="auto"/>
          <w:szCs w:val="21"/>
          <w:highlight w:val="none"/>
        </w:rPr>
        <w:t>详见招标公告附件《采购需求》</w:t>
      </w:r>
      <w:bookmarkEnd w:id="28"/>
    </w:p>
    <w:p>
      <w:pPr>
        <w:spacing w:line="33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pPr>
        <w:spacing w:line="336" w:lineRule="auto"/>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rPr>
        <w:t>合同履约期限：</w:t>
      </w:r>
      <w:r>
        <w:rPr>
          <w:rFonts w:hint="eastAsia" w:ascii="宋体" w:hAnsi="宋体" w:cs="Times New Roman"/>
          <w:color w:val="auto"/>
          <w:szCs w:val="21"/>
          <w:highlight w:val="none"/>
          <w:lang w:val="en-US" w:eastAsia="zh-CN"/>
        </w:rPr>
        <w:t>合同签订后2个月内交付使用，服务期3年</w:t>
      </w:r>
    </w:p>
    <w:p>
      <w:pPr>
        <w:spacing w:line="360" w:lineRule="auto"/>
        <w:rPr>
          <w:rFonts w:ascii="黑体" w:hAnsi="黑体" w:eastAsia="黑体" w:cs="Times New Roman"/>
          <w:b/>
          <w:bCs/>
          <w:color w:val="auto"/>
          <w:sz w:val="24"/>
          <w:highlight w:val="none"/>
        </w:rPr>
      </w:pPr>
      <w:r>
        <w:rPr>
          <w:rFonts w:hint="eastAsia" w:ascii="宋体" w:hAnsi="宋体" w:eastAsia="宋体" w:cs="Times New Roman"/>
          <w:color w:val="auto"/>
          <w:szCs w:val="21"/>
          <w:highlight w:val="none"/>
        </w:rPr>
        <w:t>本标项（</w:t>
      </w:r>
      <w:r>
        <w:rPr>
          <w:rFonts w:hint="eastAsia" w:ascii="宋体" w:hAnsi="宋体" w:eastAsia="宋体" w:cs="Times New Roman"/>
          <w:color w:val="auto"/>
          <w:szCs w:val="21"/>
          <w:highlight w:val="none"/>
          <w:lang w:val="en-US" w:eastAsia="zh-CN"/>
        </w:rPr>
        <w:t>否</w:t>
      </w:r>
      <w:r>
        <w:rPr>
          <w:rFonts w:hint="eastAsia" w:ascii="宋体" w:hAnsi="宋体" w:eastAsia="宋体" w:cs="Times New Roman"/>
          <w:color w:val="auto"/>
          <w:szCs w:val="21"/>
          <w:highlight w:val="none"/>
        </w:rPr>
        <w:t>）接受联合体投标</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备注：</w:t>
      </w:r>
    </w:p>
    <w:p>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二、申请人的资格要求：</w:t>
      </w:r>
      <w:bookmarkEnd w:id="24"/>
      <w:bookmarkEnd w:id="25"/>
      <w:bookmarkEnd w:id="26"/>
      <w:bookmarkEnd w:id="27"/>
    </w:p>
    <w:p>
      <w:pPr>
        <w:spacing w:line="360" w:lineRule="auto"/>
        <w:ind w:firstLine="420" w:firstLineChars="200"/>
        <w:rPr>
          <w:rFonts w:ascii="宋体" w:hAnsi="宋体" w:eastAsia="宋体" w:cs="Times New Roman"/>
          <w:color w:val="auto"/>
          <w:szCs w:val="21"/>
          <w:highlight w:val="none"/>
        </w:rPr>
      </w:pPr>
      <w:bookmarkStart w:id="29" w:name="_Toc28359004"/>
      <w:bookmarkStart w:id="30" w:name="_Toc28359081"/>
      <w:r>
        <w:rPr>
          <w:rFonts w:hint="eastAsia" w:ascii="宋体" w:hAnsi="宋体" w:eastAsia="宋体" w:cs="Times New Roman"/>
          <w:color w:val="auto"/>
          <w:szCs w:val="21"/>
          <w:highlight w:val="none"/>
        </w:rPr>
        <w:t>1.满足《中华人民共和国政府采购法》第二十二条规定；</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eastAsia="宋体" w:cs="宋体"/>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3.本项目的特定资格要求：投标人为经销商的，提供有效的第二类医疗器械经营备案凭证</w:t>
      </w:r>
      <w:r>
        <w:rPr>
          <w:rFonts w:hint="eastAsia" w:ascii="宋体" w:hAnsi="宋体" w:cs="Times New Roman"/>
          <w:color w:val="auto"/>
          <w:szCs w:val="21"/>
          <w:highlight w:val="none"/>
          <w:lang w:eastAsia="zh-CN"/>
        </w:rPr>
        <w:t>；投标人为生产厂家的，提供</w:t>
      </w:r>
      <w:r>
        <w:rPr>
          <w:rFonts w:hint="eastAsia" w:ascii="宋体" w:hAnsi="宋体" w:cs="Times New Roman"/>
          <w:color w:val="auto"/>
          <w:szCs w:val="21"/>
          <w:highlight w:val="none"/>
          <w:lang w:val="en-US" w:eastAsia="zh-CN"/>
        </w:rPr>
        <w:t>有效的《医疗器械生产许可证》；或者投标人具有《医疗器械监督管理条例》第四十三条规定的注册人凭证。</w:t>
      </w:r>
    </w:p>
    <w:p>
      <w:pPr>
        <w:spacing w:line="360" w:lineRule="auto"/>
        <w:rPr>
          <w:rFonts w:ascii="黑体" w:hAnsi="黑体" w:eastAsia="黑体" w:cs="Times New Roman"/>
          <w:b/>
          <w:bCs/>
          <w:color w:val="auto"/>
          <w:sz w:val="24"/>
          <w:highlight w:val="none"/>
        </w:rPr>
      </w:pPr>
      <w:bookmarkStart w:id="31" w:name="_Toc35393623"/>
      <w:bookmarkStart w:id="32" w:name="_Toc35393792"/>
      <w:r>
        <w:rPr>
          <w:rFonts w:hint="eastAsia" w:ascii="黑体" w:hAnsi="黑体" w:eastAsia="黑体" w:cs="Times New Roman"/>
          <w:b/>
          <w:bCs/>
          <w:color w:val="auto"/>
          <w:sz w:val="24"/>
          <w:highlight w:val="none"/>
        </w:rPr>
        <w:t>三、获取招标文件</w:t>
      </w:r>
      <w:bookmarkEnd w:id="29"/>
      <w:bookmarkEnd w:id="30"/>
      <w:bookmarkEnd w:id="31"/>
      <w:bookmarkEnd w:id="32"/>
    </w:p>
    <w:p>
      <w:pPr>
        <w:snapToGrid w:val="0"/>
        <w:spacing w:line="360" w:lineRule="auto"/>
        <w:ind w:firstLine="472" w:firstLineChars="225"/>
        <w:rPr>
          <w:rFonts w:ascii="宋体" w:hAnsi="宋体" w:eastAsia="宋体" w:cs="Times New Roman"/>
          <w:color w:val="auto"/>
          <w:szCs w:val="21"/>
          <w:highlight w:val="none"/>
        </w:rPr>
      </w:pPr>
      <w:bookmarkStart w:id="33" w:name="_Toc28359005"/>
      <w:bookmarkStart w:id="34" w:name="_Toc28359082"/>
      <w:bookmarkStart w:id="35" w:name="_Toc35393793"/>
      <w:bookmarkStart w:id="36" w:name="_Toc35393624"/>
      <w:r>
        <w:rPr>
          <w:rFonts w:hint="eastAsia" w:ascii="宋体" w:hAnsi="宋体" w:eastAsia="宋体" w:cs="Times New Roman"/>
          <w:color w:val="auto"/>
          <w:szCs w:val="21"/>
          <w:highlight w:val="none"/>
        </w:rPr>
        <w:t>时间：</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6</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w:t>
      </w:r>
      <w:r>
        <w:rPr>
          <w:rFonts w:hint="eastAsia" w:ascii="宋体" w:hAnsi="宋体" w:eastAsia="宋体" w:cs="Times New Roman"/>
          <w:color w:val="auto"/>
          <w:szCs w:val="21"/>
          <w:highlight w:val="none"/>
        </w:rPr>
        <w:t>每天上午00:00至11:59，下午12:00至23:59（北京时间，法定节假日除外）。</w:t>
      </w:r>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地点：</w:t>
      </w:r>
      <w:bookmarkStart w:id="37" w:name="OLE_LINK19"/>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bookmarkEnd w:id="37"/>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bookmarkStart w:id="38" w:name="OLE_LINK20"/>
      <w:r>
        <w:rPr>
          <w:rFonts w:hint="eastAsia" w:ascii="宋体" w:hAnsi="宋体" w:eastAsia="宋体" w:cs="Times New Roman"/>
          <w:color w:val="auto"/>
          <w:szCs w:val="21"/>
          <w:highlight w:val="none"/>
        </w:rPr>
        <w:t>网上下载。本项目不发放纸质文件，</w:t>
      </w:r>
      <w:r>
        <w:rPr>
          <w:rFonts w:hint="eastAsia" w:ascii="宋体" w:hAnsi="宋体" w:eastAsia="宋体" w:cs="宋体"/>
          <w:color w:val="auto"/>
          <w:szCs w:val="21"/>
          <w:highlight w:val="none"/>
        </w:rPr>
        <w:t>潜在投标人</w:t>
      </w:r>
      <w:r>
        <w:rPr>
          <w:rFonts w:hint="eastAsia" w:ascii="宋体" w:hAnsi="宋体" w:eastAsia="宋体" w:cs="Times New Roman"/>
          <w:color w:val="auto"/>
          <w:szCs w:val="21"/>
          <w:highlight w:val="none"/>
        </w:rPr>
        <w:t>可自行在</w:t>
      </w:r>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获取的招标文件编制</w:t>
      </w:r>
      <w:bookmarkEnd w:id="38"/>
      <w:r>
        <w:rPr>
          <w:rFonts w:hint="eastAsia" w:ascii="宋体" w:hAnsi="宋体" w:eastAsia="宋体" w:cs="Times New Roman"/>
          <w:color w:val="auto"/>
          <w:szCs w:val="21"/>
          <w:highlight w:val="none"/>
        </w:rPr>
        <w:t>。</w:t>
      </w:r>
    </w:p>
    <w:p>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宋体"/>
          <w:color w:val="auto"/>
          <w:szCs w:val="21"/>
          <w:highlight w:val="none"/>
        </w:rPr>
        <w:t>人民币0元</w:t>
      </w:r>
    </w:p>
    <w:p>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3"/>
      <w:bookmarkEnd w:id="34"/>
      <w:r>
        <w:rPr>
          <w:rFonts w:hint="eastAsia" w:ascii="黑体" w:hAnsi="黑体" w:eastAsia="黑体" w:cs="Times New Roman"/>
          <w:b/>
          <w:bCs/>
          <w:color w:val="auto"/>
          <w:sz w:val="24"/>
          <w:highlight w:val="none"/>
        </w:rPr>
        <w:t>截止时间、开标时间和地点</w:t>
      </w:r>
      <w:bookmarkEnd w:id="35"/>
      <w:bookmarkEnd w:id="36"/>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提交投标文件截止时间：202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 xml:space="preserve">日 </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0（北京时间）。</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投标地点（网址）：请登录广西政府采购云平台投标客户端投标。</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开标时间：202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 xml:space="preserve">日 </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0。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开标地点：广西壮族自治区来宾市兴宾区来宾市红水河大道331号开标室</w:t>
      </w:r>
      <w:r>
        <w:rPr>
          <w:rFonts w:hint="eastAsia" w:ascii="宋体" w:hAnsi="宋体" w:cs="宋体"/>
          <w:bCs/>
          <w:color w:val="auto"/>
          <w:szCs w:val="21"/>
          <w:highlight w:val="none"/>
          <w:lang w:val="en-US" w:eastAsia="zh-CN"/>
        </w:rPr>
        <w:t>三</w:t>
      </w:r>
      <w:r>
        <w:rPr>
          <w:rFonts w:hint="eastAsia" w:ascii="宋体" w:hAnsi="宋体" w:eastAsia="宋体" w:cs="宋体"/>
          <w:bCs/>
          <w:color w:val="auto"/>
          <w:szCs w:val="21"/>
          <w:highlight w:val="none"/>
        </w:rPr>
        <w:t>（开标位</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p>
    <w:p>
      <w:pPr>
        <w:spacing w:line="360" w:lineRule="auto"/>
        <w:rPr>
          <w:rFonts w:ascii="黑体" w:hAnsi="黑体" w:eastAsia="黑体" w:cs="Times New Roman"/>
          <w:b/>
          <w:bCs/>
          <w:color w:val="auto"/>
          <w:sz w:val="24"/>
          <w:highlight w:val="none"/>
        </w:rPr>
      </w:pPr>
      <w:bookmarkStart w:id="39" w:name="_Toc28359007"/>
      <w:bookmarkStart w:id="40" w:name="_Toc35393625"/>
      <w:bookmarkStart w:id="41" w:name="_Toc28359084"/>
      <w:bookmarkStart w:id="42" w:name="_Toc35393794"/>
      <w:r>
        <w:rPr>
          <w:rFonts w:hint="eastAsia" w:ascii="黑体" w:hAnsi="黑体" w:eastAsia="黑体" w:cs="Times New Roman"/>
          <w:b/>
          <w:bCs/>
          <w:color w:val="auto"/>
          <w:sz w:val="24"/>
          <w:highlight w:val="none"/>
        </w:rPr>
        <w:t>五、公告期限</w:t>
      </w:r>
      <w:bookmarkEnd w:id="39"/>
      <w:bookmarkEnd w:id="40"/>
      <w:bookmarkEnd w:id="41"/>
      <w:bookmarkEnd w:id="42"/>
    </w:p>
    <w:p>
      <w:pPr>
        <w:spacing w:line="360" w:lineRule="auto"/>
        <w:ind w:firstLine="420" w:firstLineChars="200"/>
        <w:rPr>
          <w:rFonts w:eastAsia="宋体"/>
          <w:color w:val="auto"/>
          <w:highlight w:val="none"/>
        </w:rPr>
      </w:pPr>
      <w:r>
        <w:rPr>
          <w:rFonts w:hint="eastAsia" w:ascii="宋体" w:hAnsi="宋体" w:eastAsia="宋体" w:cs="宋体"/>
          <w:color w:val="auto"/>
          <w:kern w:val="0"/>
          <w:szCs w:val="21"/>
          <w:highlight w:val="none"/>
        </w:rPr>
        <w:t>自本公告发布之日起5个工作日。</w:t>
      </w:r>
    </w:p>
    <w:p>
      <w:pPr>
        <w:spacing w:line="360" w:lineRule="auto"/>
        <w:rPr>
          <w:rFonts w:ascii="黑体" w:hAnsi="黑体" w:eastAsia="黑体" w:cs="Times New Roman"/>
          <w:b/>
          <w:bCs/>
          <w:color w:val="auto"/>
          <w:sz w:val="24"/>
          <w:highlight w:val="none"/>
        </w:rPr>
      </w:pPr>
      <w:bookmarkStart w:id="43" w:name="_Toc35393626"/>
      <w:bookmarkStart w:id="44" w:name="_Toc35393795"/>
      <w:r>
        <w:rPr>
          <w:rFonts w:hint="eastAsia" w:ascii="黑体" w:hAnsi="黑体" w:eastAsia="黑体" w:cs="Times New Roman"/>
          <w:b/>
          <w:bCs/>
          <w:color w:val="auto"/>
          <w:sz w:val="24"/>
          <w:highlight w:val="none"/>
        </w:rPr>
        <w:t>六、其他补充事宜</w:t>
      </w:r>
      <w:bookmarkEnd w:id="43"/>
      <w:bookmarkEnd w:id="44"/>
    </w:p>
    <w:p>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r>
        <w:rPr>
          <w:rFonts w:hint="eastAsia" w:ascii="宋体" w:hAnsi="宋体" w:eastAsia="宋体" w:cs="宋体"/>
          <w:b/>
          <w:bCs/>
          <w:color w:val="auto"/>
          <w:kern w:val="0"/>
          <w:szCs w:val="21"/>
          <w:highlight w:val="none"/>
        </w:rPr>
        <w:t>本项目不需要缴纳投标保证金。</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2.网上查询地址</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szCs w:val="21"/>
          <w:highlight w:val="none"/>
        </w:rPr>
        <w:t>http://www.ccgp.gov.cn (中国政府采购网)，http://zfcg.gxzf.gov.cn (广西政府采购网)，（http://ggzy.jgswj.gxzf.gov.cn/lbggzy/）全国公共资源交易平台网（广西•来宾）</w:t>
      </w:r>
      <w:r>
        <w:rPr>
          <w:rFonts w:hint="eastAsia" w:ascii="宋体" w:hAnsi="宋体" w:eastAsia="宋体" w:cs="宋体"/>
          <w:color w:val="auto"/>
          <w:kern w:val="0"/>
          <w:szCs w:val="21"/>
          <w:highlight w:val="none"/>
        </w:rPr>
        <w:t>。</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 本项目需要落实的政府采购政策：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5.对在“信用中国”网站(www.creditchina.gov.cn) 、中国政府采购网(www.ccgp.gov.cn)被列入失信被执行人、</w:t>
      </w:r>
      <w:r>
        <w:rPr>
          <w:rFonts w:hint="eastAsia" w:ascii="宋体" w:hAnsi="宋体" w:eastAsia="宋体" w:cs="宋体"/>
          <w:color w:val="auto"/>
          <w:szCs w:val="21"/>
          <w:highlight w:val="none"/>
        </w:rPr>
        <w:t>重大税收违法失信主体</w:t>
      </w:r>
      <w:r>
        <w:rPr>
          <w:rFonts w:hint="eastAsia" w:ascii="宋体" w:hAnsi="宋体" w:eastAsia="宋体" w:cs="宋体"/>
          <w:color w:val="auto"/>
          <w:kern w:val="0"/>
          <w:szCs w:val="21"/>
          <w:highlight w:val="none"/>
        </w:rPr>
        <w:t>、政府采购严重违法失信行为记录名单及其他不符合《中华人民共和国政府采购法》第二十二条规定条件的供应商，不得参与政府采购活动。</w:t>
      </w:r>
    </w:p>
    <w:p>
      <w:pPr>
        <w:spacing w:line="360" w:lineRule="auto"/>
        <w:ind w:firstLine="316" w:firstLineChars="15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在线投标的有关说明</w:t>
      </w:r>
      <w:r>
        <w:rPr>
          <w:rFonts w:hint="eastAsia" w:ascii="宋体" w:hAnsi="宋体" w:eastAsia="宋体" w:cs="宋体"/>
          <w:b/>
          <w:bCs/>
          <w:color w:val="auto"/>
          <w:kern w:val="0"/>
          <w:szCs w:val="21"/>
          <w:highlight w:val="none"/>
        </w:rPr>
        <w:t>：</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eastAsia="宋体" w:cs="宋体"/>
          <w:color w:val="auto"/>
          <w:szCs w:val="21"/>
          <w:highlight w:val="none"/>
        </w:rPr>
        <w:t>广西政府采购云平台（https://www.gcy.zfcg.gxzf.gov.cn/）</w:t>
      </w:r>
      <w:r>
        <w:rPr>
          <w:rFonts w:hint="eastAsia" w:ascii="宋体" w:hAnsi="宋体" w:eastAsia="宋体" w:cs="Times New Roman"/>
          <w:color w:val="auto"/>
          <w:szCs w:val="21"/>
          <w:highlight w:val="none"/>
        </w:rPr>
        <w:t>实行在线电子投标，供应商应先安装</w:t>
      </w:r>
      <w:r>
        <w:rPr>
          <w:rFonts w:hint="eastAsia" w:ascii="宋体" w:hAnsi="宋体" w:eastAsia="宋体" w:cs="宋体"/>
          <w:color w:val="auto"/>
          <w:szCs w:val="21"/>
          <w:highlight w:val="none"/>
        </w:rPr>
        <w:t>广西政府采购云平台新版客户端（新版客户端下载路径：广西政府采购网（访问地址http://zfcg.gxzf.gov.cn/）—办事服务—下载专区）</w:t>
      </w:r>
      <w:r>
        <w:rPr>
          <w:rFonts w:hint="eastAsia" w:ascii="宋体" w:hAnsi="宋体" w:eastAsia="宋体" w:cs="Times New Roman"/>
          <w:color w:val="auto"/>
          <w:szCs w:val="21"/>
          <w:highlight w:val="none"/>
        </w:rPr>
        <w:t>，并按照本项目招标文件和</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的要求编制、加密后在投标截止时间前通过网络上传至</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投标人在</w:t>
      </w:r>
      <w:r>
        <w:rPr>
          <w:rFonts w:hint="eastAsia" w:ascii="宋体" w:hAnsi="宋体" w:eastAsia="宋体" w:cs="宋体"/>
          <w:color w:val="auto"/>
          <w:szCs w:val="21"/>
          <w:highlight w:val="none"/>
        </w:rPr>
        <w:t>广西政府采购云平台</w:t>
      </w:r>
      <w:r>
        <w:rPr>
          <w:rFonts w:hint="eastAsia" w:ascii="宋体" w:hAnsi="宋体" w:eastAsia="宋体" w:cs="Times New Roman"/>
          <w:b/>
          <w:bCs/>
          <w:color w:val="auto"/>
          <w:szCs w:val="21"/>
          <w:highlight w:val="none"/>
        </w:rPr>
        <w:t>提交电子版投标文件时，请填写参加远程开标活动经办人联系方式</w:t>
      </w:r>
      <w:r>
        <w:rPr>
          <w:rFonts w:hint="eastAsia" w:ascii="宋体" w:hAnsi="宋体" w:eastAsia="宋体" w:cs="Times New Roman"/>
          <w:color w:val="auto"/>
          <w:szCs w:val="21"/>
          <w:highlight w:val="none"/>
        </w:rPr>
        <w:t>。</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（4）CA证书在线解密：投标人投标时，需携带制作投标文件时用来加密的有效数字证书（CA认证）登录</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电子开标大厅现场按规定时间对加密的投标文件进行解密。</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（5）若对项目采购电子交易系统操作有疑问，可登录</w:t>
      </w:r>
      <w:r>
        <w:rPr>
          <w:rFonts w:hint="eastAsia" w:ascii="宋体" w:hAnsi="宋体" w:eastAsia="宋体" w:cs="宋体"/>
          <w:color w:val="auto"/>
          <w:szCs w:val="21"/>
          <w:highlight w:val="none"/>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7.本项目（是）采用远程异地评审</w:t>
      </w:r>
      <w:r>
        <w:rPr>
          <w:rFonts w:hint="eastAsia" w:ascii="宋体" w:hAnsi="宋体" w:cs="宋体"/>
          <w:color w:val="auto"/>
          <w:kern w:val="0"/>
          <w:szCs w:val="21"/>
          <w:highlight w:val="none"/>
          <w:lang w:eastAsia="zh-CN"/>
        </w:rPr>
        <w:t>。</w:t>
      </w:r>
    </w:p>
    <w:p>
      <w:pPr>
        <w:spacing w:line="360" w:lineRule="auto"/>
        <w:rPr>
          <w:rFonts w:ascii="黑体" w:hAnsi="黑体" w:eastAsia="黑体" w:cs="Times New Roman"/>
          <w:b/>
          <w:bCs/>
          <w:color w:val="auto"/>
          <w:sz w:val="24"/>
          <w:highlight w:val="none"/>
        </w:rPr>
      </w:pPr>
      <w:bookmarkStart w:id="45" w:name="_Toc28359008"/>
      <w:bookmarkStart w:id="46" w:name="_Toc28359085"/>
      <w:bookmarkStart w:id="47" w:name="_Toc35393796"/>
      <w:bookmarkStart w:id="48" w:name="_Toc35393627"/>
      <w:r>
        <w:rPr>
          <w:rFonts w:hint="eastAsia" w:ascii="黑体" w:hAnsi="黑体" w:eastAsia="黑体" w:cs="Times New Roman"/>
          <w:b/>
          <w:bCs/>
          <w:color w:val="auto"/>
          <w:sz w:val="24"/>
          <w:highlight w:val="none"/>
        </w:rPr>
        <w:t>七、对本次招标提出询问，请按以下方式联系。</w:t>
      </w:r>
      <w:bookmarkEnd w:id="45"/>
      <w:bookmarkEnd w:id="46"/>
      <w:bookmarkEnd w:id="47"/>
      <w:bookmarkEnd w:id="48"/>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 称：</w:t>
      </w:r>
      <w:bookmarkStart w:id="49" w:name="OLE_LINK4"/>
      <w:r>
        <w:rPr>
          <w:rFonts w:hint="eastAsia" w:ascii="宋体" w:hAnsi="宋体" w:cs="宋体"/>
          <w:color w:val="auto"/>
          <w:kern w:val="0"/>
          <w:szCs w:val="21"/>
          <w:highlight w:val="none"/>
          <w:lang w:eastAsia="zh-CN"/>
        </w:rPr>
        <w:t>来宾市人民医院</w:t>
      </w:r>
      <w:bookmarkEnd w:id="49"/>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地址：来宾市盘古大道东159号</w:t>
      </w:r>
    </w:p>
    <w:p>
      <w:pPr>
        <w:spacing w:line="360"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lang w:eastAsia="zh-CN"/>
        </w:rPr>
        <w:t>联系</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韦工</w:t>
      </w:r>
    </w:p>
    <w:p>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联系</w:t>
      </w:r>
      <w:r>
        <w:rPr>
          <w:rFonts w:hint="eastAsia" w:ascii="宋体" w:hAnsi="宋体" w:eastAsia="宋体" w:cs="宋体"/>
          <w:color w:val="auto"/>
          <w:kern w:val="0"/>
          <w:szCs w:val="21"/>
          <w:highlight w:val="none"/>
          <w:lang w:val="en-US" w:eastAsia="zh-CN"/>
        </w:rPr>
        <w:t>方式</w:t>
      </w:r>
      <w:r>
        <w:rPr>
          <w:rFonts w:hint="eastAsia" w:ascii="宋体" w:hAnsi="宋体" w:eastAsia="宋体" w:cs="宋体"/>
          <w:color w:val="auto"/>
          <w:kern w:val="0"/>
          <w:szCs w:val="21"/>
          <w:highlight w:val="none"/>
        </w:rPr>
        <w:t>：</w:t>
      </w:r>
      <w:bookmarkStart w:id="50" w:name="OLE_LINK6"/>
      <w:r>
        <w:rPr>
          <w:rFonts w:hint="eastAsia" w:ascii="宋体" w:hAnsi="宋体" w:eastAsia="宋体" w:cs="宋体"/>
          <w:color w:val="auto"/>
          <w:kern w:val="0"/>
          <w:szCs w:val="21"/>
          <w:highlight w:val="none"/>
        </w:rPr>
        <w:t>0772-4279679</w:t>
      </w:r>
      <w:bookmarkEnd w:id="50"/>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2.采购代理机构信息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广西</w:t>
      </w:r>
      <w:r>
        <w:rPr>
          <w:rFonts w:hint="eastAsia" w:ascii="宋体" w:hAnsi="宋体" w:eastAsia="宋体" w:cs="宋体"/>
          <w:color w:val="auto"/>
          <w:kern w:val="0"/>
          <w:szCs w:val="21"/>
          <w:highlight w:val="none"/>
          <w:lang w:val="en-US" w:eastAsia="zh-CN"/>
        </w:rPr>
        <w:t>科联</w:t>
      </w:r>
      <w:r>
        <w:rPr>
          <w:rFonts w:hint="eastAsia" w:ascii="宋体" w:hAnsi="宋体" w:eastAsia="宋体" w:cs="宋体"/>
          <w:color w:val="auto"/>
          <w:kern w:val="0"/>
          <w:szCs w:val="21"/>
          <w:highlight w:val="none"/>
        </w:rPr>
        <w:t>招标中心有限公司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bookmarkStart w:id="51" w:name="PO_3000001866_PM035_1"/>
      <w:r>
        <w:rPr>
          <w:rFonts w:hint="eastAsia" w:ascii="宋体" w:hAnsi="宋体" w:eastAsia="宋体" w:cs="宋体"/>
          <w:color w:val="auto"/>
          <w:kern w:val="0"/>
          <w:szCs w:val="21"/>
          <w:highlight w:val="none"/>
        </w:rPr>
        <w:t>来宾市人民路西135号瑞中花园3号楼人民路西121号</w:t>
      </w:r>
      <w:bookmarkEnd w:id="51"/>
      <w:r>
        <w:rPr>
          <w:rFonts w:hint="eastAsia" w:ascii="宋体" w:hAnsi="宋体" w:eastAsia="宋体" w:cs="宋体"/>
          <w:color w:val="auto"/>
          <w:kern w:val="0"/>
          <w:szCs w:val="21"/>
          <w:highlight w:val="none"/>
        </w:rPr>
        <w:t>              </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val="en-US" w:eastAsia="zh-CN"/>
        </w:rPr>
        <w:t>潘能荣</w:t>
      </w:r>
      <w:r>
        <w:rPr>
          <w:rFonts w:hint="eastAsia" w:ascii="宋体" w:hAnsi="宋体" w:eastAsia="宋体" w:cs="宋体"/>
          <w:color w:val="auto"/>
          <w:kern w:val="0"/>
          <w:szCs w:val="21"/>
          <w:highlight w:val="none"/>
        </w:rPr>
        <w:t>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项目联系方式：0771-</w:t>
      </w:r>
      <w:r>
        <w:rPr>
          <w:rFonts w:hint="eastAsia" w:ascii="宋体" w:hAnsi="宋体" w:eastAsia="宋体" w:cs="宋体"/>
          <w:color w:val="auto"/>
          <w:kern w:val="0"/>
          <w:szCs w:val="21"/>
          <w:highlight w:val="none"/>
          <w:lang w:val="en-US" w:eastAsia="zh-CN"/>
        </w:rPr>
        <w:t>3486281</w:t>
      </w:r>
    </w:p>
    <w:p>
      <w:pPr>
        <w:spacing w:line="360" w:lineRule="auto"/>
        <w:ind w:firstLine="420" w:firstLineChars="200"/>
        <w:rPr>
          <w:rFonts w:hint="eastAsia" w:ascii="宋体" w:hAnsi="宋体" w:eastAsia="宋体" w:cs="Times New Roman"/>
          <w:color w:val="auto"/>
          <w:szCs w:val="21"/>
          <w:highlight w:val="none"/>
        </w:rPr>
      </w:pPr>
    </w:p>
    <w:p>
      <w:pPr>
        <w:widowControl/>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pPr>
        <w:pStyle w:val="17"/>
        <w:jc w:val="center"/>
        <w:outlineLvl w:val="0"/>
        <w:rPr>
          <w:rFonts w:hint="eastAsia" w:ascii="Times New Roman" w:hAnsi="Times New Roman" w:eastAsia="宋体" w:cs="Times New Roman"/>
          <w:b/>
          <w:color w:val="auto"/>
          <w:sz w:val="36"/>
          <w:highlight w:val="none"/>
        </w:rPr>
      </w:pPr>
      <w:bookmarkStart w:id="52" w:name="_Toc532545042"/>
      <w:bookmarkStart w:id="53" w:name="_Toc17621"/>
      <w:bookmarkStart w:id="54" w:name="_Toc7686"/>
      <w:bookmarkStart w:id="55" w:name="_Toc22408"/>
      <w:bookmarkStart w:id="56" w:name="_Toc32573"/>
      <w:bookmarkStart w:id="57" w:name="_Toc21081"/>
      <w:bookmarkStart w:id="58" w:name="_Toc2299"/>
      <w:bookmarkStart w:id="59" w:name="_Toc8382"/>
      <w:bookmarkStart w:id="60" w:name="_Toc937"/>
      <w:bookmarkStart w:id="61" w:name="_Toc28689"/>
      <w:bookmarkStart w:id="62" w:name="_Toc24210"/>
      <w:bookmarkStart w:id="63" w:name="_Toc13449"/>
      <w:bookmarkStart w:id="64" w:name="_Toc4483"/>
      <w:bookmarkStart w:id="65" w:name="_Toc7337"/>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52"/>
      <w:r>
        <w:rPr>
          <w:rFonts w:hint="eastAsia" w:ascii="Times New Roman" w:hAnsi="Times New Roman" w:eastAsia="宋体" w:cs="Times New Roman"/>
          <w:b/>
          <w:color w:val="auto"/>
          <w:sz w:val="36"/>
          <w:highlight w:val="none"/>
        </w:rPr>
        <w:t>采购需求</w:t>
      </w:r>
      <w:bookmarkEnd w:id="53"/>
      <w:bookmarkEnd w:id="54"/>
      <w:bookmarkEnd w:id="55"/>
      <w:bookmarkEnd w:id="56"/>
      <w:bookmarkEnd w:id="57"/>
      <w:bookmarkEnd w:id="58"/>
      <w:bookmarkEnd w:id="59"/>
      <w:bookmarkEnd w:id="60"/>
      <w:bookmarkEnd w:id="61"/>
      <w:bookmarkEnd w:id="62"/>
      <w:bookmarkEnd w:id="63"/>
      <w:bookmarkEnd w:id="64"/>
      <w:bookmarkEnd w:id="65"/>
    </w:p>
    <w:p>
      <w:pPr>
        <w:adjustRightInd w:val="0"/>
        <w:spacing w:line="340" w:lineRule="exact"/>
        <w:rPr>
          <w:rFonts w:ascii="Times New Roman" w:hAnsi="宋体" w:eastAsia="宋体" w:cs="Times New Roman"/>
          <w:b/>
          <w:color w:val="auto"/>
          <w:szCs w:val="21"/>
          <w:highlight w:val="none"/>
        </w:rPr>
      </w:pPr>
    </w:p>
    <w:p>
      <w:pPr>
        <w:adjustRightInd w:val="0"/>
        <w:spacing w:line="340" w:lineRule="exact"/>
        <w:jc w:val="center"/>
        <w:rPr>
          <w:rFonts w:hint="eastAsia" w:ascii="Times New Roman" w:hAnsi="宋体" w:eastAsia="宋体" w:cs="Times New Roman"/>
          <w:b/>
          <w:color w:val="auto"/>
          <w:sz w:val="32"/>
          <w:szCs w:val="32"/>
          <w:highlight w:val="none"/>
        </w:rPr>
      </w:pPr>
    </w:p>
    <w:p>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b/>
          <w:bCs/>
          <w:color w:val="auto"/>
          <w:highlight w:val="none"/>
          <w:lang w:val="en-US" w:eastAsia="zh-CN"/>
        </w:rPr>
      </w:pPr>
      <w:r>
        <w:rPr>
          <w:rFonts w:hint="eastAsia" w:ascii="宋体" w:hAnsi="宋体" w:cs="宋体"/>
          <w:b w:val="0"/>
          <w:bCs w:val="0"/>
          <w:color w:val="auto"/>
          <w:highlight w:val="none"/>
          <w:lang w:val="en-US" w:eastAsia="zh-CN"/>
        </w:rPr>
        <w:t>6</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本项目为服务采购项目，</w:t>
      </w:r>
      <w:r>
        <w:rPr>
          <w:rFonts w:hint="eastAsia" w:ascii="宋体" w:hAnsi="宋体" w:eastAsia="宋体" w:cs="宋体"/>
          <w:b w:val="0"/>
          <w:bCs w:val="0"/>
          <w:color w:val="auto"/>
          <w:highlight w:val="none"/>
          <w:lang w:val="en-US" w:eastAsia="zh-CN"/>
        </w:rPr>
        <w:t>采购标的对应的中小企业划分标准所属行业</w:t>
      </w:r>
      <w:r>
        <w:rPr>
          <w:rFonts w:hint="eastAsia" w:ascii="宋体" w:hAnsi="宋体" w:cs="宋体"/>
          <w:b w:val="0"/>
          <w:bCs w:val="0"/>
          <w:color w:val="auto"/>
          <w:highlight w:val="none"/>
          <w:lang w:val="en-US" w:eastAsia="zh-CN"/>
        </w:rPr>
        <w:t>名称：</w:t>
      </w:r>
      <w:r>
        <w:rPr>
          <w:rFonts w:hint="eastAsia" w:ascii="宋体" w:hAnsi="宋体" w:cs="宋体"/>
          <w:b/>
          <w:bCs/>
          <w:color w:val="auto"/>
          <w:highlight w:val="none"/>
          <w:u w:val="single"/>
          <w:lang w:val="en-US" w:eastAsia="zh-CN"/>
        </w:rPr>
        <w:t>软件和信息技术服务业。</w:t>
      </w:r>
    </w:p>
    <w:p>
      <w:pPr>
        <w:rPr>
          <w:rFonts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第一部分  采购需求清单</w:t>
      </w:r>
    </w:p>
    <w:tbl>
      <w:tblPr>
        <w:tblStyle w:val="23"/>
        <w:tblW w:w="94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724"/>
        <w:gridCol w:w="7337"/>
        <w:gridCol w:w="525"/>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标的名称</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技术（服务）参数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云胶片服务</w:t>
            </w:r>
          </w:p>
        </w:tc>
        <w:tc>
          <w:tcPr>
            <w:tcW w:w="73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0" w:firstLineChars="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总体要求：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1.支持PC、mobile等多终端设备进行展示。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2.支持公众号、小程序、App通过H5方式一键集成。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3.支持tomcat容器化部署。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4.支持大型关系数据库，支持国产数据库。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5.支持身份鉴别，能够确定用户信息可靠，防止非法用户假冒其他合法用户获得一系列相关权限。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6.支持入侵防范，能有效检测和防御恶意入侵行为，如SQL注入、XSS、命令注入等。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7.安全维度支持访问多因素认证；支持对敏感信息的加密。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8.支持根据检查科室设置是否给患者开放报告、胶片、影像的查看入口。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9.支持根据检查科室分别设置开放给患者查看影像和查看报告的检查状态，如查看影像是已检查状态、查看报告是已审核状态。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▲10.本项目的采购标的属于第二类医疗器械，投标产品须具备NMPA（NMPA，NationalMedical roductsAdministration，国家药品监督管理局）医疗器械注册证（认证证书中产品名称必须含有“云胶片”、“电子胶片”或“数字胶片”等关键字样认定为有效，否则无效，或附有相关类似云胶片功能的情况说明），</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须在投标文件中提供证明材料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▲11.具备公安部信息系统安全等级（三级）或三级以上保护备案证明。须在投标文件中提供证明材料。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一、电子云胶片归档和存储系统</w:t>
            </w:r>
          </w:p>
          <w:tbl>
            <w:tblPr>
              <w:tblStyle w:val="23"/>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096"/>
              <w:gridCol w:w="60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3"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电子云胶片归档和存储</w:t>
                  </w:r>
                  <w:r>
                    <w:rPr>
                      <w:rFonts w:hint="eastAsia" w:asciiTheme="minorEastAsia" w:hAnsiTheme="minorEastAsia" w:eastAsiaTheme="minorEastAsia" w:cstheme="minorEastAsia"/>
                      <w:color w:val="auto"/>
                      <w:sz w:val="21"/>
                      <w:szCs w:val="21"/>
                      <w:highlight w:val="none"/>
                      <w:lang w:val="zh-TW" w:eastAsia="zh-TW"/>
                    </w:rPr>
                    <w:t>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zh-TW"/>
                    </w:rPr>
                    <w:t>.1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 xml:space="preserve">网关管理:支持查看网关正在上传的数据，以及支持重新取图等操作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TW" w:eastAsia="zh-TW"/>
                    </w:rPr>
                    <w:t>设备录入管理:提供医疗机构设备信息录入功能，便捷、直观的录入医疗设备信息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CN"/>
                    </w:rPr>
                  </w:pPr>
                  <w:r>
                    <w:rPr>
                      <w:rFonts w:hint="eastAsia" w:asciiTheme="minorEastAsia" w:hAnsiTheme="minorEastAsia" w:eastAsiaTheme="minorEastAsia" w:cstheme="minorEastAsia"/>
                      <w:color w:val="auto"/>
                      <w:sz w:val="21"/>
                      <w:szCs w:val="21"/>
                      <w:highlight w:val="none"/>
                      <w:lang w:val="zh-TW" w:eastAsia="zh-TW"/>
                    </w:rPr>
                    <w:t>通道列表:提供通道列表，方便直观了解平台当前接入了哪些设备或系统的数据，能够管理、配置需要接入数据的医院设备或系统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DICOM客户端列表:提供DICOM客户端列表，支持设备，PACS、胶片打印机，后处理工作站等，可直观了解当前有哪些接入平台的医院设备或系统，可以统一的DICOM客户端管理、配置功能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存储设备列表:提供存储管理列表，方便直观了解当前的云端存储资源情况，可以配置、管理当前接入的存储资源设备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6</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存储策略配置:支持配置存储策略，支持多级存储，支持数据的全生命周期配置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7</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检查管理:支持查看系统中存储的检查数据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8</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患者管理:支持查看系统中存储的患者数据，支持查询，转发，修改等操作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9</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导出数据:支持新建导出任务用来导出系统中的数据，支持脱敏导出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10</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数据对账:检查/报告/Study影像级别对账，确保数据的完整性和一致性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图像压缩:支持通过任务的方式，对影像数据进行压缩，能够创建对应的压缩任务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患者主索引通过唯</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val="zh-TW" w:eastAsia="zh-TW"/>
                    </w:rPr>
                    <w:t>的患者标识将多个医疗系统有效的关联起来，以实现各个系统之间的互联互通，保证对同</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val="zh-TW" w:eastAsia="zh-TW"/>
                    </w:rPr>
                    <w:t>个患者，分布在不同系统中的个人信息采集的完整性和准确性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公共配置:提供系统配置功能，从而满足不同客户的系统级别的公共服务配置要求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DICOM服务配置:提供DIcOM服务配置功能，能够配置相关的DICOM服务，包括Storage SCP/SCU、WorkList SCP等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字典配置:提供字典配置功能，能够配置系统各个字段的取值范围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16</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BI看板:提供数据看板服务(BI)整体的查看数据的接入量，存储量，调阅量</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二、电子云胶片医生端系统</w:t>
            </w:r>
          </w:p>
          <w:tbl>
            <w:tblPr>
              <w:tblStyle w:val="23"/>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210"/>
              <w:gridCol w:w="58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电子云胶片医生端系统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二维影像浏览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多模态影像浏览:支持显示多种设备的不同种类影像，如DR，CT,MR,PET,MG、US、ES等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患者信息查看:可显示病人的基本信息(姓名，检查类型，检查日期，检查时间)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lang w:val="en-US" w:eastAsia="zh-CN"/>
                    </w:rPr>
                    <w:t>1.2.1.3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检查缩略图查看:可显示检查的序列信息和缩略图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lang w:val="en-US" w:eastAsia="zh-CN"/>
                    </w:rPr>
                    <w:t>1.2.1.4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序列布局:支持多种影像显示排列方式，支持1*1,1*2,2*1,2*2及自定义布局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lang w:val="en-US" w:eastAsia="zh-CN"/>
                    </w:rPr>
                    <w:t>1.2.1.5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常用布局/对比布局:支持常用布局自定义编辑保存；对比布局同时加载二个序列对比查看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lang w:val="en-US" w:eastAsia="zh-CN"/>
                    </w:rPr>
                    <w:t>1.2.1.6</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重置图像/序列:支持对图像进行操作后恢复至初始状态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lang w:val="en-US" w:eastAsia="zh-CN"/>
                    </w:rPr>
                    <w:t>1.2.1.7</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浏览模式:预览单个序列模式、连续预览序列模式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1.2.1.8</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右键快捷切换工具:提供多模态自定义配置四个或八个鼠标右键快捷工具，按住鼠标右键甩动至功能热区方向，可快速切换至对应具，鼠标左键执行编辑功能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1.2.1.9</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MPR图像展示:支持横断面、矢状面、冠状面的标准切面视图，十字线病灶定位功能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十字线旋转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支持某一切面MPR图像旋转时，其他切面MPR图像同步旋转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lang w:val="en-US" w:eastAsia="zh-CN"/>
                    </w:rPr>
                    <w:t>1.2.1.10</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定位线:图像定位线定位功能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TW"/>
                    </w:rPr>
                  </w:pPr>
                  <w:r>
                    <w:rPr>
                      <w:rFonts w:hint="eastAsia" w:asciiTheme="minorEastAsia" w:hAnsiTheme="minorEastAsia" w:eastAsiaTheme="minorEastAsia" w:cstheme="minorEastAsia"/>
                      <w:color w:val="auto"/>
                      <w:sz w:val="21"/>
                      <w:szCs w:val="21"/>
                      <w:highlight w:val="none"/>
                      <w:lang w:val="en-US" w:eastAsia="zh-CN"/>
                    </w:rPr>
                    <w:t>1.2.1.11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伪彩及反色:提供多种伪彩颜色显示影像、支持图像反色功能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锐化与平滑:支持对影像进行5级锐化和5级平滑滤波处理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图像左右标记:支持左右标记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1.2.1.13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心胸比测量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提供心胸比功能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一键</w:t>
                  </w:r>
                  <w:r>
                    <w:rPr>
                      <w:rFonts w:hint="eastAsia" w:asciiTheme="minorEastAsia" w:hAnsiTheme="minorEastAsia" w:eastAsiaTheme="minorEastAsia" w:cstheme="minorEastAsia"/>
                      <w:color w:val="auto"/>
                      <w:sz w:val="21"/>
                      <w:szCs w:val="21"/>
                      <w:highlight w:val="none"/>
                    </w:rPr>
                    <w:t>快速绘制心胸比，自动显示心胸比结果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1.2.1.14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扁平足测量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提供扁平足功能， </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键快速绘制扁平足测量区域，自动显示扁平足结果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1.2.1.15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脊柱测量Cobb角</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提供脊柱测量Cobb角功能(C型/S型测量)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键衡量脊柱侧弯变形，自动显示侧弯角度结果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1.2.1.16</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髌骨测量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提供髌骨通用测量&amp;经典功能，</w:t>
                  </w:r>
                  <w:r>
                    <w:rPr>
                      <w:rFonts w:hint="eastAsia" w:asciiTheme="minorEastAsia" w:hAnsiTheme="minorEastAsia" w:eastAsiaTheme="minorEastAsia" w:cstheme="minorEastAsia"/>
                      <w:color w:val="auto"/>
                      <w:sz w:val="21"/>
                      <w:szCs w:val="21"/>
                      <w:highlight w:val="none"/>
                      <w:lang w:val="en-US" w:eastAsia="zh-CN"/>
                    </w:rPr>
                    <w:t>一键</w:t>
                  </w:r>
                  <w:r>
                    <w:rPr>
                      <w:rFonts w:hint="eastAsia" w:asciiTheme="minorEastAsia" w:hAnsiTheme="minorEastAsia" w:eastAsiaTheme="minorEastAsia" w:cstheme="minorEastAsia"/>
                      <w:color w:val="auto"/>
                      <w:sz w:val="21"/>
                      <w:szCs w:val="21"/>
                      <w:highlight w:val="none"/>
                    </w:rPr>
                    <w:t>快速绘制髌骨区域，自动显示髌骨长度与比值结果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1.2.1.17</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全部同步/显示同步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支持对所有图像和当前显示的图像进行同步翻页、缩放，平移，调窗，顺时针旋转，逆时针旋转，水平镜像，垂直镜像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1.2.1.18</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单次/连续图元绘制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用于控制图元绘制的次数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1.2.1.19</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序列同步定位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支持多序列同步定位翻页，方便医生关注同一位置图像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1.2.1.20</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三维定位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支持在不同序列上定位同一病灶点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1.2.1.21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图像</w:t>
                  </w:r>
                  <w:r>
                    <w:rPr>
                      <w:rFonts w:hint="eastAsia" w:asciiTheme="minorEastAsia" w:hAnsiTheme="minorEastAsia" w:eastAsiaTheme="minorEastAsia" w:cstheme="minorEastAsia"/>
                      <w:color w:val="auto"/>
                      <w:sz w:val="21"/>
                      <w:szCs w:val="21"/>
                      <w:highlight w:val="none"/>
                      <w:lang w:val="en-US" w:eastAsia="zh-CN"/>
                    </w:rPr>
                    <w:t>播放：</w:t>
                  </w:r>
                  <w:r>
                    <w:rPr>
                      <w:rFonts w:hint="eastAsia" w:asciiTheme="minorEastAsia" w:hAnsiTheme="minorEastAsia" w:eastAsiaTheme="minorEastAsia" w:cstheme="minorEastAsia"/>
                      <w:color w:val="auto"/>
                      <w:sz w:val="21"/>
                      <w:szCs w:val="21"/>
                      <w:highlight w:val="none"/>
                    </w:rPr>
                    <w:t>图像动态播放显示，提供多种播放速度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多帧影像动态播放，播放速度与设备采集速度</w:t>
                  </w:r>
                  <w:r>
                    <w:rPr>
                      <w:rFonts w:hint="eastAsia" w:asciiTheme="minorEastAsia" w:hAnsiTheme="minorEastAsia" w:eastAsiaTheme="minorEastAsia" w:cstheme="minorEastAsia"/>
                      <w:color w:val="auto"/>
                      <w:sz w:val="21"/>
                      <w:szCs w:val="21"/>
                      <w:highlight w:val="none"/>
                      <w:lang w:val="en-US" w:eastAsia="zh-CN"/>
                    </w:rPr>
                    <w:t>一致；</w:t>
                  </w:r>
                  <w:r>
                    <w:rPr>
                      <w:rFonts w:hint="eastAsia" w:asciiTheme="minorEastAsia" w:hAnsiTheme="minorEastAsia" w:eastAsiaTheme="minorEastAsia" w:cstheme="minorEastAsia"/>
                      <w:color w:val="auto"/>
                      <w:sz w:val="21"/>
                      <w:szCs w:val="21"/>
                      <w:highlight w:val="none"/>
                    </w:rPr>
                    <w:t>播放进度框悬浮隐藏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支持键盘enter</w:t>
                  </w:r>
                  <w:r>
                    <w:rPr>
                      <w:rFonts w:hint="eastAsia" w:asciiTheme="minorEastAsia" w:hAnsiTheme="minorEastAsia" w:eastAsiaTheme="minorEastAsia" w:cstheme="minorEastAsia"/>
                      <w:color w:val="auto"/>
                      <w:sz w:val="21"/>
                      <w:szCs w:val="21"/>
                      <w:highlight w:val="none"/>
                      <w:lang w:val="en-US" w:eastAsia="zh-CN"/>
                    </w:rPr>
                    <w:t>快捷键</w:t>
                  </w:r>
                  <w:r>
                    <w:rPr>
                      <w:rFonts w:hint="eastAsia" w:asciiTheme="minorEastAsia" w:hAnsiTheme="minorEastAsia" w:eastAsiaTheme="minorEastAsia" w:cstheme="minorEastAsia"/>
                      <w:color w:val="auto"/>
                      <w:sz w:val="21"/>
                      <w:szCs w:val="21"/>
                      <w:highlight w:val="none"/>
                    </w:rPr>
                    <w:t>控制</w:t>
                  </w:r>
                  <w:r>
                    <w:rPr>
                      <w:rFonts w:hint="eastAsia" w:asciiTheme="minorEastAsia" w:hAnsiTheme="minorEastAsia" w:eastAsiaTheme="minorEastAsia" w:cstheme="minorEastAsia"/>
                      <w:color w:val="auto"/>
                      <w:sz w:val="21"/>
                      <w:szCs w:val="21"/>
                      <w:highlight w:val="none"/>
                      <w:lang w:val="en-US" w:eastAsia="zh-CN"/>
                    </w:rPr>
                    <w:t>暂停</w:t>
                  </w:r>
                  <w:r>
                    <w:rPr>
                      <w:rFonts w:hint="eastAsia" w:asciiTheme="minorEastAsia" w:hAnsiTheme="minorEastAsia" w:eastAsiaTheme="minorEastAsia" w:cstheme="minorEastAsia"/>
                      <w:color w:val="auto"/>
                      <w:sz w:val="21"/>
                      <w:szCs w:val="21"/>
                      <w:highlight w:val="none"/>
                    </w:rPr>
                    <w:t>/维续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1.2.1.22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图像蒙版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提供四种蒙版工具，圆形内/外、矩形内/外，编辑观察感兴趣区域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1.2.1.23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基础图像操作 提供选择，平移，缩放，窗宽窗位，恢复窗宽窗位，放大缩小，方位变化，标注，测量，窗宽窗位预设等基本图像操作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1.2.1.24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导出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导出权限控制依赖于云胶片账户设置；根据导出权限，支持对影像数据进行匿名/非匿名导出；导出DICOM阅片工具；导出文件加密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1.2.1.25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环境光检测</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检测是否满足诊断要求的设备屏幕及外部环境条件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三维影像浏览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三维影像重建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支持多种图像类型的三维重建，如CT，MR，PET等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多种图像重建方式支持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支持多种三维图像重建方式，如VR，MIP，MinIP，MPR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病人基本信息显示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可显示病人的基本信息（姓名，性别，年龄，检查设备，检查日期）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检查序列信息与缩略图展示：可显示检查的序列信息和缩略图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序列对比：支持同时加载两个序列进行对比显示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1.2.2.6</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布局切换：提供2*2和1+3两种布局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1.2.2.7</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图像重置：支持对图像进行操作后恢复至初始状态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1.2.2.8</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颜色表：针对VR图像提供多种颜色表，从而凸显不同的组织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1.2.2.9</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3D伪彩：提供多种伪彩颜色显示影像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1.2.2.10</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反色：支持影像反色显示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1.2.2.11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窗宽床位调节：可快速调节窗宽窗位，并可预设多种快捷方式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自动去骨去床板：支持一键执行去床板，头部去骨，其他部位去骨，方便快捷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1.2.2.13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探针去骨：支持手动探针去骨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1.2.2.14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裁剪：提供裁剪工具，可以不需要显示组织进行裁剪去除，支持内部，外部裁剪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1.2.2.15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重建图像播放：针对VR，MIP，MinIP三维立体图像，提供360°旋转播放显示，提供多种播放速度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1.2.2.16</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曲面重建：提供曲面重建工具，可根据需要在MPR图像上打点绘制出曲面图像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1.2.2.17</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平面重建：提供平面重建工具，可根据需要在MPR图像上打点绘制出平面图像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1.2.2.18</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三维旋转：针对VR，MIP，MinIP三维立体图像，提供三维旋转绘制图像，并保存图像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1.2.2.19</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组织切割框：针对VR，MIP，MinIP三维立体图像，将图像限制在一个区域内，只显示区域内的图像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1.2.2.20</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三维定位：在VR，MIP，MinIP三维立体图像上提供定位点，与MPR平面图像上的十字线相关联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1.2.2.21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图像基本操作：提供选择，平移，缩放，图像旋转，窗宽窗位，恢复窗宽窗位等基本图像操作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1.2.2.22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注释及文本：提供文本注释，箭头文本功能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1.2.2.23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测量：提供直线测量，角度测量，兴趣区圆，矩形，自由笔测量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工作中心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1.2.3.1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院内检查查看 查看医院检查数据，支持分享、下载患者检查数据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1.2.3.2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云检查查看 通过提取码提取和查看云端检查数据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1.2.3.3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患者列表及查看：支持检索并查看患者数据，支持模糊，精准查询</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三、电子云胶片患者端系统</w:t>
            </w:r>
          </w:p>
          <w:tbl>
            <w:tblPr>
              <w:tblStyle w:val="23"/>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096"/>
              <w:gridCol w:w="60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电子云胶片患者端系统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检查检索：我的检查的简单检索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查看放射报告：查看个人检查中的放射报告，支持浏览pdf报告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查看核医学报告：查看个人检查中的核医学报告，支持浏览pdf报告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查看超声报告：查看个人检查中的超声报告，支持浏览pdf报告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查看内镜报告：</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查看个人检查中的内镜报告，支持浏览pdf报告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1.3.6</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查看云胶片：查看个人检查中对应的JPEG胶片，支持分序列展示，胶片支持放大缩小，胶片支持显示放射检查的关键影像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1.3.7</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查看云胶片（核医学）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核医学的胶片显示融合图像，并且支持标记打印和未打印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1.3.8</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二维影像浏览：浏览个人检查的二维影像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1.3.9</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下载胶片：患者下载自己的胶片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1.3.10</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下载报告：患者下载自己的报告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下载dicom影像:患者下载原始dicom影像，在移动端生成下载链接，复制链接到PC端完成下载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分享检查：支持通过设置密码、匿名、查看历史检查、有效期等条件进行检查分享的控制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查看参考意见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查看医生出具的参考意见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多种查看方式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支持报告二维码扫码认证查看、通过分享二维码/分享链接查看、三方集成免登录查询查看等多种检查查看方式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1.3.15</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我的信息：查看个人信息</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四、电子云胶片管理员端系统</w:t>
            </w:r>
          </w:p>
          <w:tbl>
            <w:tblPr>
              <w:tblStyle w:val="23"/>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096"/>
              <w:gridCol w:w="60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电子云胶片管理员端系统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系统管理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1.4.1.1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高级应用管理:管理医疗机构的高级应用，可选择开启一种或多种高级应用，是否开启预处理及预处理保存时间，也可删除已配置的记录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1.4.1.2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日志管理:查看用户的检查浏览和检查分享记录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1.4.1.3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医院管理:维护检查类型，配置系统LOGO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1.4.1.4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链路追踪:通过参数查询和监测云胶片数据和流程状态，并可查看问题详情，方便运维人员定位和排查问题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机构管理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1.4.2.1</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科室管理:管理授权医院的科室，可修改科室名称、科室类型和科室介绍</w:t>
                  </w:r>
                </w:p>
                <w:p>
                  <w:pPr>
                    <w:rPr>
                      <w:rFonts w:hint="eastAsia" w:asciiTheme="minorEastAsia" w:hAnsiTheme="minorEastAsia" w:eastAsiaTheme="minorEastAsia" w:cstheme="minorEastAsia"/>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1.4.2.2</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基础信息维护:查看机构信息，包括机构介绍，支持配置报告水印、机构LOGO，支持根据机构设定检查分享的条件控制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1.4.2.3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多维安全扫码认证管理:支持护照、港澳台通行证、身份证、手机号及短信等多维安全校验，并按需可以-键开启和关闭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1.4.2.4</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多维分享条件控制:支持多维二维码或连接分享，包括有效期(可自定义按次或时长)、密码设置、短信等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jc w:val="center"/>
              </w:trPr>
              <w:tc>
                <w:tcPr>
                  <w:tcW w:w="772" w:type="pct"/>
                  <w:tcBorders>
                    <w:top w:val="single" w:color="000000" w:sz="6" w:space="0"/>
                    <w:left w:val="single" w:color="000000" w:sz="4" w:space="0"/>
                    <w:bottom w:val="single" w:color="000000" w:sz="6" w:space="0"/>
                    <w:right w:val="single" w:color="000000" w:sz="6"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1.4.3</w:t>
                  </w:r>
                </w:p>
              </w:tc>
              <w:tc>
                <w:tcPr>
                  <w:tcW w:w="4227" w:type="pct"/>
                  <w:tcBorders>
                    <w:top w:val="single" w:color="000000" w:sz="6" w:space="0"/>
                    <w:left w:val="single" w:color="000000" w:sz="6" w:space="0"/>
                    <w:bottom w:val="single" w:color="000000" w:sz="6" w:space="0"/>
                    <w:right w:val="single" w:color="000000" w:sz="4" w:space="0"/>
                  </w:tcBorders>
                  <w:noWrap w:val="0"/>
                  <w:tcMar>
                    <w:top w:w="80" w:type="dxa"/>
                    <w:left w:w="80" w:type="dxa"/>
                    <w:bottom w:w="80" w:type="dxa"/>
                    <w:right w:w="80"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统计分析:统计云胶片业务量、访问量、储存量，支持机构自定义统计</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2" w:firstLineChars="200"/>
              <w:jc w:val="left"/>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五、其它技术要求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1.投标云胶片系统与定制开发软件应满足与国产数据库、操作系统适配，投标人需提供支持国家信创证明。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2.软件标准遵循：（1）全面支持DICOM3.0标准；（2）全面遵循IHE国际规范。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top"/>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3.投标供应商必须提供云胶片服务配套硬件设施，需注明配置，并附清单</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（格式自拟）</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r>
    </w:tbl>
    <w:p>
      <w:pPr>
        <w:widowControl w:val="0"/>
        <w:snapToGrid w:val="0"/>
        <w:jc w:val="center"/>
        <w:rPr>
          <w:rFonts w:hint="eastAsia" w:ascii="宋体" w:hAnsi="宋体" w:eastAsia="宋体" w:cs="宋体"/>
          <w:b/>
          <w:bCs/>
          <w:color w:val="auto"/>
          <w:kern w:val="44"/>
          <w:sz w:val="32"/>
          <w:szCs w:val="32"/>
          <w:highlight w:val="none"/>
          <w:lang w:val="en-US" w:eastAsia="zh-CN" w:bidi="ar-SA"/>
        </w:rPr>
      </w:pPr>
    </w:p>
    <w:p>
      <w:pPr>
        <w:widowControl w:val="0"/>
        <w:snapToGrid w:val="0"/>
        <w:jc w:val="center"/>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▲第</w:t>
      </w:r>
      <w:r>
        <w:rPr>
          <w:rFonts w:hint="eastAsia" w:ascii="宋体" w:hAnsi="宋体" w:cs="宋体"/>
          <w:b/>
          <w:bCs/>
          <w:color w:val="auto"/>
          <w:kern w:val="44"/>
          <w:sz w:val="32"/>
          <w:szCs w:val="32"/>
          <w:highlight w:val="none"/>
          <w:lang w:val="en-US" w:eastAsia="zh-CN" w:bidi="ar-SA"/>
        </w:rPr>
        <w:t>二</w:t>
      </w:r>
      <w:r>
        <w:rPr>
          <w:rFonts w:hint="eastAsia" w:ascii="宋体" w:hAnsi="宋体" w:eastAsia="宋体" w:cs="宋体"/>
          <w:b/>
          <w:bCs/>
          <w:color w:val="auto"/>
          <w:kern w:val="44"/>
          <w:sz w:val="32"/>
          <w:szCs w:val="32"/>
          <w:highlight w:val="none"/>
          <w:lang w:val="en-US" w:eastAsia="zh-CN" w:bidi="ar-SA"/>
        </w:rPr>
        <w:t>部分商务条款</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1"/>
        <w:gridCol w:w="81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服务</w:t>
            </w:r>
            <w:r>
              <w:rPr>
                <w:rFonts w:hint="eastAsia" w:asciiTheme="minorEastAsia" w:hAnsiTheme="minorEastAsia" w:eastAsiaTheme="minorEastAsia" w:cstheme="minorEastAsia"/>
                <w:b/>
                <w:bCs/>
                <w:color w:val="auto"/>
                <w:kern w:val="0"/>
                <w:sz w:val="21"/>
                <w:szCs w:val="21"/>
                <w:highlight w:val="none"/>
              </w:rPr>
              <w:t>期</w:t>
            </w:r>
          </w:p>
        </w:tc>
        <w:tc>
          <w:tcPr>
            <w:tcW w:w="8107" w:type="dxa"/>
            <w:tcBorders>
              <w:tl2br w:val="nil"/>
              <w:tr2bl w:val="nil"/>
            </w:tcBorders>
            <w:noWrap w:val="0"/>
            <w:vAlign w:val="center"/>
          </w:tcPr>
          <w:p>
            <w:pPr>
              <w:widowControl/>
              <w:numPr>
                <w:ilvl w:val="0"/>
                <w:numId w:val="1"/>
              </w:numPr>
              <w:spacing w:line="360" w:lineRule="auto"/>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自系统交付使用后3年</w:t>
            </w:r>
            <w:r>
              <w:rPr>
                <w:rFonts w:hint="eastAsia" w:asciiTheme="minorEastAsia" w:hAnsiTheme="minorEastAsia" w:eastAsiaTheme="minorEastAsia" w:cstheme="minorEastAsia"/>
                <w:color w:val="auto"/>
                <w:kern w:val="0"/>
                <w:sz w:val="21"/>
                <w:szCs w:val="21"/>
                <w:highlight w:val="none"/>
                <w:lang w:eastAsia="zh-CN"/>
              </w:rPr>
              <w:t>；</w:t>
            </w:r>
          </w:p>
          <w:p>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2.服务期内，中标供应商将负责处理并解决故障，并更换有故障的硬件设备零、部件及更换有质量问题的硬件设备，升级和更新软件、修复安全漏洞，由此产生的一切费用由中标人负责</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售后服务要求</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1.售后服务要求运维稳定:预警早、预警准、预警全。</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2.架构稳定:灰度升级、快速回滚。</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3.SLA水平能达到99.99%。</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4.部署快:支持一键安装，交付效率高。</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5.接入快:支持上线即监控。</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6.服务响应:5分钟快速响应，7*24小时在线服务。</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7.具备原生安全能力。</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8.架构安全，支持原生分布式可高用。</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9.支持安全检测，通过安全工具和版本打分机制，从开发集群--&gt;安全压测集群--&gt;生产集群--&gt;云环境模式，统一安全扫描/压测保障可靠性。</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10.提供健全的数据备份还原机制。</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11.服务期结束或合同终止时须配合采购人将云端影像备份回本地或采购人指定的第三方云存储，投保报价应包含相关费用，采购人不在另行支付该费用。</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12.服务期内提供一站式病人影像服务中心医助服务人员一名。</w:t>
            </w:r>
          </w:p>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一站式病人影像服务中心及云胶片服务建成启用后，为了方便病人，采购人将默认为病人提供全电子化服务。但如果病人需要胶片，采购人也将尊重病人的选择，如果病人选择塑料胶片，统一到一站式病人影像服务中心打印，但为了保证临床数据的完整性及应用，在合同服务期内，中标供应商必须提供全部病人影像数据十年的存储服务。中标供应商提供以上所有招标文件要求的软硬件及规范服务。需要打印DR传统胶片的，中标供应商提供打印机及胶片，投保报价应包含相关费用，采购人不在另行支付该费用。</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14.中标供应商负责接入采购人信息系统，投保报价应包含相关费用，采购人不在另行支付该费用</w:t>
            </w:r>
            <w:r>
              <w:rPr>
                <w:rFonts w:hint="eastAsia" w:asciiTheme="minorEastAsia" w:hAnsiTheme="minorEastAsia" w:eastAsiaTheme="minorEastAsia" w:cstheme="minorEastAsia"/>
                <w:color w:val="auto"/>
                <w:kern w:val="0"/>
                <w:sz w:val="21"/>
                <w:szCs w:val="21"/>
                <w:highlight w:val="none"/>
              </w:rPr>
              <w:t>。</w:t>
            </w:r>
          </w:p>
          <w:p>
            <w:pPr>
              <w:widowControl/>
              <w:spacing w:line="36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15.未经允许，中标供应商不能私自泄露患者信息</w:t>
            </w:r>
            <w:r>
              <w:rPr>
                <w:rFonts w:hint="eastAsia" w:asciiTheme="minorEastAsia" w:hAnsiTheme="minorEastAsia" w:eastAsiaTheme="minorEastAsia" w:cstheme="minorEastAsia"/>
                <w:color w:val="auto"/>
                <w:kern w:val="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交付时间及地点</w:t>
            </w:r>
          </w:p>
        </w:tc>
        <w:tc>
          <w:tcPr>
            <w:tcW w:w="8107" w:type="dxa"/>
            <w:tcBorders>
              <w:tl2br w:val="nil"/>
              <w:tr2bl w:val="nil"/>
            </w:tcBorders>
            <w:noWrap w:val="0"/>
            <w:vAlign w:val="center"/>
          </w:tcPr>
          <w:p>
            <w:pPr>
              <w:widowControl/>
              <w:numPr>
                <w:ilvl w:val="0"/>
                <w:numId w:val="2"/>
              </w:numPr>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交付时间：</w:t>
            </w:r>
            <w:r>
              <w:rPr>
                <w:rFonts w:hint="eastAsia" w:asciiTheme="minorEastAsia" w:hAnsiTheme="minorEastAsia" w:eastAsiaTheme="minorEastAsia" w:cstheme="minorEastAsia"/>
                <w:color w:val="auto"/>
                <w:kern w:val="0"/>
                <w:sz w:val="21"/>
                <w:szCs w:val="21"/>
                <w:highlight w:val="none"/>
                <w:lang w:val="en-US" w:eastAsia="zh-CN"/>
              </w:rPr>
              <w:t>合同签订后2个月内交付使用；</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交付地点：</w:t>
            </w:r>
            <w:r>
              <w:rPr>
                <w:rFonts w:hint="eastAsia" w:asciiTheme="minorEastAsia" w:hAnsiTheme="minorEastAsia" w:eastAsiaTheme="minorEastAsia" w:cstheme="minorEastAsia"/>
                <w:color w:val="auto"/>
                <w:kern w:val="0"/>
                <w:sz w:val="21"/>
                <w:szCs w:val="21"/>
                <w:highlight w:val="none"/>
                <w:lang w:val="en-US" w:eastAsia="zh-CN"/>
              </w:rPr>
              <w:t>来宾</w:t>
            </w:r>
            <w:r>
              <w:rPr>
                <w:rFonts w:hint="eastAsia" w:asciiTheme="minorEastAsia" w:hAnsiTheme="minorEastAsia" w:eastAsiaTheme="minorEastAsia" w:cstheme="minorEastAsia"/>
                <w:color w:val="auto"/>
                <w:kern w:val="0"/>
                <w:sz w:val="21"/>
                <w:szCs w:val="21"/>
                <w:highlight w:val="none"/>
              </w:rPr>
              <w:t xml:space="preserve">市，采购单位指定的地点。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付款方式</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1.本项目交付使用后，按合同总金额每半年支付一次；</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2.采购人付款前，中标人应向采购人提供与支付金额相符的有效发票，且收款方、出具发票方、合同乙方均必须与中标人单位名称一致。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验收要求</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1.验收过程中所产生的一切费用均由中标人承担。报价时应考虑相关费用。</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在交付验收时，由采购单位对照招标文件的项目要求及技术需求，全面核对检验。如不符合招标文件的技术需求及要求以及提供虚假承诺的，按相关规定做违约处理，中标人承担所有责任和费用，采购人保留进一步追究责任的权利。</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3.验收方式：</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（1）完成合同约定的全部事项，并满足使用要求；</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（2）验收材料齐全；</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（3）满足合同或合同附件规定的其他验收条件。</w:t>
            </w:r>
          </w:p>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4.验收时，中标人需向采购人提供完整的技术资料，包括但不限于系统使用说明等。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641"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培训要求</w:t>
            </w:r>
          </w:p>
        </w:tc>
        <w:tc>
          <w:tcPr>
            <w:tcW w:w="8107"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针对本项目相关人员培训的具体时间和地点将在采购人认为方便合适的时间和地点举行，内容应包括产品的介绍、产品的使用、产品的日常运维。</w:t>
            </w:r>
          </w:p>
        </w:tc>
      </w:tr>
    </w:tbl>
    <w:p>
      <w:pPr>
        <w:spacing w:line="320" w:lineRule="exact"/>
        <w:rPr>
          <w:rFonts w:hint="eastAsia" w:ascii="宋体" w:hAnsi="宋体" w:eastAsia="宋体" w:cs="Times New Roman"/>
          <w:color w:val="auto"/>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pPr>
        <w:spacing w:before="7"/>
        <w:rPr>
          <w:rFonts w:hint="eastAsia" w:ascii="宋体" w:hAnsi="宋体" w:eastAsia="宋体" w:cs="宋体"/>
          <w:color w:val="auto"/>
          <w:sz w:val="17"/>
          <w:szCs w:val="17"/>
          <w:highlight w:val="none"/>
        </w:rPr>
      </w:pPr>
    </w:p>
    <w:p>
      <w:pPr>
        <w:pStyle w:val="17"/>
        <w:jc w:val="left"/>
        <w:rPr>
          <w:rFonts w:hint="eastAsia" w:ascii="宋体" w:hAnsi="宋体" w:eastAsia="宋体" w:cs="宋体"/>
          <w:color w:val="auto"/>
          <w:sz w:val="32"/>
          <w:szCs w:val="32"/>
          <w:highlight w:val="none"/>
        </w:rPr>
      </w:pP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66" w:name="_Toc28361_WPSOffice_Level2"/>
      <w:r>
        <w:rPr>
          <w:rFonts w:hint="eastAsia" w:ascii="宋体" w:hAnsi="宋体" w:cs="宋体"/>
          <w:b/>
          <w:bCs/>
          <w:color w:val="auto"/>
          <w:kern w:val="0"/>
          <w:sz w:val="30"/>
          <w:szCs w:val="30"/>
          <w:highlight w:val="none"/>
        </w:rPr>
        <w:t>统计上大中小微型企业划分标准</w:t>
      </w:r>
      <w:bookmarkEnd w:id="66"/>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宋体" w:hAnsi="宋体" w:cs="宋体"/>
          <w:color w:val="auto"/>
          <w:spacing w:val="8"/>
          <w:kern w:val="0"/>
          <w:szCs w:val="21"/>
          <w:highlight w:val="none"/>
        </w:rPr>
      </w:pPr>
    </w:p>
    <w:p>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w:t>
      </w:r>
      <w:r>
        <w:rPr>
          <w:rFonts w:hint="eastAsia" w:hAnsi="宋体" w:cs="宋体"/>
          <w:color w:val="auto"/>
          <w:spacing w:val="8"/>
          <w:kern w:val="0"/>
          <w:szCs w:val="21"/>
          <w:highlight w:val="none"/>
          <w:lang w:val="en-US" w:eastAsia="zh-CN"/>
        </w:rPr>
        <w:t xml:space="preserve"> </w:t>
      </w:r>
      <w:r>
        <w:rPr>
          <w:rFonts w:hint="eastAsia" w:hAnsi="宋体" w:cs="宋体"/>
          <w:color w:val="auto"/>
          <w:spacing w:val="8"/>
          <w:kern w:val="0"/>
          <w:szCs w:val="21"/>
          <w:highlight w:val="none"/>
        </w:rPr>
        <w: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Times New Roman" w:hAnsi="Times New Roman" w:eastAsia="宋体" w:cs="Times New Roman"/>
          <w:b/>
          <w:color w:val="auto"/>
          <w:sz w:val="36"/>
          <w:highlight w:val="none"/>
        </w:rPr>
      </w:pPr>
      <w:bookmarkStart w:id="67" w:name="_Toc532545044"/>
      <w:bookmarkStart w:id="68" w:name="_Toc24489"/>
      <w:bookmarkStart w:id="69" w:name="_Toc8975"/>
      <w:bookmarkStart w:id="70" w:name="_Toc496"/>
      <w:bookmarkStart w:id="71" w:name="_Toc9063"/>
      <w:bookmarkStart w:id="72" w:name="_Toc28587"/>
      <w:bookmarkStart w:id="73" w:name="_Toc26039"/>
      <w:bookmarkStart w:id="74" w:name="_Toc29172"/>
      <w:bookmarkStart w:id="75" w:name="_Toc6362"/>
      <w:bookmarkStart w:id="76" w:name="_Toc3325"/>
      <w:r>
        <w:rPr>
          <w:rFonts w:hint="eastAsia" w:ascii="Times New Roman" w:hAnsi="Times New Roman" w:eastAsia="宋体" w:cs="Times New Roman"/>
          <w:b/>
          <w:color w:val="auto"/>
          <w:sz w:val="36"/>
          <w:highlight w:val="none"/>
        </w:rPr>
        <w:br w:type="page"/>
      </w:r>
    </w:p>
    <w:p>
      <w:pPr>
        <w:pStyle w:val="17"/>
        <w:jc w:val="center"/>
        <w:outlineLvl w:val="0"/>
        <w:rPr>
          <w:rFonts w:hint="eastAsia" w:hAnsi="宋体" w:eastAsia="宋体" w:cs="Times New Roman"/>
          <w:b/>
          <w:color w:val="auto"/>
          <w:sz w:val="36"/>
          <w:szCs w:val="36"/>
          <w:highlight w:val="none"/>
        </w:rPr>
      </w:pPr>
      <w:bookmarkStart w:id="77" w:name="_Toc26044"/>
      <w:bookmarkStart w:id="78" w:name="_Toc20953"/>
      <w:bookmarkStart w:id="79" w:name="_Toc15364"/>
      <w:bookmarkStart w:id="80" w:name="_Toc20085"/>
      <w:bookmarkStart w:id="475" w:name="_GoBack"/>
      <w:bookmarkEnd w:id="475"/>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17"/>
        <w:spacing w:line="720" w:lineRule="auto"/>
        <w:jc w:val="center"/>
        <w:outlineLvl w:val="1"/>
        <w:rPr>
          <w:rFonts w:hint="eastAsia" w:ascii="Times New Roman" w:hAnsi="Times New Roman" w:eastAsia="宋体" w:cs="Times New Roman"/>
          <w:b/>
          <w:color w:val="auto"/>
          <w:sz w:val="30"/>
          <w:szCs w:val="30"/>
          <w:highlight w:val="none"/>
        </w:rPr>
      </w:pPr>
      <w:bookmarkStart w:id="81" w:name="_Toc1597"/>
      <w:bookmarkStart w:id="82" w:name="_Toc29813"/>
      <w:bookmarkStart w:id="83" w:name="_Toc10039"/>
      <w:bookmarkStart w:id="84" w:name="_Toc24714"/>
      <w:bookmarkStart w:id="85" w:name="_Toc11515"/>
      <w:bookmarkStart w:id="86" w:name="_Toc4562"/>
      <w:bookmarkStart w:id="87" w:name="_Toc32208"/>
      <w:bookmarkStart w:id="88" w:name="_Toc29809"/>
      <w:bookmarkStart w:id="89" w:name="_Toc16388"/>
      <w:bookmarkStart w:id="90" w:name="_Toc876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81"/>
      <w:bookmarkEnd w:id="82"/>
      <w:bookmarkEnd w:id="83"/>
      <w:bookmarkEnd w:id="84"/>
      <w:bookmarkEnd w:id="85"/>
      <w:bookmarkEnd w:id="86"/>
      <w:bookmarkEnd w:id="87"/>
      <w:bookmarkEnd w:id="88"/>
      <w:bookmarkEnd w:id="89"/>
      <w:bookmarkEnd w:id="90"/>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91" w:name="_9.2"/>
            <w:bookmarkEnd w:id="91"/>
            <w:bookmarkStart w:id="92" w:name="_8.1"/>
            <w:bookmarkEnd w:id="92"/>
            <w:bookmarkStart w:id="93" w:name="_5"/>
            <w:bookmarkEnd w:id="93"/>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rPr>
            </w:pPr>
            <w:bookmarkStart w:id="94" w:name="PO_3000001866_PM007"/>
            <w:r>
              <w:rPr>
                <w:rFonts w:hint="eastAsia" w:ascii="宋体" w:hAnsi="宋体" w:cs="宋体"/>
                <w:color w:val="auto"/>
                <w:szCs w:val="21"/>
                <w:highlight w:val="none"/>
              </w:rPr>
              <w:t>详见招标公告。</w:t>
            </w:r>
            <w:bookmarkEnd w:id="9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80" w:lineRule="exact"/>
              <w:rPr>
                <w:rFonts w:hint="eastAsia" w:ascii="宋体" w:hAnsi="宋体" w:eastAsia="宋体" w:cs="宋体"/>
                <w:color w:val="auto"/>
                <w:sz w:val="21"/>
                <w:szCs w:val="21"/>
                <w:highlight w:val="none"/>
                <w:lang w:eastAsia="zh-CN"/>
              </w:rPr>
            </w:pPr>
            <w:bookmarkStart w:id="95"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95"/>
          </w:p>
          <w:p>
            <w:pPr>
              <w:pStyle w:val="13"/>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pPr>
              <w:pStyle w:val="13"/>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96" w:name="_13.2"/>
            <w:bookmarkEnd w:id="96"/>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Cs w:val="21"/>
                <w:highlight w:val="none"/>
              </w:rPr>
            </w:pPr>
            <w:bookmarkStart w:id="97" w:name="OLE_LINK7"/>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bookmarkStart w:id="98" w:name="OLE_LINK24"/>
            <w:r>
              <w:rPr>
                <w:rFonts w:hint="eastAsia" w:ascii="宋体" w:hAnsi="宋体" w:eastAsia="宋体" w:cs="宋体"/>
                <w:color w:val="auto"/>
                <w:szCs w:val="21"/>
                <w:highlight w:val="none"/>
              </w:rPr>
              <w:t>投标人为法人或者其他组织的，提供营业执照等证明文件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w:t>
            </w:r>
            <w:r>
              <w:rPr>
                <w:rFonts w:hint="eastAsia" w:ascii="宋体" w:hAnsi="宋体" w:eastAsia="宋体" w:cs="宋体"/>
                <w:color w:val="auto"/>
                <w:szCs w:val="21"/>
                <w:highlight w:val="none"/>
                <w:lang w:val="zh-CN"/>
              </w:rPr>
              <w:t>执业许可证</w:t>
            </w:r>
            <w:r>
              <w:rPr>
                <w:rFonts w:hint="eastAsia" w:ascii="宋体" w:hAnsi="宋体" w:eastAsia="宋体" w:cs="宋体"/>
                <w:color w:val="auto"/>
                <w:szCs w:val="21"/>
                <w:highlight w:val="none"/>
              </w:rPr>
              <w:t>等），投标人为自然人的，提供</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正反面</w:t>
            </w:r>
            <w:r>
              <w:rPr>
                <w:rFonts w:hint="eastAsia" w:ascii="宋体" w:hAnsi="宋体" w:eastAsia="宋体" w:cs="宋体"/>
                <w:color w:val="auto"/>
                <w:szCs w:val="21"/>
                <w:highlight w:val="none"/>
              </w:rPr>
              <w:t>复印件</w:t>
            </w:r>
            <w:bookmarkEnd w:id="98"/>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97"/>
          </w:p>
          <w:p>
            <w:pPr>
              <w:snapToGrid w:val="0"/>
              <w:spacing w:line="380" w:lineRule="exact"/>
              <w:jc w:val="left"/>
              <w:rPr>
                <w:rFonts w:hint="eastAsia" w:ascii="宋体" w:hAnsi="宋体" w:eastAsia="宋体" w:cs="宋体"/>
                <w:color w:val="auto"/>
                <w:szCs w:val="21"/>
                <w:highlight w:val="none"/>
              </w:rPr>
            </w:pPr>
            <w:bookmarkStart w:id="99" w:name="OLE_LINK8"/>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bookmarkStart w:id="100" w:name="OLE_LINK25"/>
            <w:r>
              <w:rPr>
                <w:rFonts w:hint="eastAsia" w:ascii="宋体" w:hAnsi="宋体" w:eastAsia="宋体" w:cs="宋体"/>
                <w:color w:val="auto"/>
                <w:szCs w:val="21"/>
                <w:highlight w:val="none"/>
              </w:rPr>
              <w:t>投标人依法缴纳税收的相关材料（</w:t>
            </w:r>
            <w:r>
              <w:rPr>
                <w:rFonts w:hint="eastAsia" w:ascii="宋体" w:hAnsi="宋体" w:eastAsia="宋体" w:cs="宋体"/>
                <w:color w:val="auto"/>
                <w:szCs w:val="21"/>
                <w:highlight w:val="none"/>
                <w:u w:val="single"/>
                <w:lang w:val="en-US" w:eastAsia="zh-CN"/>
              </w:rPr>
              <w:t>提供税款所属时期为2024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月至</w:t>
            </w:r>
            <w:r>
              <w:rPr>
                <w:rFonts w:hint="eastAsia" w:ascii="宋体" w:hAnsi="宋体" w:eastAsia="宋体" w:cs="宋体"/>
                <w:color w:val="auto"/>
                <w:sz w:val="21"/>
                <w:szCs w:val="21"/>
                <w:highlight w:val="none"/>
                <w:u w:val="single"/>
              </w:rPr>
              <w:t>投标文件提交截止时间止</w:t>
            </w:r>
            <w:r>
              <w:rPr>
                <w:rFonts w:hint="eastAsia" w:ascii="宋体" w:hAnsi="宋体" w:eastAsia="宋体" w:cs="宋体"/>
                <w:color w:val="auto"/>
                <w:sz w:val="21"/>
                <w:szCs w:val="21"/>
                <w:highlight w:val="none"/>
                <w:u w:val="single"/>
                <w:lang w:val="en-US" w:eastAsia="zh-CN"/>
              </w:rPr>
              <w:t>的</w:t>
            </w:r>
            <w:r>
              <w:rPr>
                <w:rFonts w:hint="eastAsia" w:ascii="宋体" w:hAnsi="宋体" w:eastAsia="宋体" w:cs="宋体"/>
                <w:color w:val="auto"/>
                <w:szCs w:val="21"/>
                <w:highlight w:val="none"/>
                <w:u w:val="single"/>
                <w:lang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个月</w:t>
            </w:r>
            <w:r>
              <w:rPr>
                <w:rFonts w:hint="eastAsia" w:ascii="宋体" w:hAnsi="宋体" w:eastAsia="宋体" w:cs="宋体"/>
                <w:color w:val="auto"/>
                <w:szCs w:val="21"/>
                <w:highlight w:val="none"/>
              </w:rPr>
              <w:t>的依法缴纳税收的凭据复印件；依法免税的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bookmarkEnd w:id="100"/>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99"/>
          </w:p>
          <w:p>
            <w:pPr>
              <w:snapToGrid w:val="0"/>
              <w:spacing w:line="380" w:lineRule="exact"/>
              <w:jc w:val="left"/>
              <w:rPr>
                <w:rFonts w:hint="eastAsia" w:ascii="宋体" w:hAnsi="宋体" w:eastAsia="宋体" w:cs="宋体"/>
                <w:color w:val="auto"/>
                <w:szCs w:val="21"/>
                <w:highlight w:val="none"/>
              </w:rPr>
            </w:pPr>
            <w:bookmarkStart w:id="101" w:name="OLE_LINK9"/>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bookmarkStart w:id="102" w:name="OLE_LINK26"/>
            <w:r>
              <w:rPr>
                <w:rFonts w:hint="eastAsia" w:ascii="宋体" w:hAnsi="宋体" w:eastAsia="宋体" w:cs="宋体"/>
                <w:color w:val="auto"/>
                <w:szCs w:val="21"/>
                <w:highlight w:val="none"/>
              </w:rPr>
              <w:t>投标人依法缴纳社会保障资金的相关材料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提供税款所属时期或缴费起始时间为2024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月至</w:t>
            </w:r>
            <w:r>
              <w:rPr>
                <w:rFonts w:hint="eastAsia" w:ascii="宋体" w:hAnsi="宋体" w:eastAsia="宋体" w:cs="宋体"/>
                <w:color w:val="auto"/>
                <w:sz w:val="21"/>
                <w:szCs w:val="21"/>
                <w:highlight w:val="none"/>
                <w:u w:val="single"/>
              </w:rPr>
              <w:t>投标文件提交截止时间止</w:t>
            </w:r>
            <w:r>
              <w:rPr>
                <w:rFonts w:hint="eastAsia" w:ascii="宋体" w:hAnsi="宋体" w:eastAsia="宋体" w:cs="宋体"/>
                <w:color w:val="auto"/>
                <w:sz w:val="21"/>
                <w:szCs w:val="21"/>
                <w:highlight w:val="none"/>
                <w:u w:val="single"/>
                <w:lang w:val="en-US" w:eastAsia="zh-CN"/>
              </w:rPr>
              <w:t>的</w:t>
            </w:r>
            <w:r>
              <w:rPr>
                <w:rFonts w:hint="eastAsia" w:ascii="宋体" w:hAnsi="宋体" w:eastAsia="宋体" w:cs="宋体"/>
                <w:color w:val="auto"/>
                <w:szCs w:val="21"/>
                <w:highlight w:val="none"/>
                <w:u w:val="single"/>
                <w:lang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个月</w:t>
            </w:r>
            <w:r>
              <w:rPr>
                <w:rFonts w:hint="eastAsia" w:ascii="宋体" w:hAnsi="宋体" w:eastAsia="宋体" w:cs="宋体"/>
                <w:color w:val="auto"/>
                <w:szCs w:val="21"/>
                <w:highlight w:val="none"/>
              </w:rPr>
              <w:t>的依法缴纳社会保障资金的缴费凭证复印件；依法不需要缴纳社会保障资金的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eastAsia="zh-CN"/>
              </w:rPr>
              <w:t>）</w:t>
            </w:r>
            <w:bookmarkEnd w:id="102"/>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101"/>
          </w:p>
          <w:p>
            <w:pPr>
              <w:snapToGrid w:val="0"/>
              <w:spacing w:line="380" w:lineRule="exact"/>
              <w:jc w:val="left"/>
              <w:rPr>
                <w:rFonts w:hint="eastAsia" w:ascii="宋体" w:hAnsi="宋体" w:eastAsia="宋体" w:cs="宋体"/>
                <w:color w:val="auto"/>
                <w:szCs w:val="21"/>
                <w:highlight w:val="none"/>
              </w:rPr>
            </w:pPr>
            <w:bookmarkStart w:id="103" w:name="OLE_LINK10"/>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bookmarkStart w:id="104" w:name="OLE_LINK27"/>
            <w:r>
              <w:rPr>
                <w:rFonts w:hint="eastAsia" w:ascii="宋体" w:hAnsi="宋体" w:eastAsia="宋体" w:cs="宋体"/>
                <w:color w:val="auto"/>
                <w:szCs w:val="21"/>
                <w:highlight w:val="none"/>
              </w:rPr>
              <w:t>投标人财务状况报告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2023</w:t>
            </w:r>
            <w:r>
              <w:rPr>
                <w:rFonts w:hint="eastAsia" w:ascii="宋体" w:hAnsi="宋体" w:cs="宋体"/>
                <w:color w:val="auto"/>
                <w:szCs w:val="21"/>
                <w:highlight w:val="none"/>
                <w:u w:val="single"/>
                <w:lang w:val="en-US" w:eastAsia="zh-CN"/>
              </w:rPr>
              <w:t>或2024</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eastAsia="宋体" w:cs="宋体"/>
                <w:color w:val="auto"/>
                <w:szCs w:val="21"/>
                <w:highlight w:val="none"/>
                <w:lang w:eastAsia="zh-CN"/>
              </w:rPr>
              <w:t>）</w:t>
            </w:r>
            <w:bookmarkEnd w:id="104"/>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103"/>
          </w:p>
          <w:p>
            <w:pPr>
              <w:numPr>
                <w:ilvl w:val="0"/>
                <w:numId w:val="0"/>
              </w:numPr>
              <w:snapToGrid w:val="0"/>
              <w:spacing w:line="380" w:lineRule="exact"/>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投标人为经销商的，提供有效的第二类医疗器械经营备案凭证；投标人为生产厂家的，提供有效的《医疗器械生产许可证》；或者投标人具有《医疗器械监督管理条例》第四十三条规定的注册人凭证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b/>
                <w:bCs/>
                <w:color w:val="auto"/>
                <w:szCs w:val="21"/>
                <w:highlight w:val="none"/>
                <w:lang w:val="en-US" w:eastAsia="zh-CN"/>
              </w:rPr>
              <w:t>投标人</w:t>
            </w:r>
            <w:r>
              <w:rPr>
                <w:rFonts w:hint="eastAsia" w:ascii="宋体" w:hAnsi="宋体" w:eastAsia="宋体" w:cs="宋体"/>
                <w:b/>
                <w:bCs/>
                <w:color w:val="auto"/>
                <w:szCs w:val="21"/>
                <w:highlight w:val="none"/>
              </w:rPr>
              <w:t>必须</w:t>
            </w:r>
            <w:r>
              <w:rPr>
                <w:rFonts w:hint="eastAsia" w:ascii="宋体" w:hAnsi="宋体" w:eastAsia="宋体" w:cs="宋体"/>
                <w:b/>
                <w:color w:val="auto"/>
                <w:szCs w:val="21"/>
                <w:highlight w:val="none"/>
              </w:rPr>
              <w:t>提供</w:t>
            </w:r>
            <w:r>
              <w:rPr>
                <w:rFonts w:hint="eastAsia" w:ascii="宋体" w:hAnsi="宋体" w:cs="宋体"/>
                <w:b/>
                <w:color w:val="auto"/>
                <w:szCs w:val="21"/>
                <w:highlight w:val="none"/>
                <w:lang w:val="en-US" w:eastAsia="zh-CN"/>
              </w:rPr>
              <w:t>有效的证明材料复印件</w:t>
            </w:r>
            <w:r>
              <w:rPr>
                <w:rFonts w:hint="eastAsia" w:ascii="宋体" w:hAnsi="宋体" w:eastAsia="宋体" w:cs="宋体"/>
                <w:b/>
                <w:color w:val="auto"/>
                <w:szCs w:val="21"/>
                <w:highlight w:val="none"/>
              </w:rPr>
              <w:t>，否则作无效投标处理</w:t>
            </w:r>
            <w:r>
              <w:rPr>
                <w:rFonts w:hint="eastAsia" w:ascii="宋体" w:hAnsi="宋体" w:eastAsia="宋体" w:cs="宋体"/>
                <w:color w:val="auto"/>
                <w:szCs w:val="21"/>
                <w:highlight w:val="none"/>
              </w:rPr>
              <w:t>）</w:t>
            </w:r>
          </w:p>
          <w:p>
            <w:pPr>
              <w:numPr>
                <w:ilvl w:val="0"/>
                <w:numId w:val="0"/>
              </w:numPr>
              <w:snapToGrid w:val="0"/>
              <w:spacing w:line="380" w:lineRule="exact"/>
              <w:ind w:leftChars="0"/>
              <w:jc w:val="left"/>
              <w:rPr>
                <w:rFonts w:hint="eastAsia" w:ascii="宋体" w:hAnsi="宋体" w:eastAsia="宋体" w:cs="宋体"/>
                <w:color w:val="auto"/>
                <w:sz w:val="21"/>
                <w:szCs w:val="21"/>
                <w:highlight w:val="none"/>
              </w:rPr>
            </w:pPr>
            <w:bookmarkStart w:id="105" w:name="OLE_LINK11"/>
            <w:r>
              <w:rPr>
                <w:rFonts w:hint="eastAsia" w:ascii="宋体" w:hAnsi="宋体" w:cs="宋体"/>
                <w:color w:val="auto"/>
                <w:sz w:val="21"/>
                <w:szCs w:val="21"/>
                <w:highlight w:val="none"/>
                <w:lang w:val="en-US" w:eastAsia="zh-CN"/>
              </w:rPr>
              <w:t>6.</w:t>
            </w:r>
            <w:bookmarkStart w:id="106" w:name="OLE_LINK28"/>
            <w:r>
              <w:rPr>
                <w:rFonts w:hint="eastAsia" w:ascii="宋体" w:hAnsi="宋体" w:eastAsia="宋体" w:cs="宋体"/>
                <w:color w:val="auto"/>
                <w:sz w:val="21"/>
                <w:szCs w:val="21"/>
                <w:highlight w:val="none"/>
              </w:rPr>
              <w:t>声明函（格式后附）</w:t>
            </w:r>
            <w:bookmarkEnd w:id="106"/>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05"/>
          </w:p>
          <w:p>
            <w:pPr>
              <w:snapToGrid w:val="0"/>
              <w:spacing w:line="380" w:lineRule="exact"/>
              <w:jc w:val="left"/>
              <w:rPr>
                <w:rFonts w:hint="default" w:ascii="宋体" w:hAnsi="宋体" w:cs="Times New Roman"/>
                <w:b/>
                <w:bCs/>
                <w:color w:val="auto"/>
                <w:szCs w:val="21"/>
                <w:highlight w:val="none"/>
                <w:lang w:val="en-US" w:eastAsia="zh-CN"/>
              </w:rPr>
            </w:pPr>
            <w:bookmarkStart w:id="107" w:name="OLE_LINK12"/>
            <w:r>
              <w:rPr>
                <w:rFonts w:hint="eastAsia" w:ascii="宋体" w:hAnsi="宋体" w:cs="Times New Roman"/>
                <w:color w:val="auto"/>
                <w:szCs w:val="21"/>
                <w:highlight w:val="none"/>
                <w:lang w:val="en-US" w:eastAsia="zh-CN"/>
              </w:rPr>
              <w:t>7.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Times New Roman"/>
                <w:b/>
                <w:bCs/>
                <w:color w:val="auto"/>
                <w:szCs w:val="21"/>
                <w:highlight w:val="none"/>
                <w:lang w:val="en-US" w:eastAsia="zh-CN"/>
              </w:rPr>
              <w:t>（必须提供，否则作无效投标处理）</w:t>
            </w:r>
          </w:p>
          <w:bookmarkEnd w:id="107"/>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联合体投标协议书（格式后附）。</w:t>
            </w:r>
            <w:r>
              <w:rPr>
                <w:rFonts w:hint="eastAsia" w:ascii="宋体" w:hAnsi="宋体" w:eastAsia="宋体" w:cs="Times New Roman"/>
                <w:b/>
                <w:bCs/>
                <w:color w:val="auto"/>
                <w:szCs w:val="21"/>
                <w:highlight w:val="none"/>
              </w:rPr>
              <w:t>（联合体投标时必须提供，否则作无效投标处理）</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除招标文件规定必须提供以外，投标人认为需要提供的其他证明材料（格式自拟）。</w:t>
            </w:r>
          </w:p>
          <w:p>
            <w:pPr>
              <w:snapToGrid w:val="0"/>
              <w:spacing w:line="3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pP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08" w:name="_13.3"/>
            <w:bookmarkEnd w:id="10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09" w:name="OLE_LINK30"/>
            <w:bookmarkStart w:id="110" w:name="OLE_LINK13"/>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bookmarkStart w:id="111" w:name="OLE_LINK29"/>
            <w:r>
              <w:rPr>
                <w:rFonts w:hint="eastAsia" w:ascii="宋体" w:hAnsi="宋体" w:eastAsia="宋体" w:cs="宋体"/>
                <w:color w:val="auto"/>
                <w:sz w:val="21"/>
                <w:szCs w:val="21"/>
                <w:highlight w:val="none"/>
              </w:rPr>
              <w:t>无串通投标行为的承诺函（格式后附）</w:t>
            </w:r>
            <w:bookmarkEnd w:id="109"/>
            <w:bookmarkEnd w:id="111"/>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10"/>
          </w:p>
          <w:p>
            <w:pPr>
              <w:snapToGrid w:val="0"/>
              <w:spacing w:line="380" w:lineRule="exact"/>
              <w:jc w:val="left"/>
              <w:rPr>
                <w:rFonts w:hint="eastAsia" w:ascii="宋体" w:hAnsi="宋体" w:eastAsia="宋体" w:cs="宋体"/>
                <w:color w:val="auto"/>
                <w:sz w:val="21"/>
                <w:szCs w:val="21"/>
                <w:highlight w:val="none"/>
              </w:rPr>
            </w:pPr>
            <w:bookmarkStart w:id="112" w:name="OLE_LINK31"/>
            <w:bookmarkStart w:id="113" w:name="OLE_LINK14"/>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法定代表人身份证明及法定代表人有效身份证正反面复印件</w:t>
            </w:r>
            <w:bookmarkEnd w:id="112"/>
            <w:r>
              <w:rPr>
                <w:rFonts w:hint="eastAsia" w:ascii="宋体" w:hAnsi="宋体" w:eastAsia="宋体" w:cs="宋体"/>
                <w:color w:val="auto"/>
                <w:sz w:val="21"/>
                <w:szCs w:val="21"/>
                <w:highlight w:val="none"/>
              </w:rPr>
              <w:t>（格式后附）；（</w:t>
            </w:r>
            <w:bookmarkStart w:id="114" w:name="OLE_LINK32"/>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bookmarkEnd w:id="114"/>
            <w:r>
              <w:rPr>
                <w:rFonts w:hint="eastAsia" w:ascii="宋体" w:hAnsi="宋体" w:eastAsia="宋体" w:cs="宋体"/>
                <w:color w:val="auto"/>
                <w:sz w:val="21"/>
                <w:szCs w:val="21"/>
                <w:highlight w:val="none"/>
              </w:rPr>
              <w:t>）</w:t>
            </w:r>
          </w:p>
          <w:bookmarkEnd w:id="113"/>
          <w:p>
            <w:pPr>
              <w:snapToGrid w:val="0"/>
              <w:spacing w:line="380" w:lineRule="exact"/>
              <w:jc w:val="left"/>
              <w:rPr>
                <w:rFonts w:hint="eastAsia" w:ascii="宋体" w:hAnsi="宋体" w:eastAsia="宋体" w:cs="宋体"/>
                <w:color w:val="auto"/>
                <w:sz w:val="21"/>
                <w:szCs w:val="21"/>
                <w:highlight w:val="none"/>
              </w:rPr>
            </w:pPr>
            <w:bookmarkStart w:id="115" w:name="OLE_LINK33"/>
            <w:bookmarkStart w:id="116" w:name="OLE_LINK15"/>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法定代表人授权委托书及委托代理人有效身份证正反面复印件</w:t>
            </w:r>
            <w:bookmarkEnd w:id="115"/>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bookmarkEnd w:id="116"/>
          </w:p>
          <w:p>
            <w:pPr>
              <w:pStyle w:val="2"/>
              <w:rPr>
                <w:rFonts w:hint="eastAsia" w:ascii="宋体" w:hAnsi="宋体" w:cs="宋体"/>
                <w:color w:val="auto"/>
                <w:sz w:val="21"/>
                <w:szCs w:val="21"/>
                <w:highlight w:val="none"/>
              </w:rPr>
            </w:pPr>
            <w:bookmarkStart w:id="117" w:name="OLE_LINK34"/>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投标保证金提交凭证</w:t>
            </w:r>
            <w:bookmarkEnd w:id="117"/>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如有要求，则</w:t>
            </w:r>
            <w:r>
              <w:rPr>
                <w:rFonts w:hint="eastAsia" w:ascii="宋体" w:hAnsi="宋体" w:cs="宋体"/>
                <w:b/>
                <w:bCs/>
                <w:color w:val="auto"/>
                <w:sz w:val="21"/>
                <w:szCs w:val="21"/>
                <w:highlight w:val="none"/>
              </w:rPr>
              <w:t>必须提供，否则作无效投标处理）</w:t>
            </w:r>
          </w:p>
          <w:p>
            <w:pPr>
              <w:snapToGrid w:val="0"/>
              <w:spacing w:line="380" w:lineRule="exact"/>
              <w:jc w:val="left"/>
              <w:rPr>
                <w:rFonts w:hint="eastAsia" w:ascii="宋体" w:hAnsi="宋体" w:eastAsia="宋体" w:cs="宋体"/>
                <w:color w:val="auto"/>
                <w:sz w:val="21"/>
                <w:szCs w:val="21"/>
                <w:highlight w:val="none"/>
              </w:rPr>
            </w:pPr>
            <w:bookmarkStart w:id="118" w:name="OLE_LINK35"/>
            <w:bookmarkStart w:id="119" w:name="OLE_LINK17"/>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w:t>
            </w:r>
            <w:bookmarkEnd w:id="118"/>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19"/>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投标人情况介绍（格式自拟）；</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20" w:name="_13.4"/>
            <w:bookmarkEnd w:id="120"/>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bookmarkStart w:id="121" w:name="OLE_LINK36"/>
            <w:bookmarkStart w:id="122" w:name="OLE_LINK18"/>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技术要求偏离表</w:t>
            </w:r>
            <w:bookmarkEnd w:id="121"/>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22"/>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售后服务方案（格式自拟）；</w:t>
            </w:r>
          </w:p>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60" w:lineRule="auto"/>
              <w:jc w:val="left"/>
              <w:rPr>
                <w:rFonts w:hint="eastAsia" w:ascii="宋体" w:hAnsi="宋体" w:eastAsia="宋体" w:cs="宋体"/>
                <w:color w:val="auto"/>
                <w:sz w:val="21"/>
                <w:szCs w:val="21"/>
                <w:highlight w:val="none"/>
              </w:rPr>
            </w:pPr>
            <w:bookmarkStart w:id="123" w:name="OLE_LINK37"/>
            <w:bookmarkStart w:id="124" w:name="OLE_LINK21"/>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bookmarkEnd w:id="123"/>
            <w:r>
              <w:rPr>
                <w:rFonts w:hint="eastAsia" w:ascii="宋体" w:hAnsi="宋体" w:eastAsia="宋体" w:cs="宋体"/>
                <w:color w:val="auto"/>
                <w:sz w:val="21"/>
                <w:szCs w:val="21"/>
                <w:highlight w:val="none"/>
              </w:rPr>
              <w:t>（格式后附）；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bookmarkEnd w:id="124"/>
          </w:p>
          <w:p>
            <w:pPr>
              <w:tabs>
                <w:tab w:val="left" w:pos="459"/>
              </w:tabs>
              <w:snapToGrid w:val="0"/>
              <w:spacing w:line="360" w:lineRule="auto"/>
              <w:jc w:val="left"/>
              <w:rPr>
                <w:rFonts w:hint="eastAsia" w:ascii="宋体" w:hAnsi="宋体" w:eastAsia="宋体" w:cs="宋体"/>
                <w:color w:val="auto"/>
                <w:sz w:val="21"/>
                <w:szCs w:val="21"/>
                <w:highlight w:val="none"/>
              </w:rPr>
            </w:pPr>
            <w:bookmarkStart w:id="125" w:name="OLE_LINK38"/>
            <w:bookmarkStart w:id="126" w:name="OLE_LINK22"/>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w:t>
            </w:r>
            <w:bookmarkEnd w:id="125"/>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26"/>
          </w:p>
          <w:p>
            <w:pPr>
              <w:tabs>
                <w:tab w:val="left" w:pos="459"/>
              </w:tabs>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7" w:name="_16.2"/>
            <w:bookmarkEnd w:id="127"/>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color w:val="auto"/>
                <w:highlight w:val="none"/>
              </w:rPr>
            </w:pPr>
            <w:r>
              <w:rPr>
                <w:rFonts w:hint="eastAsia"/>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w:t>
            </w:r>
          </w:p>
          <w:p>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2"/>
              <w:rPr>
                <w:rFonts w:hint="eastAsia"/>
                <w:color w:val="auto"/>
                <w:highlight w:val="none"/>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8" w:name="_17.1"/>
            <w:bookmarkEnd w:id="128"/>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29" w:name="_18"/>
            <w:bookmarkEnd w:id="129"/>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0" w:name="_21.1"/>
            <w:bookmarkEnd w:id="130"/>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1" w:name="_23"/>
            <w:bookmarkEnd w:id="131"/>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2" w:name="_25.3"/>
            <w:bookmarkEnd w:id="132"/>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3" w:name="_26"/>
            <w:bookmarkEnd w:id="133"/>
            <w:bookmarkStart w:id="134" w:name="_28.3"/>
            <w:bookmarkEnd w:id="134"/>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5" w:name="_29.2.2（2）"/>
            <w:bookmarkEnd w:id="135"/>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p>
            <w:pPr>
              <w:pStyle w:val="13"/>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6" w:name="_39.1"/>
            <w:bookmarkEnd w:id="136"/>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7" w:name="_40.1"/>
            <w:bookmarkEnd w:id="137"/>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（1）名称：</w:t>
            </w:r>
            <w:r>
              <w:rPr>
                <w:rFonts w:hint="eastAsia" w:ascii="宋体" w:hAnsi="宋体" w:cs="宋体"/>
                <w:color w:val="auto"/>
                <w:szCs w:val="21"/>
                <w:highlight w:val="none"/>
                <w:lang w:eastAsia="zh-CN"/>
              </w:rPr>
              <w:t>来宾市人民医院</w:t>
            </w:r>
          </w:p>
          <w:p>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w:t>
            </w:r>
            <w:r>
              <w:rPr>
                <w:rFonts w:hint="eastAsia" w:ascii="宋体" w:hAnsi="宋体" w:cs="宋体"/>
                <w:color w:val="auto"/>
                <w:szCs w:val="21"/>
                <w:highlight w:val="none"/>
                <w:lang w:val="en-US" w:eastAsia="zh-CN"/>
              </w:rPr>
              <w:t>0772-4279679</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通讯地址：</w:t>
            </w:r>
            <w:r>
              <w:rPr>
                <w:rFonts w:hint="eastAsia" w:ascii="宋体" w:hAnsi="宋体" w:eastAsia="宋体" w:cs="宋体"/>
                <w:color w:val="auto"/>
                <w:kern w:val="0"/>
                <w:szCs w:val="21"/>
                <w:highlight w:val="none"/>
              </w:rPr>
              <w:t>来宾市盘古大道东159号</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（2）名称：广西</w:t>
            </w:r>
            <w:r>
              <w:rPr>
                <w:rFonts w:hint="eastAsia" w:ascii="宋体" w:hAnsi="宋体" w:eastAsia="宋体" w:cs="宋体"/>
                <w:color w:val="auto"/>
                <w:szCs w:val="21"/>
                <w:highlight w:val="none"/>
                <w:lang w:val="en-US" w:eastAsia="zh-CN"/>
              </w:rPr>
              <w:t>科联</w:t>
            </w:r>
            <w:r>
              <w:rPr>
                <w:rFonts w:hint="eastAsia" w:ascii="宋体" w:hAnsi="宋体" w:eastAsia="宋体" w:cs="宋体"/>
                <w:color w:val="auto"/>
                <w:szCs w:val="21"/>
                <w:highlight w:val="none"/>
                <w:lang w:eastAsia="zh-CN"/>
              </w:rPr>
              <w:t>招标中心有限公司</w:t>
            </w:r>
          </w:p>
          <w:p>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潘能荣，</w:t>
            </w:r>
            <w:r>
              <w:rPr>
                <w:rFonts w:hint="eastAsia" w:ascii="宋体" w:hAnsi="宋体" w:eastAsia="宋体" w:cs="宋体"/>
                <w:color w:val="auto"/>
                <w:szCs w:val="21"/>
                <w:highlight w:val="none"/>
                <w:lang w:val="en-US" w:eastAsia="zh-CN"/>
              </w:rPr>
              <w:t>0771-3486</w:t>
            </w:r>
            <w:r>
              <w:rPr>
                <w:rFonts w:hint="eastAsia" w:ascii="宋体" w:hAnsi="宋体" w:cs="宋体"/>
                <w:color w:val="auto"/>
                <w:szCs w:val="21"/>
                <w:highlight w:val="none"/>
                <w:lang w:val="en-US" w:eastAsia="zh-CN"/>
              </w:rPr>
              <w:t>281</w:t>
            </w:r>
          </w:p>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通讯地址：</w:t>
            </w:r>
            <w:r>
              <w:rPr>
                <w:rFonts w:hint="eastAsia" w:ascii="宋体" w:hAnsi="宋体" w:eastAsia="宋体" w:cs="宋体"/>
                <w:color w:val="auto"/>
                <w:szCs w:val="21"/>
                <w:highlight w:val="none"/>
                <w:lang w:val="en-US" w:eastAsia="zh-CN"/>
              </w:rPr>
              <w:t>来宾市人民路西135号瑞中花园3号楼人民路西121号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highlight w:val="none"/>
              </w:rPr>
            </w:pPr>
            <w:bookmarkStart w:id="138" w:name="PO_3000001867_PM03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受理方式：纸质方式受理，投诉书正、副本（经过质疑的事项才可投诉）。</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通讯方式</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名称：来宾市财政局政府采购监督管理科</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地址：来宾市兴宾区盘古大道69号</w:t>
            </w:r>
          </w:p>
          <w:p>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 xml:space="preserve">联系电话：0772-4235317 </w:t>
            </w:r>
            <w:r>
              <w:rPr>
                <w:rFonts w:hint="eastAsia" w:ascii="宋体" w:hAnsi="宋体" w:eastAsia="宋体" w:cs="宋体"/>
                <w:color w:val="auto"/>
                <w:highlight w:val="none"/>
                <w:lang w:eastAsia="zh-CN"/>
              </w:rPr>
              <w:t xml:space="preserve"> </w:t>
            </w:r>
            <w:bookmarkEnd w:id="1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bookmarkStart w:id="139" w:name="_42"/>
            <w:bookmarkEnd w:id="139"/>
            <w:bookmarkStart w:id="140" w:name="_41"/>
            <w:bookmarkEnd w:id="140"/>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pPr>
              <w:pStyle w:val="17"/>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pPr>
              <w:pStyle w:val="17"/>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pPr>
              <w:pStyle w:val="17"/>
              <w:snapToGrid w:val="0"/>
              <w:spacing w:line="38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80" w:lineRule="exact"/>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开户名称：广西科联招标中心有限公司来宾分公司</w:t>
            </w:r>
          </w:p>
          <w:p>
            <w:pPr>
              <w:widowControl w:val="0"/>
              <w:snapToGrid w:val="0"/>
              <w:spacing w:line="380" w:lineRule="exact"/>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开户银行：中国建设银行股份有限公司来宾祥和路支行</w:t>
            </w:r>
          </w:p>
          <w:p>
            <w:pPr>
              <w:widowControl w:val="0"/>
              <w:snapToGrid w:val="0"/>
              <w:spacing w:line="38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0"/>
                <w:highlight w:val="none"/>
                <w:lang w:val="en-US" w:eastAsia="zh-CN" w:bidi="ar-SA"/>
              </w:rPr>
              <w:t>银行账号：45050162795900001034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3"/>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3"/>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pPr>
              <w:pStyle w:val="13"/>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pPr>
              <w:pStyle w:val="13"/>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pPr>
              <w:pStyle w:val="13"/>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pPr>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pPr>
        <w:rPr>
          <w:rFonts w:hint="eastAsia" w:ascii="Times New Roman" w:hAnsi="Times New Roman" w:eastAsia="宋体" w:cs="Times New Roman"/>
          <w:color w:val="auto"/>
          <w:highlight w:val="none"/>
        </w:rPr>
      </w:pPr>
    </w:p>
    <w:p>
      <w:pPr>
        <w:pStyle w:val="4"/>
        <w:jc w:val="center"/>
        <w:rPr>
          <w:rFonts w:cs="Times New Roman"/>
          <w:color w:val="auto"/>
          <w:highlight w:val="none"/>
        </w:rPr>
      </w:pPr>
      <w:bookmarkStart w:id="141" w:name="_Toc24313"/>
      <w:bookmarkStart w:id="142" w:name="_Toc13813"/>
      <w:bookmarkStart w:id="143" w:name="_Toc453"/>
      <w:bookmarkStart w:id="144" w:name="_Toc25117"/>
      <w:bookmarkStart w:id="145" w:name="_Toc29311"/>
      <w:bookmarkStart w:id="146" w:name="_Toc11336"/>
      <w:bookmarkStart w:id="147" w:name="_Toc1030"/>
      <w:bookmarkStart w:id="148" w:name="_Toc7784"/>
      <w:bookmarkStart w:id="149" w:name="_Toc8807"/>
      <w:bookmarkStart w:id="150" w:name="_Toc30841"/>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41"/>
      <w:bookmarkEnd w:id="142"/>
      <w:bookmarkEnd w:id="143"/>
      <w:bookmarkEnd w:id="144"/>
      <w:bookmarkEnd w:id="145"/>
      <w:bookmarkEnd w:id="146"/>
      <w:bookmarkEnd w:id="147"/>
      <w:bookmarkEnd w:id="148"/>
      <w:bookmarkEnd w:id="149"/>
      <w:bookmarkEnd w:id="150"/>
    </w:p>
    <w:p>
      <w:pPr>
        <w:pStyle w:val="5"/>
        <w:keepNext w:val="0"/>
        <w:keepLines w:val="0"/>
        <w:spacing w:line="400" w:lineRule="exact"/>
        <w:jc w:val="center"/>
        <w:rPr>
          <w:rFonts w:ascii="Times New Roman" w:hAnsi="Times New Roman" w:eastAsia="宋体" w:cs="Times New Roman"/>
          <w:color w:val="auto"/>
          <w:highlight w:val="none"/>
        </w:rPr>
      </w:pPr>
      <w:bookmarkStart w:id="151" w:name="_Toc6594"/>
      <w:bookmarkStart w:id="152" w:name="_Toc30794"/>
      <w:bookmarkStart w:id="153" w:name="_Toc22266"/>
      <w:bookmarkStart w:id="154" w:name="_Toc3607"/>
      <w:bookmarkStart w:id="155" w:name="_Toc15523"/>
      <w:bookmarkStart w:id="156" w:name="_Toc18594"/>
      <w:bookmarkStart w:id="157" w:name="_Toc28360"/>
      <w:bookmarkStart w:id="158" w:name="_Toc3522"/>
      <w:bookmarkStart w:id="159" w:name="_Toc19454"/>
      <w:bookmarkStart w:id="160" w:name="_Toc2117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51"/>
      <w:bookmarkEnd w:id="152"/>
      <w:bookmarkEnd w:id="153"/>
      <w:bookmarkEnd w:id="154"/>
      <w:bookmarkEnd w:id="155"/>
      <w:bookmarkEnd w:id="156"/>
      <w:bookmarkEnd w:id="157"/>
      <w:bookmarkEnd w:id="158"/>
      <w:bookmarkEnd w:id="159"/>
      <w:bookmarkEnd w:id="160"/>
    </w:p>
    <w:p>
      <w:pPr>
        <w:spacing w:line="360" w:lineRule="auto"/>
        <w:ind w:firstLine="480" w:firstLineChars="200"/>
        <w:rPr>
          <w:rFonts w:ascii="黑体" w:hAnsi="黑体" w:eastAsia="黑体" w:cs="Times New Roman"/>
          <w:color w:val="auto"/>
          <w:sz w:val="24"/>
          <w:highlight w:val="none"/>
        </w:rPr>
      </w:pPr>
      <w:bookmarkStart w:id="161" w:name="_Toc254970527"/>
      <w:bookmarkStart w:id="162" w:name="_Toc254970668"/>
      <w:r>
        <w:rPr>
          <w:rFonts w:hint="eastAsia" w:ascii="黑体" w:hAnsi="黑体" w:eastAsia="黑体" w:cs="Times New Roman"/>
          <w:color w:val="auto"/>
          <w:sz w:val="24"/>
          <w:highlight w:val="none"/>
        </w:rPr>
        <w:t>1.适用范围</w:t>
      </w:r>
      <w:bookmarkEnd w:id="161"/>
      <w:bookmarkEnd w:id="162"/>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s="Times New Roman"/>
          <w:color w:val="auto"/>
          <w:sz w:val="24"/>
          <w:highlight w:val="none"/>
        </w:rPr>
      </w:pPr>
      <w:bookmarkStart w:id="163" w:name="_Toc254970528"/>
      <w:bookmarkStart w:id="164" w:name="_Toc254970669"/>
      <w:r>
        <w:rPr>
          <w:rFonts w:hint="eastAsia" w:ascii="黑体" w:hAnsi="黑体" w:eastAsia="黑体" w:cs="Times New Roman"/>
          <w:color w:val="auto"/>
          <w:sz w:val="24"/>
          <w:highlight w:val="none"/>
        </w:rPr>
        <w:t>2.定义</w:t>
      </w:r>
      <w:bookmarkEnd w:id="163"/>
      <w:bookmarkEnd w:id="164"/>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65" w:name="_Toc254970670"/>
      <w:bookmarkStart w:id="166" w:name="_Toc254970529"/>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65"/>
      <w:bookmarkEnd w:id="166"/>
      <w:r>
        <w:rPr>
          <w:rFonts w:hint="eastAsia" w:ascii="黑体" w:hAnsi="黑体" w:eastAsia="黑体" w:cs="Times New Roman"/>
          <w:color w:val="auto"/>
          <w:sz w:val="24"/>
          <w:highlight w:val="none"/>
        </w:rPr>
        <w:t>投标人的资格要求</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pPr>
        <w:spacing w:line="360" w:lineRule="auto"/>
        <w:ind w:firstLine="480" w:firstLineChars="200"/>
        <w:rPr>
          <w:rFonts w:hint="eastAsia" w:ascii="黑体" w:hAnsi="黑体" w:eastAsia="黑体" w:cs="Times New Roman"/>
          <w:color w:val="auto"/>
          <w:sz w:val="24"/>
          <w:highlight w:val="none"/>
        </w:rPr>
      </w:pPr>
      <w:bookmarkStart w:id="167" w:name="_Toc254970671"/>
      <w:bookmarkStart w:id="168" w:name="_Toc254970530"/>
      <w:r>
        <w:rPr>
          <w:rFonts w:hint="eastAsia" w:ascii="黑体" w:hAnsi="黑体" w:eastAsia="黑体" w:cs="Times New Roman"/>
          <w:color w:val="auto"/>
          <w:sz w:val="24"/>
          <w:highlight w:val="none"/>
        </w:rPr>
        <w:t>4.投标委托</w:t>
      </w:r>
      <w:bookmarkEnd w:id="167"/>
      <w:bookmarkEnd w:id="168"/>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s="Times New Roman"/>
          <w:color w:val="auto"/>
          <w:sz w:val="24"/>
          <w:highlight w:val="none"/>
        </w:rPr>
      </w:pPr>
      <w:bookmarkStart w:id="169" w:name="_5.投标费用"/>
      <w:bookmarkEnd w:id="169"/>
      <w:bookmarkStart w:id="170" w:name="_Toc254970672"/>
      <w:bookmarkStart w:id="171" w:name="_Toc254970531"/>
      <w:r>
        <w:rPr>
          <w:rFonts w:hint="eastAsia" w:ascii="黑体" w:hAnsi="黑体" w:eastAsia="黑体" w:cs="Times New Roman"/>
          <w:color w:val="auto"/>
          <w:sz w:val="24"/>
          <w:highlight w:val="none"/>
        </w:rPr>
        <w:t>5.投标费用</w:t>
      </w:r>
      <w:bookmarkEnd w:id="170"/>
      <w:bookmarkEnd w:id="171"/>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s="Times New Roman"/>
          <w:color w:val="auto"/>
          <w:sz w:val="24"/>
          <w:highlight w:val="none"/>
        </w:rPr>
      </w:pPr>
      <w:bookmarkStart w:id="172" w:name="_Toc254970673"/>
      <w:bookmarkStart w:id="173" w:name="_Toc254970532"/>
      <w:r>
        <w:rPr>
          <w:rFonts w:hint="eastAsia" w:ascii="黑体" w:hAnsi="黑体" w:eastAsia="黑体" w:cs="Times New Roman"/>
          <w:color w:val="auto"/>
          <w:sz w:val="24"/>
          <w:highlight w:val="none"/>
        </w:rPr>
        <w:t>8.特别说明：</w:t>
      </w:r>
      <w:bookmarkEnd w:id="172"/>
      <w:bookmarkEnd w:id="173"/>
      <w:bookmarkStart w:id="174" w:name="_8.1提供相同品牌产品且通过资格审查、符合性审查的不同投标人参加同一合"/>
      <w:bookmarkEnd w:id="174"/>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pStyle w:val="17"/>
        <w:snapToGrid w:val="0"/>
        <w:spacing w:line="360" w:lineRule="auto"/>
        <w:ind w:left="2" w:leftChars="1" w:firstLine="422" w:firstLineChars="200"/>
        <w:rPr>
          <w:rFonts w:hAnsi="宋体" w:eastAsia="宋体" w:cs="Times New Roman"/>
          <w:b/>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175" w:name="_Toc9988"/>
      <w:bookmarkStart w:id="176" w:name="_Toc128"/>
      <w:bookmarkStart w:id="177" w:name="_Toc18580"/>
      <w:bookmarkStart w:id="178" w:name="_Toc11054"/>
      <w:bookmarkStart w:id="179" w:name="_Toc22911"/>
      <w:bookmarkStart w:id="180" w:name="_Toc254970534"/>
      <w:bookmarkStart w:id="181" w:name="_Toc254970675"/>
      <w:bookmarkStart w:id="182" w:name="_Toc6920"/>
      <w:bookmarkStart w:id="183" w:name="_Toc19016"/>
      <w:bookmarkStart w:id="184" w:name="_Toc17855"/>
      <w:bookmarkStart w:id="185" w:name="_Toc25104"/>
      <w:bookmarkStart w:id="186" w:name="_Toc10320"/>
      <w:r>
        <w:rPr>
          <w:rFonts w:hint="eastAsia" w:ascii="Times New Roman" w:hAnsi="Times New Roman" w:eastAsia="宋体" w:cs="Times New Roman"/>
          <w:color w:val="auto"/>
          <w:highlight w:val="none"/>
        </w:rPr>
        <w:t>二、招标文件</w:t>
      </w:r>
      <w:bookmarkEnd w:id="175"/>
      <w:bookmarkEnd w:id="176"/>
      <w:bookmarkEnd w:id="177"/>
      <w:bookmarkEnd w:id="178"/>
      <w:bookmarkEnd w:id="179"/>
      <w:bookmarkEnd w:id="180"/>
      <w:bookmarkEnd w:id="181"/>
      <w:bookmarkEnd w:id="182"/>
      <w:bookmarkEnd w:id="183"/>
      <w:bookmarkEnd w:id="184"/>
      <w:bookmarkEnd w:id="185"/>
      <w:bookmarkEnd w:id="186"/>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87"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87"/>
    <w:p>
      <w:pPr>
        <w:pStyle w:val="5"/>
        <w:keepNext w:val="0"/>
        <w:keepLines w:val="0"/>
        <w:spacing w:line="400" w:lineRule="exact"/>
        <w:jc w:val="center"/>
        <w:rPr>
          <w:rFonts w:ascii="Times New Roman" w:hAnsi="Times New Roman" w:eastAsia="宋体" w:cs="Times New Roman"/>
          <w:color w:val="auto"/>
          <w:highlight w:val="none"/>
        </w:rPr>
      </w:pPr>
      <w:bookmarkStart w:id="188" w:name="_Toc254970676"/>
      <w:bookmarkStart w:id="189" w:name="_Toc27367"/>
      <w:bookmarkStart w:id="190" w:name="_Toc32154"/>
      <w:bookmarkStart w:id="191" w:name="_Toc12080"/>
      <w:bookmarkStart w:id="192" w:name="_Toc20"/>
      <w:bookmarkStart w:id="193" w:name="_Toc16623"/>
      <w:bookmarkStart w:id="194" w:name="_Toc24872"/>
      <w:bookmarkStart w:id="195" w:name="_Toc7841"/>
      <w:bookmarkStart w:id="196" w:name="_Toc254970535"/>
      <w:bookmarkStart w:id="197" w:name="_Toc32499"/>
      <w:bookmarkStart w:id="198" w:name="_Toc2635"/>
      <w:bookmarkStart w:id="199" w:name="_Toc28419"/>
      <w:r>
        <w:rPr>
          <w:rFonts w:hint="eastAsia" w:ascii="Times New Roman" w:hAnsi="Times New Roman" w:eastAsia="宋体" w:cs="Times New Roman"/>
          <w:color w:val="auto"/>
          <w:highlight w:val="none"/>
        </w:rPr>
        <w:t>三、投标文件的编制</w:t>
      </w:r>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0" w:firstLineChars="200"/>
        <w:rPr>
          <w:rFonts w:ascii="黑体" w:hAnsi="黑体" w:eastAsia="黑体" w:cs="Times New Roman"/>
          <w:color w:val="auto"/>
          <w:sz w:val="24"/>
          <w:highlight w:val="none"/>
        </w:rPr>
      </w:pPr>
      <w:bookmarkStart w:id="200" w:name="_Toc254970677"/>
      <w:bookmarkStart w:id="201" w:name="_Toc254970536"/>
      <w:r>
        <w:rPr>
          <w:rFonts w:hint="eastAsia" w:ascii="黑体" w:hAnsi="黑体" w:eastAsia="黑体" w:cs="Times New Roman"/>
          <w:color w:val="auto"/>
          <w:sz w:val="24"/>
          <w:highlight w:val="none"/>
        </w:rPr>
        <w:t>12.投标文件的编制原则</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200"/>
      <w:bookmarkEnd w:id="201"/>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pPr>
        <w:spacing w:line="360" w:lineRule="auto"/>
        <w:ind w:firstLine="420" w:firstLineChars="200"/>
        <w:rPr>
          <w:rFonts w:hint="eastAsia" w:ascii="宋体" w:hAnsi="宋体" w:eastAsia="宋体" w:cs="Times New Roman"/>
          <w:bCs/>
          <w:color w:val="auto"/>
          <w:szCs w:val="21"/>
          <w:highlight w:val="none"/>
        </w:rPr>
      </w:pPr>
      <w:bookmarkStart w:id="202" w:name="_13.2资格证明文件：具体材料见“投标人须知前附表”。"/>
      <w:bookmarkEnd w:id="202"/>
      <w:bookmarkStart w:id="203" w:name="_13.1报价文件:_具体材料见“投标人须知前附表”。"/>
      <w:bookmarkEnd w:id="203"/>
      <w:r>
        <w:rPr>
          <w:rFonts w:hint="eastAsia" w:ascii="宋体" w:hAnsi="宋体" w:eastAsia="宋体" w:cs="Times New Roman"/>
          <w:bCs/>
          <w:color w:val="auto"/>
          <w:szCs w:val="21"/>
          <w:highlight w:val="none"/>
        </w:rPr>
        <w:t>（1）资格证明文件：具体材料见“投标人须知前附表”。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04" w:name="_13.3商务文件:_具体材料见“投标人须知前附表”。"/>
      <w:bookmarkEnd w:id="204"/>
      <w:r>
        <w:rPr>
          <w:rFonts w:hint="eastAsia" w:ascii="宋体" w:hAnsi="宋体" w:eastAsia="宋体" w:cs="Times New Roman"/>
          <w:bCs/>
          <w:color w:val="auto"/>
          <w:szCs w:val="21"/>
          <w:highlight w:val="none"/>
        </w:rPr>
        <w:t>（2）商务文件：具体材料见“投标人须知前附表”。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05" w:name="_13.4技术文件：具体材料见“投标人须知前附表”。"/>
      <w:bookmarkEnd w:id="205"/>
      <w:r>
        <w:rPr>
          <w:rFonts w:hint="eastAsia" w:ascii="宋体" w:hAnsi="宋体" w:eastAsia="宋体" w:cs="Times New Roman"/>
          <w:bCs/>
          <w:color w:val="auto"/>
          <w:szCs w:val="21"/>
          <w:highlight w:val="none"/>
        </w:rPr>
        <w:t xml:space="preserve">（3）技术文件：具体材料见“投标人须知前附表”。 </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pPr>
        <w:spacing w:line="360" w:lineRule="auto"/>
        <w:ind w:firstLine="420" w:firstLineChars="200"/>
        <w:rPr>
          <w:rFonts w:hint="eastAsia" w:ascii="宋体" w:hAnsi="宋体" w:eastAsia="宋体" w:cs="Times New Roman"/>
          <w:bCs/>
          <w:color w:val="auto"/>
          <w:szCs w:val="21"/>
          <w:highlight w:val="none"/>
        </w:rPr>
      </w:pPr>
      <w:bookmarkStart w:id="206" w:name="_13.5投标文件电子版：具体材料见“投标人须知前附表”。"/>
      <w:bookmarkEnd w:id="206"/>
      <w:r>
        <w:rPr>
          <w:rFonts w:hint="eastAsia" w:ascii="宋体" w:hAnsi="宋体" w:eastAsia="宋体" w:cs="Times New Roman"/>
          <w:bCs/>
          <w:color w:val="auto"/>
          <w:szCs w:val="21"/>
          <w:highlight w:val="none"/>
        </w:rPr>
        <w:t>13.2投标文件电子版：具体要求见本节19.投标文件编制。</w:t>
      </w:r>
    </w:p>
    <w:p>
      <w:pPr>
        <w:spacing w:line="360" w:lineRule="auto"/>
        <w:ind w:firstLine="480" w:firstLineChars="200"/>
        <w:rPr>
          <w:rFonts w:hint="eastAsia" w:ascii="黑体" w:hAnsi="黑体" w:eastAsia="黑体" w:cs="Times New Roman"/>
          <w:color w:val="auto"/>
          <w:sz w:val="24"/>
          <w:highlight w:val="none"/>
        </w:rPr>
      </w:pPr>
      <w:bookmarkStart w:id="207" w:name="_Toc254970678"/>
      <w:bookmarkStart w:id="208" w:name="_Toc254970537"/>
      <w:r>
        <w:rPr>
          <w:rFonts w:hint="eastAsia" w:ascii="黑体" w:hAnsi="黑体" w:eastAsia="黑体" w:cs="Times New Roman"/>
          <w:color w:val="auto"/>
          <w:sz w:val="24"/>
          <w:highlight w:val="none"/>
        </w:rPr>
        <w:t>14.投标文件的语言及计量</w:t>
      </w:r>
      <w:bookmarkEnd w:id="207"/>
      <w:bookmarkEnd w:id="208"/>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s="Times New Roman"/>
          <w:color w:val="auto"/>
          <w:sz w:val="24"/>
          <w:highlight w:val="none"/>
        </w:rPr>
      </w:pPr>
      <w:bookmarkStart w:id="209" w:name="_Toc254970679"/>
      <w:bookmarkStart w:id="210" w:name="_Toc254970538"/>
      <w:r>
        <w:rPr>
          <w:rFonts w:hint="eastAsia" w:ascii="黑体" w:hAnsi="黑体" w:eastAsia="黑体" w:cs="Times New Roman"/>
          <w:color w:val="auto"/>
          <w:sz w:val="24"/>
          <w:highlight w:val="none"/>
        </w:rPr>
        <w:t>16.投标报价</w:t>
      </w:r>
      <w:bookmarkEnd w:id="209"/>
      <w:bookmarkEnd w:id="210"/>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pPr>
        <w:spacing w:line="360" w:lineRule="auto"/>
        <w:ind w:firstLine="420" w:firstLineChars="200"/>
        <w:rPr>
          <w:rFonts w:hint="eastAsia" w:ascii="宋体" w:hAnsi="宋体" w:eastAsia="宋体" w:cs="Times New Roman"/>
          <w:bCs/>
          <w:color w:val="auto"/>
          <w:szCs w:val="21"/>
          <w:highlight w:val="none"/>
        </w:rPr>
      </w:pPr>
      <w:bookmarkStart w:id="211" w:name="_16.2投标报价具体定义见投标人须知前附表。"/>
      <w:bookmarkEnd w:id="211"/>
      <w:r>
        <w:rPr>
          <w:rFonts w:hint="eastAsia" w:ascii="宋体" w:hAnsi="宋体" w:eastAsia="宋体" w:cs="Times New Roman"/>
          <w:bCs/>
          <w:color w:val="auto"/>
          <w:szCs w:val="21"/>
          <w:highlight w:val="none"/>
        </w:rPr>
        <w:t>16.2投标报价具体包括内容详见“投标人须知前附表”。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pPr>
        <w:spacing w:line="360" w:lineRule="auto"/>
        <w:ind w:firstLine="420" w:firstLineChars="200"/>
        <w:rPr>
          <w:rFonts w:hint="eastAsia" w:ascii="宋体" w:hAnsi="宋体" w:eastAsia="宋体" w:cs="Times New Roman"/>
          <w:bCs/>
          <w:color w:val="auto"/>
          <w:szCs w:val="21"/>
          <w:highlight w:val="none"/>
        </w:rPr>
      </w:pPr>
      <w:bookmarkStart w:id="212" w:name="_17.1投标有效期应按“投标人须知中的前附表”规定的期限。"/>
      <w:bookmarkEnd w:id="212"/>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213" w:name="_Toc254970540"/>
      <w:bookmarkStart w:id="214"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213"/>
      <w:bookmarkEnd w:id="214"/>
    </w:p>
    <w:p>
      <w:pPr>
        <w:spacing w:line="360" w:lineRule="auto"/>
        <w:ind w:firstLine="480" w:firstLineChars="200"/>
        <w:rPr>
          <w:rFonts w:hint="eastAsia" w:ascii="黑体" w:hAnsi="黑体" w:eastAsia="黑体" w:cs="Times New Roman"/>
          <w:color w:val="auto"/>
          <w:sz w:val="24"/>
          <w:highlight w:val="none"/>
        </w:rPr>
      </w:pPr>
      <w:bookmarkStart w:id="215" w:name="_18.投标保证金"/>
      <w:bookmarkEnd w:id="215"/>
      <w:bookmarkStart w:id="216" w:name="_Toc254970682"/>
      <w:bookmarkStart w:id="217" w:name="_Toc254970541"/>
      <w:r>
        <w:rPr>
          <w:rFonts w:hint="eastAsia" w:ascii="黑体" w:hAnsi="黑体" w:eastAsia="黑体" w:cs="Times New Roman"/>
          <w:color w:val="auto"/>
          <w:sz w:val="24"/>
          <w:highlight w:val="none"/>
        </w:rPr>
        <w:t>18.投标保证金</w:t>
      </w:r>
      <w:bookmarkEnd w:id="216"/>
      <w:bookmarkEnd w:id="217"/>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218" w:name="_Toc254970683"/>
      <w:bookmarkStart w:id="219" w:name="_Toc254970542"/>
      <w:r>
        <w:rPr>
          <w:rFonts w:hint="eastAsia" w:ascii="宋体" w:hAnsi="宋体" w:eastAsia="宋体" w:cs="宋体"/>
          <w:b w:val="0"/>
          <w:color w:val="auto"/>
          <w:sz w:val="21"/>
          <w:szCs w:val="21"/>
          <w:highlight w:val="none"/>
        </w:rPr>
        <w:t>18.1投标人须按“投标人须知前附表” 的规定提交投标保证金。</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1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218"/>
      <w:bookmarkEnd w:id="219"/>
      <w:r>
        <w:rPr>
          <w:rFonts w:hint="eastAsia" w:ascii="黑体" w:hAnsi="黑体" w:eastAsia="黑体" w:cs="Times New Roman"/>
          <w:color w:val="auto"/>
          <w:sz w:val="24"/>
          <w:highlight w:val="none"/>
        </w:rPr>
        <w:t>编制</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20" w:name="_19.2投标文件应按报价文件、资格证明文件、商务文件、技术文件分别编制"/>
      <w:bookmarkEnd w:id="220"/>
      <w:r>
        <w:rPr>
          <w:rFonts w:hint="eastAsia" w:ascii="宋体" w:hAnsi="宋体" w:eastAsia="宋体" w:cs="宋体"/>
          <w:color w:val="auto"/>
          <w:szCs w:val="21"/>
          <w:highlight w:val="none"/>
        </w:rPr>
        <w:t xml:space="preserve"> </w:t>
      </w:r>
    </w:p>
    <w:p>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pPr>
        <w:pStyle w:val="33"/>
        <w:snapToGrid w:val="0"/>
        <w:spacing w:before="0"/>
        <w:ind w:firstLine="420"/>
        <w:rPr>
          <w:rFonts w:hint="eastAsia" w:ascii="宋体" w:hAnsi="宋体" w:eastAsia="宋体" w:cs="宋体"/>
          <w:color w:val="auto"/>
          <w:sz w:val="21"/>
          <w:szCs w:val="21"/>
          <w:highlight w:val="none"/>
        </w:rPr>
      </w:pPr>
    </w:p>
    <w:p>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pPr>
        <w:spacing w:line="360" w:lineRule="auto"/>
        <w:ind w:firstLine="420" w:firstLineChars="200"/>
        <w:rPr>
          <w:rFonts w:hint="eastAsia" w:ascii="Times New Roman" w:hAnsi="宋体" w:eastAsia="宋体" w:cs="Times New Roman"/>
          <w:b/>
          <w:color w:val="auto"/>
          <w:highlight w:val="none"/>
        </w:rPr>
      </w:pPr>
      <w:bookmarkStart w:id="221" w:name="_21.1投标人必须在“投标人须知中的前附表”规定的投标文件接收时间和投"/>
      <w:bookmarkEnd w:id="221"/>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222" w:name="_Toc254970543"/>
      <w:bookmarkStart w:id="223" w:name="_Toc254970684"/>
    </w:p>
    <w:p>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pPr>
        <w:pStyle w:val="3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222"/>
    <w:bookmarkEnd w:id="223"/>
    <w:p>
      <w:pPr>
        <w:pStyle w:val="15"/>
        <w:snapToGrid w:val="0"/>
        <w:spacing w:line="400" w:lineRule="exact"/>
        <w:ind w:firstLine="739"/>
        <w:rPr>
          <w:rFonts w:hint="eastAsia" w:hAnsi="宋体" w:eastAsia="宋体" w:cs="Times New Roman"/>
          <w:snapToGrid w:val="0"/>
          <w:color w:val="auto"/>
          <w:sz w:val="21"/>
          <w:szCs w:val="21"/>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24" w:name="_Toc1586"/>
      <w:bookmarkStart w:id="225" w:name="_Toc12790"/>
      <w:bookmarkStart w:id="226" w:name="_Toc13250"/>
      <w:bookmarkStart w:id="227" w:name="_Toc14091"/>
      <w:bookmarkStart w:id="228" w:name="_Toc1356"/>
      <w:bookmarkStart w:id="229" w:name="_Toc810"/>
      <w:bookmarkStart w:id="230" w:name="_Toc32494"/>
      <w:bookmarkStart w:id="231" w:name="_Toc2573"/>
      <w:bookmarkStart w:id="232" w:name="_Toc22661"/>
      <w:bookmarkStart w:id="233" w:name="_Toc254970544"/>
      <w:bookmarkStart w:id="234" w:name="_Toc254970685"/>
      <w:bookmarkStart w:id="235" w:name="_Toc27037"/>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24"/>
      <w:bookmarkEnd w:id="225"/>
      <w:bookmarkEnd w:id="226"/>
      <w:bookmarkEnd w:id="227"/>
      <w:bookmarkEnd w:id="228"/>
      <w:bookmarkEnd w:id="229"/>
      <w:bookmarkEnd w:id="230"/>
      <w:bookmarkEnd w:id="231"/>
      <w:bookmarkEnd w:id="232"/>
      <w:bookmarkEnd w:id="233"/>
      <w:bookmarkEnd w:id="234"/>
      <w:bookmarkEnd w:id="235"/>
    </w:p>
    <w:p>
      <w:pPr>
        <w:spacing w:line="360" w:lineRule="auto"/>
        <w:ind w:firstLine="480" w:firstLineChars="200"/>
        <w:rPr>
          <w:rFonts w:ascii="黑体" w:hAnsi="黑体" w:eastAsia="黑体" w:cs="Times New Roman"/>
          <w:color w:val="auto"/>
          <w:sz w:val="24"/>
          <w:highlight w:val="none"/>
        </w:rPr>
      </w:pPr>
      <w:bookmarkStart w:id="236" w:name="_23.开标时间和地点"/>
      <w:bookmarkEnd w:id="236"/>
      <w:r>
        <w:rPr>
          <w:rFonts w:hint="eastAsia" w:ascii="黑体" w:hAnsi="黑体" w:eastAsia="黑体" w:cs="Times New Roman"/>
          <w:color w:val="auto"/>
          <w:sz w:val="24"/>
          <w:highlight w:val="none"/>
        </w:rPr>
        <w:t>23.开标时间和地点</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pPr>
        <w:pStyle w:val="17"/>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pPr>
        <w:pStyle w:val="17"/>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pPr>
        <w:pStyle w:val="17"/>
        <w:snapToGrid w:val="0"/>
        <w:spacing w:line="400" w:lineRule="exact"/>
        <w:ind w:left="689" w:leftChars="228" w:hanging="210" w:hangingChars="100"/>
        <w:rPr>
          <w:rFonts w:hint="eastAsia"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37" w:name="_Toc2575"/>
      <w:bookmarkStart w:id="238" w:name="_Toc8919"/>
      <w:bookmarkStart w:id="239" w:name="_Toc22509"/>
      <w:bookmarkStart w:id="240" w:name="_Toc19053"/>
      <w:bookmarkStart w:id="241" w:name="_Toc6866"/>
      <w:bookmarkStart w:id="242" w:name="_Toc23512"/>
      <w:bookmarkStart w:id="243" w:name="_Toc29189"/>
      <w:bookmarkStart w:id="244" w:name="_Toc31994"/>
      <w:bookmarkStart w:id="245" w:name="_Toc25053"/>
      <w:bookmarkStart w:id="246" w:name="_Toc1489"/>
      <w:r>
        <w:rPr>
          <w:rFonts w:hint="eastAsia" w:ascii="Times New Roman" w:hAnsi="Times New Roman" w:eastAsia="宋体" w:cs="Times New Roman"/>
          <w:color w:val="auto"/>
          <w:highlight w:val="none"/>
        </w:rPr>
        <w:t>五、资格审查</w:t>
      </w:r>
      <w:bookmarkEnd w:id="237"/>
      <w:bookmarkEnd w:id="238"/>
      <w:bookmarkEnd w:id="239"/>
      <w:bookmarkEnd w:id="240"/>
      <w:bookmarkEnd w:id="241"/>
      <w:bookmarkEnd w:id="242"/>
      <w:bookmarkEnd w:id="243"/>
      <w:bookmarkEnd w:id="244"/>
      <w:bookmarkEnd w:id="245"/>
      <w:bookmarkEnd w:id="246"/>
    </w:p>
    <w:p>
      <w:pPr>
        <w:pStyle w:val="7"/>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eastAsia="宋体" w:cs="Times New Roman"/>
          <w:b/>
          <w:bCs/>
          <w:color w:val="auto"/>
          <w:szCs w:val="20"/>
          <w:highlight w:val="none"/>
        </w:rPr>
      </w:pPr>
      <w:bookmarkStart w:id="247" w:name="_25.3_投标人有下列情形之一的，资格审查不通过而导致其投标无效："/>
      <w:bookmarkEnd w:id="247"/>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pPr>
        <w:pStyle w:val="2"/>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（4）同一合同项下的不同供应商，单位负责人为同一人或者存在直接控股、管理关系的；为本项目提供过整体设计、规范编制或者项目管理、监理、检测等服务的。</w:t>
      </w:r>
    </w:p>
    <w:p>
      <w:pPr>
        <w:pStyle w:val="7"/>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pPr>
        <w:pStyle w:val="5"/>
        <w:keepNext w:val="0"/>
        <w:keepLines w:val="0"/>
        <w:spacing w:line="360" w:lineRule="auto"/>
        <w:jc w:val="center"/>
        <w:rPr>
          <w:rFonts w:hint="eastAsia" w:ascii="Times New Roman" w:hAnsi="Times New Roman" w:eastAsia="宋体" w:cs="Times New Roman"/>
          <w:color w:val="auto"/>
          <w:highlight w:val="none"/>
        </w:rPr>
      </w:pPr>
      <w:bookmarkStart w:id="248" w:name="_Toc1454"/>
      <w:bookmarkStart w:id="249" w:name="_Toc3548"/>
      <w:bookmarkStart w:id="250" w:name="_Toc19035"/>
      <w:bookmarkStart w:id="251" w:name="_Toc21152"/>
      <w:bookmarkStart w:id="252" w:name="_Toc2770"/>
      <w:bookmarkStart w:id="253" w:name="_Toc15749"/>
      <w:bookmarkStart w:id="254" w:name="_Toc11169"/>
      <w:bookmarkStart w:id="255" w:name="_Toc29412"/>
      <w:bookmarkStart w:id="256" w:name="_Toc20446"/>
      <w:bookmarkStart w:id="257" w:name="_Toc20983"/>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48"/>
      <w:bookmarkEnd w:id="249"/>
      <w:bookmarkEnd w:id="250"/>
      <w:bookmarkEnd w:id="251"/>
      <w:bookmarkEnd w:id="252"/>
      <w:bookmarkEnd w:id="253"/>
      <w:bookmarkEnd w:id="254"/>
      <w:bookmarkEnd w:id="255"/>
      <w:bookmarkEnd w:id="256"/>
      <w:bookmarkEnd w:id="257"/>
    </w:p>
    <w:p>
      <w:pPr>
        <w:spacing w:line="360" w:lineRule="auto"/>
        <w:ind w:firstLine="480" w:firstLineChars="200"/>
        <w:rPr>
          <w:rFonts w:ascii="黑体" w:hAnsi="黑体" w:eastAsia="黑体" w:cs="Times New Roman"/>
          <w:color w:val="auto"/>
          <w:sz w:val="24"/>
          <w:highlight w:val="none"/>
        </w:rPr>
      </w:pPr>
      <w:bookmarkStart w:id="258" w:name="_26.组建评标委员会"/>
      <w:bookmarkEnd w:id="258"/>
      <w:r>
        <w:rPr>
          <w:rFonts w:hint="eastAsia" w:ascii="黑体" w:hAnsi="黑体" w:eastAsia="黑体" w:cs="Times New Roman"/>
          <w:color w:val="auto"/>
          <w:sz w:val="24"/>
          <w:highlight w:val="none"/>
        </w:rPr>
        <w:t>26.组建评标委员会</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7"/>
        <w:snapToGrid w:val="0"/>
        <w:spacing w:line="400" w:lineRule="exact"/>
        <w:ind w:firstLine="420" w:firstLineChars="200"/>
        <w:rPr>
          <w:rFonts w:hAnsi="宋体" w:eastAsia="宋体" w:cs="Times New Roman"/>
          <w:color w:val="auto"/>
          <w:highlight w:val="none"/>
        </w:rPr>
      </w:pPr>
    </w:p>
    <w:p>
      <w:pPr>
        <w:pStyle w:val="5"/>
        <w:keepNext w:val="0"/>
        <w:keepLines w:val="0"/>
        <w:spacing w:line="400" w:lineRule="exact"/>
        <w:jc w:val="center"/>
        <w:rPr>
          <w:rFonts w:hint="eastAsia" w:ascii="Times New Roman" w:hAnsi="Times New Roman" w:eastAsia="宋体" w:cs="Times New Roman"/>
          <w:color w:val="auto"/>
          <w:highlight w:val="none"/>
        </w:rPr>
      </w:pPr>
      <w:bookmarkStart w:id="259" w:name="_Toc254970687"/>
      <w:bookmarkStart w:id="260" w:name="_Toc254970546"/>
      <w:bookmarkStart w:id="261" w:name="_Toc24771"/>
      <w:bookmarkStart w:id="262" w:name="_Toc14661"/>
      <w:bookmarkStart w:id="263" w:name="_Toc31698"/>
      <w:bookmarkStart w:id="264" w:name="_Toc32339"/>
      <w:bookmarkStart w:id="265" w:name="_Toc10427"/>
      <w:bookmarkStart w:id="266" w:name="_Toc10518"/>
      <w:bookmarkStart w:id="267" w:name="_Toc31226"/>
      <w:bookmarkStart w:id="268" w:name="_Toc2302"/>
      <w:bookmarkStart w:id="269" w:name="_Toc15452"/>
      <w:bookmarkStart w:id="270" w:name="_Toc4688"/>
      <w:r>
        <w:rPr>
          <w:rFonts w:hint="eastAsia" w:ascii="Times New Roman" w:hAnsi="Times New Roman" w:eastAsia="宋体" w:cs="Times New Roman"/>
          <w:color w:val="auto"/>
          <w:highlight w:val="none"/>
        </w:rPr>
        <w:t>七、</w:t>
      </w:r>
      <w:bookmarkEnd w:id="259"/>
      <w:bookmarkEnd w:id="260"/>
      <w:r>
        <w:rPr>
          <w:rFonts w:hint="eastAsia" w:ascii="Times New Roman" w:hAnsi="Times New Roman" w:eastAsia="宋体" w:cs="Times New Roman"/>
          <w:color w:val="auto"/>
          <w:highlight w:val="none"/>
        </w:rPr>
        <w:t>中标和合同</w:t>
      </w:r>
      <w:bookmarkEnd w:id="261"/>
      <w:bookmarkEnd w:id="262"/>
      <w:bookmarkEnd w:id="263"/>
      <w:bookmarkEnd w:id="264"/>
      <w:bookmarkEnd w:id="265"/>
      <w:bookmarkEnd w:id="266"/>
      <w:bookmarkEnd w:id="267"/>
      <w:bookmarkEnd w:id="268"/>
      <w:bookmarkEnd w:id="269"/>
      <w:bookmarkEnd w:id="270"/>
    </w:p>
    <w:p>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71" w:name="_39.1中标人须于签订合同前按本须知前附表规定的金额转账或电汇到指定账"/>
      <w:bookmarkEnd w:id="271"/>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pPr>
        <w:spacing w:line="360" w:lineRule="auto"/>
        <w:ind w:firstLine="420" w:firstLineChars="200"/>
        <w:rPr>
          <w:rFonts w:hint="eastAsia"/>
          <w:b/>
          <w:bCs/>
          <w:i/>
          <w:iCs/>
          <w:color w:val="auto"/>
          <w:szCs w:val="21"/>
          <w:highlight w:val="none"/>
          <w:lang w:eastAsia="zh-CN"/>
        </w:rPr>
      </w:pPr>
      <w:bookmarkStart w:id="272" w:name="_40.1投标人接到中标通知书后，按须知前附表规定向采购人出示相关资格证"/>
      <w:bookmarkEnd w:id="272"/>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pPr>
        <w:adjustRightInd/>
        <w:spacing w:line="360" w:lineRule="auto"/>
        <w:ind w:firstLine="420" w:firstLineChars="200"/>
        <w:rPr>
          <w:rFonts w:hint="eastAsia" w:ascii="宋体" w:hAnsi="宋体" w:cs="宋体"/>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pPr>
        <w:pStyle w:val="33"/>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pPr>
        <w:spacing w:line="360" w:lineRule="auto"/>
        <w:ind w:firstLine="480" w:firstLineChars="200"/>
        <w:rPr>
          <w:rFonts w:hint="eastAsia" w:ascii="黑体" w:hAnsi="黑体" w:eastAsia="黑体" w:cs="Times New Roman"/>
          <w:color w:val="auto"/>
          <w:sz w:val="24"/>
          <w:highlight w:val="none"/>
        </w:rPr>
      </w:pPr>
      <w:bookmarkStart w:id="273" w:name="_41.政府采购合同公告"/>
      <w:bookmarkEnd w:id="273"/>
      <w:r>
        <w:rPr>
          <w:rFonts w:hint="eastAsia" w:ascii="黑体" w:hAnsi="黑体" w:eastAsia="黑体" w:cs="Times New Roman"/>
          <w:color w:val="auto"/>
          <w:sz w:val="24"/>
          <w:highlight w:val="none"/>
        </w:rPr>
        <w:t>37.政府采购合同公告</w:t>
      </w:r>
    </w:p>
    <w:p>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pPr>
        <w:spacing w:line="360" w:lineRule="auto"/>
        <w:ind w:firstLine="422" w:firstLineChars="200"/>
        <w:rPr>
          <w:rFonts w:ascii="宋体" w:hAnsi="宋体" w:eastAsia="宋体" w:cs="Times New Roman"/>
          <w:b/>
          <w:bCs/>
          <w:color w:val="auto"/>
          <w:szCs w:val="21"/>
          <w:highlight w:val="none"/>
        </w:rPr>
      </w:pPr>
      <w:bookmarkStart w:id="274" w:name="_9.2质疑、投诉应当采用书面形式，质疑函、投诉书均应明确阐述招标文件、"/>
      <w:bookmarkEnd w:id="274"/>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75" w:name="_Toc26583"/>
      <w:bookmarkStart w:id="276" w:name="_Toc29288"/>
      <w:bookmarkStart w:id="277" w:name="_Toc1756"/>
      <w:bookmarkStart w:id="278" w:name="_Toc7828"/>
      <w:bookmarkStart w:id="279" w:name="_Toc14937"/>
      <w:bookmarkStart w:id="280" w:name="_Toc8731"/>
      <w:bookmarkStart w:id="281" w:name="_Toc27653"/>
      <w:bookmarkStart w:id="282" w:name="_Toc23239"/>
      <w:bookmarkStart w:id="283" w:name="_Toc13659"/>
      <w:bookmarkStart w:id="284" w:name="_Toc25946"/>
      <w:r>
        <w:rPr>
          <w:rFonts w:hint="eastAsia" w:ascii="Times New Roman" w:hAnsi="Times New Roman" w:eastAsia="宋体" w:cs="Times New Roman"/>
          <w:b/>
          <w:bCs/>
          <w:color w:val="auto"/>
          <w:sz w:val="32"/>
          <w:szCs w:val="32"/>
          <w:highlight w:val="none"/>
        </w:rPr>
        <w:t>八、验收</w:t>
      </w:r>
      <w:bookmarkEnd w:id="275"/>
      <w:bookmarkEnd w:id="276"/>
      <w:bookmarkEnd w:id="277"/>
      <w:bookmarkEnd w:id="278"/>
      <w:bookmarkEnd w:id="279"/>
      <w:bookmarkEnd w:id="280"/>
      <w:bookmarkEnd w:id="281"/>
      <w:bookmarkEnd w:id="282"/>
      <w:bookmarkEnd w:id="283"/>
      <w:bookmarkEnd w:id="284"/>
    </w:p>
    <w:p>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pPr>
        <w:pStyle w:val="17"/>
        <w:snapToGrid w:val="0"/>
        <w:spacing w:line="400" w:lineRule="exact"/>
        <w:rPr>
          <w:rFonts w:hAnsi="宋体" w:eastAsia="宋体" w:cs="Times New Roman"/>
          <w:color w:val="auto"/>
          <w:highlight w:val="none"/>
        </w:rPr>
      </w:pPr>
    </w:p>
    <w:p>
      <w:pPr>
        <w:pStyle w:val="5"/>
        <w:keepNext w:val="0"/>
        <w:keepLines w:val="0"/>
        <w:spacing w:line="360" w:lineRule="auto"/>
        <w:jc w:val="center"/>
        <w:rPr>
          <w:rFonts w:hint="eastAsia" w:ascii="Times New Roman" w:hAnsi="Times New Roman" w:eastAsia="宋体" w:cs="Times New Roman"/>
          <w:color w:val="auto"/>
          <w:highlight w:val="none"/>
        </w:rPr>
      </w:pPr>
      <w:bookmarkStart w:id="285" w:name="_八、其他事项"/>
      <w:bookmarkEnd w:id="285"/>
      <w:bookmarkStart w:id="286" w:name="_Toc32163"/>
      <w:bookmarkStart w:id="287" w:name="_Toc24348"/>
      <w:bookmarkStart w:id="288" w:name="_Toc16509"/>
      <w:bookmarkStart w:id="289" w:name="_Toc13612"/>
      <w:bookmarkStart w:id="290" w:name="_Toc27249"/>
      <w:bookmarkStart w:id="291" w:name="_Toc5795"/>
      <w:bookmarkStart w:id="292" w:name="_Toc31560"/>
      <w:bookmarkStart w:id="293" w:name="_Toc28972"/>
      <w:bookmarkStart w:id="294" w:name="_Toc14814"/>
      <w:bookmarkStart w:id="295" w:name="_Toc13217"/>
      <w:r>
        <w:rPr>
          <w:rFonts w:hint="eastAsia" w:ascii="Times New Roman" w:hAnsi="Times New Roman" w:eastAsia="宋体" w:cs="Times New Roman"/>
          <w:color w:val="auto"/>
          <w:highlight w:val="none"/>
        </w:rPr>
        <w:t>九、其他事项</w:t>
      </w:r>
      <w:bookmarkEnd w:id="286"/>
      <w:bookmarkEnd w:id="287"/>
      <w:bookmarkEnd w:id="288"/>
      <w:bookmarkEnd w:id="289"/>
      <w:bookmarkEnd w:id="290"/>
      <w:bookmarkEnd w:id="291"/>
      <w:bookmarkEnd w:id="292"/>
      <w:bookmarkEnd w:id="293"/>
      <w:bookmarkEnd w:id="294"/>
      <w:bookmarkEnd w:id="295"/>
    </w:p>
    <w:p>
      <w:pPr>
        <w:spacing w:line="360" w:lineRule="auto"/>
        <w:ind w:firstLine="480" w:firstLineChars="200"/>
        <w:rPr>
          <w:rFonts w:ascii="黑体" w:hAnsi="黑体" w:eastAsia="黑体" w:cs="Times New Roman"/>
          <w:color w:val="auto"/>
          <w:sz w:val="24"/>
          <w:highlight w:val="none"/>
        </w:rPr>
      </w:pPr>
      <w:bookmarkStart w:id="296" w:name="_42.代理服务费"/>
      <w:bookmarkEnd w:id="296"/>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pPr>
        <w:pStyle w:val="17"/>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pPr>
        <w:pStyle w:val="2"/>
        <w:rPr>
          <w:rFonts w:hint="eastAsia"/>
          <w:color w:val="auto"/>
          <w:highlight w:val="none"/>
        </w:rPr>
      </w:pPr>
    </w:p>
    <w:p>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44"/>
          <w:szCs w:val="44"/>
          <w:highlight w:val="none"/>
        </w:rPr>
      </w:pP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ind w:firstLine="420" w:firstLineChars="200"/>
        <w:rPr>
          <w:rFonts w:hint="eastAsia" w:ascii="宋体" w:hAnsi="宋体" w:cs="宋体"/>
          <w:color w:val="auto"/>
          <w:szCs w:val="32"/>
          <w:highlight w:val="none"/>
        </w:rPr>
      </w:pP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8"/>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numPr>
          <w:ilvl w:val="0"/>
          <w:numId w:val="3"/>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97" w:name="_Toc532545043"/>
    </w:p>
    <w:p>
      <w:pPr>
        <w:pStyle w:val="17"/>
        <w:jc w:val="center"/>
        <w:outlineLvl w:val="0"/>
        <w:rPr>
          <w:rFonts w:hint="eastAsia" w:ascii="Times New Roman" w:hAnsi="Times New Roman" w:eastAsia="宋体" w:cs="Times New Roman"/>
          <w:b/>
          <w:color w:val="auto"/>
          <w:sz w:val="36"/>
          <w:highlight w:val="none"/>
          <w:lang w:eastAsia="zh-CN"/>
        </w:rPr>
      </w:pPr>
      <w:bookmarkStart w:id="298" w:name="_Toc31952"/>
      <w:bookmarkStart w:id="299" w:name="_Toc26567"/>
      <w:bookmarkStart w:id="300" w:name="_Toc18631"/>
      <w:bookmarkStart w:id="301" w:name="_Toc11694"/>
      <w:bookmarkStart w:id="302" w:name="_Toc24569"/>
      <w:bookmarkStart w:id="303" w:name="_Toc2789"/>
      <w:bookmarkStart w:id="304" w:name="_Toc12751"/>
      <w:bookmarkStart w:id="305" w:name="_Toc14666"/>
      <w:bookmarkStart w:id="306" w:name="_Toc10034"/>
      <w:bookmarkStart w:id="307" w:name="_Toc10118"/>
      <w:bookmarkStart w:id="308" w:name="_Toc3584"/>
      <w:bookmarkStart w:id="309" w:name="_Toc19117"/>
      <w:bookmarkStart w:id="310"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97"/>
      <w:bookmarkEnd w:id="298"/>
      <w:bookmarkEnd w:id="299"/>
      <w:bookmarkEnd w:id="300"/>
      <w:bookmarkEnd w:id="301"/>
      <w:bookmarkEnd w:id="302"/>
      <w:bookmarkEnd w:id="303"/>
      <w:bookmarkEnd w:id="304"/>
      <w:bookmarkEnd w:id="305"/>
      <w:r>
        <w:rPr>
          <w:rFonts w:hint="eastAsia" w:ascii="Times New Roman" w:hAnsi="Times New Roman" w:cs="Times New Roman"/>
          <w:b/>
          <w:color w:val="auto"/>
          <w:sz w:val="36"/>
          <w:highlight w:val="none"/>
          <w:lang w:eastAsia="zh-CN"/>
        </w:rPr>
        <w:t>评标方法和评标标准</w:t>
      </w:r>
      <w:bookmarkEnd w:id="306"/>
      <w:bookmarkEnd w:id="307"/>
      <w:bookmarkEnd w:id="308"/>
      <w:bookmarkEnd w:id="309"/>
      <w:bookmarkEnd w:id="310"/>
    </w:p>
    <w:p>
      <w:pPr>
        <w:pStyle w:val="17"/>
        <w:jc w:val="center"/>
        <w:outlineLvl w:val="1"/>
        <w:rPr>
          <w:rFonts w:ascii="Times New Roman" w:hAnsi="Times New Roman" w:eastAsia="宋体" w:cs="Times New Roman"/>
          <w:b/>
          <w:bCs/>
          <w:color w:val="auto"/>
          <w:sz w:val="32"/>
          <w:szCs w:val="32"/>
          <w:highlight w:val="none"/>
        </w:rPr>
      </w:pPr>
      <w:bookmarkStart w:id="311" w:name="_Toc6104"/>
      <w:bookmarkStart w:id="312" w:name="_Toc28074"/>
      <w:bookmarkStart w:id="313" w:name="_Toc9604"/>
      <w:bookmarkStart w:id="314" w:name="_Toc5889"/>
      <w:bookmarkStart w:id="315" w:name="_Toc29945"/>
      <w:bookmarkStart w:id="316" w:name="_Toc14342"/>
      <w:bookmarkStart w:id="317" w:name="_Toc20519"/>
      <w:bookmarkStart w:id="318" w:name="_Toc12345"/>
      <w:bookmarkStart w:id="319" w:name="_Toc28945"/>
      <w:bookmarkStart w:id="320" w:name="_Toc357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311"/>
      <w:bookmarkEnd w:id="312"/>
      <w:bookmarkEnd w:id="313"/>
      <w:bookmarkEnd w:id="314"/>
      <w:bookmarkEnd w:id="315"/>
      <w:bookmarkEnd w:id="316"/>
      <w:bookmarkEnd w:id="317"/>
      <w:bookmarkEnd w:id="318"/>
      <w:bookmarkEnd w:id="319"/>
      <w:bookmarkEnd w:id="320"/>
    </w:p>
    <w:p>
      <w:pPr>
        <w:pStyle w:val="17"/>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pPr>
        <w:pStyle w:val="17"/>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pPr>
        <w:pStyle w:val="17"/>
        <w:spacing w:line="360" w:lineRule="auto"/>
        <w:ind w:firstLine="420"/>
        <w:rPr>
          <w:rFonts w:hint="eastAsia" w:hAnsi="宋体" w:eastAsia="宋体" w:cs="Times New Roman"/>
          <w:color w:val="auto"/>
          <w:highlight w:val="none"/>
        </w:rPr>
      </w:pPr>
    </w:p>
    <w:p>
      <w:pPr>
        <w:pStyle w:val="17"/>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321" w:name="_Toc24507"/>
      <w:bookmarkStart w:id="322" w:name="_Toc9259"/>
      <w:bookmarkStart w:id="323" w:name="_Toc1643"/>
      <w:bookmarkStart w:id="324" w:name="_Toc588"/>
      <w:bookmarkStart w:id="325" w:name="_Toc9023"/>
      <w:bookmarkStart w:id="326" w:name="_Toc30114"/>
      <w:bookmarkStart w:id="327" w:name="_Toc4190"/>
      <w:bookmarkStart w:id="328" w:name="_Toc23151"/>
      <w:bookmarkStart w:id="329" w:name="_Toc10545"/>
      <w:bookmarkStart w:id="330" w:name="_Toc18477"/>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321"/>
      <w:bookmarkEnd w:id="322"/>
      <w:bookmarkEnd w:id="323"/>
      <w:bookmarkEnd w:id="324"/>
      <w:bookmarkEnd w:id="325"/>
      <w:bookmarkEnd w:id="326"/>
      <w:bookmarkEnd w:id="327"/>
      <w:bookmarkEnd w:id="328"/>
      <w:bookmarkEnd w:id="329"/>
      <w:bookmarkEnd w:id="330"/>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pPr>
        <w:widowControl/>
        <w:numPr>
          <w:ilvl w:val="0"/>
          <w:numId w:val="4"/>
        </w:numPr>
        <w:spacing w:after="150"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pPr>
        <w:widowControl/>
        <w:numPr>
          <w:ilvl w:val="0"/>
          <w:numId w:val="4"/>
        </w:numPr>
        <w:spacing w:after="150" w:line="48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rFonts w:cs="Times New Roman"/>
          <w:b w:val="0"/>
          <w:color w:val="auto"/>
          <w:sz w:val="30"/>
          <w:szCs w:val="30"/>
          <w:highlight w:val="none"/>
        </w:rPr>
      </w:pPr>
      <w:bookmarkStart w:id="331" w:name="_Toc28193"/>
      <w:bookmarkStart w:id="332" w:name="_Toc28829"/>
      <w:bookmarkStart w:id="333" w:name="_Toc19942"/>
      <w:bookmarkStart w:id="334" w:name="_Toc4866"/>
      <w:bookmarkStart w:id="335" w:name="_Toc17834"/>
      <w:bookmarkStart w:id="336" w:name="_Toc25728"/>
      <w:bookmarkStart w:id="337" w:name="_Toc22963"/>
      <w:bookmarkStart w:id="338" w:name="_Toc13548"/>
      <w:bookmarkStart w:id="339" w:name="_Toc27331"/>
      <w:bookmarkStart w:id="340" w:name="_Toc5755"/>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31"/>
      <w:bookmarkEnd w:id="332"/>
      <w:bookmarkEnd w:id="333"/>
      <w:bookmarkEnd w:id="334"/>
      <w:bookmarkEnd w:id="335"/>
      <w:bookmarkEnd w:id="336"/>
      <w:bookmarkEnd w:id="337"/>
      <w:bookmarkEnd w:id="338"/>
      <w:bookmarkEnd w:id="339"/>
      <w:bookmarkEnd w:id="340"/>
    </w:p>
    <w:p>
      <w:pPr>
        <w:pStyle w:val="17"/>
        <w:ind w:firstLine="602" w:firstLineChars="200"/>
        <w:jc w:val="center"/>
        <w:rPr>
          <w:rFonts w:hint="eastAsia" w:ascii="Times New Roman" w:hAnsi="Times New Roman" w:eastAsia="宋体" w:cs="Times New Roman"/>
          <w:b/>
          <w:color w:val="auto"/>
          <w:sz w:val="30"/>
          <w:szCs w:val="30"/>
          <w:highlight w:val="none"/>
        </w:rPr>
      </w:pPr>
    </w:p>
    <w:p>
      <w:pPr>
        <w:pStyle w:val="17"/>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pPr>
        <w:spacing w:line="360" w:lineRule="auto"/>
        <w:ind w:firstLine="420"/>
        <w:rPr>
          <w:rFonts w:hint="eastAsia" w:ascii="宋体" w:hAnsi="宋体" w:eastAsia="宋体" w:cs="Times New Roman"/>
          <w:bCs/>
          <w:color w:val="auto"/>
          <w:szCs w:val="20"/>
          <w:highlight w:val="none"/>
        </w:rPr>
      </w:pPr>
    </w:p>
    <w:p>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90"/>
        <w:gridCol w:w="651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92"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评审因素</w:t>
            </w:r>
          </w:p>
        </w:tc>
        <w:tc>
          <w:tcPr>
            <w:tcW w:w="6519"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c>
          <w:tcPr>
            <w:tcW w:w="836" w:type="dxa"/>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价格分</w:t>
            </w:r>
          </w:p>
        </w:tc>
        <w:tc>
          <w:tcPr>
            <w:tcW w:w="6519" w:type="dxa"/>
            <w:noWrap w:val="0"/>
            <w:vAlign w:val="top"/>
          </w:tcPr>
          <w:p>
            <w:pPr>
              <w:spacing w:line="36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本项目为专门面向中小企业采购的项目，按照《政府采购促进中小企业发展管理办法》（财库〔2020〕46号）的规定，对投标人的投标报价不再执行价格评审优惠的扶持政策。</w:t>
            </w:r>
          </w:p>
          <w:p>
            <w:pPr>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评</w:t>
            </w:r>
            <w:r>
              <w:rPr>
                <w:rFonts w:hint="eastAsia" w:asciiTheme="minorEastAsia" w:hAnsiTheme="minorEastAsia" w:eastAsiaTheme="minorEastAsia" w:cstheme="minorEastAsia"/>
                <w:bCs/>
                <w:color w:val="auto"/>
                <w:sz w:val="21"/>
                <w:szCs w:val="21"/>
                <w:highlight w:val="none"/>
                <w:lang w:eastAsia="zh-CN"/>
              </w:rPr>
              <w:t>标报</w:t>
            </w:r>
            <w:r>
              <w:rPr>
                <w:rFonts w:hint="eastAsia" w:asciiTheme="minorEastAsia" w:hAnsiTheme="minorEastAsia" w:eastAsiaTheme="minorEastAsia" w:cstheme="minorEastAsia"/>
                <w:bCs/>
                <w:color w:val="auto"/>
                <w:sz w:val="21"/>
                <w:szCs w:val="21"/>
                <w:highlight w:val="none"/>
              </w:rPr>
              <w:t>价为</w:t>
            </w:r>
            <w:r>
              <w:rPr>
                <w:rFonts w:hint="eastAsia" w:asciiTheme="minorEastAsia" w:hAnsiTheme="minorEastAsia" w:eastAsiaTheme="minorEastAsia" w:cstheme="minorEastAsia"/>
                <w:bCs/>
                <w:color w:val="auto"/>
                <w:sz w:val="21"/>
                <w:szCs w:val="21"/>
                <w:highlight w:val="none"/>
                <w:lang w:eastAsia="zh-CN"/>
              </w:rPr>
              <w:t>投标人</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投标</w:t>
            </w:r>
            <w:r>
              <w:rPr>
                <w:rFonts w:hint="eastAsia" w:asciiTheme="minorEastAsia" w:hAnsiTheme="minorEastAsia" w:eastAsiaTheme="minorEastAsia" w:cstheme="minorEastAsia"/>
                <w:bCs/>
                <w:color w:val="auto"/>
                <w:sz w:val="21"/>
                <w:szCs w:val="21"/>
                <w:highlight w:val="none"/>
              </w:rPr>
              <w:t>报价</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评</w:t>
            </w:r>
            <w:r>
              <w:rPr>
                <w:rFonts w:hint="eastAsia" w:asciiTheme="minorEastAsia" w:hAnsiTheme="minorEastAsia" w:eastAsiaTheme="minorEastAsia" w:cstheme="minorEastAsia"/>
                <w:bCs/>
                <w:color w:val="auto"/>
                <w:sz w:val="21"/>
                <w:szCs w:val="21"/>
                <w:highlight w:val="none"/>
                <w:lang w:eastAsia="zh-CN"/>
              </w:rPr>
              <w:t>标报</w:t>
            </w:r>
            <w:r>
              <w:rPr>
                <w:rFonts w:hint="eastAsia" w:asciiTheme="minorEastAsia" w:hAnsiTheme="minorEastAsia" w:eastAsiaTheme="minorEastAsia" w:cstheme="minorEastAsia"/>
                <w:bCs/>
                <w:color w:val="auto"/>
                <w:sz w:val="21"/>
                <w:szCs w:val="21"/>
                <w:highlight w:val="none"/>
              </w:rPr>
              <w:t>价只是作为评审时使用。最终</w:t>
            </w:r>
            <w:r>
              <w:rPr>
                <w:rFonts w:hint="eastAsia" w:asciiTheme="minorEastAsia" w:hAnsiTheme="minorEastAsia" w:eastAsiaTheme="minorEastAsia" w:cstheme="minorEastAsia"/>
                <w:bCs/>
                <w:color w:val="auto"/>
                <w:sz w:val="21"/>
                <w:szCs w:val="21"/>
                <w:highlight w:val="none"/>
                <w:lang w:eastAsia="zh-CN"/>
              </w:rPr>
              <w:t>中标人</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中标</w:t>
            </w:r>
            <w:r>
              <w:rPr>
                <w:rFonts w:hint="eastAsia" w:asciiTheme="minorEastAsia" w:hAnsiTheme="minorEastAsia" w:eastAsiaTheme="minorEastAsia" w:cstheme="minorEastAsia"/>
                <w:bCs/>
                <w:color w:val="auto"/>
                <w:sz w:val="21"/>
                <w:szCs w:val="21"/>
                <w:highlight w:val="none"/>
              </w:rPr>
              <w:t>金额等于</w:t>
            </w:r>
            <w:r>
              <w:rPr>
                <w:rFonts w:hint="eastAsia" w:asciiTheme="minorEastAsia" w:hAnsiTheme="minorEastAsia" w:eastAsiaTheme="minorEastAsia" w:cstheme="minorEastAsia"/>
                <w:bCs/>
                <w:color w:val="auto"/>
                <w:sz w:val="21"/>
                <w:szCs w:val="21"/>
                <w:highlight w:val="none"/>
                <w:lang w:eastAsia="zh-CN"/>
              </w:rPr>
              <w:t>投标</w:t>
            </w:r>
            <w:r>
              <w:rPr>
                <w:rFonts w:hint="eastAsia" w:asciiTheme="minorEastAsia" w:hAnsiTheme="minorEastAsia" w:eastAsiaTheme="minorEastAsia" w:cstheme="minorEastAsia"/>
                <w:bCs/>
                <w:color w:val="auto"/>
                <w:sz w:val="21"/>
                <w:szCs w:val="21"/>
                <w:highlight w:val="none"/>
              </w:rPr>
              <w:t>报价。</w:t>
            </w:r>
          </w:p>
          <w:p>
            <w:pPr>
              <w:spacing w:line="360" w:lineRule="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（3）满足招标文件要求且评标报价最低的评标报价为评标基准价，基准价得分为30分。</w:t>
            </w:r>
          </w:p>
          <w:p>
            <w:pPr>
              <w:spacing w:line="360" w:lineRule="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（4）价格分计算公式：        </w:t>
            </w:r>
          </w:p>
          <w:p>
            <w:pPr>
              <w:spacing w:line="360" w:lineRule="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lang w:val="en-US" w:eastAsia="zh-CN"/>
              </w:rPr>
              <w:t>价格分=(评标基准价／评标报价)×30分</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技术分</w:t>
            </w:r>
          </w:p>
        </w:tc>
        <w:tc>
          <w:tcPr>
            <w:tcW w:w="7355" w:type="dxa"/>
            <w:gridSpan w:val="2"/>
            <w:noWrap w:val="0"/>
            <w:vAlign w:val="top"/>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92"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2.1</w:t>
            </w:r>
          </w:p>
        </w:tc>
        <w:tc>
          <w:tcPr>
            <w:tcW w:w="1390" w:type="dxa"/>
            <w:noWrap w:val="0"/>
            <w:vAlign w:val="center"/>
          </w:tcPr>
          <w:p>
            <w:pPr>
              <w:adjustRightInd w:val="0"/>
              <w:spacing w:line="360" w:lineRule="auto"/>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项目理解</w:t>
            </w:r>
            <w:r>
              <w:rPr>
                <w:rFonts w:hint="eastAsia" w:asciiTheme="minorEastAsia" w:hAnsiTheme="minorEastAsia" w:eastAsiaTheme="minorEastAsia" w:cstheme="minorEastAsia"/>
                <w:bCs/>
                <w:color w:val="auto"/>
                <w:kern w:val="0"/>
                <w:sz w:val="21"/>
                <w:szCs w:val="21"/>
                <w:highlight w:val="none"/>
                <w:lang w:val="en-US" w:eastAsia="zh-CN"/>
              </w:rPr>
              <w:t>分析分</w:t>
            </w: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bCs/>
                <w:color w:val="auto"/>
                <w:kern w:val="0"/>
                <w:sz w:val="21"/>
                <w:szCs w:val="21"/>
                <w:highlight w:val="none"/>
                <w:lang w:val="en-US" w:eastAsia="zh-CN"/>
              </w:rPr>
              <w:t>10</w:t>
            </w:r>
            <w:r>
              <w:rPr>
                <w:rFonts w:hint="eastAsia" w:asciiTheme="minorEastAsia" w:hAnsiTheme="minorEastAsia" w:eastAsiaTheme="minorEastAsia" w:cstheme="minorEastAsia"/>
                <w:bCs/>
                <w:color w:val="auto"/>
                <w:kern w:val="0"/>
                <w:sz w:val="21"/>
                <w:szCs w:val="21"/>
                <w:highlight w:val="none"/>
              </w:rPr>
              <w:t>分）</w:t>
            </w:r>
          </w:p>
        </w:tc>
        <w:tc>
          <w:tcPr>
            <w:tcW w:w="6519"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分）：有</w:t>
            </w:r>
            <w:r>
              <w:rPr>
                <w:rFonts w:hint="eastAsia" w:asciiTheme="minorEastAsia" w:hAnsiTheme="minorEastAsia" w:eastAsiaTheme="minorEastAsia" w:cstheme="minorEastAsia"/>
                <w:color w:val="auto"/>
                <w:sz w:val="21"/>
                <w:szCs w:val="21"/>
                <w:highlight w:val="none"/>
                <w:lang w:val="en-US" w:eastAsia="zh-CN"/>
              </w:rPr>
              <w:t>对本项目的理解和分析，表述清晰</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在一档的基础上，对</w:t>
            </w:r>
            <w:bookmarkStart w:id="341" w:name="OLE_LINK2"/>
            <w:r>
              <w:rPr>
                <w:rFonts w:hint="eastAsia" w:asciiTheme="minorEastAsia" w:hAnsiTheme="minorEastAsia" w:eastAsiaTheme="minorEastAsia" w:cstheme="minorEastAsia"/>
                <w:color w:val="auto"/>
                <w:sz w:val="21"/>
                <w:szCs w:val="21"/>
                <w:highlight w:val="none"/>
                <w:lang w:val="en-US" w:eastAsia="zh-CN"/>
              </w:rPr>
              <w:t>项目背景、目标、范围、需求</w:t>
            </w:r>
            <w:bookmarkEnd w:id="341"/>
            <w:r>
              <w:rPr>
                <w:rFonts w:hint="eastAsia" w:asciiTheme="minorEastAsia" w:hAnsiTheme="minorEastAsia" w:eastAsiaTheme="minorEastAsia" w:cstheme="minorEastAsia"/>
                <w:color w:val="auto"/>
                <w:sz w:val="21"/>
                <w:szCs w:val="21"/>
                <w:highlight w:val="none"/>
                <w:lang w:val="en-US" w:eastAsia="zh-CN"/>
              </w:rPr>
              <w:t>有深入理解</w:t>
            </w:r>
            <w:r>
              <w:rPr>
                <w:rFonts w:hint="eastAsia" w:asciiTheme="minorEastAsia" w:hAnsiTheme="minorEastAsia" w:eastAsiaTheme="minorEastAsia" w:cstheme="minorEastAsia"/>
                <w:color w:val="auto"/>
                <w:sz w:val="21"/>
                <w:szCs w:val="21"/>
                <w:highlight w:val="none"/>
              </w:rPr>
              <w:t>，对项目涉及的相关政策法规</w:t>
            </w:r>
            <w:r>
              <w:rPr>
                <w:rFonts w:hint="eastAsia" w:asciiTheme="minorEastAsia" w:hAnsiTheme="minorEastAsia" w:eastAsiaTheme="minorEastAsia" w:cstheme="minorEastAsia"/>
                <w:color w:val="auto"/>
                <w:sz w:val="21"/>
                <w:szCs w:val="21"/>
                <w:highlight w:val="none"/>
                <w:lang w:val="en-US" w:eastAsia="zh-CN"/>
              </w:rPr>
              <w:t>有了解</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在二档的基础上，</w:t>
            </w:r>
            <w:r>
              <w:rPr>
                <w:rFonts w:hint="eastAsia" w:asciiTheme="minorEastAsia" w:hAnsiTheme="minorEastAsia" w:eastAsiaTheme="minorEastAsia" w:cstheme="minorEastAsia"/>
                <w:color w:val="auto"/>
                <w:sz w:val="21"/>
                <w:szCs w:val="21"/>
                <w:highlight w:val="none"/>
              </w:rPr>
              <w:t>对项目总体目标有深刻认识，</w:t>
            </w:r>
            <w:r>
              <w:rPr>
                <w:rFonts w:hint="eastAsia" w:asciiTheme="minorEastAsia" w:hAnsiTheme="minorEastAsia" w:eastAsiaTheme="minorEastAsia" w:cstheme="minorEastAsia"/>
                <w:color w:val="auto"/>
                <w:sz w:val="21"/>
                <w:szCs w:val="21"/>
                <w:highlight w:val="none"/>
                <w:lang w:val="en-US" w:eastAsia="zh-CN"/>
              </w:rPr>
              <w:t>能够深入分析项目现状，能结合项目背景、目标、范围、需求提出合理化建议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有利于本项目顺利实施</w:t>
            </w:r>
            <w:r>
              <w:rPr>
                <w:rFonts w:hint="eastAsia" w:asciiTheme="minorEastAsia" w:hAnsiTheme="minorEastAsia" w:eastAsiaTheme="minorEastAsia" w:cstheme="minorEastAsia"/>
                <w:color w:val="auto"/>
                <w:sz w:val="21"/>
                <w:szCs w:val="21"/>
                <w:highlight w:val="none"/>
              </w:rPr>
              <w:t>。</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2.2</w:t>
            </w:r>
          </w:p>
        </w:tc>
        <w:tc>
          <w:tcPr>
            <w:tcW w:w="1390" w:type="dxa"/>
            <w:noWrap w:val="0"/>
            <w:vAlign w:val="center"/>
          </w:tcPr>
          <w:p>
            <w:pPr>
              <w:spacing w:before="120" w:beforeLines="50" w:after="120" w:afterLines="50" w:line="336" w:lineRule="auto"/>
              <w:jc w:val="center"/>
              <w:outlineLvl w:val="1"/>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服务</w:t>
            </w:r>
            <w:r>
              <w:rPr>
                <w:rFonts w:hint="eastAsia" w:asciiTheme="minorEastAsia" w:hAnsiTheme="minorEastAsia" w:eastAsiaTheme="minorEastAsia" w:cstheme="minorEastAsia"/>
                <w:bCs/>
                <w:color w:val="auto"/>
                <w:sz w:val="21"/>
                <w:szCs w:val="21"/>
                <w:highlight w:val="none"/>
              </w:rPr>
              <w:t>方案</w:t>
            </w:r>
            <w:r>
              <w:rPr>
                <w:rFonts w:hint="eastAsia" w:asciiTheme="minorEastAsia" w:hAnsiTheme="minorEastAsia" w:eastAsiaTheme="minorEastAsia" w:cstheme="minorEastAsia"/>
                <w:bCs/>
                <w:color w:val="auto"/>
                <w:sz w:val="21"/>
                <w:szCs w:val="21"/>
                <w:highlight w:val="none"/>
                <w:lang w:val="en-US" w:eastAsia="zh-CN"/>
              </w:rPr>
              <w:t>分</w:t>
            </w:r>
          </w:p>
          <w:p>
            <w:pPr>
              <w:spacing w:before="120" w:beforeLines="50" w:after="120" w:afterLines="50" w:line="336" w:lineRule="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（满分</w:t>
            </w:r>
            <w:r>
              <w:rPr>
                <w:rFonts w:hint="eastAsia" w:asciiTheme="minorEastAsia" w:hAnsiTheme="minorEastAsia" w:eastAsiaTheme="minorEastAsia" w:cstheme="minorEastAsia"/>
                <w:bCs/>
                <w:color w:val="auto"/>
                <w:sz w:val="21"/>
                <w:szCs w:val="21"/>
                <w:highlight w:val="none"/>
                <w:lang w:val="en-US" w:eastAsia="zh-CN"/>
              </w:rPr>
              <w:t>15</w:t>
            </w:r>
            <w:r>
              <w:rPr>
                <w:rFonts w:hint="eastAsia" w:asciiTheme="minorEastAsia" w:hAnsiTheme="minorEastAsia" w:eastAsiaTheme="minorEastAsia" w:cstheme="minorEastAsia"/>
                <w:bCs/>
                <w:color w:val="auto"/>
                <w:sz w:val="21"/>
                <w:szCs w:val="21"/>
                <w:highlight w:val="none"/>
              </w:rPr>
              <w:t>分）</w:t>
            </w:r>
          </w:p>
        </w:tc>
        <w:tc>
          <w:tcPr>
            <w:tcW w:w="6519" w:type="dxa"/>
            <w:noWrap w:val="0"/>
            <w:vAlign w:val="center"/>
          </w:tcPr>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分）：提供了技术方案，</w:t>
            </w:r>
            <w:r>
              <w:rPr>
                <w:rFonts w:hint="eastAsia" w:asciiTheme="minorEastAsia" w:hAnsiTheme="minorEastAsia" w:eastAsiaTheme="minorEastAsia" w:cstheme="minorEastAsia"/>
                <w:color w:val="auto"/>
                <w:sz w:val="21"/>
                <w:szCs w:val="21"/>
                <w:highlight w:val="none"/>
                <w:lang w:val="en-US" w:eastAsia="zh-CN"/>
              </w:rPr>
              <w:t>有服务流程，人员配置及分工，</w:t>
            </w:r>
            <w:r>
              <w:rPr>
                <w:rFonts w:hint="eastAsia" w:asciiTheme="minorEastAsia" w:hAnsiTheme="minorEastAsia" w:eastAsiaTheme="minorEastAsia" w:cstheme="minorEastAsia"/>
                <w:color w:val="auto"/>
                <w:sz w:val="21"/>
                <w:szCs w:val="21"/>
                <w:highlight w:val="none"/>
              </w:rPr>
              <w:t>但只对</w:t>
            </w:r>
            <w:r>
              <w:rPr>
                <w:rFonts w:hint="eastAsia" w:asciiTheme="minorEastAsia" w:hAnsiTheme="minorEastAsia" w:eastAsiaTheme="minorEastAsia" w:cstheme="minorEastAsia"/>
                <w:color w:val="auto"/>
                <w:sz w:val="21"/>
                <w:szCs w:val="21"/>
                <w:highlight w:val="none"/>
                <w:lang w:val="en-US" w:eastAsia="zh-CN"/>
              </w:rPr>
              <w:t>相关</w:t>
            </w:r>
            <w:r>
              <w:rPr>
                <w:rFonts w:hint="eastAsia" w:asciiTheme="minorEastAsia" w:hAnsiTheme="minorEastAsia" w:eastAsiaTheme="minorEastAsia" w:cstheme="minorEastAsia"/>
                <w:color w:val="auto"/>
                <w:sz w:val="21"/>
                <w:szCs w:val="21"/>
                <w:highlight w:val="none"/>
              </w:rPr>
              <w:t>内容进行了粗略的描述</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分）：提供了技术方案，对整体的服务流程握准确，</w:t>
            </w:r>
            <w:r>
              <w:rPr>
                <w:rFonts w:hint="eastAsia" w:asciiTheme="minorEastAsia" w:hAnsiTheme="minorEastAsia" w:eastAsiaTheme="minorEastAsia" w:cstheme="minorEastAsia"/>
                <w:color w:val="auto"/>
                <w:sz w:val="21"/>
                <w:szCs w:val="21"/>
                <w:highlight w:val="none"/>
                <w:lang w:val="en-US" w:eastAsia="zh-CN"/>
              </w:rPr>
              <w:t>包含有人员配置及分工、安装调试、信息保密方案、验收等内容，符合项目实际情形</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分）：提供了技术方案，工作思路清晰，关键性节点把握准确，</w:t>
            </w:r>
            <w:r>
              <w:rPr>
                <w:rFonts w:hint="eastAsia" w:asciiTheme="minorEastAsia" w:hAnsiTheme="minorEastAsia" w:eastAsiaTheme="minorEastAsia" w:cstheme="minorEastAsia"/>
                <w:color w:val="auto"/>
                <w:sz w:val="21"/>
                <w:szCs w:val="21"/>
                <w:highlight w:val="none"/>
                <w:lang w:val="en-US" w:eastAsia="zh-CN"/>
              </w:rPr>
              <w:t>项目实施流程切合实际，包含人员配置及分工、安装调试、信息保密方案、验收等内容；能阐述清楚本次项目实施重点和难点，提供具有针对性的合理化建议及切实可行的解决方案，能保障本项目顺利实施</w:t>
            </w:r>
            <w:r>
              <w:rPr>
                <w:rFonts w:hint="eastAsia" w:asciiTheme="minorEastAsia" w:hAnsiTheme="minorEastAsia" w:eastAsiaTheme="minorEastAsia" w:cstheme="minorEastAsia"/>
                <w:color w:val="auto"/>
                <w:sz w:val="21"/>
                <w:szCs w:val="21"/>
                <w:highlight w:val="none"/>
              </w:rPr>
              <w:t>。</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92"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2.</w:t>
            </w:r>
            <w:r>
              <w:rPr>
                <w:rFonts w:hint="eastAsia" w:asciiTheme="minorEastAsia" w:hAnsiTheme="minorEastAsia" w:eastAsiaTheme="minorEastAsia" w:cstheme="minorEastAsia"/>
                <w:bCs/>
                <w:color w:val="auto"/>
                <w:kern w:val="0"/>
                <w:sz w:val="21"/>
                <w:szCs w:val="21"/>
                <w:highlight w:val="none"/>
                <w:lang w:val="en-US" w:eastAsia="zh-CN"/>
              </w:rPr>
              <w:t>3</w:t>
            </w:r>
          </w:p>
        </w:tc>
        <w:tc>
          <w:tcPr>
            <w:tcW w:w="1390" w:type="dxa"/>
            <w:noWrap w:val="0"/>
            <w:vAlign w:val="center"/>
          </w:tcPr>
          <w:p>
            <w:pPr>
              <w:adjustRightInd w:val="0"/>
              <w:spacing w:line="360" w:lineRule="auto"/>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质量及进度控制方案分（满分15分）</w:t>
            </w:r>
          </w:p>
        </w:tc>
        <w:tc>
          <w:tcPr>
            <w:tcW w:w="6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一档（5分）：提供了质量及进度控制方案，但只对相关内容进行了粗略的描述；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二档（10分）：提供了质量及进度控制方案，方案内容描述清晰，有项目进度及时间节点控制方案、突发事件处理方案、组织协调方案，控制方案，满足本项目需求；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三档（15分）：提供了质量及进度控制方案，了解本项目情况，方案内容有针对性，有项目进度及时间节点控制方案，符合项目实际情况，有突发事件处理方案、组织协调方案、全流程质量保障方案等内容；方案详实、无明显错漏，符合采购人实际需求。</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92" w:type="dxa"/>
            <w:noWrap w:val="0"/>
            <w:vAlign w:val="center"/>
          </w:tcPr>
          <w:p>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2.4</w:t>
            </w:r>
          </w:p>
        </w:tc>
        <w:tc>
          <w:tcPr>
            <w:tcW w:w="1390" w:type="dxa"/>
            <w:noWrap w:val="0"/>
            <w:vAlign w:val="center"/>
          </w:tcPr>
          <w:p>
            <w:pPr>
              <w:adjustRightInd w:val="0"/>
              <w:spacing w:line="360" w:lineRule="auto"/>
              <w:textAlignment w:val="baseline"/>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人员团队分（满分5分）</w:t>
            </w:r>
          </w:p>
        </w:tc>
        <w:tc>
          <w:tcPr>
            <w:tcW w:w="6519"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拟投入本项目的项目经理具有高级职称（计算机系列），得2分；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拟投入本项目的技术人员具有中级及以上职称证书（计算机系列），每提供一个得1分，最高得3分。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2"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注：投标文件中需提供以上人员的资格证书扫描件及与投标人签订的劳动合同复印件或2025年至投标文件提交截止时间任意一个月的投标人为其缴纳的社保证明，不提供不得分。</w:t>
            </w:r>
          </w:p>
        </w:tc>
        <w:tc>
          <w:tcPr>
            <w:tcW w:w="836" w:type="dxa"/>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dxa"/>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商务分</w:t>
            </w:r>
          </w:p>
        </w:tc>
        <w:tc>
          <w:tcPr>
            <w:tcW w:w="7355" w:type="dxa"/>
            <w:gridSpan w:val="2"/>
            <w:noWrap w:val="0"/>
            <w:vAlign w:val="center"/>
          </w:tcPr>
          <w:p>
            <w:pPr>
              <w:widowControl/>
              <w:spacing w:line="360" w:lineRule="auto"/>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492"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1</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售后服务分</w:t>
            </w:r>
          </w:p>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满分15</w:t>
            </w:r>
            <w:r>
              <w:rPr>
                <w:rFonts w:hint="eastAsia" w:asciiTheme="minorEastAsia" w:hAnsiTheme="minorEastAsia" w:eastAsiaTheme="minorEastAsia" w:cstheme="minorEastAsia"/>
                <w:bCs/>
                <w:color w:val="auto"/>
                <w:sz w:val="21"/>
                <w:szCs w:val="21"/>
                <w:highlight w:val="none"/>
              </w:rPr>
              <w:t>分）</w:t>
            </w:r>
          </w:p>
        </w:tc>
        <w:tc>
          <w:tcPr>
            <w:tcW w:w="651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根据供应商提供的售后服务方案进行评分：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color w:val="auto"/>
                <w:sz w:val="21"/>
                <w:szCs w:val="21"/>
                <w:highlight w:val="none"/>
              </w:rPr>
              <w:t>了售后服务方案，有售后服务流程</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但只进行了粗略的描述</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分）：提供</w:t>
            </w:r>
            <w:r>
              <w:rPr>
                <w:rFonts w:hint="eastAsia" w:asciiTheme="minorEastAsia" w:hAnsiTheme="minorEastAsia" w:eastAsiaTheme="minorEastAsia" w:cstheme="minorEastAsia"/>
                <w:color w:val="auto"/>
                <w:sz w:val="21"/>
                <w:szCs w:val="21"/>
                <w:highlight w:val="none"/>
                <w:lang w:val="en-US" w:eastAsia="zh-CN"/>
              </w:rPr>
              <w:t>了</w:t>
            </w:r>
            <w:r>
              <w:rPr>
                <w:rFonts w:hint="eastAsia" w:asciiTheme="minorEastAsia" w:hAnsiTheme="minorEastAsia" w:eastAsiaTheme="minorEastAsia" w:cstheme="minorEastAsia"/>
                <w:color w:val="auto"/>
                <w:sz w:val="21"/>
                <w:szCs w:val="21"/>
                <w:highlight w:val="none"/>
              </w:rPr>
              <w:t>售后服务方案，有售后服务流程</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故障处理及服务质量保证措施，</w:t>
            </w:r>
            <w:r>
              <w:rPr>
                <w:rFonts w:hint="eastAsia" w:asciiTheme="minorEastAsia" w:hAnsiTheme="minorEastAsia" w:eastAsiaTheme="minorEastAsia" w:cstheme="minorEastAsia"/>
                <w:color w:val="auto"/>
                <w:sz w:val="21"/>
                <w:szCs w:val="21"/>
                <w:highlight w:val="none"/>
              </w:rPr>
              <w:t>售后服务响应时间能结合项目实际情况；</w:t>
            </w:r>
          </w:p>
          <w:p>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分）：提供了售后服务方案，</w:t>
            </w:r>
            <w:r>
              <w:rPr>
                <w:rFonts w:hint="eastAsia" w:asciiTheme="minorEastAsia" w:hAnsiTheme="minorEastAsia" w:eastAsiaTheme="minorEastAsia" w:cstheme="minorEastAsia"/>
                <w:color w:val="auto"/>
                <w:sz w:val="21"/>
                <w:szCs w:val="21"/>
                <w:highlight w:val="none"/>
                <w:lang w:val="en-US" w:eastAsia="zh-CN"/>
              </w:rPr>
              <w:t>售后</w:t>
            </w:r>
            <w:r>
              <w:rPr>
                <w:rFonts w:hint="eastAsia" w:asciiTheme="minorEastAsia" w:hAnsiTheme="minorEastAsia" w:eastAsiaTheme="minorEastAsia" w:cstheme="minorEastAsia"/>
                <w:color w:val="auto"/>
                <w:sz w:val="21"/>
                <w:szCs w:val="21"/>
                <w:highlight w:val="none"/>
              </w:rPr>
              <w:t>服务方案有针对性，有售后服务流程，有</w:t>
            </w:r>
            <w:r>
              <w:rPr>
                <w:rFonts w:hint="eastAsia" w:asciiTheme="minorEastAsia" w:hAnsiTheme="minorEastAsia" w:eastAsiaTheme="minorEastAsia" w:cstheme="minorEastAsia"/>
                <w:color w:val="auto"/>
                <w:kern w:val="2"/>
                <w:sz w:val="21"/>
                <w:szCs w:val="21"/>
                <w:highlight w:val="none"/>
                <w:lang w:val="en-US" w:eastAsia="zh-CN" w:bidi="ar-SA"/>
              </w:rPr>
              <w:t>响应时间、故障处理、服务质量保证，方案内容描述明确、工作目标清晰</w:t>
            </w:r>
            <w:r>
              <w:rPr>
                <w:rFonts w:hint="eastAsia" w:asciiTheme="minorEastAsia" w:hAnsiTheme="minorEastAsia" w:eastAsiaTheme="minorEastAsia" w:cstheme="minorEastAsia"/>
                <w:color w:val="auto"/>
                <w:sz w:val="21"/>
                <w:szCs w:val="21"/>
                <w:highlight w:val="none"/>
              </w:rPr>
              <w:t>，响应时间能结合项目实际情况</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有利于项目顺利实施。</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15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2</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业绩</w:t>
            </w:r>
          </w:p>
          <w:p>
            <w:pPr>
              <w:widowControl/>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（满分</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分）</w:t>
            </w:r>
          </w:p>
        </w:tc>
        <w:tc>
          <w:tcPr>
            <w:tcW w:w="6519" w:type="dxa"/>
            <w:noWrap w:val="0"/>
            <w:vAlign w:val="top"/>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月1日至首次响应文件递交时间截止时间止，</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具有与</w:t>
            </w:r>
            <w:r>
              <w:rPr>
                <w:rFonts w:hint="eastAsia" w:asciiTheme="minorEastAsia" w:hAnsiTheme="minorEastAsia" w:eastAsiaTheme="minorEastAsia" w:cstheme="minorEastAsia"/>
                <w:color w:val="auto"/>
                <w:sz w:val="21"/>
                <w:szCs w:val="21"/>
                <w:highlight w:val="none"/>
                <w:lang w:val="en-US" w:eastAsia="zh-CN"/>
              </w:rPr>
              <w:t>本</w:t>
            </w: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val="en-US" w:eastAsia="zh-CN"/>
              </w:rPr>
              <w:t>同类项目</w:t>
            </w:r>
            <w:r>
              <w:rPr>
                <w:rFonts w:hint="eastAsia" w:asciiTheme="minorEastAsia" w:hAnsiTheme="minorEastAsia" w:eastAsiaTheme="minorEastAsia" w:cstheme="minorEastAsia"/>
                <w:color w:val="auto"/>
                <w:sz w:val="21"/>
                <w:szCs w:val="21"/>
                <w:highlight w:val="none"/>
              </w:rPr>
              <w:t>业绩的，每提供1项得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【注：需在</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文件中提供前述</w:t>
            </w:r>
            <w:r>
              <w:rPr>
                <w:rFonts w:hint="eastAsia" w:asciiTheme="minorEastAsia" w:hAnsiTheme="minorEastAsia" w:eastAsiaTheme="minorEastAsia" w:cstheme="minorEastAsia"/>
                <w:color w:val="auto"/>
                <w:sz w:val="21"/>
                <w:szCs w:val="21"/>
                <w:highlight w:val="none"/>
                <w:lang w:val="en-US" w:eastAsia="zh-CN"/>
              </w:rPr>
              <w:t>同类</w:t>
            </w:r>
            <w:r>
              <w:rPr>
                <w:rFonts w:hint="eastAsia" w:asciiTheme="minorEastAsia" w:hAnsiTheme="minorEastAsia" w:eastAsiaTheme="minorEastAsia" w:cstheme="minorEastAsia"/>
                <w:color w:val="auto"/>
                <w:sz w:val="21"/>
                <w:szCs w:val="21"/>
                <w:highlight w:val="none"/>
              </w:rPr>
              <w:t>项目业绩的合同或者中标（成交）通知书复印件并加盖</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公章，未按要求提供的不得分。】</w:t>
            </w:r>
          </w:p>
        </w:tc>
        <w:tc>
          <w:tcPr>
            <w:tcW w:w="836" w:type="dxa"/>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92"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w:t>
            </w:r>
          </w:p>
        </w:tc>
        <w:tc>
          <w:tcPr>
            <w:tcW w:w="1390" w:type="dxa"/>
            <w:noWrap w:val="0"/>
            <w:vAlign w:val="center"/>
          </w:tcPr>
          <w:p>
            <w:pPr>
              <w:widowControl/>
              <w:spacing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企业实力</w:t>
            </w:r>
          </w:p>
          <w:p>
            <w:pPr>
              <w:widowControl/>
              <w:spacing w:line="360"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（满分5分）</w:t>
            </w:r>
          </w:p>
        </w:tc>
        <w:tc>
          <w:tcPr>
            <w:tcW w:w="6519" w:type="dxa"/>
            <w:noWrap w:val="0"/>
            <w:vAlign w:val="top"/>
          </w:tcPr>
          <w:p>
            <w:pPr>
              <w:numPr>
                <w:ilvl w:val="0"/>
                <w:numId w:val="6"/>
              </w:numPr>
              <w:spacing w:line="360" w:lineRule="auto"/>
              <w:rPr>
                <w:rFonts w:hint="eastAsia" w:asciiTheme="minorEastAsia" w:hAnsiTheme="minorEastAsia" w:eastAsiaTheme="minorEastAsia" w:cstheme="minorEastAsia"/>
                <w:color w:val="auto"/>
                <w:sz w:val="21"/>
                <w:szCs w:val="21"/>
                <w:highlight w:val="none"/>
              </w:rPr>
            </w:pPr>
            <w:bookmarkStart w:id="342" w:name="OLE_LINK40"/>
            <w:r>
              <w:rPr>
                <w:rFonts w:hint="eastAsia" w:asciiTheme="minorEastAsia" w:hAnsiTheme="minorEastAsia" w:eastAsiaTheme="minorEastAsia" w:cstheme="minorEastAsia"/>
                <w:color w:val="auto"/>
                <w:sz w:val="21"/>
                <w:szCs w:val="21"/>
                <w:highlight w:val="none"/>
                <w:lang w:val="en-US" w:eastAsia="zh-CN"/>
              </w:rPr>
              <w:t>投标人具有有效的ISO9001质量管理体系认证证书，得1.5分。（需投标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val="en-US" w:eastAsia="zh-CN"/>
              </w:rPr>
              <w:t>提供有效的证书复印件，不提供不得分）</w:t>
            </w:r>
          </w:p>
          <w:p>
            <w:pPr>
              <w:numPr>
                <w:ilvl w:val="0"/>
                <w:numId w:val="6"/>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投标人具有有效的ISO27001信息安全管理体系认证证书，得1.5分。（需</w:t>
            </w:r>
            <w:bookmarkStart w:id="343" w:name="OLE_LINK1"/>
            <w:r>
              <w:rPr>
                <w:rFonts w:hint="eastAsia" w:asciiTheme="minorEastAsia" w:hAnsiTheme="minorEastAsia" w:eastAsiaTheme="minorEastAsia" w:cstheme="minorEastAsia"/>
                <w:color w:val="auto"/>
                <w:sz w:val="21"/>
                <w:szCs w:val="21"/>
                <w:highlight w:val="none"/>
                <w:lang w:val="en-US" w:eastAsia="zh-CN"/>
              </w:rPr>
              <w:t>在</w:t>
            </w:r>
            <w:bookmarkEnd w:id="343"/>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val="en-US" w:eastAsia="zh-CN"/>
              </w:rPr>
              <w:t>提供有效的证书复印件，不提供不得分）</w:t>
            </w:r>
          </w:p>
          <w:p>
            <w:pPr>
              <w:numPr>
                <w:ilvl w:val="0"/>
                <w:numId w:val="6"/>
              </w:num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投标人具有有效的ISO20000信息技术服务管理体系认证证书，得2分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需在投标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val="en-US" w:eastAsia="zh-CN"/>
              </w:rPr>
              <w:t>提供有效的证书复印件，不提供不得分</w:t>
            </w:r>
            <w:r>
              <w:rPr>
                <w:rFonts w:hint="eastAsia" w:asciiTheme="minorEastAsia" w:hAnsiTheme="minorEastAsia" w:eastAsiaTheme="minorEastAsia" w:cstheme="minorEastAsia"/>
                <w:color w:val="auto"/>
                <w:sz w:val="21"/>
                <w:szCs w:val="21"/>
                <w:highlight w:val="none"/>
                <w:lang w:eastAsia="zh-CN"/>
              </w:rPr>
              <w:t>）</w:t>
            </w:r>
            <w:bookmarkEnd w:id="342"/>
          </w:p>
        </w:tc>
        <w:tc>
          <w:tcPr>
            <w:tcW w:w="836" w:type="dxa"/>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01" w:type="dxa"/>
            <w:gridSpan w:val="3"/>
            <w:noWrap w:val="0"/>
            <w:vAlign w:val="top"/>
          </w:tcPr>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总得分＝1＋2＋3</w:t>
            </w:r>
          </w:p>
        </w:tc>
        <w:tc>
          <w:tcPr>
            <w:tcW w:w="836" w:type="dxa"/>
            <w:noWrap w:val="0"/>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100分</w:t>
            </w:r>
          </w:p>
        </w:tc>
      </w:tr>
    </w:tbl>
    <w:p>
      <w:pPr>
        <w:rPr>
          <w:rFonts w:hint="eastAsia"/>
          <w:color w:val="auto"/>
          <w:highlight w:val="none"/>
          <w:lang w:eastAsia="zh-CN"/>
        </w:rPr>
      </w:pPr>
    </w:p>
    <w:p>
      <w:pPr>
        <w:pStyle w:val="4"/>
        <w:jc w:val="center"/>
        <w:rPr>
          <w:rFonts w:hint="eastAsia" w:cs="Times New Roman"/>
          <w:b w:val="0"/>
          <w:color w:val="auto"/>
          <w:sz w:val="30"/>
          <w:szCs w:val="30"/>
          <w:highlight w:val="none"/>
        </w:rPr>
      </w:pPr>
      <w:bookmarkStart w:id="344" w:name="_Toc23906"/>
      <w:bookmarkStart w:id="345" w:name="_Toc16466"/>
      <w:bookmarkStart w:id="346" w:name="_Toc20313"/>
      <w:bookmarkStart w:id="347" w:name="_Toc18582"/>
      <w:bookmarkStart w:id="348" w:name="_Toc9480"/>
      <w:bookmarkStart w:id="349" w:name="_Toc15061"/>
      <w:bookmarkStart w:id="350" w:name="_Toc10751"/>
      <w:bookmarkStart w:id="351" w:name="_Toc2202"/>
      <w:bookmarkStart w:id="352" w:name="_Toc12855"/>
      <w:bookmarkStart w:id="353" w:name="_Toc11083"/>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44"/>
      <w:bookmarkEnd w:id="345"/>
      <w:bookmarkEnd w:id="346"/>
      <w:bookmarkEnd w:id="347"/>
      <w:bookmarkEnd w:id="348"/>
      <w:bookmarkEnd w:id="349"/>
      <w:bookmarkEnd w:id="350"/>
      <w:bookmarkEnd w:id="351"/>
      <w:bookmarkEnd w:id="352"/>
      <w:bookmarkEnd w:id="353"/>
    </w:p>
    <w:p>
      <w:pPr>
        <w:pStyle w:val="17"/>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pPr>
        <w:pStyle w:val="17"/>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pPr>
        <w:pStyle w:val="17"/>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pPr>
        <w:pStyle w:val="17"/>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pPr>
        <w:pStyle w:val="4"/>
        <w:spacing w:before="0" w:after="0" w:line="360" w:lineRule="auto"/>
        <w:ind w:firstLine="600" w:firstLineChars="200"/>
        <w:jc w:val="center"/>
        <w:rPr>
          <w:rFonts w:hint="eastAsia" w:cs="Times New Roman"/>
          <w:b w:val="0"/>
          <w:color w:val="auto"/>
          <w:sz w:val="30"/>
          <w:szCs w:val="30"/>
          <w:highlight w:val="none"/>
        </w:rPr>
      </w:pPr>
      <w:bookmarkStart w:id="354" w:name="_Toc11545"/>
      <w:bookmarkStart w:id="355" w:name="_Toc13625"/>
      <w:bookmarkStart w:id="356" w:name="_Toc22384"/>
      <w:bookmarkStart w:id="357" w:name="_Toc11073"/>
      <w:bookmarkStart w:id="358" w:name="_Toc13808"/>
      <w:bookmarkStart w:id="359" w:name="_Toc27419"/>
      <w:bookmarkStart w:id="360" w:name="_Toc7971"/>
      <w:bookmarkStart w:id="361" w:name="_Toc9602"/>
      <w:bookmarkStart w:id="362" w:name="_Toc11695"/>
      <w:bookmarkStart w:id="363" w:name="_Toc29218"/>
    </w:p>
    <w:p>
      <w:pPr>
        <w:pStyle w:val="4"/>
        <w:spacing w:before="0" w:after="0" w:line="360" w:lineRule="auto"/>
        <w:ind w:firstLine="600" w:firstLineChars="200"/>
        <w:jc w:val="center"/>
        <w:rPr>
          <w:rFonts w:hint="eastAsia" w:cs="Times New Roman"/>
          <w:b w:val="0"/>
          <w:color w:val="auto"/>
          <w:sz w:val="30"/>
          <w:szCs w:val="30"/>
          <w:highlight w:val="none"/>
        </w:rPr>
      </w:pPr>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54"/>
      <w:bookmarkEnd w:id="355"/>
      <w:bookmarkEnd w:id="356"/>
      <w:bookmarkEnd w:id="357"/>
      <w:bookmarkEnd w:id="358"/>
      <w:bookmarkEnd w:id="359"/>
      <w:bookmarkEnd w:id="360"/>
      <w:bookmarkEnd w:id="361"/>
      <w:bookmarkEnd w:id="362"/>
      <w:bookmarkEnd w:id="363"/>
    </w:p>
    <w:p>
      <w:pPr>
        <w:pStyle w:val="33"/>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pPr>
        <w:pStyle w:val="17"/>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tabs>
          <w:tab w:val="left" w:pos="2472"/>
        </w:tabs>
        <w:spacing w:line="460" w:lineRule="exact"/>
        <w:jc w:val="center"/>
        <w:rPr>
          <w:rFonts w:hint="eastAsia"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364" w:name="_Toc31791"/>
      <w:bookmarkStart w:id="365" w:name="_Toc9012"/>
      <w:bookmarkStart w:id="366" w:name="_Toc26262"/>
      <w:bookmarkStart w:id="367" w:name="_Toc25572"/>
      <w:bookmarkStart w:id="368" w:name="_Toc32021"/>
      <w:bookmarkStart w:id="369" w:name="_Toc7167"/>
      <w:bookmarkStart w:id="370" w:name="_Toc17049"/>
      <w:bookmarkStart w:id="371" w:name="_Toc3838"/>
      <w:bookmarkStart w:id="372" w:name="_Toc20993"/>
      <w:bookmarkStart w:id="373" w:name="_Toc3422"/>
      <w:bookmarkStart w:id="374" w:name="_Toc29347"/>
      <w:bookmarkStart w:id="375" w:name="_Toc9058"/>
      <w:bookmarkStart w:id="376" w:name="_Toc27014"/>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64"/>
      <w:bookmarkEnd w:id="365"/>
      <w:bookmarkEnd w:id="366"/>
      <w:bookmarkEnd w:id="367"/>
      <w:bookmarkEnd w:id="368"/>
      <w:bookmarkEnd w:id="369"/>
      <w:bookmarkEnd w:id="370"/>
      <w:bookmarkEnd w:id="371"/>
      <w:bookmarkEnd w:id="372"/>
      <w:bookmarkEnd w:id="373"/>
      <w:bookmarkEnd w:id="374"/>
      <w:bookmarkEnd w:id="375"/>
      <w:bookmarkEnd w:id="376"/>
    </w:p>
    <w:p>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spacing w:line="360" w:lineRule="auto"/>
        <w:rPr>
          <w:rFonts w:ascii="仿宋_GB2312" w:hAnsi="楷体" w:eastAsia="仿宋_GB2312" w:cs="Times New Roman"/>
          <w:color w:val="auto"/>
          <w:sz w:val="24"/>
          <w:highlight w:val="none"/>
        </w:rPr>
      </w:pPr>
    </w:p>
    <w:p>
      <w:pPr>
        <w:snapToGrid w:val="0"/>
        <w:spacing w:line="400" w:lineRule="exact"/>
        <w:jc w:val="center"/>
        <w:rPr>
          <w:rFonts w:hint="eastAsia" w:ascii="宋体" w:hAnsi="宋体" w:eastAsia="宋体" w:cs="宋体"/>
          <w:b/>
          <w:bCs/>
          <w:color w:val="auto"/>
          <w:sz w:val="32"/>
          <w:szCs w:val="32"/>
          <w:highlight w:val="none"/>
        </w:rPr>
      </w:pPr>
    </w:p>
    <w:p>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spacing w:line="520" w:lineRule="exact"/>
        <w:rPr>
          <w:rFonts w:hint="eastAsia" w:ascii="宋体" w:hAnsi="宋体" w:eastAsia="宋体" w:cs="宋体"/>
          <w:b/>
          <w:color w:val="auto"/>
          <w:sz w:val="32"/>
          <w:szCs w:val="32"/>
          <w:highlight w:val="none"/>
        </w:rPr>
      </w:pPr>
    </w:p>
    <w:p>
      <w:pP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》等法律、法规规定，按照招标文件规定条款和乙方投标文件及其承诺，甲乙双方签订本合同。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1</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lang w:val="en-US" w:eastAsia="zh-CN"/>
        </w:rPr>
        <w:t>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.产品及</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（详见附件中的开标一览表）</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w:t>
      </w:r>
      <w:r>
        <w:rPr>
          <w:rFonts w:hint="eastAsia"/>
          <w:color w:val="auto"/>
          <w:highlight w:val="none"/>
        </w:rPr>
        <w:t>是履行合同的最终价格，</w:t>
      </w:r>
      <w:r>
        <w:rPr>
          <w:rFonts w:hint="eastAsia" w:ascii="宋体" w:hAnsi="宋体" w:eastAsia="宋体" w:cs="宋体"/>
          <w:color w:val="auto"/>
          <w:szCs w:val="21"/>
          <w:highlight w:val="none"/>
        </w:rPr>
        <w:t>必须包含满足本次投标全部采购需求所应提供的服务，以及伴随的货物和工程（如有）的价格；包含投标服务、货物、工程的成本、运输（含保险）、安装（如有）、调试、检验、技术服务、培训、税费等所有费用。</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第二条　质量</w:t>
      </w:r>
      <w:r>
        <w:rPr>
          <w:rFonts w:hint="eastAsia" w:ascii="宋体" w:hAnsi="宋体" w:eastAsia="宋体" w:cs="宋体"/>
          <w:b/>
          <w:color w:val="auto"/>
          <w:szCs w:val="21"/>
          <w:highlight w:val="none"/>
          <w:lang w:eastAsia="zh-CN"/>
        </w:rPr>
        <w:t>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乙方所提供的服务及服务内容必须与投标文件承诺相一致，有国家强制性标准的，还必须符合国家强制性标准的规定，没有国家强制性标准但有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强制性标准的，必须符合</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强制性标准的规定。</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.乙方所提供的产品名称、商标品牌、生产厂家、规格型号、技术参数等质量必须与招标文件规定及投标文件承诺相一致。乙方提供的节能和环保产品必须是列入政府采购品目清单的产品。</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乙方应保证所提供服务</w:t>
      </w:r>
      <w:r>
        <w:rPr>
          <w:rFonts w:hint="eastAsia" w:ascii="宋体" w:hAnsi="宋体" w:cs="宋体"/>
          <w:color w:val="auto"/>
          <w:szCs w:val="21"/>
          <w:highlight w:val="none"/>
          <w:lang w:val="en-US" w:eastAsia="zh-CN"/>
        </w:rPr>
        <w:t>和货物</w:t>
      </w:r>
      <w:r>
        <w:rPr>
          <w:rFonts w:hint="eastAsia" w:ascii="宋体" w:hAnsi="宋体" w:eastAsia="宋体" w:cs="宋体"/>
          <w:color w:val="auto"/>
          <w:szCs w:val="21"/>
          <w:highlight w:val="none"/>
        </w:rPr>
        <w:t>在使用时不会侵犯任何第三方的专利权、商标权、工业设计权等知识产权及</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合法权利，且所有权、处分权等没有受到任何限制。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没有甲方事先书面同意，乙方不得将由甲方提供的有关合同或者任何合同条文、规格、计划、图纸、样品或者资料提供给</w:t>
      </w:r>
      <w:r>
        <w:rPr>
          <w:rFonts w:hint="eastAsia" w:ascii="宋体" w:hAnsi="宋体" w:cs="宋体"/>
          <w:color w:val="auto"/>
          <w:szCs w:val="21"/>
          <w:highlight w:val="none"/>
          <w:lang w:val="en-US" w:eastAsia="zh-CN"/>
        </w:rPr>
        <w:t>予</w:t>
      </w:r>
      <w:r>
        <w:rPr>
          <w:rFonts w:hint="eastAsia" w:ascii="宋体" w:hAnsi="宋体" w:eastAsia="宋体" w:cs="宋体"/>
          <w:color w:val="auto"/>
          <w:szCs w:val="21"/>
          <w:highlight w:val="none"/>
        </w:rPr>
        <w:t>履行本合同无关的任何</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交付和验收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交付时间：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乙方应按投标文件的承诺向甲方提供相应的服务，并提供所服务内容的相关技术资料。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乙方提供不符合投标文件和本合同规定的服务成果，甲方有权拒绝接受。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乙方完成服务后应及时书面通知甲方进行验收，甲方应在收到通知后</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甲乙双方应按照《广西壮族自治区政府采购项目履约验收管理办法》、双方合同、投标文件验收。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　安装和培训</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pPr>
        <w:snapToGrid w:val="0"/>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2.乙方投标文件承诺负责甲方有关人员的培训。培训时间、地点：</w:t>
      </w:r>
      <w:r>
        <w:rPr>
          <w:rFonts w:hint="eastAsia" w:ascii="宋体" w:hAnsi="宋体" w:eastAsia="宋体" w:cs="宋体"/>
          <w:color w:val="auto"/>
          <w:szCs w:val="21"/>
          <w:highlight w:val="none"/>
          <w:u w:val="single"/>
          <w:lang w:val="en-US" w:eastAsia="zh-CN"/>
        </w:rPr>
        <w:t>按乙方投标文件承诺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 xml:space="preserve"> 。</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条  售后服务、</w:t>
      </w:r>
      <w:r>
        <w:rPr>
          <w:rFonts w:hint="eastAsia" w:ascii="宋体" w:hAnsi="宋体" w:cs="宋体"/>
          <w:b/>
          <w:color w:val="auto"/>
          <w:szCs w:val="21"/>
          <w:highlight w:val="none"/>
          <w:lang w:val="en-US" w:eastAsia="zh-CN"/>
        </w:rPr>
        <w:t>服务</w:t>
      </w:r>
      <w:r>
        <w:rPr>
          <w:rFonts w:hint="eastAsia" w:ascii="宋体" w:hAnsi="宋体" w:eastAsia="宋体" w:cs="宋体"/>
          <w:b/>
          <w:color w:val="auto"/>
          <w:szCs w:val="21"/>
          <w:highlight w:val="none"/>
        </w:rPr>
        <w:t>期</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w:t>
      </w:r>
      <w:r>
        <w:rPr>
          <w:rFonts w:hint="eastAsia" w:ascii="宋体" w:hAnsi="宋体" w:cs="宋体"/>
          <w:color w:val="auto"/>
          <w:szCs w:val="21"/>
          <w:highlight w:val="none"/>
          <w:lang w:val="en-US" w:eastAsia="zh-CN"/>
        </w:rPr>
        <w:t>投标文件的承诺</w:t>
      </w:r>
      <w:r>
        <w:rPr>
          <w:rFonts w:hint="eastAsia" w:ascii="宋体" w:hAnsi="宋体" w:eastAsia="宋体" w:cs="宋体"/>
          <w:color w:val="auto"/>
          <w:szCs w:val="21"/>
          <w:highlight w:val="none"/>
        </w:rPr>
        <w:t>，为甲方提供售后服务。</w:t>
      </w:r>
    </w:p>
    <w:p>
      <w:pPr>
        <w:snapToGrid w:val="0"/>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项目服务期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3.乙方提供的服务承诺和售后服务及保修期责任等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具体约定事项。（见合同附件）。</w:t>
      </w:r>
    </w:p>
    <w:p>
      <w:pPr>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条　付款方式</w:t>
      </w:r>
    </w:p>
    <w:p>
      <w:pPr>
        <w:widowControl w:val="0"/>
        <w:snapToGrid w:val="0"/>
        <w:spacing w:line="360" w:lineRule="auto"/>
        <w:ind w:firstLine="420" w:firstLineChars="20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w:t>
      </w:r>
      <w:r>
        <w:rPr>
          <w:rFonts w:hint="eastAsia" w:ascii="宋体" w:hAnsi="宋体" w:eastAsia="宋体" w:cs="宋体"/>
          <w:color w:val="auto"/>
          <w:kern w:val="2"/>
          <w:sz w:val="21"/>
          <w:szCs w:val="20"/>
          <w:highlight w:val="none"/>
          <w:lang w:val="en-US" w:eastAsia="zh-CN" w:bidi="ar-SA"/>
        </w:rPr>
        <w:t>.当采购数量与实际使用数量不一致时，乙方应根据实际使用量供货，合同的最终结算金额按实际使用量乘以中标单价进行计算，但不得超出合同价的10%。</w:t>
      </w:r>
    </w:p>
    <w:p>
      <w:pPr>
        <w:widowControl/>
        <w:spacing w:line="360" w:lineRule="auto"/>
        <w:ind w:firstLine="420" w:firstLineChars="200"/>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2.</w:t>
      </w:r>
      <w:r>
        <w:rPr>
          <w:rFonts w:hint="eastAsia" w:ascii="宋体" w:hAnsi="宋体" w:eastAsia="宋体" w:cs="宋体"/>
          <w:color w:val="auto"/>
          <w:kern w:val="2"/>
          <w:sz w:val="21"/>
          <w:szCs w:val="20"/>
          <w:highlight w:val="none"/>
          <w:lang w:val="en-US" w:eastAsia="zh-CN" w:bidi="ar-SA"/>
        </w:rPr>
        <w:t>付款方式：</w:t>
      </w:r>
    </w:p>
    <w:p>
      <w:pPr>
        <w:snapToGrid w:val="0"/>
        <w:spacing w:line="360" w:lineRule="auto"/>
        <w:ind w:firstLine="420" w:firstLineChars="200"/>
        <w:rPr>
          <w:rFonts w:hint="eastAsia" w:ascii="宋体" w:hAnsi="宋体" w:cs="宋体"/>
          <w:color w:val="auto"/>
          <w:kern w:val="2"/>
          <w:sz w:val="21"/>
          <w:szCs w:val="20"/>
          <w:highlight w:val="none"/>
          <w:u w:val="single"/>
          <w:lang w:val="en-US" w:eastAsia="zh-CN" w:bidi="ar-SA"/>
        </w:rPr>
      </w:pPr>
      <w:r>
        <w:rPr>
          <w:rFonts w:hint="eastAsia" w:ascii="宋体" w:hAnsi="宋体" w:cs="宋体"/>
          <w:color w:val="auto"/>
          <w:kern w:val="2"/>
          <w:sz w:val="21"/>
          <w:szCs w:val="20"/>
          <w:highlight w:val="none"/>
          <w:u w:val="single"/>
          <w:lang w:val="en-US" w:eastAsia="zh-CN" w:bidi="ar-SA"/>
        </w:rPr>
        <w:t>（1）本项目交付使用后，按合同总金额每半年支付一次；</w:t>
      </w:r>
    </w:p>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2"/>
          <w:sz w:val="21"/>
          <w:szCs w:val="20"/>
          <w:highlight w:val="none"/>
          <w:u w:val="single"/>
          <w:lang w:val="en-US" w:eastAsia="zh-CN" w:bidi="ar-SA"/>
        </w:rPr>
        <w:t>（2）甲方付款前，乙方应向甲方提供与支付金额相符的有效发票，且收款方、出具发票方、合同乙方均必须与乙方单位名称一致</w:t>
      </w:r>
      <w:r>
        <w:rPr>
          <w:rFonts w:hint="eastAsia" w:ascii="Times New Roman" w:hAnsi="Times New Roman" w:eastAsia="宋体" w:cs="Times New Roman"/>
          <w:color w:val="auto"/>
          <w:highlight w:val="none"/>
          <w:lang w:val="en-US" w:eastAsia="zh-CN"/>
        </w:rPr>
        <w:t>。</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　履约保证金</w:t>
      </w:r>
    </w:p>
    <w:p>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  税费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条　违约责任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除不可抗力原因外，乙方没有按照合同规定的时间提供服务</w:t>
      </w:r>
      <w:r>
        <w:rPr>
          <w:rFonts w:hint="eastAsia" w:ascii="宋体" w:hAnsi="宋体" w:cs="宋体"/>
          <w:color w:val="auto"/>
          <w:szCs w:val="21"/>
          <w:highlight w:val="none"/>
          <w:lang w:val="en-US" w:eastAsia="zh-CN"/>
        </w:rPr>
        <w:t>和货物</w:t>
      </w:r>
      <w:r>
        <w:rPr>
          <w:rFonts w:hint="eastAsia" w:ascii="宋体" w:hAnsi="宋体" w:eastAsia="宋体" w:cs="宋体"/>
          <w:color w:val="auto"/>
          <w:szCs w:val="21"/>
          <w:highlight w:val="none"/>
        </w:rPr>
        <w:t>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乙方提供的服务如侵犯了第三方合法权益而引发的任何纠纷或者诉讼，均由乙方负责交涉并承担全部责任。</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条  不可抗力事件处理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不可抗力事件发生后，应立即通知对方，并寄送有关权威机构出具的证明。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不可抗力事件延续一百二十天以上，双方应通过友好协商，确定是否继续履行合同。</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条  合同争议解决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人民法院提起诉讼。</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诉讼期间，本合同继续履行。</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条  合同生效及</w:t>
      </w:r>
      <w:r>
        <w:rPr>
          <w:rFonts w:hint="eastAsia" w:ascii="宋体" w:hAnsi="宋体" w:eastAsia="宋体" w:cs="宋体"/>
          <w:b/>
          <w:color w:val="auto"/>
          <w:szCs w:val="21"/>
          <w:highlight w:val="none"/>
          <w:lang w:eastAsia="zh-CN"/>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合同经双方法定代表人或者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委托代理人签字并加盖单位公章后生效（委托代理人签字的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需后附法定代表人授权委托书，格式自拟）。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本合同未尽事宜，遵照《中华人民共和国民法典》有关条文执行。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合同的变更、终止与转让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除《中华人民共和国政府采购法》第五十条规定的情形外，本合同一经签订，甲乙双方不得擅自变更、中止或者终止。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乙方不得擅自转让其应履行的合同义务。</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　本合同书与下列文件一起构成合同文件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中标通知书；</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商务条款偏离表和</w:t>
      </w:r>
      <w:r>
        <w:rPr>
          <w:rFonts w:hint="eastAsia" w:ascii="宋体" w:hAnsi="宋体" w:cs="宋体"/>
          <w:color w:val="auto"/>
          <w:szCs w:val="21"/>
          <w:highlight w:val="none"/>
          <w:lang w:eastAsia="zh-CN"/>
        </w:rPr>
        <w:t>技术要求偏离表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采购需求</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合同文件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w:t>
      </w:r>
      <w:r>
        <w:rPr>
          <w:rFonts w:hint="eastAsia" w:ascii="宋体" w:hAnsi="宋体" w:cs="宋体"/>
          <w:color w:val="auto"/>
          <w:szCs w:val="21"/>
          <w:highlight w:val="none"/>
          <w:lang w:eastAsia="zh-CN"/>
        </w:rPr>
        <w:t>另行</w:t>
      </w:r>
      <w:r>
        <w:rPr>
          <w:rFonts w:hint="eastAsia" w:ascii="宋体" w:hAnsi="宋体" w:eastAsia="宋体" w:cs="宋体"/>
          <w:color w:val="auto"/>
          <w:szCs w:val="21"/>
          <w:highlight w:val="none"/>
        </w:rPr>
        <w:t>增加）。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tbl>
      <w:tblPr>
        <w:tblStyle w:val="23"/>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jc w:val="right"/>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napToGrid w:val="0"/>
        <w:jc w:val="center"/>
        <w:rPr>
          <w:rFonts w:hint="eastAsia" w:ascii="宋体" w:hAnsi="宋体" w:eastAsia="宋体" w:cs="宋体"/>
          <w:b/>
          <w:bCs/>
          <w:color w:val="auto"/>
          <w:sz w:val="32"/>
          <w:szCs w:val="32"/>
          <w:highlight w:val="none"/>
        </w:rPr>
      </w:pPr>
    </w:p>
    <w:p>
      <w:pPr>
        <w:snapToGrid w:val="0"/>
        <w:spacing w:line="360" w:lineRule="auto"/>
        <w:ind w:left="420" w:hanging="420" w:hangingChars="200"/>
        <w:rPr>
          <w:rFonts w:hint="eastAsia" w:ascii="宋体" w:hAnsi="宋体" w:eastAsia="宋体" w:cs="宋体"/>
          <w:color w:val="auto"/>
          <w:szCs w:val="21"/>
          <w:highlight w:val="none"/>
        </w:rPr>
      </w:pPr>
    </w:p>
    <w:p>
      <w:pPr>
        <w:pStyle w:val="17"/>
        <w:tabs>
          <w:tab w:val="left" w:pos="2472"/>
        </w:tabs>
        <w:spacing w:line="460" w:lineRule="exact"/>
        <w:jc w:val="center"/>
        <w:rPr>
          <w:rFonts w:hint="eastAsia" w:ascii="Times New Roman" w:hAnsi="Times New Roman" w:eastAsia="宋体" w:cs="Times New Roman"/>
          <w:b/>
          <w:color w:val="auto"/>
          <w:sz w:val="36"/>
          <w:highlight w:val="none"/>
        </w:rPr>
      </w:pPr>
      <w:r>
        <w:rPr>
          <w:rFonts w:hint="eastAsia" w:ascii="宋体" w:hAnsi="宋体" w:eastAsia="宋体" w:cs="宋体"/>
          <w:b/>
          <w:color w:val="auto"/>
          <w:szCs w:val="21"/>
          <w:highlight w:val="none"/>
        </w:rPr>
        <w:br w:type="page"/>
      </w: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377" w:name="_Toc2377"/>
      <w:bookmarkStart w:id="378" w:name="_Toc19350"/>
      <w:bookmarkStart w:id="379" w:name="_Toc20832"/>
      <w:bookmarkStart w:id="380" w:name="_Toc26390"/>
      <w:bookmarkStart w:id="381" w:name="_Toc32149"/>
      <w:bookmarkStart w:id="382" w:name="_Toc5736"/>
      <w:bookmarkStart w:id="383" w:name="_Toc11043"/>
      <w:bookmarkStart w:id="384" w:name="_Toc19106"/>
      <w:bookmarkStart w:id="385" w:name="_Toc2517"/>
      <w:bookmarkStart w:id="386" w:name="_Toc24704"/>
      <w:bookmarkStart w:id="387" w:name="_Toc26884"/>
      <w:bookmarkStart w:id="388" w:name="_Toc9123"/>
      <w:bookmarkStart w:id="389" w:name="_Toc20296"/>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77"/>
      <w:bookmarkEnd w:id="378"/>
      <w:bookmarkEnd w:id="379"/>
      <w:bookmarkEnd w:id="380"/>
      <w:bookmarkEnd w:id="381"/>
      <w:bookmarkEnd w:id="382"/>
      <w:bookmarkEnd w:id="383"/>
      <w:bookmarkEnd w:id="384"/>
      <w:bookmarkEnd w:id="385"/>
      <w:bookmarkEnd w:id="386"/>
      <w:bookmarkEnd w:id="387"/>
      <w:bookmarkEnd w:id="388"/>
      <w:bookmarkEnd w:id="389"/>
    </w:p>
    <w:p>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jc w:val="center"/>
        <w:outlineLvl w:val="1"/>
        <w:rPr>
          <w:rFonts w:hint="eastAsia" w:hAnsi="宋体" w:eastAsia="宋体" w:cs="Times New Roman"/>
          <w:b/>
          <w:bCs/>
          <w:color w:val="auto"/>
          <w:sz w:val="28"/>
          <w:szCs w:val="28"/>
          <w:highlight w:val="none"/>
        </w:rPr>
      </w:pPr>
      <w:bookmarkStart w:id="390" w:name="_Toc7817"/>
      <w:bookmarkStart w:id="391" w:name="_Toc16890"/>
      <w:bookmarkStart w:id="392" w:name="_Toc11854"/>
      <w:bookmarkStart w:id="393" w:name="_Toc21700"/>
      <w:bookmarkStart w:id="394" w:name="_Toc32508"/>
      <w:bookmarkStart w:id="395" w:name="_Toc23486"/>
      <w:bookmarkStart w:id="396" w:name="_Toc32370"/>
      <w:bookmarkStart w:id="397" w:name="_Toc4270"/>
      <w:bookmarkStart w:id="398" w:name="_Toc20281"/>
      <w:bookmarkStart w:id="399" w:name="_Toc24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90"/>
      <w:bookmarkEnd w:id="391"/>
      <w:bookmarkEnd w:id="392"/>
      <w:bookmarkEnd w:id="393"/>
      <w:bookmarkEnd w:id="394"/>
      <w:bookmarkEnd w:id="395"/>
      <w:bookmarkEnd w:id="396"/>
      <w:bookmarkEnd w:id="397"/>
      <w:bookmarkEnd w:id="398"/>
      <w:bookmarkEnd w:id="399"/>
    </w:p>
    <w:p>
      <w:pPr>
        <w:pStyle w:val="17"/>
        <w:spacing w:line="360" w:lineRule="auto"/>
        <w:ind w:firstLine="420"/>
        <w:rPr>
          <w:rFonts w:hint="eastAsia" w:hAnsi="宋体" w:eastAsia="宋体" w:cs="Times New Roman"/>
          <w:color w:val="auto"/>
          <w:sz w:val="30"/>
          <w:highlight w:val="none"/>
        </w:rPr>
      </w:pPr>
    </w:p>
    <w:p>
      <w:pPr>
        <w:pStyle w:val="12"/>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pPr>
        <w:rPr>
          <w:rFonts w:hint="eastAsia"/>
          <w:color w:val="auto"/>
          <w:highlight w:val="none"/>
        </w:rPr>
      </w:pP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pPr>
        <w:pStyle w:val="10"/>
        <w:snapToGrid w:val="0"/>
        <w:spacing w:before="50" w:after="50"/>
        <w:ind w:firstLine="540" w:firstLineChars="225"/>
        <w:rPr>
          <w:rFonts w:hint="eastAsia" w:ascii="宋体" w:hAnsi="宋体" w:eastAsia="宋体" w:cs="Times New Roman"/>
          <w:bCs/>
          <w:color w:val="auto"/>
          <w:sz w:val="24"/>
          <w:szCs w:val="24"/>
          <w:highlight w:val="none"/>
        </w:rPr>
      </w:pPr>
    </w:p>
    <w:p>
      <w:pPr>
        <w:pStyle w:val="10"/>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10"/>
        <w:snapToGrid w:val="0"/>
        <w:spacing w:before="50" w:after="50"/>
        <w:ind w:firstLine="540" w:firstLineChars="225"/>
        <w:rPr>
          <w:rFonts w:hint="eastAsia" w:ascii="宋体" w:hAnsi="宋体" w:eastAsia="宋体" w:cs="Times New Roman"/>
          <w:bCs/>
          <w:color w:val="auto"/>
          <w:sz w:val="24"/>
          <w:szCs w:val="24"/>
          <w:highlight w:val="none"/>
        </w:rPr>
      </w:pPr>
    </w:p>
    <w:p>
      <w:pPr>
        <w:pStyle w:val="10"/>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pacing w:line="360" w:lineRule="auto"/>
        <w:rPr>
          <w:rFonts w:hint="eastAsia" w:ascii="仿宋_GB2312" w:hAnsi="仿宋" w:eastAsia="仿宋_GB2312" w:cs="仿宋_GB2312"/>
          <w:b/>
          <w:bCs/>
          <w:color w:val="auto"/>
          <w:sz w:val="24"/>
          <w:highlight w:val="none"/>
        </w:rPr>
      </w:pPr>
    </w:p>
    <w:p>
      <w:pPr>
        <w:snapToGrid w:val="0"/>
        <w:spacing w:line="360" w:lineRule="auto"/>
        <w:rPr>
          <w:rFonts w:hint="eastAsia"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14"/>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400" w:name="PO_3000001866_PM031_5"/>
      <w:r>
        <w:rPr>
          <w:rFonts w:hint="eastAsia" w:ascii="宋体" w:hAnsi="宋体" w:eastAsia="宋体" w:cs="Times New Roman"/>
          <w:color w:val="auto"/>
          <w:szCs w:val="21"/>
          <w:highlight w:val="none"/>
          <w:u w:val="single"/>
          <w:lang w:eastAsia="zh-CN"/>
        </w:rPr>
        <w:t>广西科联招标中心有限公司</w:t>
      </w:r>
      <w:bookmarkEnd w:id="400"/>
      <w:r>
        <w:rPr>
          <w:rFonts w:hint="eastAsia" w:ascii="宋体" w:hAnsi="宋体" w:eastAsia="宋体" w:cs="Times New Roman"/>
          <w:color w:val="auto"/>
          <w:szCs w:val="21"/>
          <w:highlight w:val="none"/>
          <w:u w:val="single"/>
        </w:rPr>
        <w:t xml:space="preserve"> </w:t>
      </w:r>
    </w:p>
    <w:p>
      <w:pPr>
        <w:pStyle w:val="2"/>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pPr>
        <w:pStyle w:val="2"/>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pPr>
        <w:pStyle w:val="2"/>
        <w:rPr>
          <w:rFonts w:hint="eastAsia"/>
          <w:color w:val="auto"/>
          <w:highlight w:val="none"/>
        </w:rPr>
      </w:pP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pPr>
        <w:pStyle w:val="2"/>
        <w:rPr>
          <w:rFonts w:hint="default" w:eastAsia="宋体"/>
          <w:color w:val="auto"/>
          <w:highlight w:val="none"/>
          <w:lang w:val="en-US" w:eastAsia="zh-CN"/>
        </w:rPr>
      </w:pP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pPr>
        <w:snapToGrid w:val="0"/>
        <w:spacing w:before="50" w:after="331" w:afterLines="100" w:line="360" w:lineRule="auto"/>
        <w:ind w:left="7428" w:leftChars="2223" w:hanging="2760" w:hangingChars="1150"/>
        <w:jc w:val="left"/>
        <w:rPr>
          <w:rFonts w:hint="eastAsia" w:ascii="宋体" w:hAnsi="宋体" w:eastAsia="宋体" w:cs="Times New Roman"/>
          <w:color w:val="auto"/>
          <w:szCs w:val="21"/>
          <w:highlight w:val="none"/>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pPr>
        <w:widowControl w:val="0"/>
        <w:jc w:val="left"/>
        <w:rPr>
          <w:rFonts w:hint="eastAsia" w:ascii="Times New Roman" w:hAnsi="Times New Roman" w:eastAsia="宋体" w:cs="Times New Roman"/>
          <w:b/>
          <w:color w:val="auto"/>
          <w:kern w:val="2"/>
          <w:sz w:val="30"/>
          <w:szCs w:val="30"/>
          <w:highlight w:val="none"/>
          <w:lang w:val="en-US" w:eastAsia="zh-CN" w:bidi="ar-SA"/>
        </w:rPr>
      </w:pPr>
      <w:r>
        <w:rPr>
          <w:rFonts w:hint="eastAsia" w:ascii="宋体" w:hAnsi="宋体" w:eastAsia="宋体" w:cs="宋体"/>
          <w:b/>
          <w:color w:val="auto"/>
          <w:kern w:val="2"/>
          <w:sz w:val="28"/>
          <w:szCs w:val="28"/>
          <w:highlight w:val="none"/>
          <w:lang w:val="en-US" w:eastAsia="zh-CN" w:bidi="ar-SA"/>
        </w:rPr>
        <w:t>4.中小企业声明函的格式：</w:t>
      </w:r>
    </w:p>
    <w:p>
      <w:pPr>
        <w:widowControl w:val="0"/>
        <w:jc w:val="center"/>
        <w:rPr>
          <w:rFonts w:hint="eastAsia" w:ascii="Times New Roman" w:hAnsi="Times New Roman" w:eastAsia="宋体" w:cs="Times New Roman"/>
          <w:b/>
          <w:color w:val="auto"/>
          <w:kern w:val="2"/>
          <w:sz w:val="30"/>
          <w:szCs w:val="30"/>
          <w:highlight w:val="none"/>
          <w:lang w:val="en-US" w:eastAsia="zh-CN" w:bidi="ar-SA"/>
        </w:rPr>
      </w:pPr>
    </w:p>
    <w:p>
      <w:pPr>
        <w:widowControl w:val="0"/>
        <w:jc w:val="center"/>
        <w:rPr>
          <w:rFonts w:hint="eastAsia" w:ascii="Times New Roman" w:hAnsi="Times New Roman" w:eastAsia="宋体" w:cs="Times New Roman"/>
          <w:b/>
          <w:color w:val="auto"/>
          <w:kern w:val="2"/>
          <w:sz w:val="30"/>
          <w:szCs w:val="30"/>
          <w:highlight w:val="none"/>
          <w:lang w:val="en-US" w:eastAsia="zh-CN" w:bidi="ar-SA"/>
        </w:rPr>
      </w:pPr>
      <w:r>
        <w:rPr>
          <w:rFonts w:hint="eastAsia" w:ascii="Times New Roman" w:hAnsi="Times New Roman" w:eastAsia="宋体" w:cs="Times New Roman"/>
          <w:b/>
          <w:color w:val="auto"/>
          <w:kern w:val="2"/>
          <w:sz w:val="30"/>
          <w:szCs w:val="30"/>
          <w:highlight w:val="none"/>
          <w:lang w:val="en-US" w:eastAsia="zh-CN" w:bidi="ar-SA"/>
        </w:rPr>
        <w:t>中小企业声明函</w:t>
      </w:r>
    </w:p>
    <w:p>
      <w:pPr>
        <w:widowControl w:val="0"/>
        <w:spacing w:line="240" w:lineRule="auto"/>
        <w:ind w:firstLine="404" w:firstLineChars="200"/>
        <w:jc w:val="both"/>
        <w:rPr>
          <w:rFonts w:ascii="Times New Roman" w:hAnsi="宋体" w:eastAsia="宋体" w:cs="Times New Roman"/>
          <w:color w:val="auto"/>
          <w:spacing w:val="-4"/>
          <w:kern w:val="2"/>
          <w:sz w:val="21"/>
          <w:szCs w:val="21"/>
          <w:highlight w:val="none"/>
          <w:lang w:val="en-US" w:eastAsia="zh-CN" w:bidi="ar-SA"/>
        </w:rPr>
      </w:pP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p>
    <w:p>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p>
    <w:p>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7"/>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3、本声明函主要供参加政府采购活动的中小企业填写，非中小企业无需填写。</w:t>
      </w:r>
    </w:p>
    <w:p>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4、小型、微型企业提供中型企业提供的服务的，视同为中型企业。</w:t>
      </w:r>
    </w:p>
    <w:p>
      <w:pPr>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5.残疾人福利性单位声明函的格式：</w:t>
      </w:r>
    </w:p>
    <w:p>
      <w:pPr>
        <w:jc w:val="left"/>
        <w:rPr>
          <w:rFonts w:hint="eastAsia" w:ascii="Times New Roman" w:hAnsi="宋体" w:eastAsia="宋体" w:cs="宋体"/>
          <w:b/>
          <w:color w:val="auto"/>
          <w:sz w:val="28"/>
          <w:szCs w:val="28"/>
          <w:highlight w:val="none"/>
          <w:lang w:val="en-US" w:eastAsia="zh-CN"/>
        </w:rPr>
      </w:pPr>
    </w:p>
    <w:p>
      <w:pPr>
        <w:jc w:val="left"/>
        <w:rPr>
          <w:rFonts w:hint="eastAsia" w:ascii="Times New Roman" w:hAnsi="宋体" w:eastAsia="宋体" w:cs="宋体"/>
          <w:b/>
          <w:color w:val="auto"/>
          <w:sz w:val="28"/>
          <w:szCs w:val="28"/>
          <w:highlight w:val="none"/>
          <w:lang w:val="en" w:eastAsia="zh-CN"/>
        </w:rPr>
      </w:pPr>
    </w:p>
    <w:p>
      <w:pPr>
        <w:widowControl w:val="0"/>
        <w:spacing w:line="360" w:lineRule="auto"/>
        <w:jc w:val="center"/>
        <w:rPr>
          <w:rFonts w:hint="eastAsia" w:ascii="宋体" w:hAnsi="Courier New" w:eastAsia="宋体" w:cs="Times New Roman"/>
          <w:b/>
          <w:color w:val="auto"/>
          <w:kern w:val="2"/>
          <w:sz w:val="30"/>
          <w:szCs w:val="30"/>
          <w:highlight w:val="none"/>
          <w:lang w:val="en-US" w:eastAsia="zh-CN" w:bidi="ar-SA"/>
        </w:rPr>
      </w:pPr>
      <w:r>
        <w:rPr>
          <w:rFonts w:hint="eastAsia" w:ascii="宋体" w:hAnsi="Courier New" w:eastAsia="宋体" w:cs="Times New Roman"/>
          <w:b/>
          <w:color w:val="auto"/>
          <w:kern w:val="2"/>
          <w:sz w:val="30"/>
          <w:szCs w:val="30"/>
          <w:highlight w:val="none"/>
          <w:lang w:val="en-US" w:eastAsia="zh-CN" w:bidi="ar-SA"/>
        </w:rPr>
        <w:t>残疾人福利性单位声明函</w:t>
      </w:r>
    </w:p>
    <w:p>
      <w:pPr>
        <w:widowControl w:val="0"/>
        <w:spacing w:line="360" w:lineRule="auto"/>
        <w:jc w:val="center"/>
        <w:rPr>
          <w:rFonts w:hint="eastAsia" w:ascii="宋体" w:hAnsi="Courier New" w:eastAsia="宋体" w:cs="Times New Roman"/>
          <w:b/>
          <w:color w:val="auto"/>
          <w:kern w:val="2"/>
          <w:sz w:val="30"/>
          <w:szCs w:val="30"/>
          <w:highlight w:val="none"/>
          <w:lang w:val="en-US" w:eastAsia="zh-CN" w:bidi="ar-SA"/>
        </w:rPr>
      </w:pPr>
    </w:p>
    <w:p>
      <w:pPr>
        <w:widowControl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Courier New" w:eastAsia="宋体" w:cs="Times New Roman"/>
          <w:color w:val="auto"/>
          <w:kern w:val="2"/>
          <w:sz w:val="30"/>
          <w:szCs w:val="30"/>
          <w:highlight w:val="none"/>
          <w:lang w:val="en-US" w:eastAsia="zh-CN" w:bidi="ar-SA"/>
        </w:rPr>
        <w:t xml:space="preserve"> </w:t>
      </w:r>
      <w:r>
        <w:rPr>
          <w:rFonts w:hint="eastAsia" w:ascii="宋体" w:hAnsi="宋体" w:eastAsia="宋体" w:cs="宋体"/>
          <w:color w:val="auto"/>
          <w:kern w:val="2"/>
          <w:sz w:val="30"/>
          <w:szCs w:val="30"/>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单位的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val="0"/>
        <w:spacing w:line="360" w:lineRule="auto"/>
        <w:ind w:left="5132" w:leftChars="1979" w:hanging="976" w:hangingChars="488"/>
        <w:jc w:val="both"/>
        <w:rPr>
          <w:rFonts w:hint="eastAsia" w:ascii="宋体" w:hAnsi="宋体" w:eastAsia="宋体" w:cs="宋体"/>
          <w:color w:val="auto"/>
          <w:kern w:val="2"/>
          <w:sz w:val="20"/>
          <w:szCs w:val="20"/>
          <w:highlight w:val="none"/>
          <w:lang w:val="en-US" w:eastAsia="zh-CN" w:bidi="ar-SA"/>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before="50" w:after="331" w:afterLines="100" w:line="360" w:lineRule="auto"/>
        <w:ind w:left="0" w:leftChars="0" w:firstLine="0" w:firstLineChars="0"/>
        <w:jc w:val="left"/>
        <w:textAlignment w:val="auto"/>
        <w:rPr>
          <w:rFonts w:hint="eastAsia" w:ascii="宋体" w:hAnsi="宋体" w:eastAsia="宋体" w:cs="Times New Roman"/>
          <w:color w:val="auto"/>
          <w:szCs w:val="21"/>
          <w:highlight w:val="none"/>
          <w:lang w:val="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eastAsia="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pPr>
        <w:rPr>
          <w:rFonts w:hint="eastAsia" w:ascii="Times New Roman" w:hAnsi="Times New Roman" w:eastAsia="宋体" w:cs="Times New Roman"/>
          <w:b/>
          <w:bCs/>
          <w:color w:val="auto"/>
          <w:sz w:val="30"/>
          <w:szCs w:val="30"/>
          <w:highlight w:val="none"/>
        </w:rPr>
      </w:pPr>
    </w:p>
    <w:p>
      <w:pPr>
        <w:pStyle w:val="12"/>
        <w:ind w:left="0"/>
        <w:jc w:val="left"/>
        <w:rPr>
          <w:rFonts w:hint="eastAsia"/>
          <w:color w:val="auto"/>
          <w:highlight w:val="none"/>
        </w:rPr>
      </w:pPr>
      <w:r>
        <w:rPr>
          <w:rFonts w:hint="eastAsia" w:hAnsi="宋体" w:cs="宋体"/>
          <w:b/>
          <w:bCs/>
          <w:color w:val="auto"/>
          <w:sz w:val="28"/>
          <w:szCs w:val="28"/>
          <w:highlight w:val="none"/>
          <w:lang w:val="en-US" w:eastAsia="zh-CN"/>
        </w:rPr>
        <w:t>6.联合体投标协议书的格式：</w:t>
      </w:r>
    </w:p>
    <w:p>
      <w:pPr>
        <w:pStyle w:val="17"/>
        <w:spacing w:line="600" w:lineRule="exact"/>
        <w:jc w:val="center"/>
        <w:rPr>
          <w:rFonts w:hint="eastAsia" w:ascii="宋体" w:hAnsi="宋体" w:cs="宋体"/>
          <w:b/>
          <w:bCs/>
          <w:color w:val="auto"/>
          <w:sz w:val="28"/>
          <w:szCs w:val="28"/>
          <w:highlight w:val="none"/>
        </w:rPr>
      </w:pPr>
    </w:p>
    <w:p>
      <w:pPr>
        <w:pStyle w:val="17"/>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pPr>
        <w:autoSpaceDE w:val="0"/>
        <w:autoSpaceDN w:val="0"/>
        <w:adjustRightInd w:val="0"/>
        <w:spacing w:line="360" w:lineRule="auto"/>
        <w:jc w:val="left"/>
        <w:rPr>
          <w:rFonts w:hint="eastAsia" w:ascii="宋体" w:hAnsi="宋体" w:cs="宋体"/>
          <w:color w:val="auto"/>
          <w:kern w:val="0"/>
          <w:szCs w:val="21"/>
          <w:highlight w:val="none"/>
          <w:u w:val="singl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401" w:name="PO_3000001919_PM031_1"/>
      <w:r>
        <w:rPr>
          <w:rFonts w:hint="eastAsia" w:ascii="宋体" w:hAnsi="宋体" w:cs="宋体"/>
          <w:color w:val="auto"/>
          <w:kern w:val="0"/>
          <w:szCs w:val="21"/>
          <w:highlight w:val="none"/>
          <w:u w:val="single"/>
          <w:lang w:eastAsia="zh-CN"/>
        </w:rPr>
        <w:t>广西科联招标中心有限公司</w:t>
      </w:r>
      <w:bookmarkEnd w:id="401"/>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w:t>
      </w:r>
    </w:p>
    <w:p>
      <w:pPr>
        <w:pStyle w:val="17"/>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w:t>
      </w:r>
      <w:r>
        <w:rPr>
          <w:rFonts w:hint="eastAsia" w:hAnsi="宋体" w:cs="宋体"/>
          <w:color w:val="auto"/>
          <w:kern w:val="0"/>
          <w:highlight w:val="none"/>
          <w:lang w:val="en-US" w:eastAsia="zh-CN"/>
        </w:rPr>
        <w:t>.</w:t>
      </w:r>
      <w:r>
        <w:rPr>
          <w:rFonts w:hint="eastAsia" w:hAnsi="宋体" w:cs="宋体"/>
          <w:color w:val="auto"/>
          <w:kern w:val="0"/>
          <w:highlight w:val="none"/>
        </w:rPr>
        <w:t>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autoSpaceDE w:val="0"/>
        <w:autoSpaceDN w:val="0"/>
        <w:adjustRightInd w:val="0"/>
        <w:spacing w:line="360" w:lineRule="auto"/>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pStyle w:val="17"/>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pPr>
        <w:pStyle w:val="10"/>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10"/>
        <w:overflowPunct w:val="0"/>
        <w:spacing w:line="360" w:lineRule="auto"/>
        <w:ind w:firstLineChars="175"/>
        <w:rPr>
          <w:rFonts w:hint="eastAsia" w:ascii="宋体" w:hAnsi="宋体" w:eastAsia="宋体" w:cs="宋体"/>
          <w:color w:val="auto"/>
          <w:sz w:val="24"/>
          <w:highlight w:val="none"/>
        </w:rPr>
      </w:pPr>
    </w:p>
    <w:p>
      <w:pPr>
        <w:pStyle w:val="10"/>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pStyle w:val="17"/>
        <w:spacing w:line="600" w:lineRule="exact"/>
        <w:jc w:val="center"/>
        <w:rPr>
          <w:rFonts w:hint="eastAsia" w:hAnsi="宋体" w:cs="宋体"/>
          <w:color w:val="auto"/>
          <w:kern w:val="0"/>
          <w:szCs w:val="21"/>
          <w:highlight w:val="none"/>
        </w:rPr>
      </w:pPr>
    </w:p>
    <w:p>
      <w:pPr>
        <w:pStyle w:val="17"/>
        <w:jc w:val="both"/>
        <w:outlineLvl w:val="9"/>
        <w:rPr>
          <w:rFonts w:hAnsi="宋体" w:eastAsia="宋体" w:cs="Times New Roman"/>
          <w:color w:val="auto"/>
          <w:szCs w:val="21"/>
          <w:highlight w:val="none"/>
        </w:rPr>
      </w:pPr>
    </w:p>
    <w:p>
      <w:pPr>
        <w:pStyle w:val="17"/>
        <w:jc w:val="center"/>
        <w:outlineLvl w:val="1"/>
        <w:rPr>
          <w:rFonts w:hint="eastAsia" w:hAnsi="宋体" w:eastAsia="宋体" w:cs="Times New Roman"/>
          <w:b/>
          <w:bCs/>
          <w:color w:val="auto"/>
          <w:sz w:val="28"/>
          <w:szCs w:val="28"/>
          <w:highlight w:val="none"/>
        </w:rPr>
      </w:pPr>
      <w:bookmarkStart w:id="402" w:name="_Toc3944"/>
      <w:bookmarkStart w:id="403" w:name="_Toc8189"/>
      <w:bookmarkStart w:id="404" w:name="_Toc2566"/>
      <w:bookmarkStart w:id="405" w:name="_Toc19686838"/>
      <w:bookmarkStart w:id="406" w:name="_Toc13159"/>
      <w:bookmarkStart w:id="407" w:name="_Toc12624"/>
      <w:bookmarkStart w:id="408" w:name="_Toc20777"/>
      <w:bookmarkStart w:id="409" w:name="_Toc24133"/>
      <w:bookmarkStart w:id="410" w:name="_Toc16062"/>
      <w:bookmarkStart w:id="411" w:name="_Toc6839"/>
      <w:bookmarkStart w:id="412" w:name="_Toc31528"/>
    </w:p>
    <w:p>
      <w:pPr>
        <w:pStyle w:val="17"/>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402"/>
      <w:bookmarkEnd w:id="403"/>
      <w:bookmarkEnd w:id="404"/>
      <w:bookmarkEnd w:id="405"/>
      <w:bookmarkEnd w:id="406"/>
      <w:bookmarkEnd w:id="407"/>
      <w:bookmarkEnd w:id="408"/>
      <w:bookmarkEnd w:id="409"/>
      <w:bookmarkEnd w:id="410"/>
      <w:bookmarkEnd w:id="411"/>
      <w:bookmarkEnd w:id="412"/>
    </w:p>
    <w:p>
      <w:pPr>
        <w:snapToGrid w:val="0"/>
        <w:spacing w:before="165" w:beforeLines="50" w:after="50"/>
        <w:rPr>
          <w:rFonts w:hint="eastAsia" w:ascii="宋体" w:hAnsi="宋体" w:eastAsia="宋体" w:cs="Times New Roman"/>
          <w:color w:val="auto"/>
          <w:sz w:val="30"/>
          <w:szCs w:val="20"/>
          <w:highlight w:val="none"/>
        </w:rPr>
      </w:pPr>
    </w:p>
    <w:p>
      <w:pPr>
        <w:pStyle w:val="2"/>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540" w:firstLineChars="225"/>
        <w:rPr>
          <w:rFonts w:hint="eastAsia" w:ascii="宋体" w:hAnsi="宋体" w:eastAsia="宋体" w:cs="Times New Roman"/>
          <w:bCs/>
          <w:color w:val="auto"/>
          <w:sz w:val="24"/>
          <w:highlight w:val="none"/>
        </w:rPr>
      </w:pP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ind w:firstLine="540" w:firstLineChars="225"/>
        <w:rPr>
          <w:rFonts w:hint="eastAsia" w:ascii="宋体" w:hAnsi="宋体" w:eastAsia="宋体" w:cs="Times New Roman"/>
          <w:bCs/>
          <w:color w:val="auto"/>
          <w:sz w:val="24"/>
          <w:szCs w:val="20"/>
          <w:highlight w:val="none"/>
        </w:rPr>
      </w:pPr>
    </w:p>
    <w:p>
      <w:pPr>
        <w:pStyle w:val="10"/>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10"/>
        <w:snapToGrid w:val="0"/>
        <w:spacing w:before="50" w:after="50"/>
        <w:ind w:firstLine="540" w:firstLineChars="225"/>
        <w:rPr>
          <w:rFonts w:hint="eastAsia" w:ascii="宋体" w:hAnsi="宋体" w:eastAsia="宋体" w:cs="Times New Roman"/>
          <w:bCs/>
          <w:color w:val="auto"/>
          <w:sz w:val="24"/>
          <w:szCs w:val="24"/>
          <w:highlight w:val="none"/>
        </w:rPr>
      </w:pPr>
    </w:p>
    <w:p>
      <w:pPr>
        <w:pStyle w:val="10"/>
        <w:snapToGrid w:val="0"/>
        <w:spacing w:before="50" w:after="50"/>
        <w:ind w:firstLine="960" w:firstLineChars="400"/>
        <w:rPr>
          <w:rFonts w:hint="eastAsia" w:ascii="宋体" w:hAnsi="宋体" w:eastAsia="宋体" w:cs="Times New Roman"/>
          <w:bCs/>
          <w:color w:val="auto"/>
          <w:sz w:val="24"/>
          <w:szCs w:val="24"/>
          <w:highlight w:val="none"/>
        </w:rPr>
      </w:pPr>
    </w:p>
    <w:p>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645"/>
        <w:rPr>
          <w:rFonts w:hint="eastAsia" w:ascii="宋体" w:hAnsi="宋体" w:cs="Times New Roman"/>
          <w:color w:val="auto"/>
          <w:sz w:val="24"/>
          <w:highlight w:val="none"/>
          <w:lang w:val="en-US" w:eastAsia="zh-CN"/>
        </w:rPr>
      </w:pPr>
    </w:p>
    <w:p>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pPr>
        <w:snapToGrid w:val="0"/>
        <w:spacing w:before="120" w:beforeLines="50" w:after="50"/>
        <w:ind w:left="420"/>
        <w:jc w:val="center"/>
        <w:rPr>
          <w:rFonts w:hint="eastAsia" w:ascii="宋体" w:hAnsi="宋体" w:eastAsia="宋体" w:cs="Times New Roman"/>
          <w:b/>
          <w:color w:val="auto"/>
          <w:sz w:val="32"/>
          <w:szCs w:val="32"/>
          <w:highlight w:val="none"/>
        </w:rPr>
      </w:pPr>
    </w:p>
    <w:p>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pPr>
        <w:snapToGrid w:val="0"/>
        <w:spacing w:before="120" w:beforeLines="50" w:after="50"/>
        <w:rPr>
          <w:rFonts w:hint="eastAsia" w:ascii="宋体" w:hAnsi="宋体" w:eastAsia="宋体" w:cs="Times New Roman"/>
          <w:b/>
          <w:color w:val="auto"/>
          <w:szCs w:val="21"/>
          <w:highlight w:val="none"/>
        </w:rPr>
      </w:pPr>
    </w:p>
    <w:p>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14"/>
        <w:rPr>
          <w:rFonts w:hint="eastAsia"/>
          <w:color w:val="auto"/>
          <w:highlight w:val="none"/>
          <w:lang w:eastAsia="zh-CN"/>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7"/>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pPr>
        <w:spacing w:before="240" w:beforeLines="100" w:after="120" w:afterLines="50"/>
        <w:ind w:left="540"/>
        <w:jc w:val="center"/>
        <w:rPr>
          <w:rFonts w:hint="eastAsia" w:ascii="宋体" w:hAnsi="Courier New" w:eastAsia="宋体" w:cs="Times New Roman"/>
          <w:b/>
          <w:color w:val="auto"/>
          <w:sz w:val="32"/>
          <w:szCs w:val="32"/>
          <w:highlight w:val="none"/>
        </w:rPr>
      </w:pPr>
    </w:p>
    <w:p>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p>
    <w:p>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pPr>
        <w:spacing w:line="500" w:lineRule="exact"/>
        <w:ind w:left="540"/>
        <w:rPr>
          <w:rFonts w:hint="eastAsia"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before="120" w:beforeLines="50" w:after="50"/>
        <w:jc w:val="center"/>
        <w:rPr>
          <w:rFonts w:hint="eastAsia" w:ascii="宋体" w:hAnsi="宋体" w:eastAsia="宋体" w:cs="Times New Roman"/>
          <w:b/>
          <w:color w:val="auto"/>
          <w:sz w:val="24"/>
          <w:highlight w:val="none"/>
        </w:rPr>
      </w:pPr>
    </w:p>
    <w:p>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pPr>
        <w:snapToGrid w:val="0"/>
        <w:spacing w:before="120" w:beforeLines="50" w:after="50"/>
        <w:ind w:firstLine="600" w:firstLineChars="250"/>
        <w:jc w:val="left"/>
        <w:rPr>
          <w:rFonts w:hint="eastAsia" w:ascii="宋体" w:hAnsi="宋体" w:eastAsia="宋体" w:cs="Times New Roman"/>
          <w:color w:val="auto"/>
          <w:sz w:val="24"/>
          <w:highlight w:val="none"/>
        </w:rPr>
      </w:pPr>
    </w:p>
    <w:p>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pStyle w:val="17"/>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pPr>
        <w:snapToGrid w:val="0"/>
        <w:spacing w:before="120" w:beforeLines="50" w:after="50"/>
        <w:jc w:val="center"/>
        <w:rPr>
          <w:rFonts w:hint="eastAsia" w:ascii="宋体" w:hAnsi="宋体" w:eastAsia="宋体" w:cs="Times New Roman"/>
          <w:b/>
          <w:color w:val="auto"/>
          <w:sz w:val="32"/>
          <w:szCs w:val="32"/>
          <w:highlight w:val="none"/>
        </w:rPr>
      </w:pPr>
    </w:p>
    <w:p>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pPr>
        <w:snapToGrid w:val="0"/>
        <w:spacing w:before="120" w:beforeLines="50" w:after="50"/>
        <w:jc w:val="center"/>
        <w:rPr>
          <w:rFonts w:hint="eastAsia" w:ascii="宋体" w:hAnsi="宋体" w:eastAsia="宋体" w:cs="Times New Roman"/>
          <w:b/>
          <w:color w:val="auto"/>
          <w:sz w:val="24"/>
          <w:highlight w:val="none"/>
        </w:rPr>
      </w:pPr>
    </w:p>
    <w:p>
      <w:pPr>
        <w:pStyle w:val="17"/>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413" w:name="PO_3000001866_PM031_7"/>
      <w:r>
        <w:rPr>
          <w:rFonts w:hint="eastAsia" w:ascii="Times New Roman" w:hAnsi="Times New Roman" w:eastAsia="宋体" w:cs="Times New Roman"/>
          <w:color w:val="auto"/>
          <w:highlight w:val="none"/>
          <w:u w:val="single"/>
          <w:lang w:eastAsia="zh-CN"/>
        </w:rPr>
        <w:t>广西科联招标中心有限公司</w:t>
      </w:r>
      <w:bookmarkEnd w:id="413"/>
      <w:r>
        <w:rPr>
          <w:rFonts w:ascii="Times New Roman" w:hAnsi="Times New Roman" w:eastAsia="宋体" w:cs="Times New Roman"/>
          <w:color w:val="auto"/>
          <w:highlight w:val="none"/>
          <w:u w:val="single"/>
        </w:rPr>
        <w:t xml:space="preserve"> </w:t>
      </w:r>
    </w:p>
    <w:p>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pPr>
        <w:pStyle w:val="17"/>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pPr>
        <w:pStyle w:val="17"/>
        <w:spacing w:line="360" w:lineRule="exact"/>
        <w:ind w:firstLine="420"/>
        <w:rPr>
          <w:rFonts w:ascii="Times New Roman" w:hAnsi="Times New Roman" w:eastAsia="宋体" w:cs="Times New Roman"/>
          <w:color w:val="auto"/>
          <w:highlight w:val="none"/>
        </w:rPr>
      </w:pP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pPr>
        <w:pStyle w:val="17"/>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pPr>
        <w:pStyle w:val="17"/>
        <w:spacing w:line="360" w:lineRule="exact"/>
        <w:ind w:firstLine="420"/>
        <w:rPr>
          <w:rFonts w:ascii="Times New Roman" w:hAnsi="Times New Roman" w:eastAsia="宋体" w:cs="Times New Roman"/>
          <w:color w:val="auto"/>
          <w:highlight w:val="none"/>
          <w:u w:val="single"/>
        </w:rPr>
      </w:pPr>
    </w:p>
    <w:p>
      <w:pPr>
        <w:pStyle w:val="17"/>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pPr>
        <w:pStyle w:val="17"/>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2"/>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7"/>
        <w:spacing w:line="360" w:lineRule="exact"/>
        <w:ind w:firstLine="420"/>
        <w:rPr>
          <w:rFonts w:hint="eastAsia" w:ascii="宋体" w:hAnsi="宋体" w:cs="宋体"/>
          <w:color w:val="auto"/>
          <w:highlight w:val="none"/>
          <w:u w:val="single"/>
        </w:rPr>
      </w:pP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pStyle w:val="12"/>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7"/>
        <w:spacing w:line="360" w:lineRule="exact"/>
        <w:ind w:firstLine="420" w:firstLineChars="200"/>
        <w:rPr>
          <w:rFonts w:hint="eastAsia" w:eastAsia="宋体" w:cs="Times New Roman"/>
          <w:color w:val="auto"/>
          <w:highlight w:val="none"/>
        </w:rPr>
      </w:pPr>
      <w:r>
        <w:rPr>
          <w:rFonts w:hint="eastAsia" w:eastAsia="宋体" w:cs="Times New Roman"/>
          <w:color w:val="auto"/>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pPr>
        <w:spacing w:line="360" w:lineRule="auto"/>
        <w:rPr>
          <w:rFonts w:hint="eastAsia" w:ascii="宋体" w:hAnsi="Times New Roman" w:eastAsia="宋体" w:cs="Times New Roman"/>
          <w:b/>
          <w:color w:val="auto"/>
          <w:sz w:val="24"/>
          <w:highlight w:val="none"/>
        </w:rPr>
      </w:pPr>
    </w:p>
    <w:p>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Times New Roman" w:eastAsia="宋体" w:cs="Times New Roman"/>
                <w:b/>
                <w:color w:val="auto"/>
                <w:sz w:val="24"/>
                <w:highlight w:val="none"/>
              </w:rPr>
            </w:pPr>
          </w:p>
          <w:p>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pPr>
        <w:snapToGrid w:val="0"/>
        <w:spacing w:before="50" w:after="120" w:afterLines="50" w:line="360" w:lineRule="auto"/>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pPr>
        <w:jc w:val="center"/>
        <w:rPr>
          <w:rFonts w:hint="eastAsia" w:ascii="Times New Roman" w:hAnsi="Times New Roman" w:eastAsia="宋体" w:cs="Times New Roman"/>
          <w:b/>
          <w:bCs/>
          <w:color w:val="auto"/>
          <w:sz w:val="30"/>
          <w:szCs w:val="30"/>
          <w:highlight w:val="none"/>
        </w:rPr>
      </w:pPr>
    </w:p>
    <w:p>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pPr>
        <w:spacing w:line="360" w:lineRule="auto"/>
        <w:ind w:firstLine="0" w:firstLineChars="0"/>
        <w:contextualSpacing/>
        <w:rPr>
          <w:rFonts w:hint="eastAsia" w:ascii="宋体" w:hAnsi="宋体" w:cs="宋体"/>
          <w:color w:val="auto"/>
          <w:sz w:val="24"/>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7"/>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color w:val="auto"/>
                <w:szCs w:val="21"/>
                <w:highlight w:val="none"/>
              </w:rPr>
            </w:pPr>
          </w:p>
        </w:tc>
      </w:tr>
    </w:tbl>
    <w:p>
      <w:pPr>
        <w:pStyle w:val="17"/>
        <w:spacing w:line="360" w:lineRule="auto"/>
        <w:ind w:left="-708" w:leftChars="-337"/>
        <w:rPr>
          <w:rFonts w:hint="eastAsia" w:ascii="Times New Roman" w:hAnsi="Times New Roman" w:eastAsia="宋体" w:cs="Times New Roman"/>
          <w:color w:val="auto"/>
          <w:highlight w:val="none"/>
        </w:rPr>
      </w:pPr>
    </w:p>
    <w:p>
      <w:pPr>
        <w:pStyle w:val="17"/>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pPr>
        <w:pStyle w:val="17"/>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pPr>
        <w:pStyle w:val="17"/>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w:t>
      </w:r>
      <w:r>
        <w:rPr>
          <w:rFonts w:hint="eastAsia" w:hAnsi="宋体" w:cs="宋体"/>
          <w:b/>
          <w:bCs/>
          <w:color w:val="auto"/>
          <w:highlight w:val="none"/>
          <w:lang w:val="en-US" w:eastAsia="zh-CN"/>
        </w:rPr>
        <w:t xml:space="preserve"> 第二部分</w:t>
      </w:r>
      <w:r>
        <w:rPr>
          <w:rFonts w:hint="eastAsia" w:hAnsi="宋体" w:cs="宋体"/>
          <w:b/>
          <w:bCs/>
          <w:color w:val="auto"/>
          <w:highlight w:val="none"/>
          <w:lang w:eastAsia="zh-CN"/>
        </w:rPr>
        <w:t>《</w:t>
      </w:r>
      <w:r>
        <w:rPr>
          <w:rFonts w:hint="eastAsia" w:ascii="宋体" w:hAnsi="宋体" w:eastAsia="宋体" w:cs="宋体"/>
          <w:b/>
          <w:bCs/>
          <w:color w:val="auto"/>
          <w:highlight w:val="none"/>
        </w:rPr>
        <w:t>商务条款</w:t>
      </w:r>
      <w:r>
        <w:rPr>
          <w:rFonts w:hint="eastAsia" w:hAnsi="宋体" w:cs="宋体"/>
          <w:b/>
          <w:bCs/>
          <w:color w:val="auto"/>
          <w:highlight w:val="none"/>
          <w:lang w:eastAsia="zh-CN"/>
        </w:rPr>
        <w:t>》</w:t>
      </w:r>
      <w:r>
        <w:rPr>
          <w:rFonts w:hint="eastAsia" w:ascii="宋体" w:hAnsi="宋体" w:eastAsia="宋体" w:cs="宋体"/>
          <w:color w:val="auto"/>
          <w:highlight w:val="none"/>
        </w:rPr>
        <w:t>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pPr>
        <w:pStyle w:val="17"/>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pPr>
        <w:pStyle w:val="17"/>
        <w:spacing w:line="360" w:lineRule="auto"/>
        <w:ind w:left="-708" w:leftChars="-337" w:firstLine="1050" w:firstLineChars="500"/>
        <w:rPr>
          <w:rFonts w:hint="eastAsia" w:ascii="宋体" w:hAnsi="宋体" w:eastAsia="宋体" w:cs="宋体"/>
          <w:color w:val="auto"/>
          <w:szCs w:val="21"/>
          <w:highlight w:val="none"/>
        </w:rPr>
      </w:pPr>
    </w:p>
    <w:p>
      <w:pPr>
        <w:snapToGrid w:val="0"/>
        <w:spacing w:before="50" w:after="50"/>
        <w:rPr>
          <w:rFonts w:ascii="宋体" w:hAnsi="宋体" w:eastAsia="宋体" w:cs="Times New Roman"/>
          <w:color w:val="auto"/>
          <w:sz w:val="24"/>
          <w:highlight w:val="none"/>
        </w:rPr>
      </w:pPr>
    </w:p>
    <w:p>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rPr>
          <w:rFonts w:hint="eastAsia"/>
          <w:color w:val="auto"/>
          <w:highlight w:val="none"/>
        </w:rPr>
      </w:pPr>
    </w:p>
    <w:p>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7"/>
        <w:jc w:val="center"/>
        <w:outlineLvl w:val="1"/>
        <w:rPr>
          <w:rFonts w:hint="eastAsia" w:hAnsi="宋体" w:eastAsia="宋体" w:cs="Times New Roman"/>
          <w:b/>
          <w:bCs/>
          <w:color w:val="auto"/>
          <w:sz w:val="28"/>
          <w:szCs w:val="28"/>
          <w:highlight w:val="none"/>
        </w:rPr>
      </w:pPr>
      <w:bookmarkStart w:id="414" w:name="_Toc585"/>
      <w:bookmarkStart w:id="415" w:name="_Toc24407"/>
      <w:bookmarkStart w:id="416" w:name="_Toc24098"/>
      <w:bookmarkStart w:id="417" w:name="_Toc27757"/>
      <w:bookmarkStart w:id="418" w:name="_Toc19686839"/>
      <w:bookmarkStart w:id="419" w:name="_Toc17437"/>
      <w:bookmarkStart w:id="420" w:name="_Toc1161"/>
      <w:bookmarkStart w:id="421" w:name="_Toc10435"/>
      <w:bookmarkStart w:id="422" w:name="_Toc10197"/>
      <w:bookmarkStart w:id="423" w:name="_Toc23685"/>
      <w:bookmarkStart w:id="424" w:name="_Toc888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414"/>
      <w:bookmarkEnd w:id="415"/>
      <w:bookmarkEnd w:id="416"/>
      <w:bookmarkEnd w:id="417"/>
      <w:bookmarkEnd w:id="418"/>
      <w:bookmarkEnd w:id="419"/>
      <w:bookmarkEnd w:id="420"/>
      <w:bookmarkEnd w:id="421"/>
      <w:bookmarkEnd w:id="422"/>
      <w:bookmarkEnd w:id="423"/>
      <w:bookmarkEnd w:id="424"/>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p>
    <w:p>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p>
    <w:p>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napToGrid w:val="0"/>
        <w:spacing w:before="165" w:beforeLines="50" w:after="50"/>
        <w:ind w:firstLine="645"/>
        <w:jc w:val="center"/>
        <w:rPr>
          <w:rFonts w:hint="eastAsia" w:ascii="宋体" w:hAnsi="宋体" w:eastAsia="宋体" w:cs="Times New Roman"/>
          <w:color w:val="auto"/>
          <w:sz w:val="24"/>
          <w:szCs w:val="20"/>
          <w:highlight w:val="none"/>
        </w:rPr>
      </w:pPr>
    </w:p>
    <w:p>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pPr>
        <w:numPr>
          <w:ilvl w:val="0"/>
          <w:numId w:val="8"/>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技术要求偏离表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pPr>
        <w:pStyle w:val="17"/>
        <w:spacing w:line="500" w:lineRule="exact"/>
        <w:jc w:val="center"/>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cs="Times New Roman"/>
          <w:b/>
          <w:bCs/>
          <w:color w:val="auto"/>
          <w:sz w:val="30"/>
          <w:szCs w:val="30"/>
          <w:highlight w:val="none"/>
          <w:lang w:eastAsia="zh-CN"/>
        </w:rPr>
        <w:t>技术要求偏离表</w:t>
      </w:r>
    </w:p>
    <w:p>
      <w:pPr>
        <w:pStyle w:val="17"/>
        <w:spacing w:line="440" w:lineRule="exact"/>
        <w:ind w:firstLine="420" w:firstLineChars="200"/>
        <w:rPr>
          <w:rFonts w:eastAsia="宋体" w:cs="Times New Roman"/>
          <w:color w:val="auto"/>
          <w:highlight w:val="none"/>
        </w:rPr>
      </w:pPr>
    </w:p>
    <w:p>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7"/>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12"/>
        <w:rPr>
          <w:rFonts w:hint="eastAsia"/>
          <w:color w:val="auto"/>
          <w:highlight w:val="none"/>
        </w:rPr>
      </w:pPr>
    </w:p>
    <w:p>
      <w:pPr>
        <w:pStyle w:val="12"/>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pPr>
        <w:rPr>
          <w:rFonts w:hint="eastAsia"/>
          <w:color w:val="auto"/>
          <w:highlight w:val="none"/>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中的技术（服务）要求</w:t>
            </w:r>
          </w:p>
        </w:tc>
        <w:tc>
          <w:tcPr>
            <w:tcW w:w="347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响应的技术（服务）</w:t>
            </w:r>
            <w:r>
              <w:rPr>
                <w:rFonts w:hint="eastAsia" w:ascii="宋体" w:hAnsi="宋体" w:cs="Times New Roman"/>
                <w:color w:val="auto"/>
                <w:szCs w:val="21"/>
                <w:highlight w:val="none"/>
                <w:lang w:eastAsia="zh-CN"/>
              </w:rPr>
              <w:t>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1"/>
                <w:highlight w:val="none"/>
              </w:rPr>
            </w:pPr>
          </w:p>
        </w:tc>
      </w:tr>
    </w:tbl>
    <w:p>
      <w:pPr>
        <w:pStyle w:val="17"/>
        <w:spacing w:line="360" w:lineRule="auto"/>
        <w:ind w:firstLine="0" w:firstLineChars="0"/>
        <w:rPr>
          <w:rFonts w:hint="eastAsia" w:hAnsi="宋体" w:cs="宋体"/>
          <w:color w:val="auto"/>
          <w:szCs w:val="21"/>
          <w:highlight w:val="none"/>
        </w:rPr>
      </w:pPr>
    </w:p>
    <w:p>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pPr>
        <w:pStyle w:val="17"/>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pPr>
        <w:pStyle w:val="17"/>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中</w:t>
      </w:r>
      <w:r>
        <w:rPr>
          <w:rFonts w:hint="eastAsia" w:hAnsi="宋体" w:cs="宋体"/>
          <w:b/>
          <w:bCs/>
          <w:color w:val="auto"/>
          <w:sz w:val="21"/>
          <w:szCs w:val="21"/>
          <w:highlight w:val="none"/>
          <w:lang w:val="en-US" w:eastAsia="zh-CN"/>
        </w:rPr>
        <w:t>第一部分《采购需求清单》</w:t>
      </w:r>
      <w:r>
        <w:rPr>
          <w:rFonts w:hint="eastAsia" w:hAnsi="宋体" w:cs="宋体"/>
          <w:color w:val="auto"/>
          <w:sz w:val="21"/>
          <w:szCs w:val="21"/>
          <w:highlight w:val="none"/>
          <w:lang w:val="en-US" w:eastAsia="zh-CN"/>
        </w:rPr>
        <w:t>中的</w:t>
      </w:r>
      <w:r>
        <w:rPr>
          <w:rFonts w:hint="eastAsia" w:ascii="宋体" w:hAnsi="宋体" w:eastAsia="宋体" w:cs="宋体"/>
          <w:color w:val="auto"/>
          <w:sz w:val="21"/>
          <w:szCs w:val="21"/>
          <w:highlight w:val="none"/>
          <w:lang w:eastAsia="zh-CN"/>
        </w:rPr>
        <w:t>“</w:t>
      </w:r>
      <w:r>
        <w:rPr>
          <w:rFonts w:hint="eastAsia" w:ascii="宋体" w:hAnsi="宋体" w:cs="Times New Roman"/>
          <w:color w:val="auto"/>
          <w:szCs w:val="21"/>
          <w:highlight w:val="none"/>
          <w:lang w:val="en-US" w:eastAsia="zh-CN"/>
        </w:rPr>
        <w:t>技术（服务）</w:t>
      </w:r>
      <w:r>
        <w:rPr>
          <w:rFonts w:hint="eastAsia" w:hAnsi="宋体" w:cs="Times New Roman"/>
          <w:color w:val="auto"/>
          <w:szCs w:val="21"/>
          <w:highlight w:val="none"/>
          <w:lang w:val="en-US" w:eastAsia="zh-CN"/>
        </w:rPr>
        <w:t>参数</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作出明确响应，并</w:t>
      </w:r>
      <w:r>
        <w:rPr>
          <w:rFonts w:hint="eastAsia" w:ascii="宋体" w:hAnsi="宋体" w:eastAsia="宋体" w:cs="宋体"/>
          <w:b w:val="0"/>
          <w:color w:val="auto"/>
          <w:sz w:val="21"/>
          <w:szCs w:val="21"/>
          <w:highlight w:val="none"/>
        </w:rPr>
        <w:t>逐条</w:t>
      </w:r>
      <w:r>
        <w:rPr>
          <w:rFonts w:hint="eastAsia" w:hAnsi="宋体" w:cs="宋体"/>
          <w:color w:val="auto"/>
          <w:sz w:val="21"/>
          <w:szCs w:val="21"/>
          <w:highlight w:val="none"/>
          <w:lang w:val="en-US" w:eastAsia="zh-CN"/>
        </w:rPr>
        <w:t>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pPr>
        <w:pStyle w:val="17"/>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pPr>
        <w:pStyle w:val="12"/>
        <w:rPr>
          <w:rFonts w:hint="eastAsia" w:hAnsi="宋体" w:eastAsia="宋体" w:cs="宋体"/>
          <w:color w:val="auto"/>
          <w:szCs w:val="21"/>
          <w:highlight w:val="none"/>
        </w:rPr>
      </w:pPr>
    </w:p>
    <w:p>
      <w:pPr>
        <w:rPr>
          <w:rFonts w:hint="eastAsia" w:hAnsi="宋体" w:eastAsia="宋体" w:cs="宋体"/>
          <w:color w:val="auto"/>
          <w:szCs w:val="21"/>
          <w:highlight w:val="none"/>
        </w:rPr>
      </w:pP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售后服务机构情况表</w:t>
      </w:r>
      <w:r>
        <w:rPr>
          <w:rFonts w:hint="eastAsia" w:ascii="宋体" w:hAnsi="宋体" w:cs="宋体"/>
          <w:b/>
          <w:color w:val="auto"/>
          <w:sz w:val="28"/>
          <w:szCs w:val="28"/>
          <w:highlight w:val="none"/>
          <w:lang w:eastAsia="zh-CN"/>
        </w:rPr>
        <w:t>、售后服务人员情况表的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center"/>
        <w:rPr>
          <w:rFonts w:hint="eastAsia" w:ascii="宋体" w:hAnsi="宋体" w:eastAsia="宋体" w:cs="Times New Roman"/>
          <w:b/>
          <w:color w:val="auto"/>
          <w:sz w:val="32"/>
          <w:szCs w:val="32"/>
          <w:highlight w:val="none"/>
        </w:rPr>
      </w:pP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color w:val="auto"/>
          <w:kern w:val="0"/>
          <w:sz w:val="24"/>
          <w:highlight w:val="none"/>
        </w:rPr>
      </w:pP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napToGrid w:val="0"/>
        <w:spacing w:before="165" w:beforeLines="50" w:after="50"/>
        <w:ind w:left="142"/>
        <w:jc w:val="center"/>
        <w:rPr>
          <w:rFonts w:hint="eastAsia" w:ascii="宋体" w:hAnsi="宋体" w:eastAsia="宋体" w:cs="Times New Roman"/>
          <w:b/>
          <w:color w:val="auto"/>
          <w:sz w:val="32"/>
          <w:szCs w:val="32"/>
          <w:highlight w:val="none"/>
        </w:rPr>
      </w:pPr>
    </w:p>
    <w:p>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20"/>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napToGrid w:val="0"/>
        <w:spacing w:before="165" w:beforeLines="50" w:after="50"/>
        <w:ind w:left="142"/>
        <w:jc w:val="left"/>
        <w:rPr>
          <w:rFonts w:hint="eastAsia" w:ascii="宋体" w:hAnsi="宋体" w:eastAsia="宋体" w:cs="Times New Roman"/>
          <w:b/>
          <w:color w:val="auto"/>
          <w:sz w:val="32"/>
          <w:szCs w:val="32"/>
          <w:highlight w:val="none"/>
        </w:rPr>
      </w:pPr>
    </w:p>
    <w:p>
      <w:pP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r>
        <w:rPr>
          <w:rFonts w:hint="eastAsia" w:ascii="宋体" w:hAnsi="宋体" w:eastAsia="宋体" w:cs="Times New Roman"/>
          <w:b/>
          <w:i/>
          <w:iCs/>
          <w:color w:val="auto"/>
          <w:sz w:val="32"/>
          <w:szCs w:val="32"/>
          <w:highlight w:val="none"/>
        </w:rPr>
        <w:t>（如有要求）</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7"/>
        <w:rPr>
          <w:rFonts w:hint="eastAsia" w:eastAsia="宋体" w:cs="Times New Roman"/>
          <w:color w:val="auto"/>
          <w:sz w:val="24"/>
          <w:szCs w:val="24"/>
          <w:highlight w:val="none"/>
        </w:rPr>
      </w:pPr>
    </w:p>
    <w:p>
      <w:pPr>
        <w:pStyle w:val="17"/>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pPr>
        <w:snapToGrid w:val="0"/>
        <w:spacing w:before="50" w:after="50"/>
        <w:rPr>
          <w:rFonts w:hint="eastAsia" w:ascii="宋体" w:hAnsi="宋体" w:eastAsia="宋体" w:cs="Times New Roman"/>
          <w:color w:val="auto"/>
          <w:sz w:val="24"/>
          <w:highlight w:val="none"/>
        </w:rPr>
      </w:pPr>
    </w:p>
    <w:p>
      <w:pPr>
        <w:pStyle w:val="17"/>
        <w:jc w:val="center"/>
        <w:outlineLvl w:val="1"/>
        <w:rPr>
          <w:rFonts w:hint="eastAsia" w:hAnsi="宋体" w:eastAsia="宋体" w:cs="Times New Roman"/>
          <w:b/>
          <w:bCs/>
          <w:color w:val="auto"/>
          <w:sz w:val="28"/>
          <w:szCs w:val="28"/>
          <w:highlight w:val="none"/>
        </w:rPr>
      </w:pPr>
      <w:bookmarkStart w:id="425" w:name="_Toc31920"/>
      <w:bookmarkStart w:id="426" w:name="_Toc9015"/>
      <w:bookmarkStart w:id="427" w:name="_Toc28617"/>
      <w:bookmarkStart w:id="428" w:name="_Toc12868"/>
      <w:bookmarkStart w:id="429" w:name="_Toc30951"/>
      <w:bookmarkStart w:id="430" w:name="_Toc22926"/>
      <w:bookmarkStart w:id="431" w:name="_Toc17719"/>
      <w:bookmarkStart w:id="432" w:name="_Toc12675"/>
      <w:bookmarkStart w:id="433" w:name="_Toc1343"/>
      <w:bookmarkStart w:id="434" w:name="_Toc34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425"/>
      <w:bookmarkEnd w:id="426"/>
      <w:bookmarkEnd w:id="427"/>
      <w:bookmarkEnd w:id="428"/>
      <w:bookmarkEnd w:id="429"/>
      <w:bookmarkEnd w:id="430"/>
      <w:bookmarkEnd w:id="431"/>
      <w:bookmarkEnd w:id="432"/>
      <w:bookmarkEnd w:id="433"/>
      <w:bookmarkEnd w:id="434"/>
    </w:p>
    <w:p>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pPr>
        <w:snapToGrid w:val="0"/>
        <w:spacing w:before="165" w:beforeLines="50" w:after="50" w:line="400" w:lineRule="exact"/>
        <w:rPr>
          <w:rFonts w:hint="eastAsia" w:ascii="宋体" w:hAnsi="宋体" w:eastAsia="宋体" w:cs="Times New Roman"/>
          <w:color w:val="auto"/>
          <w:sz w:val="24"/>
          <w:highlight w:val="none"/>
        </w:rPr>
      </w:pPr>
    </w:p>
    <w:p>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pPr>
        <w:snapToGrid w:val="0"/>
        <w:spacing w:before="165" w:beforeLines="50" w:after="50" w:line="400" w:lineRule="exact"/>
        <w:jc w:val="center"/>
        <w:rPr>
          <w:rFonts w:hint="eastAsia" w:ascii="宋体" w:hAnsi="宋体" w:eastAsia="宋体" w:cs="Times New Roman"/>
          <w:bCs/>
          <w:color w:val="auto"/>
          <w:sz w:val="24"/>
          <w:szCs w:val="20"/>
          <w:highlight w:val="none"/>
        </w:rPr>
      </w:pPr>
    </w:p>
    <w:p>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rPr>
          <w:rFonts w:hint="eastAsia" w:ascii="宋体" w:hAnsi="宋体" w:eastAsia="宋体" w:cs="Times New Roman"/>
          <w:bCs/>
          <w:color w:val="auto"/>
          <w:sz w:val="24"/>
          <w:szCs w:val="20"/>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pStyle w:val="10"/>
        <w:snapToGrid w:val="0"/>
        <w:spacing w:before="50" w:after="50" w:line="400" w:lineRule="exact"/>
        <w:ind w:firstLine="960" w:firstLineChars="400"/>
        <w:rPr>
          <w:rFonts w:hint="eastAsia" w:ascii="宋体" w:hAnsi="宋体" w:eastAsia="宋体" w:cs="Times New Roman"/>
          <w:bCs/>
          <w:color w:val="auto"/>
          <w:sz w:val="24"/>
          <w:szCs w:val="24"/>
          <w:highlight w:val="none"/>
        </w:rPr>
      </w:pPr>
    </w:p>
    <w:p>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7"/>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pPr>
        <w:pStyle w:val="17"/>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pPr>
        <w:pStyle w:val="17"/>
        <w:spacing w:line="440" w:lineRule="exact"/>
        <w:ind w:firstLine="420" w:firstLineChars="200"/>
        <w:rPr>
          <w:rFonts w:hint="eastAsia" w:ascii="Times New Roman" w:hAnsi="Times New Roman" w:eastAsia="宋体" w:cs="Times New Roman"/>
          <w:color w:val="auto"/>
          <w:highlight w:val="none"/>
        </w:rPr>
      </w:pPr>
    </w:p>
    <w:p>
      <w:pPr>
        <w:pStyle w:val="17"/>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435" w:name="PO_3000001866_PM031_4"/>
      <w:r>
        <w:rPr>
          <w:rFonts w:hint="eastAsia" w:ascii="Times New Roman" w:hAnsi="Times New Roman" w:eastAsia="宋体" w:cs="Times New Roman"/>
          <w:color w:val="auto"/>
          <w:highlight w:val="none"/>
          <w:u w:val="single"/>
          <w:lang w:eastAsia="zh-CN"/>
        </w:rPr>
        <w:t>广西科联招标中心有限公司</w:t>
      </w:r>
      <w:bookmarkEnd w:id="435"/>
    </w:p>
    <w:p>
      <w:pPr>
        <w:pStyle w:val="17"/>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pPr>
        <w:pStyle w:val="17"/>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pPr>
        <w:pStyle w:val="17"/>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pPr>
        <w:pStyle w:val="17"/>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w:t>
      </w:r>
      <w:r>
        <w:rPr>
          <w:rFonts w:hint="eastAsia" w:eastAsia="宋体" w:cs="Times New Roman"/>
          <w:color w:val="auto"/>
          <w:highlight w:val="none"/>
        </w:rPr>
        <w:t>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r>
        <w:rPr>
          <w:rFonts w:hint="eastAsia" w:hAnsi="宋体" w:cs="宋体"/>
          <w:color w:val="auto"/>
          <w:szCs w:val="22"/>
          <w:highlight w:val="none"/>
          <w:lang w:val="en-US" w:eastAsia="zh-CN"/>
        </w:rPr>
        <w:t>交付</w:t>
      </w:r>
      <w:r>
        <w:rPr>
          <w:rFonts w:hint="eastAsia" w:hAnsi="宋体" w:cs="宋体"/>
          <w:color w:val="auto"/>
          <w:szCs w:val="22"/>
          <w:highlight w:val="none"/>
          <w:lang w:eastAsia="zh-CN"/>
        </w:rPr>
        <w:t>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w:t>
      </w:r>
      <w:r>
        <w:rPr>
          <w:rFonts w:hint="eastAsia" w:hAnsi="Times New Roman" w:cs="Times New Roman"/>
          <w:color w:val="auto"/>
          <w:highlight w:val="none"/>
          <w:lang w:val="en-US" w:eastAsia="zh-CN"/>
        </w:rPr>
        <w:t>第一部分和第二部分</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w:t>
      </w:r>
      <w:r>
        <w:rPr>
          <w:rFonts w:hint="eastAsia" w:cs="Times New Roman"/>
          <w:color w:val="auto"/>
          <w:highlight w:val="none"/>
          <w:lang w:val="en-US" w:eastAsia="zh-CN"/>
        </w:rPr>
        <w:t>.</w:t>
      </w:r>
      <w:r>
        <w:rPr>
          <w:rFonts w:hint="eastAsia" w:eastAsia="宋体" w:cs="Times New Roman"/>
          <w:color w:val="auto"/>
          <w:highlight w:val="none"/>
        </w:rPr>
        <w:t>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w:t>
      </w:r>
      <w:r>
        <w:rPr>
          <w:rFonts w:hint="eastAsia" w:cs="Times New Roman"/>
          <w:color w:val="auto"/>
          <w:highlight w:val="none"/>
          <w:lang w:val="en-US" w:eastAsia="zh-CN"/>
        </w:rPr>
        <w:t>.</w:t>
      </w:r>
      <w:r>
        <w:rPr>
          <w:rFonts w:hint="eastAsia" w:eastAsia="宋体" w:cs="Times New Roman"/>
          <w:color w:val="auto"/>
          <w:highlight w:val="none"/>
        </w:rPr>
        <w:t>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cs="Times New Roman"/>
          <w:color w:val="auto"/>
          <w:highlight w:val="none"/>
          <w:lang w:val="en-US" w:eastAsia="zh-CN"/>
        </w:rPr>
        <w:t>.</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w:t>
      </w:r>
      <w:r>
        <w:rPr>
          <w:rFonts w:hint="eastAsia" w:cs="Times New Roman"/>
          <w:color w:val="auto"/>
          <w:highlight w:val="none"/>
          <w:lang w:val="en-US" w:eastAsia="zh-CN"/>
        </w:rPr>
        <w:t>.</w:t>
      </w:r>
      <w:r>
        <w:rPr>
          <w:rFonts w:hint="eastAsia" w:eastAsia="宋体" w:cs="Times New Roman"/>
          <w:color w:val="auto"/>
          <w:highlight w:val="none"/>
        </w:rPr>
        <w:t>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w:t>
      </w:r>
      <w:r>
        <w:rPr>
          <w:rFonts w:hint="eastAsia" w:cs="Times New Roman"/>
          <w:color w:val="auto"/>
          <w:highlight w:val="none"/>
          <w:lang w:val="en-US" w:eastAsia="zh-CN"/>
        </w:rPr>
        <w:t>.</w:t>
      </w:r>
      <w:r>
        <w:rPr>
          <w:rFonts w:hint="eastAsia" w:eastAsia="宋体" w:cs="Times New Roman"/>
          <w:color w:val="auto"/>
          <w:highlight w:val="none"/>
        </w:rPr>
        <w:t>我方已详细审核招标文件，我方知道必须放弃提出含糊不清或误解问题的权利。</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w:t>
      </w:r>
      <w:r>
        <w:rPr>
          <w:rFonts w:hint="eastAsia" w:cs="Times New Roman"/>
          <w:color w:val="auto"/>
          <w:highlight w:val="none"/>
          <w:lang w:val="en-US" w:eastAsia="zh-CN"/>
        </w:rPr>
        <w:t>.</w:t>
      </w:r>
      <w:r>
        <w:rPr>
          <w:rFonts w:hint="eastAsia" w:eastAsia="宋体" w:cs="Times New Roman"/>
          <w:color w:val="auto"/>
          <w:highlight w:val="none"/>
        </w:rPr>
        <w:t>我方同意应贵方要求提供与本投标有关的任何数据或资料。若贵方需要，我方愿意提供我方作出的一切承诺的证明材料。</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w:t>
      </w:r>
      <w:r>
        <w:rPr>
          <w:rFonts w:hint="eastAsia" w:cs="Times New Roman"/>
          <w:color w:val="auto"/>
          <w:highlight w:val="none"/>
          <w:lang w:val="en-US" w:eastAsia="zh-CN"/>
        </w:rPr>
        <w:t>.</w:t>
      </w:r>
      <w:r>
        <w:rPr>
          <w:rFonts w:hint="eastAsia" w:eastAsia="宋体" w:cs="Times New Roman"/>
          <w:color w:val="auto"/>
          <w:highlight w:val="none"/>
        </w:rPr>
        <w:t>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w:t>
      </w:r>
      <w:r>
        <w:rPr>
          <w:rFonts w:hint="eastAsia" w:cs="Times New Roman"/>
          <w:color w:val="auto"/>
          <w:highlight w:val="none"/>
          <w:lang w:val="en-US" w:eastAsia="zh-CN"/>
        </w:rPr>
        <w:t>.</w:t>
      </w:r>
      <w:r>
        <w:rPr>
          <w:rFonts w:hint="eastAsia" w:eastAsia="宋体" w:cs="Times New Roman"/>
          <w:color w:val="auto"/>
          <w:highlight w:val="none"/>
        </w:rPr>
        <w:t>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9"/>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pPr>
        <w:pStyle w:val="17"/>
        <w:numPr>
          <w:ilvl w:val="0"/>
          <w:numId w:val="9"/>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pPr>
        <w:pStyle w:val="17"/>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pPr>
        <w:pStyle w:val="17"/>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pPr>
        <w:pStyle w:val="17"/>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pPr>
        <w:pStyle w:val="17"/>
        <w:numPr>
          <w:ilvl w:val="0"/>
          <w:numId w:val="9"/>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10</w:t>
      </w:r>
      <w:r>
        <w:rPr>
          <w:rFonts w:hint="eastAsia" w:cs="Times New Roman"/>
          <w:color w:val="auto"/>
          <w:highlight w:val="none"/>
          <w:lang w:val="en-US" w:eastAsia="zh-CN"/>
        </w:rPr>
        <w:t>.</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pPr>
        <w:pStyle w:val="12"/>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7"/>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pPr>
        <w:pStyle w:val="17"/>
        <w:spacing w:line="360" w:lineRule="auto"/>
        <w:jc w:val="center"/>
        <w:rPr>
          <w:rFonts w:hint="eastAsia" w:eastAsia="宋体" w:cs="Times New Roman"/>
          <w:b/>
          <w:color w:val="auto"/>
          <w:sz w:val="30"/>
          <w:szCs w:val="30"/>
          <w:highlight w:val="none"/>
        </w:rPr>
      </w:pPr>
      <w:bookmarkStart w:id="436" w:name="OLE_LINK39"/>
      <w:r>
        <w:rPr>
          <w:rFonts w:hint="eastAsia" w:eastAsia="宋体" w:cs="Times New Roman"/>
          <w:b/>
          <w:color w:val="auto"/>
          <w:sz w:val="30"/>
          <w:szCs w:val="30"/>
          <w:highlight w:val="none"/>
        </w:rPr>
        <w:t>开标一览表</w:t>
      </w:r>
      <w:bookmarkEnd w:id="436"/>
      <w:r>
        <w:rPr>
          <w:rFonts w:hint="eastAsia" w:ascii="仿宋_GB2312" w:hAnsi="仿宋" w:eastAsia="仿宋_GB2312" w:cs="仿宋_GB2312"/>
          <w:b/>
          <w:color w:val="auto"/>
          <w:kern w:val="0"/>
          <w:sz w:val="24"/>
          <w:highlight w:val="none"/>
          <w:lang w:val="zh-CN"/>
        </w:rPr>
        <w:t>(单位均为人民币元)</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2"/>
                <w:highlight w:val="none"/>
              </w:rPr>
            </w:pPr>
            <w:r>
              <w:rPr>
                <w:rFonts w:hint="eastAsia" w:ascii="Times New Roman"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p>
            <w:pPr>
              <w:jc w:val="left"/>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交付</w:t>
            </w:r>
            <w:r>
              <w:rPr>
                <w:rFonts w:hint="eastAsia" w:ascii="宋体" w:hAnsi="宋体" w:cs="Times New Roman"/>
                <w:color w:val="auto"/>
                <w:szCs w:val="21"/>
                <w:highlight w:val="none"/>
                <w:lang w:val="en-US" w:eastAsia="zh-CN"/>
              </w:rPr>
              <w:t>时间</w:t>
            </w:r>
            <w:r>
              <w:rPr>
                <w:rFonts w:hint="eastAsia" w:ascii="宋体" w:hAnsi="宋体" w:cs="Times New Roman"/>
                <w:color w:val="auto"/>
                <w:szCs w:val="21"/>
                <w:highlight w:val="none"/>
                <w:lang w:eastAsia="zh-CN"/>
              </w:rPr>
              <w:t>：</w:t>
            </w:r>
          </w:p>
        </w:tc>
      </w:tr>
    </w:tbl>
    <w:p>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Times New Roman"/>
          <w:color w:val="auto"/>
          <w:sz w:val="24"/>
          <w:highlight w:val="none"/>
          <w:u w:val="none"/>
          <w:lang w:val="en-US" w:eastAsia="zh-CN"/>
        </w:rPr>
        <w:t xml:space="preserve">                </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本表内容均不能涂改，</w:t>
      </w:r>
      <w:r>
        <w:rPr>
          <w:rFonts w:hint="eastAsia" w:ascii="宋体" w:hAnsi="宋体" w:eastAsia="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4.</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4"/>
        <w:rPr>
          <w:rFonts w:hint="eastAsia" w:ascii="宋体" w:hAnsi="宋体" w:eastAsia="宋体" w:cs="宋体"/>
          <w:color w:val="auto"/>
          <w:highlight w:val="none"/>
          <w:lang w:val="zh-CN"/>
        </w:rPr>
      </w:pP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napToGrid w:val="0"/>
        <w:spacing w:before="165" w:beforeLines="50" w:after="50"/>
        <w:jc w:val="center"/>
        <w:outlineLvl w:val="1"/>
        <w:rPr>
          <w:rFonts w:ascii="宋体" w:hAnsi="宋体" w:eastAsia="宋体" w:cs="Times New Roman"/>
          <w:b/>
          <w:bCs/>
          <w:color w:val="auto"/>
          <w:sz w:val="28"/>
          <w:szCs w:val="28"/>
          <w:highlight w:val="none"/>
        </w:rPr>
      </w:pPr>
      <w:bookmarkStart w:id="437"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37"/>
    </w:p>
    <w:p>
      <w:pPr>
        <w:widowControl/>
        <w:spacing w:line="240" w:lineRule="auto"/>
        <w:jc w:val="left"/>
        <w:rPr>
          <w:color w:val="auto"/>
          <w:sz w:val="20"/>
          <w:highlight w:val="none"/>
        </w:rPr>
      </w:pPr>
    </w:p>
    <w:p>
      <w:pPr>
        <w:pStyle w:val="2"/>
        <w:numPr>
          <w:ilvl w:val="0"/>
          <w:numId w:val="0"/>
        </w:numP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pStyle w:val="2"/>
        <w:numPr>
          <w:ilvl w:val="0"/>
          <w:numId w:val="0"/>
        </w:numPr>
        <w:rPr>
          <w:rFonts w:hint="eastAsia" w:ascii="宋体" w:hAnsi="宋体" w:eastAsia="宋体" w:cs="宋体"/>
          <w:color w:val="auto"/>
          <w:kern w:val="0"/>
          <w:sz w:val="28"/>
          <w:szCs w:val="28"/>
          <w:highlight w:val="none"/>
          <w:lang w:eastAsia="zh-CN"/>
        </w:rPr>
      </w:pPr>
    </w:p>
    <w:p>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pPr>
        <w:shd w:val="clear" w:color="auto" w:fill="FFFFFF"/>
        <w:spacing w:line="480" w:lineRule="atLeast"/>
        <w:jc w:val="center"/>
        <w:rPr>
          <w:rFonts w:hint="eastAsia" w:ascii="宋体" w:hAnsi="宋体" w:eastAsia="宋体"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pPr>
        <w:pStyle w:val="2"/>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2.政府采购项目履约保证金退付意见书的格式：</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pPr>
        <w:jc w:val="center"/>
        <w:rPr>
          <w:rFonts w:hint="eastAsia" w:ascii="宋体" w:hAnsi="宋体" w:eastAsia="宋体" w:cs="宋体"/>
          <w:color w:val="auto"/>
          <w:sz w:val="36"/>
          <w:szCs w:val="36"/>
          <w:highlight w:val="none"/>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ascii="宋体" w:hAnsi="宋体" w:eastAsia="宋体" w:cs="宋体"/>
                <w:color w:val="auto"/>
                <w:sz w:val="24"/>
                <w:highlight w:val="none"/>
              </w:rPr>
            </w:pPr>
          </w:p>
        </w:tc>
        <w:tc>
          <w:tcPr>
            <w:tcW w:w="8456"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ascii="宋体" w:hAnsi="宋体" w:eastAsia="宋体" w:cs="宋体"/>
                <w:color w:val="auto"/>
                <w:sz w:val="24"/>
                <w:highlight w:val="none"/>
              </w:rPr>
            </w:pPr>
          </w:p>
        </w:tc>
        <w:tc>
          <w:tcPr>
            <w:tcW w:w="8456" w:type="dxa"/>
            <w:noWrap w:val="0"/>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spacing w:line="400" w:lineRule="exact"/>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pPr>
              <w:rPr>
                <w:rFonts w:hint="eastAsia" w:ascii="宋体" w:hAnsi="宋体" w:eastAsia="宋体" w:cs="宋体"/>
                <w:color w:val="auto"/>
                <w:sz w:val="24"/>
                <w:highlight w:val="none"/>
              </w:rPr>
            </w:pPr>
          </w:p>
        </w:tc>
      </w:tr>
    </w:tbl>
    <w:p>
      <w:pPr>
        <w:pStyle w:val="14"/>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pPr>
        <w:pStyle w:val="17"/>
        <w:snapToGrid w:val="0"/>
        <w:spacing w:before="120" w:after="120"/>
        <w:rPr>
          <w:rFonts w:hint="eastAsia" w:hAnsi="宋体" w:eastAsia="宋体" w:cs="宋体"/>
          <w:color w:val="auto"/>
          <w:highlight w:val="none"/>
        </w:rPr>
      </w:pPr>
    </w:p>
    <w:p>
      <w:pPr>
        <w:snapToGrid w:val="0"/>
        <w:spacing w:before="50" w:after="165" w:afterLines="50" w:line="360" w:lineRule="auto"/>
        <w:jc w:val="left"/>
        <w:rPr>
          <w:rFonts w:hint="eastAsia" w:ascii="Times New Roman" w:hAnsi="Times New Roman" w:eastAsia="宋体" w:cs="Times New Roman"/>
          <w:color w:val="auto"/>
          <w:sz w:val="20"/>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rPr>
          <w:rFonts w:ascii="Times New Roman" w:hAnsi="Times New Roman" w:eastAsia="宋体" w:cs="Times New Roman"/>
          <w:b/>
          <w:color w:val="auto"/>
          <w:sz w:val="36"/>
          <w:highlight w:val="none"/>
        </w:rPr>
      </w:pPr>
    </w:p>
    <w:p>
      <w:pPr>
        <w:pStyle w:val="17"/>
        <w:tabs>
          <w:tab w:val="left" w:pos="2472"/>
        </w:tabs>
        <w:spacing w:line="460" w:lineRule="exact"/>
        <w:jc w:val="center"/>
        <w:outlineLvl w:val="0"/>
        <w:rPr>
          <w:rFonts w:ascii="Times New Roman" w:hAnsi="Times New Roman" w:eastAsia="宋体" w:cs="Times New Roman"/>
          <w:b/>
          <w:color w:val="auto"/>
          <w:sz w:val="36"/>
          <w:highlight w:val="none"/>
        </w:rPr>
      </w:pPr>
      <w:bookmarkStart w:id="438" w:name="_Toc18173"/>
      <w:bookmarkStart w:id="439" w:name="_Toc32028"/>
      <w:bookmarkStart w:id="440" w:name="_Toc2211"/>
      <w:bookmarkStart w:id="441" w:name="_Toc21753"/>
      <w:bookmarkStart w:id="442" w:name="_Toc7244"/>
      <w:bookmarkStart w:id="443" w:name="_Toc11260"/>
      <w:bookmarkStart w:id="444" w:name="_Toc25113"/>
      <w:bookmarkStart w:id="445" w:name="_Toc17736"/>
      <w:bookmarkStart w:id="446" w:name="_Toc31429"/>
      <w:bookmarkStart w:id="447" w:name="_Toc6635"/>
      <w:bookmarkStart w:id="448" w:name="_Toc491"/>
      <w:bookmarkStart w:id="449" w:name="_Toc31310"/>
      <w:bookmarkStart w:id="450" w:name="_Toc7254"/>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38"/>
      <w:bookmarkEnd w:id="439"/>
      <w:bookmarkEnd w:id="440"/>
      <w:bookmarkEnd w:id="441"/>
      <w:bookmarkEnd w:id="442"/>
      <w:bookmarkEnd w:id="443"/>
      <w:bookmarkEnd w:id="444"/>
      <w:bookmarkEnd w:id="445"/>
      <w:bookmarkEnd w:id="446"/>
      <w:bookmarkEnd w:id="447"/>
      <w:bookmarkEnd w:id="448"/>
      <w:bookmarkEnd w:id="449"/>
      <w:bookmarkEnd w:id="450"/>
    </w:p>
    <w:p>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451" w:name="_Toc25538"/>
      <w:bookmarkStart w:id="452" w:name="_Toc17610"/>
      <w:bookmarkStart w:id="453" w:name="_Toc3458"/>
      <w:bookmarkStart w:id="454" w:name="_Toc10944"/>
      <w:bookmarkStart w:id="455" w:name="_Toc15096"/>
      <w:bookmarkStart w:id="456" w:name="_Toc22540"/>
      <w:bookmarkStart w:id="457" w:name="_Toc31800"/>
      <w:bookmarkStart w:id="458" w:name="_Toc990"/>
      <w:bookmarkStart w:id="459" w:name="_Toc22595"/>
      <w:bookmarkStart w:id="460" w:name="_Toc12016"/>
      <w:r>
        <w:rPr>
          <w:rFonts w:hint="eastAsia" w:ascii="宋体" w:hAnsi="宋体" w:cs="Times New Roman"/>
          <w:b w:val="0"/>
          <w:bCs w:val="0"/>
          <w:color w:val="auto"/>
          <w:highlight w:val="none"/>
        </w:rPr>
        <w:t>第一节 质疑函（格式）</w:t>
      </w:r>
      <w:bookmarkEnd w:id="451"/>
      <w:bookmarkEnd w:id="452"/>
      <w:bookmarkEnd w:id="453"/>
      <w:bookmarkEnd w:id="454"/>
      <w:bookmarkEnd w:id="455"/>
      <w:bookmarkEnd w:id="456"/>
      <w:bookmarkEnd w:id="457"/>
      <w:bookmarkEnd w:id="458"/>
      <w:bookmarkEnd w:id="459"/>
      <w:bookmarkEnd w:id="460"/>
    </w:p>
    <w:p>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61" w:name="PO_3000001867_PM026_5"/>
      <w:r>
        <w:rPr>
          <w:rFonts w:hint="eastAsia" w:ascii="宋体" w:hAnsi="宋体" w:eastAsia="宋体" w:cs="宋体"/>
          <w:color w:val="auto"/>
          <w:sz w:val="24"/>
          <w:szCs w:val="24"/>
          <w:highlight w:val="none"/>
          <w:u w:val="dotted"/>
        </w:rPr>
        <w:t xml:space="preserve">                        </w:t>
      </w:r>
      <w:bookmarkEnd w:id="461"/>
      <w:r>
        <w:rPr>
          <w:rFonts w:hint="eastAsia" w:ascii="宋体" w:hAnsi="宋体" w:eastAsia="宋体" w:cs="宋体"/>
          <w:color w:val="auto"/>
          <w:sz w:val="24"/>
          <w:szCs w:val="24"/>
          <w:highlight w:val="none"/>
          <w:u w:val="dotted"/>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4"/>
        <w:jc w:val="center"/>
        <w:rPr>
          <w:rFonts w:hint="eastAsia" w:ascii="宋体" w:hAnsi="宋体" w:cs="Times New Roman"/>
          <w:b w:val="0"/>
          <w:bCs w:val="0"/>
          <w:color w:val="auto"/>
          <w:highlight w:val="none"/>
        </w:rPr>
      </w:pPr>
      <w:bookmarkStart w:id="462" w:name="_Toc24568"/>
      <w:bookmarkStart w:id="463" w:name="_Toc24894"/>
      <w:bookmarkStart w:id="464" w:name="_Toc8862"/>
      <w:bookmarkStart w:id="465" w:name="_Toc31203"/>
      <w:bookmarkStart w:id="466" w:name="_Toc7549"/>
      <w:bookmarkStart w:id="467" w:name="_Toc1896"/>
      <w:bookmarkStart w:id="468" w:name="_Toc11428"/>
      <w:bookmarkStart w:id="469" w:name="_Toc6551"/>
      <w:bookmarkStart w:id="470" w:name="_Toc32540"/>
      <w:bookmarkStart w:id="471" w:name="_Toc11984"/>
      <w:r>
        <w:rPr>
          <w:rFonts w:hint="eastAsia" w:ascii="宋体" w:hAnsi="宋体" w:cs="Times New Roman"/>
          <w:b w:val="0"/>
          <w:bCs w:val="0"/>
          <w:color w:val="auto"/>
          <w:highlight w:val="none"/>
        </w:rPr>
        <w:t>第二节 投诉书（格式）</w:t>
      </w:r>
      <w:bookmarkEnd w:id="462"/>
      <w:bookmarkEnd w:id="463"/>
      <w:bookmarkEnd w:id="464"/>
      <w:bookmarkEnd w:id="465"/>
      <w:bookmarkEnd w:id="466"/>
      <w:bookmarkEnd w:id="467"/>
      <w:bookmarkEnd w:id="468"/>
      <w:bookmarkEnd w:id="469"/>
      <w:bookmarkEnd w:id="470"/>
      <w:bookmarkEnd w:id="471"/>
    </w:p>
    <w:p>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pPr>
        <w:rPr>
          <w:rFonts w:hint="eastAsia" w:ascii="黑体" w:hAnsi="黑体" w:eastAsia="黑体" w:cs="Times New Roman"/>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72" w:name="PO_3000001867_PM002_12"/>
      <w:r>
        <w:rPr>
          <w:rFonts w:hint="eastAsia" w:ascii="宋体" w:hAnsi="宋体" w:eastAsia="宋体" w:cs="宋体"/>
          <w:color w:val="auto"/>
          <w:sz w:val="24"/>
          <w:szCs w:val="24"/>
          <w:highlight w:val="none"/>
          <w:u w:val="dotted"/>
        </w:rPr>
        <w:t xml:space="preserve">                    </w:t>
      </w:r>
      <w:bookmarkEnd w:id="472"/>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73" w:name="PO_3000001867_PM001_9"/>
      <w:r>
        <w:rPr>
          <w:rFonts w:hint="eastAsia" w:ascii="宋体" w:hAnsi="宋体" w:eastAsia="宋体" w:cs="宋体"/>
          <w:color w:val="auto"/>
          <w:sz w:val="24"/>
          <w:szCs w:val="24"/>
          <w:highlight w:val="none"/>
          <w:u w:val="dotted"/>
        </w:rPr>
        <w:t xml:space="preserve">                    </w:t>
      </w:r>
      <w:bookmarkEnd w:id="473"/>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74" w:name="PO_3000001867_PM026_6"/>
      <w:r>
        <w:rPr>
          <w:rFonts w:hint="eastAsia" w:ascii="宋体" w:hAnsi="宋体" w:eastAsia="宋体" w:cs="宋体"/>
          <w:color w:val="auto"/>
          <w:sz w:val="24"/>
          <w:szCs w:val="24"/>
          <w:highlight w:val="none"/>
          <w:u w:val="dotted"/>
        </w:rPr>
        <w:t xml:space="preserve">                    </w:t>
      </w:r>
      <w:bookmarkEnd w:id="474"/>
      <w:r>
        <w:rPr>
          <w:rFonts w:hint="eastAsia" w:ascii="宋体" w:hAnsi="宋体" w:eastAsia="宋体" w:cs="宋体"/>
          <w:color w:val="auto"/>
          <w:sz w:val="24"/>
          <w:szCs w:val="24"/>
          <w:highlight w:val="none"/>
          <w:u w:val="dotted"/>
          <w:lang w:val="en-US" w:eastAsia="zh-CN"/>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Ђ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2"/>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2"/>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DE7051BD"/>
    <w:multiLevelType w:val="singleLevel"/>
    <w:tmpl w:val="DE7051BD"/>
    <w:lvl w:ilvl="0" w:tentative="0">
      <w:start w:val="1"/>
      <w:numFmt w:val="decimal"/>
      <w:lvlText w:val="%1."/>
      <w:lvlJc w:val="left"/>
      <w:pPr>
        <w:tabs>
          <w:tab w:val="left" w:pos="312"/>
        </w:tabs>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4D42276C"/>
    <w:multiLevelType w:val="singleLevel"/>
    <w:tmpl w:val="4D42276C"/>
    <w:lvl w:ilvl="0" w:tentative="0">
      <w:start w:val="1"/>
      <w:numFmt w:val="decimal"/>
      <w:suff w:val="nothing"/>
      <w:lvlText w:val="（%1）"/>
      <w:lvlJc w:val="left"/>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5FDFD5E2"/>
    <w:multiLevelType w:val="singleLevel"/>
    <w:tmpl w:val="5FDFD5E2"/>
    <w:lvl w:ilvl="0" w:tentative="0">
      <w:start w:val="1"/>
      <w:numFmt w:val="decimal"/>
      <w:suff w:val="nothing"/>
      <w:lvlText w:val="（%1）"/>
      <w:lvlJc w:val="left"/>
    </w:lvl>
  </w:abstractNum>
  <w:abstractNum w:abstractNumId="8">
    <w:nsid w:val="71A7DFB3"/>
    <w:multiLevelType w:val="singleLevel"/>
    <w:tmpl w:val="71A7DFB3"/>
    <w:lvl w:ilvl="0" w:tentative="0">
      <w:start w:val="1"/>
      <w:numFmt w:val="decimal"/>
      <w:lvlText w:val="%1."/>
      <w:lvlJc w:val="left"/>
      <w:pPr>
        <w:tabs>
          <w:tab w:val="left" w:pos="312"/>
        </w:tabs>
      </w:pPr>
    </w:lvl>
  </w:abstractNum>
  <w:num w:numId="1">
    <w:abstractNumId w:val="1"/>
  </w:num>
  <w:num w:numId="2">
    <w:abstractNumId w:val="8"/>
  </w:num>
  <w:num w:numId="3">
    <w:abstractNumId w:val="0"/>
  </w:num>
  <w:num w:numId="4">
    <w:abstractNumId w:val="6"/>
    <w:lvlOverride w:ilvl="0">
      <w:startOverride w:val="1"/>
    </w:lvlOverride>
  </w:num>
  <w:num w:numId="5">
    <w:abstractNumId w:val="5"/>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RhY2JlYjM0ZTEwMWVlM2YzNWExMTA1NTcxNDAifQ=="/>
  </w:docVars>
  <w:rsids>
    <w:rsidRoot w:val="00000000"/>
    <w:rsid w:val="00C621D0"/>
    <w:rsid w:val="00D26508"/>
    <w:rsid w:val="00D47C35"/>
    <w:rsid w:val="00D95B39"/>
    <w:rsid w:val="00DB6B5A"/>
    <w:rsid w:val="01095920"/>
    <w:rsid w:val="01121D8B"/>
    <w:rsid w:val="011B02F9"/>
    <w:rsid w:val="012A54D2"/>
    <w:rsid w:val="014275A5"/>
    <w:rsid w:val="014E69AF"/>
    <w:rsid w:val="01A72EEF"/>
    <w:rsid w:val="01BE6222"/>
    <w:rsid w:val="01C73E98"/>
    <w:rsid w:val="01C92250"/>
    <w:rsid w:val="02055082"/>
    <w:rsid w:val="02840131"/>
    <w:rsid w:val="02974B2C"/>
    <w:rsid w:val="02CC6E30"/>
    <w:rsid w:val="02D92142"/>
    <w:rsid w:val="03323B4D"/>
    <w:rsid w:val="035C3D6F"/>
    <w:rsid w:val="036A4118"/>
    <w:rsid w:val="037B5A38"/>
    <w:rsid w:val="038207AB"/>
    <w:rsid w:val="038F07B3"/>
    <w:rsid w:val="04054EA8"/>
    <w:rsid w:val="041C7FB9"/>
    <w:rsid w:val="0423779E"/>
    <w:rsid w:val="047475DC"/>
    <w:rsid w:val="04975296"/>
    <w:rsid w:val="049A7C20"/>
    <w:rsid w:val="049B317F"/>
    <w:rsid w:val="04A309D6"/>
    <w:rsid w:val="04A57753"/>
    <w:rsid w:val="04C31FAE"/>
    <w:rsid w:val="04D42728"/>
    <w:rsid w:val="04E34912"/>
    <w:rsid w:val="054579FD"/>
    <w:rsid w:val="054D6CFB"/>
    <w:rsid w:val="054F5D32"/>
    <w:rsid w:val="05674649"/>
    <w:rsid w:val="056D44BF"/>
    <w:rsid w:val="05A71B3F"/>
    <w:rsid w:val="05BE24D8"/>
    <w:rsid w:val="05EC04F9"/>
    <w:rsid w:val="05F34893"/>
    <w:rsid w:val="060A5367"/>
    <w:rsid w:val="061760BE"/>
    <w:rsid w:val="066F5DC3"/>
    <w:rsid w:val="0676474C"/>
    <w:rsid w:val="068C4871"/>
    <w:rsid w:val="069602FF"/>
    <w:rsid w:val="06F62551"/>
    <w:rsid w:val="072D0157"/>
    <w:rsid w:val="075D020D"/>
    <w:rsid w:val="07621280"/>
    <w:rsid w:val="0790327A"/>
    <w:rsid w:val="07A428E3"/>
    <w:rsid w:val="07CB185D"/>
    <w:rsid w:val="07DA4E9C"/>
    <w:rsid w:val="08093A71"/>
    <w:rsid w:val="08825F1C"/>
    <w:rsid w:val="08A76D34"/>
    <w:rsid w:val="08F00221"/>
    <w:rsid w:val="08F852E6"/>
    <w:rsid w:val="08FB6F31"/>
    <w:rsid w:val="09092DE7"/>
    <w:rsid w:val="09572877"/>
    <w:rsid w:val="097C1490"/>
    <w:rsid w:val="099E24B2"/>
    <w:rsid w:val="09AB0983"/>
    <w:rsid w:val="09CE1116"/>
    <w:rsid w:val="09E076C7"/>
    <w:rsid w:val="0A1E7575"/>
    <w:rsid w:val="0A2013A9"/>
    <w:rsid w:val="0A22681A"/>
    <w:rsid w:val="0A435CEB"/>
    <w:rsid w:val="0A564057"/>
    <w:rsid w:val="0A765A8A"/>
    <w:rsid w:val="0A7756BB"/>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463AE2"/>
    <w:rsid w:val="0C51498E"/>
    <w:rsid w:val="0C585D0D"/>
    <w:rsid w:val="0C944D0C"/>
    <w:rsid w:val="0CDC043F"/>
    <w:rsid w:val="0D3B1F2E"/>
    <w:rsid w:val="0D3B4AA2"/>
    <w:rsid w:val="0D543F47"/>
    <w:rsid w:val="0D9269B0"/>
    <w:rsid w:val="0D992AED"/>
    <w:rsid w:val="0E0F21BC"/>
    <w:rsid w:val="0E1770D6"/>
    <w:rsid w:val="0E2B18D5"/>
    <w:rsid w:val="0E3218E4"/>
    <w:rsid w:val="0E3E6654"/>
    <w:rsid w:val="0E73260E"/>
    <w:rsid w:val="0EA91BC1"/>
    <w:rsid w:val="0EEF6AAD"/>
    <w:rsid w:val="0EFB7D6B"/>
    <w:rsid w:val="0F012419"/>
    <w:rsid w:val="0F0311C1"/>
    <w:rsid w:val="0F035F56"/>
    <w:rsid w:val="0F17197D"/>
    <w:rsid w:val="0F3410B2"/>
    <w:rsid w:val="0F524821"/>
    <w:rsid w:val="0F6B1F01"/>
    <w:rsid w:val="0FB74DC9"/>
    <w:rsid w:val="101A621B"/>
    <w:rsid w:val="102F0E28"/>
    <w:rsid w:val="10390118"/>
    <w:rsid w:val="10A25EDA"/>
    <w:rsid w:val="10D4339F"/>
    <w:rsid w:val="110A4333"/>
    <w:rsid w:val="11652FD6"/>
    <w:rsid w:val="11D843F8"/>
    <w:rsid w:val="11F56084"/>
    <w:rsid w:val="120D6C92"/>
    <w:rsid w:val="124B49D0"/>
    <w:rsid w:val="12DE2AB6"/>
    <w:rsid w:val="12E271C4"/>
    <w:rsid w:val="12E63C04"/>
    <w:rsid w:val="13004370"/>
    <w:rsid w:val="13743515"/>
    <w:rsid w:val="13A26AA4"/>
    <w:rsid w:val="13D773DA"/>
    <w:rsid w:val="144E3925"/>
    <w:rsid w:val="14523C8E"/>
    <w:rsid w:val="14805E28"/>
    <w:rsid w:val="14814229"/>
    <w:rsid w:val="1485642A"/>
    <w:rsid w:val="148C55F5"/>
    <w:rsid w:val="1493579A"/>
    <w:rsid w:val="14A02656"/>
    <w:rsid w:val="14EF2214"/>
    <w:rsid w:val="15112FB3"/>
    <w:rsid w:val="1517629B"/>
    <w:rsid w:val="15A71FCF"/>
    <w:rsid w:val="15CE73E7"/>
    <w:rsid w:val="15DA6861"/>
    <w:rsid w:val="15F7039E"/>
    <w:rsid w:val="16243806"/>
    <w:rsid w:val="16521360"/>
    <w:rsid w:val="169D6CED"/>
    <w:rsid w:val="16CC463A"/>
    <w:rsid w:val="172A6452"/>
    <w:rsid w:val="174638BB"/>
    <w:rsid w:val="17526FA4"/>
    <w:rsid w:val="178A5D34"/>
    <w:rsid w:val="1795379C"/>
    <w:rsid w:val="18063809"/>
    <w:rsid w:val="180939DF"/>
    <w:rsid w:val="18254473"/>
    <w:rsid w:val="18817186"/>
    <w:rsid w:val="18A53C2D"/>
    <w:rsid w:val="18E66AB2"/>
    <w:rsid w:val="19097C61"/>
    <w:rsid w:val="19155678"/>
    <w:rsid w:val="19241D0A"/>
    <w:rsid w:val="194F7902"/>
    <w:rsid w:val="19B81747"/>
    <w:rsid w:val="19C31B39"/>
    <w:rsid w:val="19DC1C4E"/>
    <w:rsid w:val="19FF33EE"/>
    <w:rsid w:val="1A224809"/>
    <w:rsid w:val="1A70567B"/>
    <w:rsid w:val="1A774458"/>
    <w:rsid w:val="1A846A93"/>
    <w:rsid w:val="1AA22304"/>
    <w:rsid w:val="1ABD34B5"/>
    <w:rsid w:val="1B073DB4"/>
    <w:rsid w:val="1B1A3D35"/>
    <w:rsid w:val="1B8B4540"/>
    <w:rsid w:val="1B980981"/>
    <w:rsid w:val="1BC83144"/>
    <w:rsid w:val="1BEA4C7C"/>
    <w:rsid w:val="1C885DAD"/>
    <w:rsid w:val="1C9E7D2D"/>
    <w:rsid w:val="1CA43733"/>
    <w:rsid w:val="1CAB0B30"/>
    <w:rsid w:val="1CCA5C25"/>
    <w:rsid w:val="1D556DBC"/>
    <w:rsid w:val="1DB9318D"/>
    <w:rsid w:val="1DF1639C"/>
    <w:rsid w:val="1E037DAC"/>
    <w:rsid w:val="1E262263"/>
    <w:rsid w:val="1E371FCE"/>
    <w:rsid w:val="1E55723C"/>
    <w:rsid w:val="1EA4279A"/>
    <w:rsid w:val="1EA700B7"/>
    <w:rsid w:val="1F152A17"/>
    <w:rsid w:val="1F4E3E9E"/>
    <w:rsid w:val="1F6210D9"/>
    <w:rsid w:val="1F640C4B"/>
    <w:rsid w:val="1F7C3BBA"/>
    <w:rsid w:val="1FC2394D"/>
    <w:rsid w:val="1FCF2A25"/>
    <w:rsid w:val="1FF3184D"/>
    <w:rsid w:val="20203646"/>
    <w:rsid w:val="202A5D19"/>
    <w:rsid w:val="208D2FA3"/>
    <w:rsid w:val="20910DC7"/>
    <w:rsid w:val="209640CD"/>
    <w:rsid w:val="20967EE2"/>
    <w:rsid w:val="20D3473E"/>
    <w:rsid w:val="20DD79A8"/>
    <w:rsid w:val="20E233A0"/>
    <w:rsid w:val="20E3050A"/>
    <w:rsid w:val="21170006"/>
    <w:rsid w:val="213D7796"/>
    <w:rsid w:val="215E6B36"/>
    <w:rsid w:val="21660D84"/>
    <w:rsid w:val="217D1569"/>
    <w:rsid w:val="21AB6CB3"/>
    <w:rsid w:val="21B4139D"/>
    <w:rsid w:val="21DA28C2"/>
    <w:rsid w:val="21E92535"/>
    <w:rsid w:val="21EA67DF"/>
    <w:rsid w:val="22494C50"/>
    <w:rsid w:val="22551944"/>
    <w:rsid w:val="225718E5"/>
    <w:rsid w:val="2279283A"/>
    <w:rsid w:val="227A5108"/>
    <w:rsid w:val="22893EED"/>
    <w:rsid w:val="22AB5DF9"/>
    <w:rsid w:val="22AF297E"/>
    <w:rsid w:val="22C87A6E"/>
    <w:rsid w:val="22CE4F93"/>
    <w:rsid w:val="22DA3051"/>
    <w:rsid w:val="22DC4C58"/>
    <w:rsid w:val="23236BC0"/>
    <w:rsid w:val="237F36A3"/>
    <w:rsid w:val="23AD68F9"/>
    <w:rsid w:val="23C31EAF"/>
    <w:rsid w:val="23C46C9C"/>
    <w:rsid w:val="23CD5BEA"/>
    <w:rsid w:val="23D46646"/>
    <w:rsid w:val="23E16DB3"/>
    <w:rsid w:val="23EF07BD"/>
    <w:rsid w:val="240B21ED"/>
    <w:rsid w:val="242D3833"/>
    <w:rsid w:val="24816B05"/>
    <w:rsid w:val="24941690"/>
    <w:rsid w:val="24CF590E"/>
    <w:rsid w:val="24FD473D"/>
    <w:rsid w:val="25581FF1"/>
    <w:rsid w:val="25665875"/>
    <w:rsid w:val="256C491B"/>
    <w:rsid w:val="258F5A73"/>
    <w:rsid w:val="25AF7D77"/>
    <w:rsid w:val="25B61F3B"/>
    <w:rsid w:val="25CF57C2"/>
    <w:rsid w:val="25E2566C"/>
    <w:rsid w:val="26024071"/>
    <w:rsid w:val="26A742E8"/>
    <w:rsid w:val="26CF1553"/>
    <w:rsid w:val="26DA0542"/>
    <w:rsid w:val="273259A9"/>
    <w:rsid w:val="27380A7A"/>
    <w:rsid w:val="27503865"/>
    <w:rsid w:val="275A5F00"/>
    <w:rsid w:val="276258F6"/>
    <w:rsid w:val="279A2560"/>
    <w:rsid w:val="27BF2BA3"/>
    <w:rsid w:val="27CE5C62"/>
    <w:rsid w:val="27DA7DAA"/>
    <w:rsid w:val="27F23143"/>
    <w:rsid w:val="28063E8E"/>
    <w:rsid w:val="28790670"/>
    <w:rsid w:val="29095C9F"/>
    <w:rsid w:val="291B1976"/>
    <w:rsid w:val="292145DB"/>
    <w:rsid w:val="292D12B6"/>
    <w:rsid w:val="29AB0C3B"/>
    <w:rsid w:val="29BB4910"/>
    <w:rsid w:val="29DB234D"/>
    <w:rsid w:val="29DD3939"/>
    <w:rsid w:val="2A1F36F3"/>
    <w:rsid w:val="2A5212E6"/>
    <w:rsid w:val="2A5911D6"/>
    <w:rsid w:val="2A636FF6"/>
    <w:rsid w:val="2A80573B"/>
    <w:rsid w:val="2AB01D87"/>
    <w:rsid w:val="2B0E2702"/>
    <w:rsid w:val="2B3B1E66"/>
    <w:rsid w:val="2B693CA0"/>
    <w:rsid w:val="2B770163"/>
    <w:rsid w:val="2B960D99"/>
    <w:rsid w:val="2B9E3F4D"/>
    <w:rsid w:val="2B9E7E17"/>
    <w:rsid w:val="2BCB247B"/>
    <w:rsid w:val="2C7D12B4"/>
    <w:rsid w:val="2CCA7EB6"/>
    <w:rsid w:val="2CED73A5"/>
    <w:rsid w:val="2CF72413"/>
    <w:rsid w:val="2D3347E7"/>
    <w:rsid w:val="2D4F38E3"/>
    <w:rsid w:val="2D6045A9"/>
    <w:rsid w:val="2D9617F6"/>
    <w:rsid w:val="2DBE7E6A"/>
    <w:rsid w:val="2DCB0FE4"/>
    <w:rsid w:val="2DEC5B1F"/>
    <w:rsid w:val="2E21726B"/>
    <w:rsid w:val="2E7532C5"/>
    <w:rsid w:val="2EC42EDA"/>
    <w:rsid w:val="2EEB7660"/>
    <w:rsid w:val="2F423753"/>
    <w:rsid w:val="2F4F3B4B"/>
    <w:rsid w:val="2F575FD4"/>
    <w:rsid w:val="2FB87BD1"/>
    <w:rsid w:val="2FF80F0E"/>
    <w:rsid w:val="304108B1"/>
    <w:rsid w:val="305807BF"/>
    <w:rsid w:val="305C6EA6"/>
    <w:rsid w:val="306B5FE8"/>
    <w:rsid w:val="307E46AF"/>
    <w:rsid w:val="30D81EF7"/>
    <w:rsid w:val="30D93356"/>
    <w:rsid w:val="30DA1DD9"/>
    <w:rsid w:val="318C4BC4"/>
    <w:rsid w:val="318D2CFD"/>
    <w:rsid w:val="31EF7B28"/>
    <w:rsid w:val="31F0564D"/>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2700AE"/>
    <w:rsid w:val="33800A0F"/>
    <w:rsid w:val="338E424C"/>
    <w:rsid w:val="339B377C"/>
    <w:rsid w:val="33D1368F"/>
    <w:rsid w:val="345631E3"/>
    <w:rsid w:val="34572A71"/>
    <w:rsid w:val="349D7A9E"/>
    <w:rsid w:val="34B410D3"/>
    <w:rsid w:val="34BB41E0"/>
    <w:rsid w:val="34BC4B4B"/>
    <w:rsid w:val="35005DCC"/>
    <w:rsid w:val="3507717E"/>
    <w:rsid w:val="350C2D09"/>
    <w:rsid w:val="35564F85"/>
    <w:rsid w:val="3592350F"/>
    <w:rsid w:val="35A67A5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20584E"/>
    <w:rsid w:val="375D21A8"/>
    <w:rsid w:val="376C2F10"/>
    <w:rsid w:val="3779039B"/>
    <w:rsid w:val="37FB3273"/>
    <w:rsid w:val="383967AA"/>
    <w:rsid w:val="387D41EE"/>
    <w:rsid w:val="387F5AF8"/>
    <w:rsid w:val="38E50D89"/>
    <w:rsid w:val="39455184"/>
    <w:rsid w:val="39726B7C"/>
    <w:rsid w:val="399B6E57"/>
    <w:rsid w:val="39EA3076"/>
    <w:rsid w:val="3A2C1123"/>
    <w:rsid w:val="3A395E36"/>
    <w:rsid w:val="3A443C96"/>
    <w:rsid w:val="3A5E70A9"/>
    <w:rsid w:val="3A605AF2"/>
    <w:rsid w:val="3ADE1AAE"/>
    <w:rsid w:val="3B457F98"/>
    <w:rsid w:val="3B6C49BC"/>
    <w:rsid w:val="3B776CDF"/>
    <w:rsid w:val="3BA30382"/>
    <w:rsid w:val="3BAA39EE"/>
    <w:rsid w:val="3C0359A7"/>
    <w:rsid w:val="3C3A0A68"/>
    <w:rsid w:val="3C457F4A"/>
    <w:rsid w:val="3C9C292F"/>
    <w:rsid w:val="3DBD339D"/>
    <w:rsid w:val="3E4F3CEB"/>
    <w:rsid w:val="3E8B7A4C"/>
    <w:rsid w:val="3EF54968"/>
    <w:rsid w:val="3F1B0FC1"/>
    <w:rsid w:val="3F246DEE"/>
    <w:rsid w:val="3F2C0824"/>
    <w:rsid w:val="3F320B28"/>
    <w:rsid w:val="3F4A0470"/>
    <w:rsid w:val="3F5512BA"/>
    <w:rsid w:val="3FD602BE"/>
    <w:rsid w:val="400468BA"/>
    <w:rsid w:val="40455FBC"/>
    <w:rsid w:val="40D60483"/>
    <w:rsid w:val="40E67721"/>
    <w:rsid w:val="40EF446D"/>
    <w:rsid w:val="40FD0A5D"/>
    <w:rsid w:val="41366D43"/>
    <w:rsid w:val="414A1BE4"/>
    <w:rsid w:val="4152018A"/>
    <w:rsid w:val="416C7DBD"/>
    <w:rsid w:val="41F122DB"/>
    <w:rsid w:val="4234381E"/>
    <w:rsid w:val="42954201"/>
    <w:rsid w:val="429823CB"/>
    <w:rsid w:val="429D5C8C"/>
    <w:rsid w:val="42A178EE"/>
    <w:rsid w:val="43050FCE"/>
    <w:rsid w:val="433831AE"/>
    <w:rsid w:val="433B256A"/>
    <w:rsid w:val="43460D6B"/>
    <w:rsid w:val="43F31EC1"/>
    <w:rsid w:val="43FB1131"/>
    <w:rsid w:val="441A2345"/>
    <w:rsid w:val="44385910"/>
    <w:rsid w:val="443F0DB6"/>
    <w:rsid w:val="445E4478"/>
    <w:rsid w:val="447E4A26"/>
    <w:rsid w:val="449F1233"/>
    <w:rsid w:val="44E471D7"/>
    <w:rsid w:val="45500698"/>
    <w:rsid w:val="458F40E0"/>
    <w:rsid w:val="45D4622A"/>
    <w:rsid w:val="462E0726"/>
    <w:rsid w:val="4683709C"/>
    <w:rsid w:val="46971BE9"/>
    <w:rsid w:val="46AF2877"/>
    <w:rsid w:val="46EC4F2E"/>
    <w:rsid w:val="471760F8"/>
    <w:rsid w:val="47435B56"/>
    <w:rsid w:val="476123B9"/>
    <w:rsid w:val="47706491"/>
    <w:rsid w:val="47720309"/>
    <w:rsid w:val="478009AC"/>
    <w:rsid w:val="47A42B87"/>
    <w:rsid w:val="47B03B4D"/>
    <w:rsid w:val="484A0F00"/>
    <w:rsid w:val="484E4048"/>
    <w:rsid w:val="48787FAC"/>
    <w:rsid w:val="489B2F4B"/>
    <w:rsid w:val="48A1116B"/>
    <w:rsid w:val="48C0305C"/>
    <w:rsid w:val="48CF07C1"/>
    <w:rsid w:val="48D1046F"/>
    <w:rsid w:val="49360D0C"/>
    <w:rsid w:val="493865B5"/>
    <w:rsid w:val="496C7C8D"/>
    <w:rsid w:val="498469FF"/>
    <w:rsid w:val="49DF5A21"/>
    <w:rsid w:val="4A187D2D"/>
    <w:rsid w:val="4AC863B5"/>
    <w:rsid w:val="4ADD6C7C"/>
    <w:rsid w:val="4AF46C49"/>
    <w:rsid w:val="4B410C16"/>
    <w:rsid w:val="4B44380D"/>
    <w:rsid w:val="4B7F5BCC"/>
    <w:rsid w:val="4BA94BA1"/>
    <w:rsid w:val="4BB30F42"/>
    <w:rsid w:val="4BC17ABD"/>
    <w:rsid w:val="4BE30FDE"/>
    <w:rsid w:val="4BE72F58"/>
    <w:rsid w:val="4BEE18C0"/>
    <w:rsid w:val="4BF33563"/>
    <w:rsid w:val="4BF50CB2"/>
    <w:rsid w:val="4C6E15BF"/>
    <w:rsid w:val="4C737E6D"/>
    <w:rsid w:val="4CAF6EB5"/>
    <w:rsid w:val="4CB2054A"/>
    <w:rsid w:val="4CC6023B"/>
    <w:rsid w:val="4CC65386"/>
    <w:rsid w:val="4CD72D82"/>
    <w:rsid w:val="4CDB591E"/>
    <w:rsid w:val="4CDF679D"/>
    <w:rsid w:val="4CFE0910"/>
    <w:rsid w:val="4D165162"/>
    <w:rsid w:val="4D170BB5"/>
    <w:rsid w:val="4D574D34"/>
    <w:rsid w:val="4D640565"/>
    <w:rsid w:val="4D7213D6"/>
    <w:rsid w:val="4DB67C3F"/>
    <w:rsid w:val="4DB93C1C"/>
    <w:rsid w:val="4DDB3C99"/>
    <w:rsid w:val="4DDC3463"/>
    <w:rsid w:val="4E050942"/>
    <w:rsid w:val="4E241925"/>
    <w:rsid w:val="4E247E95"/>
    <w:rsid w:val="4E274294"/>
    <w:rsid w:val="4E4207B2"/>
    <w:rsid w:val="4E5649B8"/>
    <w:rsid w:val="4EC84766"/>
    <w:rsid w:val="4ED133E0"/>
    <w:rsid w:val="4EE1639C"/>
    <w:rsid w:val="4EF94B51"/>
    <w:rsid w:val="4F4F2ACB"/>
    <w:rsid w:val="4F7A5C1F"/>
    <w:rsid w:val="4F8F33DB"/>
    <w:rsid w:val="4F940DFD"/>
    <w:rsid w:val="4F9D2D1D"/>
    <w:rsid w:val="4FB708E9"/>
    <w:rsid w:val="4FF8744B"/>
    <w:rsid w:val="4FFB507E"/>
    <w:rsid w:val="501C5568"/>
    <w:rsid w:val="503F1F7D"/>
    <w:rsid w:val="50815D87"/>
    <w:rsid w:val="50875DDA"/>
    <w:rsid w:val="50A67405"/>
    <w:rsid w:val="50BF7A86"/>
    <w:rsid w:val="50F7462E"/>
    <w:rsid w:val="50FC2C3C"/>
    <w:rsid w:val="511424A7"/>
    <w:rsid w:val="511E3C91"/>
    <w:rsid w:val="5165451C"/>
    <w:rsid w:val="518F7337"/>
    <w:rsid w:val="51CA2B07"/>
    <w:rsid w:val="51D574B6"/>
    <w:rsid w:val="51D97625"/>
    <w:rsid w:val="520D40AC"/>
    <w:rsid w:val="52237D21"/>
    <w:rsid w:val="524B5983"/>
    <w:rsid w:val="527777E7"/>
    <w:rsid w:val="528E2E9A"/>
    <w:rsid w:val="52A248C9"/>
    <w:rsid w:val="52E413C5"/>
    <w:rsid w:val="533E54DE"/>
    <w:rsid w:val="53532AF5"/>
    <w:rsid w:val="5363174A"/>
    <w:rsid w:val="53781CD0"/>
    <w:rsid w:val="53BE66B0"/>
    <w:rsid w:val="53D272B4"/>
    <w:rsid w:val="53D42902"/>
    <w:rsid w:val="53E429F3"/>
    <w:rsid w:val="53FC7D3D"/>
    <w:rsid w:val="54044343"/>
    <w:rsid w:val="544F4B17"/>
    <w:rsid w:val="54690E06"/>
    <w:rsid w:val="547D1B69"/>
    <w:rsid w:val="547D3CA1"/>
    <w:rsid w:val="549A78FD"/>
    <w:rsid w:val="54A71544"/>
    <w:rsid w:val="54E03240"/>
    <w:rsid w:val="54E161E6"/>
    <w:rsid w:val="55690BF5"/>
    <w:rsid w:val="55717EF0"/>
    <w:rsid w:val="55B83796"/>
    <w:rsid w:val="55BD62FC"/>
    <w:rsid w:val="55CF4789"/>
    <w:rsid w:val="55E24205"/>
    <w:rsid w:val="55E67589"/>
    <w:rsid w:val="55FF3119"/>
    <w:rsid w:val="561600F9"/>
    <w:rsid w:val="56290606"/>
    <w:rsid w:val="56960007"/>
    <w:rsid w:val="569C33FD"/>
    <w:rsid w:val="56A67268"/>
    <w:rsid w:val="56AD53E1"/>
    <w:rsid w:val="56AE727A"/>
    <w:rsid w:val="56E17E4B"/>
    <w:rsid w:val="56E8593D"/>
    <w:rsid w:val="571177FA"/>
    <w:rsid w:val="571A4D54"/>
    <w:rsid w:val="57285324"/>
    <w:rsid w:val="572C50A1"/>
    <w:rsid w:val="574A79DE"/>
    <w:rsid w:val="574E744D"/>
    <w:rsid w:val="57862A77"/>
    <w:rsid w:val="579375BE"/>
    <w:rsid w:val="57D26EB7"/>
    <w:rsid w:val="580653FD"/>
    <w:rsid w:val="580946C3"/>
    <w:rsid w:val="580F63AE"/>
    <w:rsid w:val="586B7753"/>
    <w:rsid w:val="58AA581E"/>
    <w:rsid w:val="58D5070A"/>
    <w:rsid w:val="59043E01"/>
    <w:rsid w:val="59355E79"/>
    <w:rsid w:val="59715A31"/>
    <w:rsid w:val="59BB60CF"/>
    <w:rsid w:val="59D34D02"/>
    <w:rsid w:val="5A4E4EC1"/>
    <w:rsid w:val="5A4E7262"/>
    <w:rsid w:val="5A791DEA"/>
    <w:rsid w:val="5A7C75A7"/>
    <w:rsid w:val="5A831B3A"/>
    <w:rsid w:val="5AEE72F1"/>
    <w:rsid w:val="5BA26C0E"/>
    <w:rsid w:val="5BC24B08"/>
    <w:rsid w:val="5BE34185"/>
    <w:rsid w:val="5BF6728A"/>
    <w:rsid w:val="5C083ADA"/>
    <w:rsid w:val="5C766F57"/>
    <w:rsid w:val="5C7865A7"/>
    <w:rsid w:val="5C9F3A65"/>
    <w:rsid w:val="5CB11B30"/>
    <w:rsid w:val="5D0118D0"/>
    <w:rsid w:val="5D0C1B5E"/>
    <w:rsid w:val="5D10309F"/>
    <w:rsid w:val="5D2B4B79"/>
    <w:rsid w:val="5D3D543E"/>
    <w:rsid w:val="5D425978"/>
    <w:rsid w:val="5D6F03B3"/>
    <w:rsid w:val="5D8F57D0"/>
    <w:rsid w:val="5D9769EF"/>
    <w:rsid w:val="5DB43D5B"/>
    <w:rsid w:val="5DBC7815"/>
    <w:rsid w:val="5DC90AF1"/>
    <w:rsid w:val="5E1F3CF6"/>
    <w:rsid w:val="5E565CA2"/>
    <w:rsid w:val="5E7B08D1"/>
    <w:rsid w:val="5E826CA8"/>
    <w:rsid w:val="5E847D30"/>
    <w:rsid w:val="5E8B2C0A"/>
    <w:rsid w:val="5E9E1469"/>
    <w:rsid w:val="5EAB0D2C"/>
    <w:rsid w:val="5F254B55"/>
    <w:rsid w:val="5F2B1805"/>
    <w:rsid w:val="5F476193"/>
    <w:rsid w:val="5F4D6DA2"/>
    <w:rsid w:val="5FA17662"/>
    <w:rsid w:val="5FAE1170"/>
    <w:rsid w:val="5FB76261"/>
    <w:rsid w:val="6010519C"/>
    <w:rsid w:val="604231D2"/>
    <w:rsid w:val="60573113"/>
    <w:rsid w:val="608A289D"/>
    <w:rsid w:val="60A9595B"/>
    <w:rsid w:val="60BA216D"/>
    <w:rsid w:val="60D56C76"/>
    <w:rsid w:val="60E342E4"/>
    <w:rsid w:val="61151723"/>
    <w:rsid w:val="613432FE"/>
    <w:rsid w:val="614528AC"/>
    <w:rsid w:val="617B565A"/>
    <w:rsid w:val="619D6B85"/>
    <w:rsid w:val="61A11716"/>
    <w:rsid w:val="61B363CD"/>
    <w:rsid w:val="61FB170E"/>
    <w:rsid w:val="620F2DB4"/>
    <w:rsid w:val="62A00E16"/>
    <w:rsid w:val="62D14C9E"/>
    <w:rsid w:val="633F463B"/>
    <w:rsid w:val="639130C5"/>
    <w:rsid w:val="639F7DC1"/>
    <w:rsid w:val="63CE5918"/>
    <w:rsid w:val="63EE313D"/>
    <w:rsid w:val="63F30435"/>
    <w:rsid w:val="63F743E1"/>
    <w:rsid w:val="64050ABF"/>
    <w:rsid w:val="642D1CFD"/>
    <w:rsid w:val="64363468"/>
    <w:rsid w:val="645239A3"/>
    <w:rsid w:val="64B32E2F"/>
    <w:rsid w:val="64C157D9"/>
    <w:rsid w:val="64CA7FBA"/>
    <w:rsid w:val="64D8451F"/>
    <w:rsid w:val="64E161B4"/>
    <w:rsid w:val="64E250F2"/>
    <w:rsid w:val="6500469F"/>
    <w:rsid w:val="6515096F"/>
    <w:rsid w:val="659F6081"/>
    <w:rsid w:val="65A70C8A"/>
    <w:rsid w:val="65A76324"/>
    <w:rsid w:val="65A823F2"/>
    <w:rsid w:val="65B460C5"/>
    <w:rsid w:val="65ED414E"/>
    <w:rsid w:val="65EF4D81"/>
    <w:rsid w:val="65FD598B"/>
    <w:rsid w:val="66534994"/>
    <w:rsid w:val="66620E80"/>
    <w:rsid w:val="66B5420B"/>
    <w:rsid w:val="670F7889"/>
    <w:rsid w:val="67126567"/>
    <w:rsid w:val="67211260"/>
    <w:rsid w:val="67460997"/>
    <w:rsid w:val="676557D9"/>
    <w:rsid w:val="676D705E"/>
    <w:rsid w:val="67A05B2A"/>
    <w:rsid w:val="67DE2C50"/>
    <w:rsid w:val="67DE7084"/>
    <w:rsid w:val="67E833FD"/>
    <w:rsid w:val="67F7300E"/>
    <w:rsid w:val="68342E8F"/>
    <w:rsid w:val="68483D18"/>
    <w:rsid w:val="687D4BDD"/>
    <w:rsid w:val="68952F54"/>
    <w:rsid w:val="68DC3EFE"/>
    <w:rsid w:val="68DE1277"/>
    <w:rsid w:val="68F8398F"/>
    <w:rsid w:val="69125ADB"/>
    <w:rsid w:val="69507B39"/>
    <w:rsid w:val="698E0FEB"/>
    <w:rsid w:val="6998799E"/>
    <w:rsid w:val="6A3E6267"/>
    <w:rsid w:val="6A5979DE"/>
    <w:rsid w:val="6A8923D3"/>
    <w:rsid w:val="6ADB3525"/>
    <w:rsid w:val="6B8723B0"/>
    <w:rsid w:val="6B8B2B72"/>
    <w:rsid w:val="6BE6098F"/>
    <w:rsid w:val="6C3170F0"/>
    <w:rsid w:val="6C8D590E"/>
    <w:rsid w:val="6CA8352E"/>
    <w:rsid w:val="6CB97733"/>
    <w:rsid w:val="6CD37724"/>
    <w:rsid w:val="6CD725ED"/>
    <w:rsid w:val="6CEA4165"/>
    <w:rsid w:val="6D376AFE"/>
    <w:rsid w:val="6D3B35C4"/>
    <w:rsid w:val="6D546223"/>
    <w:rsid w:val="6D6B7357"/>
    <w:rsid w:val="6D9557A8"/>
    <w:rsid w:val="6DF66E88"/>
    <w:rsid w:val="6E0B4668"/>
    <w:rsid w:val="6E141A2A"/>
    <w:rsid w:val="6E2122B7"/>
    <w:rsid w:val="6E5509CC"/>
    <w:rsid w:val="6EA05AE1"/>
    <w:rsid w:val="6EAB20CD"/>
    <w:rsid w:val="6EE06FEB"/>
    <w:rsid w:val="6EED307F"/>
    <w:rsid w:val="6EF74287"/>
    <w:rsid w:val="6F153218"/>
    <w:rsid w:val="6F1F0ECB"/>
    <w:rsid w:val="6F76486B"/>
    <w:rsid w:val="6F924A6F"/>
    <w:rsid w:val="6FB25734"/>
    <w:rsid w:val="6FE403D2"/>
    <w:rsid w:val="6FE55BBD"/>
    <w:rsid w:val="707B47C4"/>
    <w:rsid w:val="709B4B83"/>
    <w:rsid w:val="70B64C12"/>
    <w:rsid w:val="70C11755"/>
    <w:rsid w:val="70DD2618"/>
    <w:rsid w:val="70E6544B"/>
    <w:rsid w:val="70ED0986"/>
    <w:rsid w:val="71881060"/>
    <w:rsid w:val="718F57A7"/>
    <w:rsid w:val="71CF0D35"/>
    <w:rsid w:val="71D728C9"/>
    <w:rsid w:val="71E003DD"/>
    <w:rsid w:val="71F41383"/>
    <w:rsid w:val="72021250"/>
    <w:rsid w:val="720F6D7D"/>
    <w:rsid w:val="72472963"/>
    <w:rsid w:val="726532FB"/>
    <w:rsid w:val="72670F93"/>
    <w:rsid w:val="72950198"/>
    <w:rsid w:val="72EA4658"/>
    <w:rsid w:val="7320375D"/>
    <w:rsid w:val="734075B0"/>
    <w:rsid w:val="736C23ED"/>
    <w:rsid w:val="73BD58F6"/>
    <w:rsid w:val="73F53DA6"/>
    <w:rsid w:val="742B4973"/>
    <w:rsid w:val="74444F9D"/>
    <w:rsid w:val="748725BD"/>
    <w:rsid w:val="74A01DFE"/>
    <w:rsid w:val="74B00652"/>
    <w:rsid w:val="74B0720C"/>
    <w:rsid w:val="74C6075E"/>
    <w:rsid w:val="74D86BD2"/>
    <w:rsid w:val="74F109DD"/>
    <w:rsid w:val="7509716F"/>
    <w:rsid w:val="751D0CCC"/>
    <w:rsid w:val="753442AC"/>
    <w:rsid w:val="755A26D4"/>
    <w:rsid w:val="75667239"/>
    <w:rsid w:val="756D0B1E"/>
    <w:rsid w:val="75E57090"/>
    <w:rsid w:val="76167B23"/>
    <w:rsid w:val="761B4B26"/>
    <w:rsid w:val="762F10DD"/>
    <w:rsid w:val="76945580"/>
    <w:rsid w:val="769B575F"/>
    <w:rsid w:val="76BE180F"/>
    <w:rsid w:val="76D2373F"/>
    <w:rsid w:val="76E17EFC"/>
    <w:rsid w:val="771C6DDB"/>
    <w:rsid w:val="774C11E5"/>
    <w:rsid w:val="77563BDF"/>
    <w:rsid w:val="77970501"/>
    <w:rsid w:val="77CE4E49"/>
    <w:rsid w:val="77DD1955"/>
    <w:rsid w:val="78492BFF"/>
    <w:rsid w:val="784A2834"/>
    <w:rsid w:val="78986C8F"/>
    <w:rsid w:val="78F316BE"/>
    <w:rsid w:val="78F53EF1"/>
    <w:rsid w:val="79064ACA"/>
    <w:rsid w:val="79200D68"/>
    <w:rsid w:val="79404045"/>
    <w:rsid w:val="794B1CCF"/>
    <w:rsid w:val="794E1F75"/>
    <w:rsid w:val="799737F5"/>
    <w:rsid w:val="799E4EDF"/>
    <w:rsid w:val="79C40791"/>
    <w:rsid w:val="7A0F3269"/>
    <w:rsid w:val="7A4D6843"/>
    <w:rsid w:val="7A6873D5"/>
    <w:rsid w:val="7A721263"/>
    <w:rsid w:val="7A98300E"/>
    <w:rsid w:val="7AA812CD"/>
    <w:rsid w:val="7AEA2E47"/>
    <w:rsid w:val="7B2241A0"/>
    <w:rsid w:val="7B4E5F74"/>
    <w:rsid w:val="7B5A49B8"/>
    <w:rsid w:val="7B5B590C"/>
    <w:rsid w:val="7BC21276"/>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D9582D"/>
    <w:rsid w:val="7F21731A"/>
    <w:rsid w:val="7F5300F0"/>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autoRedefine/>
    <w:qFormat/>
    <w:uiPriority w:val="0"/>
    <w:pPr>
      <w:keepNext/>
      <w:keepLines/>
      <w:widowControl/>
      <w:spacing w:before="120" w:beforeLines="0" w:after="120" w:afterLines="0" w:line="240" w:lineRule="auto"/>
      <w:ind w:firstLine="1440" w:firstLineChars="200"/>
      <w:jc w:val="left"/>
      <w:outlineLvl w:val="3"/>
    </w:pPr>
    <w:rPr>
      <w:rFonts w:ascii="Arial" w:hAnsi="Arial" w:eastAsia="黑体" w:cs="Times New Roman"/>
      <w:kern w:val="0"/>
      <w:sz w:val="28"/>
      <w:szCs w:val="20"/>
    </w:rPr>
  </w:style>
  <w:style w:type="paragraph" w:styleId="7">
    <w:name w:val="heading 5"/>
    <w:basedOn w:val="1"/>
    <w:next w:val="1"/>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paragraph" w:styleId="8">
    <w:name w:val="heading 6"/>
    <w:basedOn w:val="1"/>
    <w:next w:val="1"/>
    <w:autoRedefine/>
    <w:qFormat/>
    <w:uiPriority w:val="0"/>
    <w:pPr>
      <w:keepNext/>
      <w:keepLines/>
      <w:spacing w:before="120" w:beforeLines="0" w:after="120" w:afterLines="0" w:line="240" w:lineRule="auto"/>
      <w:ind w:firstLine="1440" w:firstLineChars="200"/>
      <w:outlineLvl w:val="5"/>
    </w:pPr>
    <w:rPr>
      <w:rFonts w:ascii="Arial" w:hAnsi="Arial" w:eastAsia="黑体" w:cs="Times New Roman"/>
      <w:b/>
      <w:sz w:val="24"/>
    </w:rPr>
  </w:style>
  <w:style w:type="paragraph" w:styleId="9">
    <w:name w:val="heading 7"/>
    <w:basedOn w:val="1"/>
    <w:next w:val="10"/>
    <w:autoRedefine/>
    <w:qFormat/>
    <w:uiPriority w:val="0"/>
    <w:pPr>
      <w:keepNext/>
      <w:keepLines/>
      <w:spacing w:before="240" w:beforeLines="0" w:after="64" w:afterLines="0" w:line="320" w:lineRule="auto"/>
      <w:outlineLvl w:val="6"/>
    </w:pPr>
    <w:rPr>
      <w:rFonts w:ascii="Times New Roman" w:hAnsi="Times New Roman" w:eastAsia="宋体" w:cs="Times New Roman"/>
      <w:b/>
      <w:sz w:val="24"/>
    </w:rPr>
  </w:style>
  <w:style w:type="paragraph" w:styleId="11">
    <w:name w:val="heading 8"/>
    <w:basedOn w:val="1"/>
    <w:next w:val="10"/>
    <w:autoRedefine/>
    <w:qFormat/>
    <w:uiPriority w:val="0"/>
    <w:pPr>
      <w:keepNext/>
      <w:keepLines/>
      <w:spacing w:before="240" w:beforeLines="0" w:after="64" w:afterLines="0" w:line="320" w:lineRule="auto"/>
      <w:outlineLvl w:val="7"/>
    </w:pPr>
    <w:rPr>
      <w:rFonts w:ascii="Arial" w:hAnsi="Arial" w:eastAsia="黑体" w:cs="Times New Roman"/>
      <w:sz w:val="24"/>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0">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12">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3">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4">
    <w:name w:val="Body Text"/>
    <w:basedOn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5">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6">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7">
    <w:name w:val="Plain Text"/>
    <w:basedOn w:val="1"/>
    <w:next w:val="12"/>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8">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9">
    <w:name w:val="toc 1"/>
    <w:basedOn w:val="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0">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1">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2">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BodyText"/>
    <w:basedOn w:val="1"/>
    <w:autoRedefine/>
    <w:qFormat/>
    <w:uiPriority w:val="0"/>
    <w:pPr>
      <w:spacing w:line="380" w:lineRule="exact"/>
      <w:textAlignment w:val="baseline"/>
    </w:pPr>
    <w:rPr>
      <w:rFonts w:eastAsia="Ђˎ̥"/>
      <w:kern w:val="0"/>
      <w:sz w:val="24"/>
    </w:rPr>
  </w:style>
  <w:style w:type="character" w:customStyle="1" w:styleId="3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4">
    <w:name w:val="正文缩进1"/>
    <w:next w:val="15"/>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5">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6">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7">
    <w:name w:val="表格文字"/>
    <w:next w:val="14"/>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38">
    <w:name w:val="font71"/>
    <w:basedOn w:val="25"/>
    <w:autoRedefine/>
    <w:qFormat/>
    <w:uiPriority w:val="0"/>
    <w:rPr>
      <w:rFonts w:hint="eastAsia" w:ascii="仿宋_GB2312" w:eastAsia="仿宋_GB2312" w:cs="仿宋_GB2312"/>
      <w:color w:val="000000"/>
      <w:sz w:val="24"/>
      <w:szCs w:val="24"/>
      <w:u w:val="none"/>
    </w:rPr>
  </w:style>
  <w:style w:type="paragraph" w:customStyle="1" w:styleId="39">
    <w:name w:val="列表段落1"/>
    <w:basedOn w:val="1"/>
    <w:autoRedefine/>
    <w:qFormat/>
    <w:uiPriority w:val="0"/>
    <w:pPr>
      <w:ind w:firstLine="420" w:firstLineChars="200"/>
    </w:pPr>
    <w:rPr>
      <w:rFonts w:ascii="宋体"/>
      <w:kern w:val="0"/>
      <w:sz w:val="34"/>
    </w:rPr>
  </w:style>
  <w:style w:type="paragraph" w:customStyle="1" w:styleId="40">
    <w:name w:val="正文 A"/>
    <w:autoRedefine/>
    <w:qFormat/>
    <w:uiPriority w:val="0"/>
    <w:pPr>
      <w:widowControl w:val="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41">
    <w:name w:val="主送单位"/>
    <w:basedOn w:val="1"/>
    <w:autoRedefine/>
    <w:qFormat/>
    <w:uiPriority w:val="0"/>
    <w:pPr>
      <w:jc w:val="left"/>
    </w:pPr>
    <w:rPr>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6899</Words>
  <Characters>8218</Characters>
  <Lines>0</Lines>
  <Paragraphs>0</Paragraphs>
  <TotalTime>113</TotalTime>
  <ScaleCrop>false</ScaleCrop>
  <LinksUpToDate>false</LinksUpToDate>
  <CharactersWithSpaces>8365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PP</cp:lastModifiedBy>
  <dcterms:modified xsi:type="dcterms:W3CDTF">2025-04-11T08:59:05Z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43598E6B20804F41958C1688FC7E02B2</vt:lpwstr>
  </property>
  <property fmtid="{D5CDD505-2E9C-101B-9397-08002B2CF9AE}" pid="4" name="KSOTemplateDocerSaveRecord">
    <vt:lpwstr>eyJoZGlkIjoiZmY5YWZkYjIwNzI3NDY5MWVmZGM5YmQ2YTgwNmE2MzUiLCJ1c2VySWQiOiIzMzA5ODE1NTIifQ==</vt:lpwstr>
  </property>
</Properties>
</file>