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仿宋_GB2312" w:hAnsi="宋体" w:eastAsia="仿宋_GB2312"/>
          <w:color w:val="000000" w:themeColor="text1"/>
          <w:sz w:val="72"/>
          <w:szCs w:val="72"/>
          <w:highlight w:val="none"/>
          <w14:textFill>
            <w14:solidFill>
              <w14:schemeClr w14:val="tx1"/>
            </w14:solidFill>
          </w14:textFill>
        </w:rPr>
      </w:pPr>
    </w:p>
    <w:p>
      <w:pPr>
        <w:spacing w:before="156" w:beforeLines="50"/>
        <w:jc w:val="center"/>
        <w:rPr>
          <w:rFonts w:hint="eastAsia" w:ascii="仿宋_GB2312" w:hAnsi="宋体" w:eastAsia="仿宋_GB2312"/>
          <w:color w:val="000000" w:themeColor="text1"/>
          <w:sz w:val="72"/>
          <w:szCs w:val="72"/>
          <w:highlight w:val="none"/>
          <w14:textFill>
            <w14:solidFill>
              <w14:schemeClr w14:val="tx1"/>
            </w14:solidFill>
          </w14:textFill>
        </w:rPr>
      </w:pPr>
    </w:p>
    <w:p>
      <w:pPr>
        <w:spacing w:before="156" w:beforeLines="50"/>
        <w:jc w:val="center"/>
        <w:rPr>
          <w:rFonts w:hint="eastAsia" w:ascii="仿宋_GB2312" w:hAnsi="宋体" w:eastAsia="仿宋_GB2312"/>
          <w:color w:val="000000" w:themeColor="text1"/>
          <w:sz w:val="72"/>
          <w:szCs w:val="72"/>
          <w:highlight w:val="none"/>
          <w14:textFill>
            <w14:solidFill>
              <w14:schemeClr w14:val="tx1"/>
            </w14:solidFill>
          </w14:textFill>
        </w:rPr>
      </w:pPr>
      <w:r>
        <w:rPr>
          <w:rFonts w:hint="eastAsia" w:ascii="仿宋_GB2312" w:hAnsi="宋体" w:eastAsia="仿宋_GB2312"/>
          <w:color w:val="000000" w:themeColor="text1"/>
          <w:sz w:val="72"/>
          <w:szCs w:val="72"/>
          <w:highlight w:val="none"/>
          <w14:textFill>
            <w14:solidFill>
              <w14:schemeClr w14:val="tx1"/>
            </w14:solidFill>
          </w14:textFill>
        </w:rPr>
        <w:t>公开招标采购文件</w:t>
      </w:r>
    </w:p>
    <w:p>
      <w:pPr>
        <w:pStyle w:val="30"/>
        <w:snapToGrid w:val="0"/>
        <w:spacing w:before="120" w:after="120" w:line="360" w:lineRule="auto"/>
        <w:ind w:firstLine="1042" w:firstLineChars="346"/>
        <w:rPr>
          <w:rFonts w:hint="eastAsia" w:ascii="仿宋_GB2312" w:hAnsi="宋体" w:eastAsia="仿宋_GB2312"/>
          <w:b/>
          <w:bCs/>
          <w:color w:val="000000" w:themeColor="text1"/>
          <w:sz w:val="30"/>
          <w:szCs w:val="30"/>
          <w:highlight w:val="none"/>
          <w14:textFill>
            <w14:solidFill>
              <w14:schemeClr w14:val="tx1"/>
            </w14:solidFill>
          </w14:textFill>
        </w:rPr>
      </w:pPr>
    </w:p>
    <w:p>
      <w:pPr>
        <w:pStyle w:val="30"/>
        <w:snapToGrid w:val="0"/>
        <w:spacing w:before="120" w:after="120" w:line="360" w:lineRule="auto"/>
        <w:ind w:firstLine="1042" w:firstLineChars="346"/>
        <w:rPr>
          <w:rFonts w:hint="eastAsia" w:ascii="仿宋_GB2312" w:hAnsi="宋体" w:eastAsia="仿宋_GB2312"/>
          <w:b/>
          <w:bCs/>
          <w:color w:val="000000" w:themeColor="text1"/>
          <w:sz w:val="30"/>
          <w:szCs w:val="30"/>
          <w:highlight w:val="none"/>
          <w14:textFill>
            <w14:solidFill>
              <w14:schemeClr w14:val="tx1"/>
            </w14:solidFill>
          </w14:textFill>
        </w:rPr>
      </w:pPr>
    </w:p>
    <w:p>
      <w:pPr>
        <w:pStyle w:val="30"/>
        <w:snapToGrid w:val="0"/>
        <w:spacing w:before="120" w:after="120" w:line="360" w:lineRule="auto"/>
        <w:ind w:firstLine="1042" w:firstLineChars="346"/>
        <w:rPr>
          <w:rFonts w:hint="eastAsia" w:ascii="仿宋_GB2312" w:hAnsi="宋体" w:eastAsia="仿宋_GB2312"/>
          <w:b/>
          <w:bCs/>
          <w:color w:val="000000" w:themeColor="text1"/>
          <w:sz w:val="30"/>
          <w:szCs w:val="30"/>
          <w:highlight w:val="none"/>
          <w14:textFill>
            <w14:solidFill>
              <w14:schemeClr w14:val="tx1"/>
            </w14:solidFill>
          </w14:textFill>
        </w:rPr>
      </w:pPr>
    </w:p>
    <w:p>
      <w:pPr>
        <w:ind w:firstLine="1273" w:firstLineChars="423"/>
        <w:rPr>
          <w:rFonts w:ascii="仿宋_GB2312" w:hAnsi="宋体" w:eastAsia="仿宋_GB2312"/>
          <w:b/>
          <w:bCs/>
          <w:color w:val="000000" w:themeColor="text1"/>
          <w:sz w:val="30"/>
          <w:szCs w:val="30"/>
          <w:highlight w:val="none"/>
          <w:lang w:val="en"/>
          <w14:textFill>
            <w14:solidFill>
              <w14:schemeClr w14:val="tx1"/>
            </w14:solidFill>
          </w14:textFill>
        </w:rPr>
      </w:pPr>
      <w:r>
        <w:rPr>
          <w:rFonts w:hint="eastAsia" w:ascii="仿宋_GB2312" w:hAnsi="宋体" w:eastAsia="仿宋_GB2312"/>
          <w:b/>
          <w:bCs/>
          <w:color w:val="000000" w:themeColor="text1"/>
          <w:sz w:val="30"/>
          <w:szCs w:val="30"/>
          <w:highlight w:val="none"/>
          <w14:textFill>
            <w14:solidFill>
              <w14:schemeClr w14:val="tx1"/>
            </w14:solidFill>
          </w14:textFill>
        </w:rPr>
        <w:t>项目编号：</w:t>
      </w:r>
      <w:r>
        <w:rPr>
          <w:rFonts w:ascii="仿宋_GB2312" w:hAnsi="宋体" w:eastAsia="仿宋_GB2312"/>
          <w:b/>
          <w:bCs/>
          <w:color w:val="000000" w:themeColor="text1"/>
          <w:sz w:val="30"/>
          <w:szCs w:val="30"/>
          <w:highlight w:val="none"/>
          <w:lang w:val="en"/>
          <w14:textFill>
            <w14:solidFill>
              <w14:schemeClr w14:val="tx1"/>
            </w14:solidFill>
          </w14:textFill>
        </w:rPr>
        <w:t>GXZC2024-G3-006201-CGZX</w:t>
      </w:r>
    </w:p>
    <w:p>
      <w:pPr>
        <w:snapToGrid w:val="0"/>
        <w:spacing w:before="156" w:beforeLines="50" w:line="360" w:lineRule="auto"/>
        <w:ind w:firstLine="1273" w:firstLineChars="423"/>
        <w:rPr>
          <w:rFonts w:hint="eastAsia" w:ascii="仿宋_GB2312" w:hAnsi="宋体" w:eastAsia="仿宋_GB2312"/>
          <w:b/>
          <w:color w:val="000000" w:themeColor="text1"/>
          <w:sz w:val="30"/>
          <w:szCs w:val="72"/>
          <w:highlight w:val="none"/>
          <w14:textFill>
            <w14:solidFill>
              <w14:schemeClr w14:val="tx1"/>
            </w14:solidFill>
          </w14:textFill>
        </w:rPr>
      </w:pPr>
    </w:p>
    <w:p>
      <w:pPr>
        <w:snapToGrid w:val="0"/>
        <w:spacing w:before="156" w:beforeLines="50"/>
        <w:ind w:right="-937" w:rightChars="-446" w:firstLine="1273" w:firstLineChars="423"/>
        <w:rPr>
          <w:rFonts w:ascii="仿宋_GB2312" w:hAnsi="宋体" w:eastAsia="仿宋_GB2312"/>
          <w:b/>
          <w:color w:val="000000" w:themeColor="text1"/>
          <w:spacing w:val="-8"/>
          <w:sz w:val="30"/>
          <w:szCs w:val="48"/>
          <w:highlight w:val="none"/>
          <w:lang w:val="en"/>
          <w14:textFill>
            <w14:solidFill>
              <w14:schemeClr w14:val="tx1"/>
            </w14:solidFill>
          </w14:textFill>
        </w:rPr>
      </w:pPr>
      <w:r>
        <w:rPr>
          <w:rFonts w:hint="eastAsia" w:ascii="仿宋_GB2312" w:hAnsi="宋体" w:eastAsia="仿宋_GB2312"/>
          <w:b/>
          <w:color w:val="000000" w:themeColor="text1"/>
          <w:sz w:val="30"/>
          <w:szCs w:val="72"/>
          <w:highlight w:val="none"/>
          <w14:textFill>
            <w14:solidFill>
              <w14:schemeClr w14:val="tx1"/>
            </w14:solidFill>
          </w14:textFill>
        </w:rPr>
        <w:t>项目名称：</w:t>
      </w:r>
      <w:r>
        <w:rPr>
          <w:rFonts w:ascii="仿宋_GB2312" w:hAnsi="宋体" w:eastAsia="仿宋_GB2312"/>
          <w:b/>
          <w:color w:val="000000" w:themeColor="text1"/>
          <w:sz w:val="30"/>
          <w:szCs w:val="72"/>
          <w:highlight w:val="none"/>
          <w:lang w:val="en"/>
          <w14:textFill>
            <w14:solidFill>
              <w14:schemeClr w14:val="tx1"/>
            </w14:solidFill>
          </w14:textFill>
        </w:rPr>
        <w:t>广西壮族自治区科学技术馆2025-2026年度物业服务采购</w:t>
      </w:r>
    </w:p>
    <w:p>
      <w:pPr>
        <w:snapToGrid w:val="0"/>
        <w:spacing w:before="156" w:beforeLines="50" w:line="360" w:lineRule="auto"/>
        <w:ind w:firstLine="1273" w:firstLineChars="423"/>
        <w:rPr>
          <w:rFonts w:hint="eastAsia" w:ascii="仿宋_GB2312" w:hAnsi="宋体" w:eastAsia="仿宋_GB2312"/>
          <w:b/>
          <w:color w:val="000000" w:themeColor="text1"/>
          <w:sz w:val="30"/>
          <w:szCs w:val="72"/>
          <w:highlight w:val="none"/>
          <w14:textFill>
            <w14:solidFill>
              <w14:schemeClr w14:val="tx1"/>
            </w14:solidFill>
          </w14:textFill>
        </w:rPr>
      </w:pPr>
    </w:p>
    <w:p>
      <w:pPr>
        <w:snapToGrid w:val="0"/>
        <w:spacing w:before="156" w:beforeLines="50" w:line="360" w:lineRule="auto"/>
        <w:ind w:firstLine="1273" w:firstLineChars="423"/>
        <w:rPr>
          <w:rFonts w:ascii="仿宋_GB2312" w:hAnsi="宋体" w:eastAsia="仿宋_GB2312"/>
          <w:b/>
          <w:color w:val="000000" w:themeColor="text1"/>
          <w:spacing w:val="-8"/>
          <w:sz w:val="30"/>
          <w:szCs w:val="48"/>
          <w:highlight w:val="none"/>
          <w:lang w:val="en"/>
          <w14:textFill>
            <w14:solidFill>
              <w14:schemeClr w14:val="tx1"/>
            </w14:solidFill>
          </w14:textFill>
        </w:rPr>
      </w:pPr>
      <w:r>
        <w:rPr>
          <w:rFonts w:hint="eastAsia" w:ascii="仿宋_GB2312" w:hAnsi="宋体" w:eastAsia="仿宋_GB2312"/>
          <w:b/>
          <w:color w:val="000000" w:themeColor="text1"/>
          <w:sz w:val="30"/>
          <w:szCs w:val="72"/>
          <w:highlight w:val="none"/>
          <w14:textFill>
            <w14:solidFill>
              <w14:schemeClr w14:val="tx1"/>
            </w14:solidFill>
          </w14:textFill>
        </w:rPr>
        <w:t>采购单位：</w:t>
      </w:r>
      <w:r>
        <w:rPr>
          <w:rFonts w:ascii="仿宋_GB2312" w:hAnsi="宋体" w:eastAsia="仿宋_GB2312"/>
          <w:b/>
          <w:color w:val="000000" w:themeColor="text1"/>
          <w:sz w:val="30"/>
          <w:szCs w:val="72"/>
          <w:highlight w:val="none"/>
          <w:lang w:val="en"/>
          <w14:textFill>
            <w14:solidFill>
              <w14:schemeClr w14:val="tx1"/>
            </w14:solidFill>
          </w14:textFill>
        </w:rPr>
        <w:t>广西壮族自治区科学技术馆（广西青少年科技中心）</w:t>
      </w:r>
    </w:p>
    <w:p>
      <w:pPr>
        <w:pStyle w:val="36"/>
        <w:rPr>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snapToGrid w:val="0"/>
        <w:spacing w:before="156" w:beforeLines="50" w:line="360" w:lineRule="auto"/>
        <w:rPr>
          <w:rFonts w:hint="eastAsia" w:ascii="仿宋_GB2312" w:hAnsi="宋体" w:eastAsia="仿宋_GB2312"/>
          <w:b/>
          <w:color w:val="000000" w:themeColor="text1"/>
          <w:sz w:val="30"/>
          <w:szCs w:val="72"/>
          <w:highlight w:val="none"/>
          <w14:textFill>
            <w14:solidFill>
              <w14:schemeClr w14:val="tx1"/>
            </w14:solidFill>
          </w14:textFill>
        </w:rPr>
      </w:pPr>
    </w:p>
    <w:p>
      <w:pPr>
        <w:snapToGrid w:val="0"/>
        <w:spacing w:before="156" w:beforeLines="50" w:line="360" w:lineRule="auto"/>
        <w:ind w:firstLine="1560" w:firstLineChars="518"/>
        <w:rPr>
          <w:rFonts w:hint="eastAsia" w:ascii="仿宋_GB2312" w:hAnsi="宋体" w:eastAsia="仿宋_GB2312"/>
          <w:b/>
          <w:color w:val="000000" w:themeColor="text1"/>
          <w:sz w:val="30"/>
          <w:szCs w:val="72"/>
          <w:highlight w:val="none"/>
          <w14:textFill>
            <w14:solidFill>
              <w14:schemeClr w14:val="tx1"/>
            </w14:solidFill>
          </w14:textFill>
        </w:rPr>
      </w:pPr>
      <w:r>
        <w:rPr>
          <w:rFonts w:hint="eastAsia" w:ascii="仿宋_GB2312" w:hAnsi="宋体" w:eastAsia="仿宋_GB2312"/>
          <w:b/>
          <w:color w:val="000000" w:themeColor="text1"/>
          <w:sz w:val="30"/>
          <w:szCs w:val="72"/>
          <w:highlight w:val="none"/>
          <w14:textFill>
            <w14:solidFill>
              <w14:schemeClr w14:val="tx1"/>
            </w14:solidFill>
          </w14:textFill>
        </w:rPr>
        <w:t>采购代理机构：广西壮族自治区政府采购中心</w:t>
      </w:r>
    </w:p>
    <w:p>
      <w:pPr>
        <w:snapToGrid w:val="0"/>
        <w:spacing w:before="156" w:beforeLines="50" w:line="360" w:lineRule="auto"/>
        <w:jc w:val="center"/>
        <w:rPr>
          <w:rFonts w:ascii="隶书" w:eastAsia="隶书"/>
          <w:color w:val="000000" w:themeColor="text1"/>
          <w:sz w:val="44"/>
          <w:highlight w:val="none"/>
          <w14:textFill>
            <w14:solidFill>
              <w14:schemeClr w14:val="tx1"/>
            </w14:solidFill>
          </w14:textFill>
        </w:rPr>
      </w:pPr>
      <w:r>
        <w:rPr>
          <w:rFonts w:hint="eastAsia" w:ascii="仿宋_GB2312" w:hAnsi="宋体" w:eastAsia="仿宋_GB2312"/>
          <w:b/>
          <w:color w:val="000000" w:themeColor="text1"/>
          <w:sz w:val="30"/>
          <w:szCs w:val="72"/>
          <w:highlight w:val="none"/>
          <w14:textFill>
            <w14:solidFill>
              <w14:schemeClr w14:val="tx1"/>
            </w14:solidFill>
          </w14:textFill>
        </w:rPr>
        <w:t>2024年</w:t>
      </w:r>
      <w:r>
        <w:rPr>
          <w:rFonts w:hint="eastAsia" w:ascii="仿宋_GB2312" w:hAnsi="宋体" w:eastAsia="仿宋_GB2312"/>
          <w:b/>
          <w:color w:val="000000" w:themeColor="text1"/>
          <w:sz w:val="30"/>
          <w:szCs w:val="72"/>
          <w:highlight w:val="none"/>
          <w:lang w:val="en-US" w:eastAsia="zh-CN"/>
          <w14:textFill>
            <w14:solidFill>
              <w14:schemeClr w14:val="tx1"/>
            </w14:solidFill>
          </w14:textFill>
        </w:rPr>
        <w:t>12</w:t>
      </w:r>
      <w:r>
        <w:rPr>
          <w:rFonts w:hint="eastAsia" w:ascii="仿宋_GB2312" w:hAnsi="宋体" w:eastAsia="仿宋_GB2312"/>
          <w:b/>
          <w:color w:val="000000" w:themeColor="text1"/>
          <w:sz w:val="30"/>
          <w:szCs w:val="72"/>
          <w:highlight w:val="none"/>
          <w14:textFill>
            <w14:solidFill>
              <w14:schemeClr w14:val="tx1"/>
            </w14:solidFill>
          </w14:textFill>
        </w:rPr>
        <w:t>月</w:t>
      </w:r>
    </w:p>
    <w:p>
      <w:pPr>
        <w:pStyle w:val="30"/>
        <w:jc w:val="center"/>
        <w:rPr>
          <w:rFonts w:hint="eastAsia" w:ascii="隶书" w:eastAsia="隶书"/>
          <w:color w:val="000000" w:themeColor="text1"/>
          <w:sz w:val="44"/>
          <w:highlight w:val="none"/>
          <w14:textFill>
            <w14:solidFill>
              <w14:schemeClr w14:val="tx1"/>
            </w14:solidFill>
          </w14:textFill>
        </w:rPr>
        <w:sectPr>
          <w:footerReference r:id="rId3" w:type="even"/>
          <w:pgSz w:w="11906" w:h="16838"/>
          <w:pgMar w:top="1134" w:right="1134" w:bottom="1134" w:left="1134" w:header="851" w:footer="1531" w:gutter="0"/>
          <w:pgNumType w:start="0"/>
          <w:cols w:space="720" w:num="1"/>
          <w:docGrid w:type="lines" w:linePitch="312" w:charSpace="0"/>
        </w:sectPr>
      </w:pPr>
    </w:p>
    <w:p>
      <w:pPr>
        <w:pStyle w:val="30"/>
        <w:jc w:val="center"/>
        <w:rPr>
          <w:rFonts w:hint="eastAsia" w:ascii="隶书" w:eastAsia="隶书"/>
          <w:color w:val="000000" w:themeColor="text1"/>
          <w:sz w:val="44"/>
          <w:highlight w:val="none"/>
          <w14:textFill>
            <w14:solidFill>
              <w14:schemeClr w14:val="tx1"/>
            </w14:solidFill>
          </w14:textFill>
        </w:rPr>
      </w:pPr>
      <w:r>
        <w:rPr>
          <w:rFonts w:hint="eastAsia" w:ascii="隶书" w:eastAsia="隶书"/>
          <w:color w:val="000000" w:themeColor="text1"/>
          <w:sz w:val="44"/>
          <w:highlight w:val="none"/>
          <w14:textFill>
            <w14:solidFill>
              <w14:schemeClr w14:val="tx1"/>
            </w14:solidFill>
          </w14:textFill>
        </w:rPr>
        <w:t>目   录</w:t>
      </w:r>
    </w:p>
    <w:p>
      <w:pPr>
        <w:pStyle w:val="38"/>
        <w:tabs>
          <w:tab w:val="right" w:leader="dot" w:pos="9638"/>
          <w:tab w:val="clear" w:pos="8296"/>
          <w:tab w:val="clear" w:pos="8398"/>
        </w:tabs>
        <w:ind w:firstLine="0" w:firstLineChars="0"/>
        <w:rPr>
          <w:rFonts w:hint="eastAsia" w:ascii="宋体" w:eastAsia="宋体" w:cs="宋体"/>
          <w:b/>
          <w:bCs w:val="0"/>
          <w:color w:val="000000" w:themeColor="text1"/>
          <w:sz w:val="28"/>
          <w:szCs w:val="28"/>
          <w:highlight w:val="none"/>
          <w14:textFill>
            <w14:solidFill>
              <w14:schemeClr w14:val="tx1"/>
            </w14:solidFill>
          </w14:textFill>
        </w:rPr>
      </w:pPr>
      <w:r>
        <w:rPr>
          <w:rFonts w:hint="eastAsia" w:ascii="宋体" w:eastAsia="宋体" w:cs="宋体"/>
          <w:b/>
          <w:bCs w:val="0"/>
          <w:color w:val="000000" w:themeColor="text1"/>
          <w:sz w:val="28"/>
          <w:szCs w:val="28"/>
          <w:highlight w:val="none"/>
          <w14:textFill>
            <w14:solidFill>
              <w14:schemeClr w14:val="tx1"/>
            </w14:solidFill>
          </w14:textFill>
        </w:rPr>
        <w:fldChar w:fldCharType="begin"/>
      </w:r>
      <w:r>
        <w:rPr>
          <w:rFonts w:hint="eastAsia" w:ascii="宋体" w:eastAsia="宋体" w:cs="宋体"/>
          <w:b/>
          <w:bCs w:val="0"/>
          <w:color w:val="000000" w:themeColor="text1"/>
          <w:sz w:val="28"/>
          <w:szCs w:val="28"/>
          <w:highlight w:val="none"/>
          <w14:textFill>
            <w14:solidFill>
              <w14:schemeClr w14:val="tx1"/>
            </w14:solidFill>
          </w14:textFill>
        </w:rPr>
        <w:instrText xml:space="preserve"> TOC \o "1-3" \h \z \u </w:instrText>
      </w:r>
      <w:r>
        <w:rPr>
          <w:rFonts w:hint="eastAsia" w:ascii="宋体" w:eastAsia="宋体" w:cs="宋体"/>
          <w:b/>
          <w:bCs w:val="0"/>
          <w:color w:val="000000" w:themeColor="text1"/>
          <w:sz w:val="28"/>
          <w:szCs w:val="28"/>
          <w:highlight w:val="none"/>
          <w14:textFill>
            <w14:solidFill>
              <w14:schemeClr w14:val="tx1"/>
            </w14:solidFill>
          </w14:textFill>
        </w:rPr>
        <w:fldChar w:fldCharType="separate"/>
      </w:r>
      <w:r>
        <w:rPr>
          <w:rFonts w:hint="eastAsia" w:ascii="宋体" w:eastAsia="宋体" w:cs="宋体"/>
          <w:b/>
          <w:bCs w:val="0"/>
          <w:color w:val="000000" w:themeColor="text1"/>
          <w:sz w:val="28"/>
          <w:szCs w:val="28"/>
          <w:highlight w:val="none"/>
          <w14:textFill>
            <w14:solidFill>
              <w14:schemeClr w14:val="tx1"/>
            </w14:solidFill>
          </w14:textFill>
        </w:rPr>
        <w:fldChar w:fldCharType="begin"/>
      </w:r>
      <w:r>
        <w:rPr>
          <w:rFonts w:hint="eastAsia" w:ascii="宋体" w:eastAsia="宋体" w:cs="宋体"/>
          <w:b/>
          <w:bCs w:val="0"/>
          <w:color w:val="000000" w:themeColor="text1"/>
          <w:sz w:val="28"/>
          <w:szCs w:val="28"/>
          <w:highlight w:val="none"/>
          <w14:textFill>
            <w14:solidFill>
              <w14:schemeClr w14:val="tx1"/>
            </w14:solidFill>
          </w14:textFill>
        </w:rPr>
        <w:instrText xml:space="preserve"> HYPERLINK \l _Toc667630650 </w:instrText>
      </w:r>
      <w:r>
        <w:rPr>
          <w:rFonts w:hint="eastAsia" w:ascii="宋体" w:eastAsia="宋体" w:cs="宋体"/>
          <w:b/>
          <w:bCs w:val="0"/>
          <w:color w:val="000000" w:themeColor="text1"/>
          <w:sz w:val="28"/>
          <w:szCs w:val="28"/>
          <w:highlight w:val="none"/>
          <w14:textFill>
            <w14:solidFill>
              <w14:schemeClr w14:val="tx1"/>
            </w14:solidFill>
          </w14:textFill>
        </w:rPr>
        <w:fldChar w:fldCharType="separate"/>
      </w:r>
      <w:r>
        <w:rPr>
          <w:rFonts w:hint="eastAsia" w:ascii="宋体" w:eastAsia="宋体" w:cs="宋体"/>
          <w:b/>
          <w:bCs w:val="0"/>
          <w:color w:val="000000" w:themeColor="text1"/>
          <w:sz w:val="28"/>
          <w:szCs w:val="28"/>
          <w:highlight w:val="none"/>
          <w14:textFill>
            <w14:solidFill>
              <w14:schemeClr w14:val="tx1"/>
            </w14:solidFill>
          </w14:textFill>
        </w:rPr>
        <w:t>第一章  公开招标公告</w:t>
      </w:r>
      <w:r>
        <w:rPr>
          <w:rFonts w:hint="eastAsia" w:ascii="宋体" w:eastAsia="宋体" w:cs="宋体"/>
          <w:b/>
          <w:bCs w:val="0"/>
          <w:color w:val="000000" w:themeColor="text1"/>
          <w:sz w:val="28"/>
          <w:szCs w:val="28"/>
          <w:highlight w:val="none"/>
          <w14:textFill>
            <w14:solidFill>
              <w14:schemeClr w14:val="tx1"/>
            </w14:solidFill>
          </w14:textFill>
        </w:rPr>
        <w:tab/>
      </w:r>
      <w:r>
        <w:rPr>
          <w:rFonts w:hint="eastAsia" w:ascii="宋体" w:eastAsia="宋体" w:cs="宋体"/>
          <w:b/>
          <w:bCs w:val="0"/>
          <w:color w:val="000000" w:themeColor="text1"/>
          <w:sz w:val="28"/>
          <w:szCs w:val="28"/>
          <w:highlight w:val="none"/>
          <w:lang w:val="en-US" w:eastAsia="zh-CN"/>
          <w14:textFill>
            <w14:solidFill>
              <w14:schemeClr w14:val="tx1"/>
            </w14:solidFill>
          </w14:textFill>
        </w:rPr>
        <w:t>1</w:t>
      </w:r>
      <w:r>
        <w:rPr>
          <w:rFonts w:hint="eastAsia" w:ascii="宋体" w:eastAsia="宋体" w:cs="宋体"/>
          <w:b/>
          <w:bCs w:val="0"/>
          <w:color w:val="000000" w:themeColor="text1"/>
          <w:sz w:val="28"/>
          <w:szCs w:val="28"/>
          <w:highlight w:val="none"/>
          <w14:textFill>
            <w14:solidFill>
              <w14:schemeClr w14:val="tx1"/>
            </w14:solidFill>
          </w14:textFill>
        </w:rPr>
        <w:fldChar w:fldCharType="end"/>
      </w:r>
    </w:p>
    <w:p>
      <w:pPr>
        <w:pStyle w:val="38"/>
        <w:tabs>
          <w:tab w:val="right" w:leader="dot" w:pos="9638"/>
          <w:tab w:val="clear" w:pos="8296"/>
          <w:tab w:val="clear" w:pos="8398"/>
        </w:tabs>
        <w:ind w:firstLine="0" w:firstLineChars="0"/>
        <w:rPr>
          <w:rFonts w:hint="eastAsia" w:ascii="宋体" w:eastAsia="宋体" w:cs="宋体"/>
          <w:b/>
          <w:bCs w:val="0"/>
          <w:color w:val="000000" w:themeColor="text1"/>
          <w:sz w:val="28"/>
          <w:szCs w:val="28"/>
          <w:highlight w:val="none"/>
          <w14:textFill>
            <w14:solidFill>
              <w14:schemeClr w14:val="tx1"/>
            </w14:solidFill>
          </w14:textFill>
        </w:rPr>
      </w:pPr>
      <w:r>
        <w:rPr>
          <w:rFonts w:hint="eastAsia" w:ascii="宋体" w:eastAsia="宋体" w:cs="宋体"/>
          <w:b/>
          <w:bCs w:val="0"/>
          <w:color w:val="000000" w:themeColor="text1"/>
          <w:sz w:val="28"/>
          <w:szCs w:val="28"/>
          <w:highlight w:val="none"/>
          <w14:textFill>
            <w14:solidFill>
              <w14:schemeClr w14:val="tx1"/>
            </w14:solidFill>
          </w14:textFill>
        </w:rPr>
        <w:fldChar w:fldCharType="begin"/>
      </w:r>
      <w:r>
        <w:rPr>
          <w:rFonts w:hint="eastAsia" w:ascii="宋体" w:eastAsia="宋体" w:cs="宋体"/>
          <w:b/>
          <w:bCs w:val="0"/>
          <w:color w:val="000000" w:themeColor="text1"/>
          <w:sz w:val="28"/>
          <w:szCs w:val="28"/>
          <w:highlight w:val="none"/>
          <w14:textFill>
            <w14:solidFill>
              <w14:schemeClr w14:val="tx1"/>
            </w14:solidFill>
          </w14:textFill>
        </w:rPr>
        <w:instrText xml:space="preserve"> HYPERLINK \l _Toc2015667557 </w:instrText>
      </w:r>
      <w:r>
        <w:rPr>
          <w:rFonts w:hint="eastAsia" w:ascii="宋体" w:eastAsia="宋体" w:cs="宋体"/>
          <w:b/>
          <w:bCs w:val="0"/>
          <w:color w:val="000000" w:themeColor="text1"/>
          <w:sz w:val="28"/>
          <w:szCs w:val="28"/>
          <w:highlight w:val="none"/>
          <w14:textFill>
            <w14:solidFill>
              <w14:schemeClr w14:val="tx1"/>
            </w14:solidFill>
          </w14:textFill>
        </w:rPr>
        <w:fldChar w:fldCharType="separate"/>
      </w:r>
      <w:r>
        <w:rPr>
          <w:rFonts w:hint="eastAsia" w:ascii="宋体" w:eastAsia="宋体" w:cs="宋体"/>
          <w:b/>
          <w:bCs w:val="0"/>
          <w:color w:val="000000" w:themeColor="text1"/>
          <w:sz w:val="28"/>
          <w:szCs w:val="28"/>
          <w:highlight w:val="none"/>
          <w14:textFill>
            <w14:solidFill>
              <w14:schemeClr w14:val="tx1"/>
            </w14:solidFill>
          </w14:textFill>
        </w:rPr>
        <w:t>第二章  招标项目采购需求</w:t>
      </w:r>
      <w:r>
        <w:rPr>
          <w:rFonts w:hint="eastAsia" w:ascii="宋体" w:eastAsia="宋体" w:cs="宋体"/>
          <w:b/>
          <w:bCs w:val="0"/>
          <w:color w:val="000000" w:themeColor="text1"/>
          <w:sz w:val="28"/>
          <w:szCs w:val="28"/>
          <w:highlight w:val="none"/>
          <w14:textFill>
            <w14:solidFill>
              <w14:schemeClr w14:val="tx1"/>
            </w14:solidFill>
          </w14:textFill>
        </w:rPr>
        <w:tab/>
      </w:r>
      <w:r>
        <w:rPr>
          <w:rFonts w:hint="eastAsia" w:ascii="宋体" w:eastAsia="宋体" w:cs="宋体"/>
          <w:b/>
          <w:bCs w:val="0"/>
          <w:color w:val="000000" w:themeColor="text1"/>
          <w:sz w:val="28"/>
          <w:szCs w:val="28"/>
          <w:highlight w:val="none"/>
          <w14:textFill>
            <w14:solidFill>
              <w14:schemeClr w14:val="tx1"/>
            </w14:solidFill>
          </w14:textFill>
        </w:rPr>
        <w:fldChar w:fldCharType="begin"/>
      </w:r>
      <w:r>
        <w:rPr>
          <w:rFonts w:hint="eastAsia" w:ascii="宋体" w:eastAsia="宋体" w:cs="宋体"/>
          <w:b/>
          <w:bCs w:val="0"/>
          <w:color w:val="000000" w:themeColor="text1"/>
          <w:sz w:val="28"/>
          <w:szCs w:val="28"/>
          <w:highlight w:val="none"/>
          <w14:textFill>
            <w14:solidFill>
              <w14:schemeClr w14:val="tx1"/>
            </w14:solidFill>
          </w14:textFill>
        </w:rPr>
        <w:instrText xml:space="preserve"> PAGEREF _Toc2015667557 </w:instrText>
      </w:r>
      <w:r>
        <w:rPr>
          <w:rFonts w:hint="eastAsia" w:ascii="宋体" w:eastAsia="宋体" w:cs="宋体"/>
          <w:b/>
          <w:bCs w:val="0"/>
          <w:color w:val="000000" w:themeColor="text1"/>
          <w:sz w:val="28"/>
          <w:szCs w:val="28"/>
          <w:highlight w:val="none"/>
          <w14:textFill>
            <w14:solidFill>
              <w14:schemeClr w14:val="tx1"/>
            </w14:solidFill>
          </w14:textFill>
        </w:rPr>
        <w:fldChar w:fldCharType="separate"/>
      </w:r>
      <w:r>
        <w:rPr>
          <w:rFonts w:hint="eastAsia" w:ascii="宋体" w:eastAsia="宋体" w:cs="宋体"/>
          <w:b/>
          <w:bCs w:val="0"/>
          <w:color w:val="000000" w:themeColor="text1"/>
          <w:sz w:val="28"/>
          <w:szCs w:val="28"/>
          <w:highlight w:val="none"/>
          <w14:textFill>
            <w14:solidFill>
              <w14:schemeClr w14:val="tx1"/>
            </w14:solidFill>
          </w14:textFill>
        </w:rPr>
        <w:t>6</w:t>
      </w:r>
      <w:r>
        <w:rPr>
          <w:rFonts w:hint="eastAsia" w:ascii="宋体" w:eastAsia="宋体" w:cs="宋体"/>
          <w:b/>
          <w:bCs w:val="0"/>
          <w:color w:val="000000" w:themeColor="text1"/>
          <w:sz w:val="28"/>
          <w:szCs w:val="28"/>
          <w:highlight w:val="none"/>
          <w14:textFill>
            <w14:solidFill>
              <w14:schemeClr w14:val="tx1"/>
            </w14:solidFill>
          </w14:textFill>
        </w:rPr>
        <w:fldChar w:fldCharType="end"/>
      </w:r>
      <w:r>
        <w:rPr>
          <w:rFonts w:hint="eastAsia" w:ascii="宋体" w:eastAsia="宋体" w:cs="宋体"/>
          <w:b/>
          <w:bCs w:val="0"/>
          <w:color w:val="000000" w:themeColor="text1"/>
          <w:sz w:val="28"/>
          <w:szCs w:val="28"/>
          <w:highlight w:val="none"/>
          <w14:textFill>
            <w14:solidFill>
              <w14:schemeClr w14:val="tx1"/>
            </w14:solidFill>
          </w14:textFill>
        </w:rPr>
        <w:fldChar w:fldCharType="end"/>
      </w:r>
    </w:p>
    <w:p>
      <w:pPr>
        <w:pStyle w:val="38"/>
        <w:tabs>
          <w:tab w:val="right" w:leader="dot" w:pos="9638"/>
          <w:tab w:val="clear" w:pos="8296"/>
          <w:tab w:val="clear" w:pos="8398"/>
        </w:tabs>
        <w:ind w:firstLine="0" w:firstLineChars="0"/>
        <w:rPr>
          <w:rFonts w:hint="eastAsia" w:ascii="宋体" w:eastAsia="宋体" w:cs="宋体"/>
          <w:b/>
          <w:bCs w:val="0"/>
          <w:color w:val="000000" w:themeColor="text1"/>
          <w:sz w:val="28"/>
          <w:szCs w:val="28"/>
          <w:highlight w:val="none"/>
          <w:lang w:val="en-US" w:eastAsia="zh-CN"/>
          <w14:textFill>
            <w14:solidFill>
              <w14:schemeClr w14:val="tx1"/>
            </w14:solidFill>
          </w14:textFill>
        </w:rPr>
      </w:pPr>
      <w:r>
        <w:rPr>
          <w:rFonts w:hint="eastAsia" w:ascii="宋体" w:eastAsia="宋体" w:cs="宋体"/>
          <w:b/>
          <w:bCs w:val="0"/>
          <w:color w:val="000000" w:themeColor="text1"/>
          <w:sz w:val="28"/>
          <w:szCs w:val="28"/>
          <w:highlight w:val="none"/>
          <w14:textFill>
            <w14:solidFill>
              <w14:schemeClr w14:val="tx1"/>
            </w14:solidFill>
          </w14:textFill>
        </w:rPr>
        <w:fldChar w:fldCharType="begin"/>
      </w:r>
      <w:r>
        <w:rPr>
          <w:rFonts w:hint="eastAsia" w:ascii="宋体" w:eastAsia="宋体" w:cs="宋体"/>
          <w:b/>
          <w:bCs w:val="0"/>
          <w:color w:val="000000" w:themeColor="text1"/>
          <w:sz w:val="28"/>
          <w:szCs w:val="28"/>
          <w:highlight w:val="none"/>
          <w14:textFill>
            <w14:solidFill>
              <w14:schemeClr w14:val="tx1"/>
            </w14:solidFill>
          </w14:textFill>
        </w:rPr>
        <w:instrText xml:space="preserve"> HYPERLINK \l _Toc1999517464 </w:instrText>
      </w:r>
      <w:r>
        <w:rPr>
          <w:rFonts w:hint="eastAsia" w:ascii="宋体" w:eastAsia="宋体" w:cs="宋体"/>
          <w:b/>
          <w:bCs w:val="0"/>
          <w:color w:val="000000" w:themeColor="text1"/>
          <w:sz w:val="28"/>
          <w:szCs w:val="28"/>
          <w:highlight w:val="none"/>
          <w14:textFill>
            <w14:solidFill>
              <w14:schemeClr w14:val="tx1"/>
            </w14:solidFill>
          </w14:textFill>
        </w:rPr>
        <w:fldChar w:fldCharType="separate"/>
      </w:r>
      <w:r>
        <w:rPr>
          <w:rFonts w:hint="eastAsia" w:ascii="宋体" w:eastAsia="宋体" w:cs="宋体"/>
          <w:b/>
          <w:bCs w:val="0"/>
          <w:color w:val="000000" w:themeColor="text1"/>
          <w:sz w:val="28"/>
          <w:szCs w:val="28"/>
          <w:highlight w:val="none"/>
          <w14:textFill>
            <w14:solidFill>
              <w14:schemeClr w14:val="tx1"/>
            </w14:solidFill>
          </w14:textFill>
        </w:rPr>
        <w:t>第三章  投标人须知</w:t>
      </w:r>
      <w:r>
        <w:rPr>
          <w:rFonts w:hint="eastAsia" w:ascii="宋体" w:eastAsia="宋体" w:cs="宋体"/>
          <w:b/>
          <w:bCs w:val="0"/>
          <w:color w:val="000000" w:themeColor="text1"/>
          <w:sz w:val="28"/>
          <w:szCs w:val="28"/>
          <w:highlight w:val="none"/>
          <w14:textFill>
            <w14:solidFill>
              <w14:schemeClr w14:val="tx1"/>
            </w14:solidFill>
          </w14:textFill>
        </w:rPr>
        <w:tab/>
      </w:r>
      <w:r>
        <w:rPr>
          <w:rFonts w:hint="eastAsia" w:ascii="宋体" w:eastAsia="宋体" w:cs="宋体"/>
          <w:b/>
          <w:bCs w:val="0"/>
          <w:color w:val="000000" w:themeColor="text1"/>
          <w:sz w:val="28"/>
          <w:szCs w:val="28"/>
          <w:highlight w:val="none"/>
          <w14:textFill>
            <w14:solidFill>
              <w14:schemeClr w14:val="tx1"/>
            </w14:solidFill>
          </w14:textFill>
        </w:rPr>
        <w:fldChar w:fldCharType="end"/>
      </w:r>
      <w:r>
        <w:rPr>
          <w:rFonts w:hint="eastAsia" w:ascii="宋体" w:eastAsia="宋体" w:cs="宋体"/>
          <w:b/>
          <w:bCs w:val="0"/>
          <w:color w:val="000000" w:themeColor="text1"/>
          <w:sz w:val="28"/>
          <w:szCs w:val="28"/>
          <w:highlight w:val="none"/>
          <w:lang w:val="en-US" w:eastAsia="zh-CN"/>
          <w14:textFill>
            <w14:solidFill>
              <w14:schemeClr w14:val="tx1"/>
            </w14:solidFill>
          </w14:textFill>
        </w:rPr>
        <w:t>29</w:t>
      </w:r>
    </w:p>
    <w:p>
      <w:pPr>
        <w:pStyle w:val="38"/>
        <w:tabs>
          <w:tab w:val="right" w:leader="dot" w:pos="9638"/>
          <w:tab w:val="clear" w:pos="8296"/>
          <w:tab w:val="clear" w:pos="8398"/>
        </w:tabs>
        <w:ind w:firstLine="0" w:firstLineChars="0"/>
        <w:rPr>
          <w:rFonts w:hint="eastAsia" w:ascii="宋体" w:eastAsia="宋体" w:cs="宋体"/>
          <w:b/>
          <w:bCs w:val="0"/>
          <w:color w:val="000000" w:themeColor="text1"/>
          <w:sz w:val="28"/>
          <w:szCs w:val="28"/>
          <w:highlight w:val="none"/>
          <w:lang w:val="en-US" w:eastAsia="zh-CN"/>
          <w14:textFill>
            <w14:solidFill>
              <w14:schemeClr w14:val="tx1"/>
            </w14:solidFill>
          </w14:textFill>
        </w:rPr>
      </w:pPr>
      <w:r>
        <w:rPr>
          <w:rFonts w:hint="eastAsia" w:ascii="宋体" w:eastAsia="宋体" w:cs="宋体"/>
          <w:b/>
          <w:bCs w:val="0"/>
          <w:color w:val="000000" w:themeColor="text1"/>
          <w:sz w:val="28"/>
          <w:szCs w:val="28"/>
          <w:highlight w:val="none"/>
          <w14:textFill>
            <w14:solidFill>
              <w14:schemeClr w14:val="tx1"/>
            </w14:solidFill>
          </w14:textFill>
        </w:rPr>
        <w:fldChar w:fldCharType="begin"/>
      </w:r>
      <w:r>
        <w:rPr>
          <w:rFonts w:hint="eastAsia" w:ascii="宋体" w:eastAsia="宋体" w:cs="宋体"/>
          <w:b/>
          <w:bCs w:val="0"/>
          <w:color w:val="000000" w:themeColor="text1"/>
          <w:sz w:val="28"/>
          <w:szCs w:val="28"/>
          <w:highlight w:val="none"/>
          <w14:textFill>
            <w14:solidFill>
              <w14:schemeClr w14:val="tx1"/>
            </w14:solidFill>
          </w14:textFill>
        </w:rPr>
        <w:instrText xml:space="preserve"> HYPERLINK \l _Toc1211477353 </w:instrText>
      </w:r>
      <w:r>
        <w:rPr>
          <w:rFonts w:hint="eastAsia" w:ascii="宋体" w:eastAsia="宋体" w:cs="宋体"/>
          <w:b/>
          <w:bCs w:val="0"/>
          <w:color w:val="000000" w:themeColor="text1"/>
          <w:sz w:val="28"/>
          <w:szCs w:val="28"/>
          <w:highlight w:val="none"/>
          <w14:textFill>
            <w14:solidFill>
              <w14:schemeClr w14:val="tx1"/>
            </w14:solidFill>
          </w14:textFill>
        </w:rPr>
        <w:fldChar w:fldCharType="separate"/>
      </w:r>
      <w:r>
        <w:rPr>
          <w:rFonts w:hint="eastAsia" w:ascii="宋体" w:eastAsia="宋体" w:cs="宋体"/>
          <w:b/>
          <w:bCs w:val="0"/>
          <w:color w:val="000000" w:themeColor="text1"/>
          <w:sz w:val="28"/>
          <w:szCs w:val="28"/>
          <w:highlight w:val="none"/>
          <w14:textFill>
            <w14:solidFill>
              <w14:schemeClr w14:val="tx1"/>
            </w14:solidFill>
          </w14:textFill>
        </w:rPr>
        <w:t>第四章  评标方法及评定标准</w:t>
      </w:r>
      <w:r>
        <w:rPr>
          <w:rFonts w:hint="eastAsia" w:ascii="宋体" w:eastAsia="宋体" w:cs="宋体"/>
          <w:b/>
          <w:bCs w:val="0"/>
          <w:color w:val="000000" w:themeColor="text1"/>
          <w:sz w:val="28"/>
          <w:szCs w:val="28"/>
          <w:highlight w:val="none"/>
          <w14:textFill>
            <w14:solidFill>
              <w14:schemeClr w14:val="tx1"/>
            </w14:solidFill>
          </w14:textFill>
        </w:rPr>
        <w:tab/>
      </w:r>
      <w:r>
        <w:rPr>
          <w:rFonts w:hint="eastAsia" w:ascii="宋体" w:eastAsia="宋体" w:cs="宋体"/>
          <w:b/>
          <w:bCs w:val="0"/>
          <w:color w:val="000000" w:themeColor="text1"/>
          <w:sz w:val="28"/>
          <w:szCs w:val="28"/>
          <w:highlight w:val="none"/>
          <w:lang w:val="en-US" w:eastAsia="zh-CN"/>
          <w14:textFill>
            <w14:solidFill>
              <w14:schemeClr w14:val="tx1"/>
            </w14:solidFill>
          </w14:textFill>
        </w:rPr>
        <w:t>4</w:t>
      </w:r>
      <w:r>
        <w:rPr>
          <w:rFonts w:hint="eastAsia" w:ascii="宋体" w:eastAsia="宋体" w:cs="宋体"/>
          <w:b/>
          <w:bCs w:val="0"/>
          <w:color w:val="000000" w:themeColor="text1"/>
          <w:sz w:val="28"/>
          <w:szCs w:val="28"/>
          <w:highlight w:val="none"/>
          <w14:textFill>
            <w14:solidFill>
              <w14:schemeClr w14:val="tx1"/>
            </w14:solidFill>
          </w14:textFill>
        </w:rPr>
        <w:fldChar w:fldCharType="end"/>
      </w:r>
      <w:r>
        <w:rPr>
          <w:rFonts w:hint="eastAsia" w:ascii="宋体" w:eastAsia="宋体" w:cs="宋体"/>
          <w:b/>
          <w:bCs w:val="0"/>
          <w:color w:val="000000" w:themeColor="text1"/>
          <w:sz w:val="28"/>
          <w:szCs w:val="28"/>
          <w:highlight w:val="none"/>
          <w:lang w:val="en-US" w:eastAsia="zh-CN"/>
          <w14:textFill>
            <w14:solidFill>
              <w14:schemeClr w14:val="tx1"/>
            </w14:solidFill>
          </w14:textFill>
        </w:rPr>
        <w:t>2</w:t>
      </w:r>
    </w:p>
    <w:p>
      <w:pPr>
        <w:pStyle w:val="38"/>
        <w:tabs>
          <w:tab w:val="right" w:leader="dot" w:pos="9638"/>
          <w:tab w:val="clear" w:pos="8296"/>
          <w:tab w:val="clear" w:pos="8398"/>
        </w:tabs>
        <w:ind w:firstLine="0" w:firstLineChars="0"/>
        <w:rPr>
          <w:rFonts w:hint="default" w:ascii="宋体" w:eastAsia="宋体" w:cs="宋体"/>
          <w:b/>
          <w:bCs w:val="0"/>
          <w:color w:val="000000" w:themeColor="text1"/>
          <w:sz w:val="28"/>
          <w:szCs w:val="28"/>
          <w:highlight w:val="none"/>
          <w:lang w:val="en-US" w:eastAsia="zh-CN"/>
          <w14:textFill>
            <w14:solidFill>
              <w14:schemeClr w14:val="tx1"/>
            </w14:solidFill>
          </w14:textFill>
        </w:rPr>
      </w:pPr>
      <w:r>
        <w:rPr>
          <w:rFonts w:hint="eastAsia" w:ascii="宋体" w:eastAsia="宋体" w:cs="宋体"/>
          <w:b/>
          <w:bCs w:val="0"/>
          <w:color w:val="000000" w:themeColor="text1"/>
          <w:sz w:val="28"/>
          <w:szCs w:val="28"/>
          <w:highlight w:val="none"/>
          <w14:textFill>
            <w14:solidFill>
              <w14:schemeClr w14:val="tx1"/>
            </w14:solidFill>
          </w14:textFill>
        </w:rPr>
        <w:fldChar w:fldCharType="begin"/>
      </w:r>
      <w:r>
        <w:rPr>
          <w:rFonts w:hint="eastAsia" w:ascii="宋体" w:eastAsia="宋体" w:cs="宋体"/>
          <w:b/>
          <w:bCs w:val="0"/>
          <w:color w:val="000000" w:themeColor="text1"/>
          <w:sz w:val="28"/>
          <w:szCs w:val="28"/>
          <w:highlight w:val="none"/>
          <w14:textFill>
            <w14:solidFill>
              <w14:schemeClr w14:val="tx1"/>
            </w14:solidFill>
          </w14:textFill>
        </w:rPr>
        <w:instrText xml:space="preserve"> HYPERLINK \l _Toc1413232859 </w:instrText>
      </w:r>
      <w:r>
        <w:rPr>
          <w:rFonts w:hint="eastAsia" w:ascii="宋体" w:eastAsia="宋体" w:cs="宋体"/>
          <w:b/>
          <w:bCs w:val="0"/>
          <w:color w:val="000000" w:themeColor="text1"/>
          <w:sz w:val="28"/>
          <w:szCs w:val="28"/>
          <w:highlight w:val="none"/>
          <w14:textFill>
            <w14:solidFill>
              <w14:schemeClr w14:val="tx1"/>
            </w14:solidFill>
          </w14:textFill>
        </w:rPr>
        <w:fldChar w:fldCharType="separate"/>
      </w:r>
      <w:r>
        <w:rPr>
          <w:rFonts w:hint="eastAsia" w:ascii="宋体" w:eastAsia="宋体" w:cs="宋体"/>
          <w:b/>
          <w:bCs w:val="0"/>
          <w:color w:val="000000" w:themeColor="text1"/>
          <w:sz w:val="28"/>
          <w:szCs w:val="28"/>
          <w:highlight w:val="none"/>
          <w14:textFill>
            <w14:solidFill>
              <w14:schemeClr w14:val="tx1"/>
            </w14:solidFill>
          </w14:textFill>
        </w:rPr>
        <w:t>第五章  政府采购合同主要条款</w:t>
      </w:r>
      <w:r>
        <w:rPr>
          <w:rFonts w:hint="eastAsia" w:ascii="宋体" w:eastAsia="宋体" w:cs="宋体"/>
          <w:b/>
          <w:bCs w:val="0"/>
          <w:color w:val="000000" w:themeColor="text1"/>
          <w:sz w:val="28"/>
          <w:szCs w:val="28"/>
          <w:highlight w:val="none"/>
          <w14:textFill>
            <w14:solidFill>
              <w14:schemeClr w14:val="tx1"/>
            </w14:solidFill>
          </w14:textFill>
        </w:rPr>
        <w:tab/>
      </w:r>
      <w:r>
        <w:rPr>
          <w:rFonts w:hint="eastAsia" w:ascii="宋体" w:eastAsia="宋体" w:cs="宋体"/>
          <w:b/>
          <w:bCs w:val="0"/>
          <w:color w:val="000000" w:themeColor="text1"/>
          <w:sz w:val="28"/>
          <w:szCs w:val="28"/>
          <w:highlight w:val="none"/>
          <w14:textFill>
            <w14:solidFill>
              <w14:schemeClr w14:val="tx1"/>
            </w14:solidFill>
          </w14:textFill>
        </w:rPr>
        <w:fldChar w:fldCharType="end"/>
      </w:r>
      <w:r>
        <w:rPr>
          <w:rFonts w:hint="eastAsia" w:ascii="宋体" w:eastAsia="宋体" w:cs="宋体"/>
          <w:b/>
          <w:bCs w:val="0"/>
          <w:color w:val="000000" w:themeColor="text1"/>
          <w:sz w:val="28"/>
          <w:szCs w:val="28"/>
          <w:highlight w:val="none"/>
          <w:lang w:val="en-US" w:eastAsia="zh-CN"/>
          <w14:textFill>
            <w14:solidFill>
              <w14:schemeClr w14:val="tx1"/>
            </w14:solidFill>
          </w14:textFill>
        </w:rPr>
        <w:t>48</w:t>
      </w:r>
    </w:p>
    <w:p>
      <w:pPr>
        <w:pStyle w:val="38"/>
        <w:tabs>
          <w:tab w:val="right" w:leader="dot" w:pos="9638"/>
          <w:tab w:val="clear" w:pos="8296"/>
          <w:tab w:val="clear" w:pos="8398"/>
        </w:tabs>
        <w:ind w:firstLine="0" w:firstLineChars="0"/>
        <w:rPr>
          <w:rFonts w:hint="eastAsia" w:ascii="宋体" w:eastAsia="宋体" w:cs="宋体"/>
          <w:b/>
          <w:bCs w:val="0"/>
          <w:color w:val="000000" w:themeColor="text1"/>
          <w:sz w:val="28"/>
          <w:szCs w:val="28"/>
          <w:highlight w:val="none"/>
          <w:lang w:val="en-US" w:eastAsia="zh-CN"/>
          <w14:textFill>
            <w14:solidFill>
              <w14:schemeClr w14:val="tx1"/>
            </w14:solidFill>
          </w14:textFill>
        </w:rPr>
      </w:pPr>
      <w:r>
        <w:rPr>
          <w:rFonts w:hint="eastAsia" w:ascii="宋体" w:eastAsia="宋体" w:cs="宋体"/>
          <w:b/>
          <w:bCs w:val="0"/>
          <w:color w:val="000000" w:themeColor="text1"/>
          <w:sz w:val="28"/>
          <w:szCs w:val="28"/>
          <w:highlight w:val="none"/>
          <w14:textFill>
            <w14:solidFill>
              <w14:schemeClr w14:val="tx1"/>
            </w14:solidFill>
          </w14:textFill>
        </w:rPr>
        <w:fldChar w:fldCharType="begin"/>
      </w:r>
      <w:r>
        <w:rPr>
          <w:rFonts w:hint="eastAsia" w:ascii="宋体" w:eastAsia="宋体" w:cs="宋体"/>
          <w:b/>
          <w:bCs w:val="0"/>
          <w:color w:val="000000" w:themeColor="text1"/>
          <w:sz w:val="28"/>
          <w:szCs w:val="28"/>
          <w:highlight w:val="none"/>
          <w14:textFill>
            <w14:solidFill>
              <w14:schemeClr w14:val="tx1"/>
            </w14:solidFill>
          </w14:textFill>
        </w:rPr>
        <w:instrText xml:space="preserve"> HYPERLINK \l _Toc1303339480 </w:instrText>
      </w:r>
      <w:r>
        <w:rPr>
          <w:rFonts w:hint="eastAsia" w:ascii="宋体" w:eastAsia="宋体" w:cs="宋体"/>
          <w:b/>
          <w:bCs w:val="0"/>
          <w:color w:val="000000" w:themeColor="text1"/>
          <w:sz w:val="28"/>
          <w:szCs w:val="28"/>
          <w:highlight w:val="none"/>
          <w14:textFill>
            <w14:solidFill>
              <w14:schemeClr w14:val="tx1"/>
            </w14:solidFill>
          </w14:textFill>
        </w:rPr>
        <w:fldChar w:fldCharType="separate"/>
      </w:r>
      <w:r>
        <w:rPr>
          <w:rFonts w:hint="eastAsia" w:ascii="宋体" w:eastAsia="宋体" w:cs="宋体"/>
          <w:b/>
          <w:bCs w:val="0"/>
          <w:color w:val="000000" w:themeColor="text1"/>
          <w:sz w:val="28"/>
          <w:szCs w:val="28"/>
          <w:highlight w:val="none"/>
          <w14:textFill>
            <w14:solidFill>
              <w14:schemeClr w14:val="tx1"/>
            </w14:solidFill>
          </w14:textFill>
        </w:rPr>
        <w:t>第六章　投标文件格式</w:t>
      </w:r>
      <w:r>
        <w:rPr>
          <w:rFonts w:hint="eastAsia" w:ascii="宋体" w:eastAsia="宋体" w:cs="宋体"/>
          <w:b/>
          <w:bCs w:val="0"/>
          <w:color w:val="000000" w:themeColor="text1"/>
          <w:sz w:val="28"/>
          <w:szCs w:val="28"/>
          <w:highlight w:val="none"/>
          <w14:textFill>
            <w14:solidFill>
              <w14:schemeClr w14:val="tx1"/>
            </w14:solidFill>
          </w14:textFill>
        </w:rPr>
        <w:tab/>
      </w:r>
      <w:r>
        <w:rPr>
          <w:rFonts w:hint="eastAsia" w:ascii="宋体" w:eastAsia="宋体" w:cs="宋体"/>
          <w:b/>
          <w:bCs w:val="0"/>
          <w:color w:val="000000" w:themeColor="text1"/>
          <w:sz w:val="28"/>
          <w:szCs w:val="28"/>
          <w:highlight w:val="none"/>
          <w14:textFill>
            <w14:solidFill>
              <w14:schemeClr w14:val="tx1"/>
            </w14:solidFill>
          </w14:textFill>
        </w:rPr>
        <w:fldChar w:fldCharType="end"/>
      </w:r>
      <w:r>
        <w:rPr>
          <w:rFonts w:hint="eastAsia" w:ascii="宋体" w:eastAsia="宋体" w:cs="宋体"/>
          <w:b/>
          <w:bCs w:val="0"/>
          <w:color w:val="000000" w:themeColor="text1"/>
          <w:sz w:val="28"/>
          <w:szCs w:val="28"/>
          <w:highlight w:val="none"/>
          <w:lang w:val="en-US" w:eastAsia="zh-CN"/>
          <w14:textFill>
            <w14:solidFill>
              <w14:schemeClr w14:val="tx1"/>
            </w14:solidFill>
          </w14:textFill>
        </w:rPr>
        <w:t>54</w:t>
      </w:r>
    </w:p>
    <w:p>
      <w:pPr>
        <w:pStyle w:val="30"/>
        <w:spacing w:before="120" w:after="120" w:line="500" w:lineRule="exact"/>
        <w:jc w:val="center"/>
        <w:rPr>
          <w:rFonts w:hint="eastAsia" w:ascii="仿宋_GB2312" w:hAnsi="宋体" w:eastAsia="仿宋_GB2312"/>
          <w:color w:val="000000" w:themeColor="text1"/>
          <w:sz w:val="44"/>
          <w:szCs w:val="44"/>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fldChar w:fldCharType="end"/>
      </w:r>
    </w:p>
    <w:p>
      <w:pPr>
        <w:spacing w:before="156" w:beforeLines="50" w:line="480" w:lineRule="exact"/>
        <w:rPr>
          <w:rFonts w:hint="eastAsia" w:ascii="仿宋_GB2312" w:hAnsi="宋体" w:eastAsia="仿宋_GB2312"/>
          <w:color w:val="000000" w:themeColor="text1"/>
          <w:sz w:val="30"/>
          <w:highlight w:val="none"/>
          <w14:textFill>
            <w14:solidFill>
              <w14:schemeClr w14:val="tx1"/>
            </w14:solidFill>
          </w14:textFill>
        </w:rPr>
      </w:pPr>
    </w:p>
    <w:p>
      <w:pPr>
        <w:pStyle w:val="370"/>
        <w:widowControl w:val="0"/>
        <w:ind w:firstLine="883"/>
        <w:jc w:val="center"/>
        <w:rPr>
          <w:rFonts w:hint="eastAsia" w:ascii="仿宋_GB2312" w:hAnsi="宋体" w:eastAsia="仿宋_GB2312"/>
          <w:b/>
          <w:color w:val="000000" w:themeColor="text1"/>
          <w:sz w:val="44"/>
          <w:szCs w:val="44"/>
          <w:highlight w:val="none"/>
          <w14:textFill>
            <w14:solidFill>
              <w14:schemeClr w14:val="tx1"/>
            </w14:solidFill>
          </w14:textFill>
        </w:rPr>
      </w:pPr>
      <w:r>
        <w:rPr>
          <w:rFonts w:ascii="仿宋_GB2312" w:hAnsi="宋体" w:eastAsia="仿宋_GB2312"/>
          <w:b/>
          <w:color w:val="000000" w:themeColor="text1"/>
          <w:sz w:val="44"/>
          <w:szCs w:val="44"/>
          <w:highlight w:val="none"/>
          <w14:textFill>
            <w14:solidFill>
              <w14:schemeClr w14:val="tx1"/>
            </w14:solidFill>
          </w14:textFill>
        </w:rPr>
        <w:br w:type="page"/>
      </w:r>
    </w:p>
    <w:p>
      <w:pPr>
        <w:pStyle w:val="370"/>
        <w:widowControl w:val="0"/>
        <w:ind w:firstLine="883"/>
        <w:jc w:val="center"/>
        <w:rPr>
          <w:rFonts w:hint="eastAsia" w:ascii="仿宋_GB2312" w:hAnsi="宋体" w:eastAsia="仿宋_GB2312"/>
          <w:b/>
          <w:color w:val="000000" w:themeColor="text1"/>
          <w:sz w:val="44"/>
          <w:szCs w:val="44"/>
          <w:highlight w:val="none"/>
          <w14:textFill>
            <w14:solidFill>
              <w14:schemeClr w14:val="tx1"/>
            </w14:solidFill>
          </w14:textFill>
        </w:rPr>
      </w:pPr>
    </w:p>
    <w:p>
      <w:pPr>
        <w:pStyle w:val="370"/>
        <w:widowControl w:val="0"/>
        <w:ind w:firstLine="883"/>
        <w:jc w:val="center"/>
        <w:rPr>
          <w:rFonts w:hint="eastAsia" w:ascii="仿宋_GB2312" w:hAnsi="宋体" w:eastAsia="仿宋_GB2312"/>
          <w:b/>
          <w:color w:val="000000" w:themeColor="text1"/>
          <w:sz w:val="44"/>
          <w:szCs w:val="44"/>
          <w:highlight w:val="none"/>
          <w14:textFill>
            <w14:solidFill>
              <w14:schemeClr w14:val="tx1"/>
            </w14:solidFill>
          </w14:textFill>
        </w:rPr>
      </w:pPr>
    </w:p>
    <w:p>
      <w:pPr>
        <w:pStyle w:val="370"/>
        <w:widowControl w:val="0"/>
        <w:ind w:firstLine="883"/>
        <w:jc w:val="center"/>
        <w:rPr>
          <w:rFonts w:hint="eastAsia" w:ascii="仿宋_GB2312" w:hAnsi="宋体" w:eastAsia="仿宋_GB2312"/>
          <w:b/>
          <w:color w:val="000000" w:themeColor="text1"/>
          <w:sz w:val="44"/>
          <w:szCs w:val="44"/>
          <w:highlight w:val="none"/>
          <w14:textFill>
            <w14:solidFill>
              <w14:schemeClr w14:val="tx1"/>
            </w14:solidFill>
          </w14:textFill>
        </w:rPr>
      </w:pPr>
    </w:p>
    <w:p>
      <w:pPr>
        <w:pStyle w:val="370"/>
        <w:widowControl w:val="0"/>
        <w:ind w:firstLine="883"/>
        <w:jc w:val="center"/>
        <w:rPr>
          <w:rFonts w:hint="eastAsia" w:ascii="仿宋_GB2312" w:hAnsi="宋体" w:eastAsia="仿宋_GB2312"/>
          <w:b/>
          <w:color w:val="000000" w:themeColor="text1"/>
          <w:sz w:val="44"/>
          <w:szCs w:val="44"/>
          <w:highlight w:val="none"/>
          <w14:textFill>
            <w14:solidFill>
              <w14:schemeClr w14:val="tx1"/>
            </w14:solidFill>
          </w14:textFill>
        </w:rPr>
      </w:pPr>
    </w:p>
    <w:p>
      <w:pPr>
        <w:pStyle w:val="370"/>
        <w:widowControl w:val="0"/>
        <w:ind w:firstLine="0" w:firstLineChars="0"/>
        <w:rPr>
          <w:rFonts w:hint="eastAsia" w:ascii="仿宋_GB2312" w:hAnsi="宋体" w:eastAsia="仿宋_GB2312"/>
          <w:b/>
          <w:color w:val="000000" w:themeColor="text1"/>
          <w:sz w:val="44"/>
          <w:szCs w:val="44"/>
          <w:highlight w:val="none"/>
          <w14:textFill>
            <w14:solidFill>
              <w14:schemeClr w14:val="tx1"/>
            </w14:solidFill>
          </w14:textFill>
        </w:rPr>
      </w:pPr>
    </w:p>
    <w:p>
      <w:pPr>
        <w:pStyle w:val="370"/>
        <w:widowControl w:val="0"/>
        <w:ind w:firstLine="0" w:firstLineChars="0"/>
        <w:jc w:val="center"/>
        <w:rPr>
          <w:rFonts w:hint="eastAsia" w:ascii="仿宋_GB2312" w:hAnsi="宋体" w:eastAsia="仿宋_GB2312"/>
          <w:b/>
          <w:color w:val="000000" w:themeColor="text1"/>
          <w:sz w:val="44"/>
          <w:szCs w:val="44"/>
          <w:highlight w:val="none"/>
          <w14:textFill>
            <w14:solidFill>
              <w14:schemeClr w14:val="tx1"/>
            </w14:solidFill>
          </w14:textFill>
        </w:rPr>
      </w:pPr>
    </w:p>
    <w:p>
      <w:pPr>
        <w:pStyle w:val="370"/>
        <w:widowControl w:val="0"/>
        <w:ind w:firstLine="0" w:firstLineChars="0"/>
        <w:jc w:val="center"/>
        <w:rPr>
          <w:rFonts w:hint="eastAsia" w:ascii="仿宋_GB2312" w:hAnsi="宋体" w:eastAsia="仿宋_GB2312"/>
          <w:b/>
          <w:color w:val="000000" w:themeColor="text1"/>
          <w:sz w:val="44"/>
          <w:szCs w:val="44"/>
          <w:highlight w:val="none"/>
          <w14:textFill>
            <w14:solidFill>
              <w14:schemeClr w14:val="tx1"/>
            </w14:solidFill>
          </w14:textFill>
        </w:rPr>
      </w:pPr>
    </w:p>
    <w:p>
      <w:pPr>
        <w:pStyle w:val="3"/>
        <w:jc w:val="center"/>
        <w:rPr>
          <w:rFonts w:hint="eastAsia"/>
          <w:color w:val="000000" w:themeColor="text1"/>
          <w:highlight w:val="none"/>
          <w14:textFill>
            <w14:solidFill>
              <w14:schemeClr w14:val="tx1"/>
            </w14:solidFill>
          </w14:textFill>
        </w:rPr>
      </w:pPr>
      <w:bookmarkStart w:id="0" w:name="_Toc667630650"/>
      <w:r>
        <w:rPr>
          <w:rFonts w:hint="eastAsia"/>
          <w:color w:val="000000" w:themeColor="text1"/>
          <w:highlight w:val="none"/>
          <w14:textFill>
            <w14:solidFill>
              <w14:schemeClr w14:val="tx1"/>
            </w14:solidFill>
          </w14:textFill>
        </w:rPr>
        <w:t>第一章  公开招标公告</w:t>
      </w:r>
      <w:bookmarkEnd w:id="0"/>
    </w:p>
    <w:p>
      <w:pPr>
        <w:pStyle w:val="370"/>
        <w:widowControl w:val="0"/>
        <w:spacing w:line="300" w:lineRule="exact"/>
        <w:ind w:firstLine="640"/>
        <w:jc w:val="center"/>
        <w:rPr>
          <w:rFonts w:hint="eastAsia" w:ascii="黑体" w:hAnsi="宋体" w:eastAsia="黑体"/>
          <w:color w:val="000000" w:themeColor="text1"/>
          <w:sz w:val="32"/>
          <w:szCs w:val="32"/>
          <w:highlight w:val="none"/>
          <w14:textFill>
            <w14:solidFill>
              <w14:schemeClr w14:val="tx1"/>
            </w14:solidFill>
          </w14:textFill>
        </w:rPr>
      </w:pPr>
    </w:p>
    <w:p>
      <w:pPr>
        <w:pStyle w:val="370"/>
        <w:widowControl w:val="0"/>
        <w:spacing w:line="300" w:lineRule="exact"/>
        <w:ind w:firstLine="640"/>
        <w:jc w:val="center"/>
        <w:rPr>
          <w:rFonts w:hint="eastAsia" w:ascii="黑体" w:hAnsi="宋体" w:eastAsia="黑体"/>
          <w:color w:val="000000" w:themeColor="text1"/>
          <w:sz w:val="32"/>
          <w:szCs w:val="32"/>
          <w:highlight w:val="none"/>
          <w14:textFill>
            <w14:solidFill>
              <w14:schemeClr w14:val="tx1"/>
            </w14:solidFill>
          </w14:textFill>
        </w:rPr>
      </w:pPr>
    </w:p>
    <w:p>
      <w:pPr>
        <w:pStyle w:val="370"/>
        <w:widowControl w:val="0"/>
        <w:spacing w:line="300" w:lineRule="exact"/>
        <w:ind w:firstLine="640"/>
        <w:jc w:val="center"/>
        <w:rPr>
          <w:rFonts w:hint="eastAsia" w:ascii="黑体" w:hAnsi="宋体" w:eastAsia="黑体"/>
          <w:color w:val="000000" w:themeColor="text1"/>
          <w:sz w:val="32"/>
          <w:szCs w:val="32"/>
          <w:highlight w:val="none"/>
          <w14:textFill>
            <w14:solidFill>
              <w14:schemeClr w14:val="tx1"/>
            </w14:solidFill>
          </w14:textFill>
        </w:rPr>
      </w:pPr>
    </w:p>
    <w:p>
      <w:pPr>
        <w:pStyle w:val="370"/>
        <w:widowControl w:val="0"/>
        <w:spacing w:line="300" w:lineRule="exact"/>
        <w:ind w:firstLine="640"/>
        <w:jc w:val="center"/>
        <w:rPr>
          <w:rFonts w:hint="eastAsia" w:ascii="黑体" w:hAnsi="宋体" w:eastAsia="黑体"/>
          <w:color w:val="000000" w:themeColor="text1"/>
          <w:sz w:val="32"/>
          <w:szCs w:val="32"/>
          <w:highlight w:val="none"/>
          <w14:textFill>
            <w14:solidFill>
              <w14:schemeClr w14:val="tx1"/>
            </w14:solidFill>
          </w14:textFill>
        </w:rPr>
      </w:pPr>
    </w:p>
    <w:p>
      <w:pPr>
        <w:pStyle w:val="370"/>
        <w:widowControl w:val="0"/>
        <w:spacing w:line="300" w:lineRule="exact"/>
        <w:ind w:firstLine="640"/>
        <w:jc w:val="center"/>
        <w:rPr>
          <w:rFonts w:hint="eastAsia" w:ascii="黑体" w:hAnsi="宋体" w:eastAsia="黑体"/>
          <w:color w:val="000000" w:themeColor="text1"/>
          <w:sz w:val="32"/>
          <w:szCs w:val="32"/>
          <w:highlight w:val="none"/>
          <w14:textFill>
            <w14:solidFill>
              <w14:schemeClr w14:val="tx1"/>
            </w14:solidFill>
          </w14:textFill>
        </w:rPr>
      </w:pPr>
    </w:p>
    <w:p>
      <w:pPr>
        <w:pStyle w:val="370"/>
        <w:widowControl w:val="0"/>
        <w:spacing w:line="300" w:lineRule="exact"/>
        <w:ind w:firstLine="640"/>
        <w:jc w:val="center"/>
        <w:rPr>
          <w:rFonts w:hint="eastAsia" w:ascii="黑体" w:hAnsi="宋体" w:eastAsia="黑体"/>
          <w:color w:val="000000" w:themeColor="text1"/>
          <w:sz w:val="32"/>
          <w:szCs w:val="32"/>
          <w:highlight w:val="none"/>
          <w14:textFill>
            <w14:solidFill>
              <w14:schemeClr w14:val="tx1"/>
            </w14:solidFill>
          </w14:textFill>
        </w:rPr>
      </w:pPr>
    </w:p>
    <w:p>
      <w:pPr>
        <w:pStyle w:val="370"/>
        <w:widowControl w:val="0"/>
        <w:spacing w:line="300" w:lineRule="exact"/>
        <w:ind w:firstLine="640"/>
        <w:jc w:val="center"/>
        <w:rPr>
          <w:rFonts w:hint="eastAsia" w:ascii="黑体" w:hAnsi="宋体" w:eastAsia="黑体"/>
          <w:color w:val="000000" w:themeColor="text1"/>
          <w:sz w:val="32"/>
          <w:szCs w:val="32"/>
          <w:highlight w:val="none"/>
          <w14:textFill>
            <w14:solidFill>
              <w14:schemeClr w14:val="tx1"/>
            </w14:solidFill>
          </w14:textFill>
        </w:rPr>
      </w:pPr>
    </w:p>
    <w:p>
      <w:pPr>
        <w:pStyle w:val="370"/>
        <w:widowControl w:val="0"/>
        <w:spacing w:line="300" w:lineRule="exact"/>
        <w:ind w:firstLine="640"/>
        <w:jc w:val="center"/>
        <w:rPr>
          <w:rFonts w:hint="eastAsia" w:ascii="黑体" w:hAnsi="宋体" w:eastAsia="黑体"/>
          <w:color w:val="000000" w:themeColor="text1"/>
          <w:sz w:val="32"/>
          <w:szCs w:val="32"/>
          <w:highlight w:val="none"/>
          <w14:textFill>
            <w14:solidFill>
              <w14:schemeClr w14:val="tx1"/>
            </w14:solidFill>
          </w14:textFill>
        </w:rPr>
      </w:pPr>
    </w:p>
    <w:p>
      <w:pPr>
        <w:pStyle w:val="370"/>
        <w:widowControl w:val="0"/>
        <w:spacing w:line="300" w:lineRule="exact"/>
        <w:ind w:firstLine="640"/>
        <w:jc w:val="center"/>
        <w:rPr>
          <w:rFonts w:hint="eastAsia" w:ascii="黑体" w:hAnsi="宋体" w:eastAsia="黑体"/>
          <w:color w:val="000000" w:themeColor="text1"/>
          <w:sz w:val="32"/>
          <w:szCs w:val="32"/>
          <w:highlight w:val="none"/>
          <w14:textFill>
            <w14:solidFill>
              <w14:schemeClr w14:val="tx1"/>
            </w14:solidFill>
          </w14:textFill>
        </w:rPr>
      </w:pPr>
    </w:p>
    <w:p>
      <w:pPr>
        <w:pStyle w:val="370"/>
        <w:widowControl w:val="0"/>
        <w:spacing w:line="300" w:lineRule="exact"/>
        <w:ind w:firstLine="640"/>
        <w:jc w:val="center"/>
        <w:rPr>
          <w:rFonts w:hint="eastAsia" w:ascii="黑体" w:hAnsi="宋体" w:eastAsia="黑体"/>
          <w:color w:val="000000" w:themeColor="text1"/>
          <w:sz w:val="32"/>
          <w:szCs w:val="32"/>
          <w:highlight w:val="none"/>
          <w14:textFill>
            <w14:solidFill>
              <w14:schemeClr w14:val="tx1"/>
            </w14:solidFill>
          </w14:textFill>
        </w:rPr>
      </w:pPr>
    </w:p>
    <w:p>
      <w:pPr>
        <w:pStyle w:val="370"/>
        <w:widowControl w:val="0"/>
        <w:spacing w:line="300" w:lineRule="exact"/>
        <w:ind w:firstLine="640"/>
        <w:jc w:val="center"/>
        <w:rPr>
          <w:rFonts w:hint="eastAsia" w:ascii="黑体" w:hAnsi="宋体" w:eastAsia="黑体"/>
          <w:color w:val="000000" w:themeColor="text1"/>
          <w:sz w:val="32"/>
          <w:szCs w:val="32"/>
          <w:highlight w:val="none"/>
          <w14:textFill>
            <w14:solidFill>
              <w14:schemeClr w14:val="tx1"/>
            </w14:solidFill>
          </w14:textFill>
        </w:rPr>
      </w:pPr>
    </w:p>
    <w:p>
      <w:pPr>
        <w:pStyle w:val="370"/>
        <w:widowControl w:val="0"/>
        <w:spacing w:line="300" w:lineRule="exact"/>
        <w:ind w:firstLine="640"/>
        <w:jc w:val="center"/>
        <w:rPr>
          <w:rFonts w:hint="eastAsia" w:ascii="黑体" w:hAnsi="宋体" w:eastAsia="黑体"/>
          <w:color w:val="000000" w:themeColor="text1"/>
          <w:sz w:val="32"/>
          <w:szCs w:val="32"/>
          <w:highlight w:val="none"/>
          <w14:textFill>
            <w14:solidFill>
              <w14:schemeClr w14:val="tx1"/>
            </w14:solidFill>
          </w14:textFill>
        </w:rPr>
      </w:pPr>
    </w:p>
    <w:p>
      <w:pPr>
        <w:pStyle w:val="370"/>
        <w:pageBreakBefore/>
        <w:widowControl w:val="0"/>
        <w:spacing w:line="48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黑体" w:hAnsi="宋体" w:eastAsia="黑体"/>
          <w:color w:val="000000" w:themeColor="text1"/>
          <w:sz w:val="32"/>
          <w:szCs w:val="32"/>
          <w:highlight w:val="none"/>
          <w14:textFill>
            <w14:solidFill>
              <w14:schemeClr w14:val="tx1"/>
            </w14:solidFill>
          </w14:textFill>
        </w:rPr>
        <w:t>公开招标公告</w:t>
      </w:r>
      <w:bookmarkStart w:id="1" w:name="_Toc35393621"/>
      <w:bookmarkStart w:id="2" w:name="_Hlk24379207"/>
      <w:bookmarkStart w:id="3" w:name="_Toc28359002"/>
      <w:bookmarkStart w:id="4" w:name="_Toc35393790"/>
      <w:bookmarkStart w:id="5" w:name="_Toc28359079"/>
      <w:r>
        <w:rPr>
          <w:rFonts w:ascii="宋体" w:hAnsi="宋体" w:cs="宋体"/>
          <w:color w:val="000000" w:themeColor="text1"/>
          <w:szCs w:val="21"/>
          <w:highlight w:val="none"/>
          <w14:textFill>
            <w14:solidFill>
              <w14:schemeClr w14:val="tx1"/>
            </w14:solidFill>
          </w14:textFill>
        </w:rPr>
        <w:t xml:space="preserve"> </w:t>
      </w:r>
    </w:p>
    <w:p>
      <w:pPr>
        <w:pBdr>
          <w:top w:val="single" w:color="auto" w:sz="4" w:space="1"/>
          <w:left w:val="single" w:color="auto" w:sz="4" w:space="4"/>
          <w:bottom w:val="single" w:color="auto" w:sz="4" w:space="1"/>
          <w:right w:val="single" w:color="auto" w:sz="4" w:space="4"/>
        </w:pBdr>
        <w:adjustRightInd w:val="0"/>
        <w:snapToGrid w:val="0"/>
        <w:spacing w:line="40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项目概况                                                    </w:t>
      </w:r>
    </w:p>
    <w:p>
      <w:pPr>
        <w:pBdr>
          <w:top w:val="single" w:color="auto" w:sz="4" w:space="1"/>
          <w:left w:val="single" w:color="auto" w:sz="4" w:space="4"/>
          <w:bottom w:val="single" w:color="auto" w:sz="4" w:space="1"/>
          <w:right w:val="single" w:color="auto" w:sz="4" w:space="4"/>
        </w:pBdr>
        <w:adjustRightInd w:val="0"/>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lang w:val="en"/>
          <w14:textFill>
            <w14:solidFill>
              <w14:schemeClr w14:val="tx1"/>
            </w14:solidFill>
          </w14:textFill>
        </w:rPr>
        <w:t>广西壮族自治区科学技术馆2025-2026年度物业服务采购</w:t>
      </w:r>
      <w:r>
        <w:rPr>
          <w:rFonts w:hint="eastAsia" w:ascii="宋体" w:hAnsi="宋体" w:cs="宋体"/>
          <w:color w:val="000000" w:themeColor="text1"/>
          <w:kern w:val="0"/>
          <w:szCs w:val="21"/>
          <w:highlight w:val="none"/>
          <w14:textFill>
            <w14:solidFill>
              <w14:schemeClr w14:val="tx1"/>
            </w14:solidFill>
          </w14:textFill>
        </w:rPr>
        <w:t>招标项目的潜在投标人应在广西政府采购云平台（网址：www.gcy.zfcg.gxzf.gov.cn）获取招标文件，并于2024年</w:t>
      </w:r>
      <w:r>
        <w:rPr>
          <w:rFonts w:hint="eastAsia" w:ascii="宋体" w:hAnsi="宋体" w:cs="宋体"/>
          <w:color w:val="000000" w:themeColor="text1"/>
          <w:kern w:val="0"/>
          <w:szCs w:val="21"/>
          <w:highlight w:val="none"/>
          <w:lang w:val="en-US" w:eastAsia="zh-CN"/>
          <w14:textFill>
            <w14:solidFill>
              <w14:schemeClr w14:val="tx1"/>
            </w14:solidFill>
          </w14:textFill>
        </w:rPr>
        <w:t>12</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lang w:val="en-US" w:eastAsia="zh-CN"/>
          <w14:textFill>
            <w14:solidFill>
              <w14:schemeClr w14:val="tx1"/>
            </w14:solidFill>
          </w14:textFill>
        </w:rPr>
        <w:t>23</w:t>
      </w:r>
      <w:r>
        <w:rPr>
          <w:rFonts w:hint="eastAsia" w:ascii="宋体" w:hAnsi="宋体" w:cs="宋体"/>
          <w:color w:val="000000" w:themeColor="text1"/>
          <w:kern w:val="0"/>
          <w:szCs w:val="21"/>
          <w:highlight w:val="none"/>
          <w14:textFill>
            <w14:solidFill>
              <w14:schemeClr w14:val="tx1"/>
            </w14:solidFill>
          </w14:textFill>
        </w:rPr>
        <w:t xml:space="preserve">日 10:00（北京时间）前递交投标文件。                                                </w:t>
      </w:r>
    </w:p>
    <w:bookmarkEnd w:id="1"/>
    <w:bookmarkEnd w:id="2"/>
    <w:bookmarkEnd w:id="3"/>
    <w:bookmarkEnd w:id="4"/>
    <w:bookmarkEnd w:id="5"/>
    <w:p>
      <w:pPr>
        <w:pStyle w:val="51"/>
        <w:spacing w:before="255" w:beforeAutospacing="0" w:after="255" w:afterAutospacing="0" w:line="380" w:lineRule="exact"/>
        <w:jc w:val="both"/>
        <w:rPr>
          <w:rFonts w:hint="eastAsia" w:cs="宋体"/>
          <w:color w:val="000000" w:themeColor="text1"/>
          <w:sz w:val="21"/>
          <w:szCs w:val="21"/>
          <w:highlight w:val="none"/>
          <w14:textFill>
            <w14:solidFill>
              <w14:schemeClr w14:val="tx1"/>
            </w14:solidFill>
          </w14:textFill>
        </w:rPr>
      </w:pPr>
      <w:bookmarkStart w:id="6" w:name="_Toc28359086"/>
      <w:bookmarkStart w:id="7" w:name="_Toc28359009"/>
      <w:r>
        <w:rPr>
          <w:rStyle w:val="57"/>
          <w:rFonts w:hint="eastAsia" w:cs="宋体"/>
          <w:color w:val="000000" w:themeColor="text1"/>
          <w:sz w:val="21"/>
          <w:szCs w:val="21"/>
          <w:highlight w:val="none"/>
          <w14:textFill>
            <w14:solidFill>
              <w14:schemeClr w14:val="tx1"/>
            </w14:solidFill>
          </w14:textFill>
        </w:rPr>
        <w:t>一、项目基本情况</w:t>
      </w:r>
    </w:p>
    <w:p>
      <w:pPr>
        <w:pStyle w:val="51"/>
        <w:spacing w:before="75" w:beforeAutospacing="0" w:after="75" w:afterAutospacing="0" w:line="380" w:lineRule="exac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项目编号：</w:t>
      </w:r>
      <w:r>
        <w:rPr>
          <w:rStyle w:val="595"/>
          <w:rFonts w:cs="宋体"/>
          <w:color w:val="000000" w:themeColor="text1"/>
          <w:sz w:val="21"/>
          <w:szCs w:val="21"/>
          <w:highlight w:val="none"/>
          <w:lang w:val="en"/>
          <w14:textFill>
            <w14:solidFill>
              <w14:schemeClr w14:val="tx1"/>
            </w14:solidFill>
          </w14:textFill>
        </w:rPr>
        <w:t>GXZC2024-G3-006201-CGZX</w:t>
      </w:r>
      <w:r>
        <w:rPr>
          <w:rFonts w:hint="eastAsia" w:cs="宋体"/>
          <w:color w:val="000000" w:themeColor="text1"/>
          <w:sz w:val="21"/>
          <w:szCs w:val="21"/>
          <w:highlight w:val="none"/>
          <w14:textFill>
            <w14:solidFill>
              <w14:schemeClr w14:val="tx1"/>
            </w14:solidFill>
          </w14:textFill>
        </w:rPr>
        <w:t> </w:t>
      </w:r>
    </w:p>
    <w:p>
      <w:pPr>
        <w:pStyle w:val="51"/>
        <w:spacing w:before="75" w:beforeAutospacing="0" w:after="75" w:afterAutospacing="0" w:line="380" w:lineRule="exact"/>
        <w:rPr>
          <w:rFonts w:cs="宋体"/>
          <w:color w:val="000000" w:themeColor="text1"/>
          <w:sz w:val="21"/>
          <w:szCs w:val="21"/>
          <w:highlight w:val="none"/>
          <w:lang w:val="e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项目名称：</w:t>
      </w:r>
      <w:r>
        <w:rPr>
          <w:rStyle w:val="596"/>
          <w:rFonts w:cs="宋体"/>
          <w:color w:val="000000" w:themeColor="text1"/>
          <w:sz w:val="21"/>
          <w:szCs w:val="21"/>
          <w:highlight w:val="none"/>
          <w:lang w:val="en"/>
          <w14:textFill>
            <w14:solidFill>
              <w14:schemeClr w14:val="tx1"/>
            </w14:solidFill>
          </w14:textFill>
        </w:rPr>
        <w:t>广西壮族自治区科学技术馆2025-2026年度物业服务采购</w:t>
      </w:r>
    </w:p>
    <w:p>
      <w:pPr>
        <w:pStyle w:val="51"/>
        <w:spacing w:before="75" w:beforeAutospacing="0" w:after="75" w:afterAutospacing="0" w:line="380" w:lineRule="exac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预算总金额（元）：</w:t>
      </w:r>
      <w:r>
        <w:rPr>
          <w:rStyle w:val="597"/>
          <w:rFonts w:hint="eastAsia" w:cs="宋体"/>
          <w:color w:val="000000" w:themeColor="text1"/>
          <w:sz w:val="21"/>
          <w:szCs w:val="21"/>
          <w:highlight w:val="none"/>
          <w:lang w:val="en-US" w:eastAsia="zh-CN"/>
          <w14:textFill>
            <w14:solidFill>
              <w14:schemeClr w14:val="tx1"/>
            </w14:solidFill>
          </w14:textFill>
        </w:rPr>
        <w:t>10700000</w:t>
      </w:r>
      <w:r>
        <w:rPr>
          <w:rFonts w:hint="eastAsia" w:cs="宋体"/>
          <w:color w:val="000000" w:themeColor="text1"/>
          <w:sz w:val="21"/>
          <w:szCs w:val="21"/>
          <w:highlight w:val="none"/>
          <w14:textFill>
            <w14:solidFill>
              <w14:schemeClr w14:val="tx1"/>
            </w14:solidFill>
          </w14:textFill>
        </w:rPr>
        <w:t>  </w:t>
      </w:r>
    </w:p>
    <w:p>
      <w:pPr>
        <w:pStyle w:val="51"/>
        <w:spacing w:before="75" w:beforeAutospacing="0" w:after="75" w:afterAutospacing="0" w:line="380" w:lineRule="exac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采购需求：</w:t>
      </w:r>
    </w:p>
    <w:p>
      <w:pPr>
        <w:pStyle w:val="51"/>
        <w:spacing w:before="75" w:beforeAutospacing="0" w:after="75" w:afterAutospacing="0" w:line="380" w:lineRule="exact"/>
        <w:rPr>
          <w:rFonts w:hint="eastAsia" w:eastAsia="宋体" w:cs="宋体"/>
          <w:color w:val="000000" w:themeColor="text1"/>
          <w:sz w:val="21"/>
          <w:szCs w:val="21"/>
          <w:highlight w:val="none"/>
          <w:shd w:val="clear" w:color="auto" w:fill="F7F7F7"/>
          <w:lang w:eastAsia="zh-CN"/>
          <w14:textFill>
            <w14:solidFill>
              <w14:schemeClr w14:val="tx1"/>
            </w14:solidFill>
          </w14:textFill>
        </w:rPr>
      </w:pPr>
    </w:p>
    <w:p>
      <w:pPr>
        <w:pStyle w:val="51"/>
        <w:spacing w:before="75" w:beforeAutospacing="0" w:after="75" w:afterAutospacing="0" w:line="380" w:lineRule="exact"/>
        <w:rPr>
          <w:rStyle w:val="598"/>
          <w:rFonts w:hint="eastAsia" w:eastAsia="宋体" w:cs="宋体"/>
          <w:color w:val="000000" w:themeColor="text1"/>
          <w:sz w:val="21"/>
          <w:szCs w:val="21"/>
          <w:highlight w:val="none"/>
          <w:shd w:val="clear" w:color="auto" w:fill="F7F7F7"/>
          <w:lang w:val="en" w:eastAsia="zh-CN"/>
          <w14:textFill>
            <w14:solidFill>
              <w14:schemeClr w14:val="tx1"/>
            </w14:solidFill>
          </w14:textFill>
        </w:rPr>
      </w:pPr>
      <w:r>
        <w:rPr>
          <w:rFonts w:hint="eastAsia" w:cs="宋体"/>
          <w:color w:val="000000" w:themeColor="text1"/>
          <w:sz w:val="21"/>
          <w:szCs w:val="21"/>
          <w:highlight w:val="none"/>
          <w:shd w:val="clear" w:color="auto" w:fill="F7F7F7"/>
          <w14:textFill>
            <w14:solidFill>
              <w14:schemeClr w14:val="tx1"/>
            </w14:solidFill>
          </w14:textFill>
        </w:rPr>
        <w:t xml:space="preserve">    标项名称:</w:t>
      </w:r>
      <w:r>
        <w:rPr>
          <w:rStyle w:val="598"/>
          <w:rFonts w:cs="宋体"/>
          <w:color w:val="000000" w:themeColor="text1"/>
          <w:sz w:val="21"/>
          <w:szCs w:val="21"/>
          <w:highlight w:val="none"/>
          <w:shd w:val="clear" w:color="auto" w:fill="F7F7F7"/>
          <w:lang w:val="en"/>
          <w14:textFill>
            <w14:solidFill>
              <w14:schemeClr w14:val="tx1"/>
            </w14:solidFill>
          </w14:textFill>
        </w:rPr>
        <w:t>广西壮族自治区科学技术馆2025-2026年度物业服务采购</w:t>
      </w:r>
    </w:p>
    <w:p>
      <w:pPr>
        <w:pStyle w:val="51"/>
        <w:spacing w:before="75" w:beforeAutospacing="0" w:after="75" w:afterAutospacing="0" w:line="380" w:lineRule="exact"/>
        <w:rPr>
          <w:rStyle w:val="599"/>
          <w:rFonts w:hint="eastAsia" w:eastAsia="宋体" w:cs="宋体"/>
          <w:color w:val="000000" w:themeColor="text1"/>
          <w:sz w:val="21"/>
          <w:szCs w:val="21"/>
          <w:highlight w:val="none"/>
          <w:shd w:val="clear" w:color="auto" w:fill="F7F7F7"/>
          <w:lang w:eastAsia="zh-CN"/>
          <w14:textFill>
            <w14:solidFill>
              <w14:schemeClr w14:val="tx1"/>
            </w14:solidFill>
          </w14:textFill>
        </w:rPr>
      </w:pPr>
      <w:r>
        <w:rPr>
          <w:rFonts w:hint="eastAsia" w:cs="宋体"/>
          <w:color w:val="000000" w:themeColor="text1"/>
          <w:sz w:val="21"/>
          <w:szCs w:val="21"/>
          <w:highlight w:val="none"/>
          <w:shd w:val="clear" w:color="auto" w:fill="F7F7F7"/>
          <w14:textFill>
            <w14:solidFill>
              <w14:schemeClr w14:val="tx1"/>
            </w14:solidFill>
          </w14:textFill>
        </w:rPr>
        <w:t xml:space="preserve">    数量:</w:t>
      </w:r>
      <w:r>
        <w:rPr>
          <w:rStyle w:val="599"/>
          <w:rFonts w:hint="eastAsia" w:cs="宋体"/>
          <w:color w:val="000000" w:themeColor="text1"/>
          <w:sz w:val="21"/>
          <w:szCs w:val="21"/>
          <w:highlight w:val="none"/>
          <w:shd w:val="clear" w:color="auto" w:fill="F7F7F7"/>
          <w14:textFill>
            <w14:solidFill>
              <w14:schemeClr w14:val="tx1"/>
            </w14:solidFill>
          </w14:textFill>
        </w:rPr>
        <w:t>1</w:t>
      </w:r>
    </w:p>
    <w:p>
      <w:pPr>
        <w:pStyle w:val="51"/>
        <w:spacing w:before="75" w:beforeAutospacing="0" w:after="75" w:afterAutospacing="0" w:line="380" w:lineRule="exact"/>
        <w:rPr>
          <w:rStyle w:val="597"/>
          <w:rFonts w:hint="default"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shd w:val="clear" w:color="auto" w:fill="F7F7F7"/>
          <w14:textFill>
            <w14:solidFill>
              <w14:schemeClr w14:val="tx1"/>
            </w14:solidFill>
          </w14:textFill>
        </w:rPr>
        <w:t xml:space="preserve">    预算金额（元）:</w:t>
      </w:r>
      <w:r>
        <w:rPr>
          <w:rStyle w:val="597"/>
          <w:rFonts w:hint="eastAsia" w:cs="宋体"/>
          <w:color w:val="000000" w:themeColor="text1"/>
          <w:sz w:val="21"/>
          <w:szCs w:val="21"/>
          <w:highlight w:val="none"/>
          <w:lang w:val="en-US" w:eastAsia="zh-CN"/>
          <w14:textFill>
            <w14:solidFill>
              <w14:schemeClr w14:val="tx1"/>
            </w14:solidFill>
          </w14:textFill>
        </w:rPr>
        <w:t>10700000</w:t>
      </w:r>
    </w:p>
    <w:p>
      <w:pPr>
        <w:pStyle w:val="51"/>
        <w:spacing w:before="75" w:beforeAutospacing="0" w:after="75" w:afterAutospacing="0" w:line="380" w:lineRule="exac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7F7F7"/>
          <w14:textFill>
            <w14:solidFill>
              <w14:schemeClr w14:val="tx1"/>
            </w14:solidFill>
          </w14:textFill>
        </w:rPr>
        <w:t xml:space="preserve">    简要规格描述或项目基本概况介绍、用途：</w:t>
      </w:r>
      <w:r>
        <w:rPr>
          <w:rStyle w:val="601"/>
          <w:rFonts w:cs="宋体"/>
          <w:color w:val="000000" w:themeColor="text1"/>
          <w:sz w:val="21"/>
          <w:szCs w:val="21"/>
          <w:highlight w:val="none"/>
          <w:shd w:val="clear" w:color="auto" w:fill="F7F7F7"/>
          <w:lang w:val="en"/>
          <w14:textFill>
            <w14:solidFill>
              <w14:schemeClr w14:val="tx1"/>
            </w14:solidFill>
          </w14:textFill>
        </w:rPr>
        <w:t>广西壮族自治区科学技术馆2025-2026年度物业服务采购</w:t>
      </w:r>
      <w:r>
        <w:rPr>
          <w:rStyle w:val="601"/>
          <w:rFonts w:hint="eastAsia" w:cs="宋体"/>
          <w:color w:val="000000" w:themeColor="text1"/>
          <w:sz w:val="21"/>
          <w:szCs w:val="21"/>
          <w:highlight w:val="none"/>
          <w:shd w:val="clear" w:color="auto" w:fill="F7F7F7"/>
          <w14:textFill>
            <w14:solidFill>
              <w14:schemeClr w14:val="tx1"/>
            </w14:solidFill>
          </w14:textFill>
        </w:rPr>
        <w:t>1项（详见采购文件）。</w:t>
      </w:r>
    </w:p>
    <w:p>
      <w:pPr>
        <w:pStyle w:val="51"/>
        <w:spacing w:before="75" w:beforeAutospacing="0" w:after="75" w:afterAutospacing="0" w:line="380" w:lineRule="exac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7F7F7"/>
          <w14:textFill>
            <w14:solidFill>
              <w14:schemeClr w14:val="tx1"/>
            </w14:solidFill>
          </w14:textFill>
        </w:rPr>
        <w:t xml:space="preserve">    最高限价（如有）：</w:t>
      </w:r>
      <w:r>
        <w:rPr>
          <w:rStyle w:val="70"/>
          <w:rFonts w:hint="eastAsia" w:ascii="宋体" w:hAnsi="宋体" w:eastAsia="宋体" w:cs="宋体"/>
          <w:color w:val="000000" w:themeColor="text1"/>
          <w:sz w:val="21"/>
          <w:szCs w:val="21"/>
          <w:highlight w:val="none"/>
          <w:shd w:val="clear" w:color="auto" w:fill="F7F7F7"/>
          <w14:textFill>
            <w14:solidFill>
              <w14:schemeClr w14:val="tx1"/>
            </w14:solidFill>
          </w14:textFill>
        </w:rPr>
        <w:t>/</w:t>
      </w:r>
    </w:p>
    <w:p>
      <w:pPr>
        <w:pStyle w:val="51"/>
        <w:spacing w:before="75" w:beforeAutospacing="0" w:after="75" w:afterAutospacing="0" w:line="380" w:lineRule="exac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7F7F7"/>
          <w14:textFill>
            <w14:solidFill>
              <w14:schemeClr w14:val="tx1"/>
            </w14:solidFill>
          </w14:textFill>
        </w:rPr>
        <w:t xml:space="preserve">    合同履约期限：</w:t>
      </w:r>
      <w:r>
        <w:rPr>
          <w:rStyle w:val="70"/>
          <w:rFonts w:hint="eastAsia" w:ascii="宋体" w:hAnsi="宋体" w:eastAsia="宋体" w:cs="宋体"/>
          <w:color w:val="000000" w:themeColor="text1"/>
          <w:sz w:val="21"/>
          <w:szCs w:val="21"/>
          <w:highlight w:val="none"/>
          <w:shd w:val="clear" w:color="auto" w:fill="F7F7F7"/>
          <w14:textFill>
            <w14:solidFill>
              <w14:schemeClr w14:val="tx1"/>
            </w14:solidFill>
          </w14:textFill>
        </w:rPr>
        <w:t>自合同签订之日起至项目合同履约完毕。</w:t>
      </w:r>
    </w:p>
    <w:p>
      <w:pPr>
        <w:pStyle w:val="51"/>
        <w:spacing w:before="75" w:beforeAutospacing="0" w:after="75" w:afterAutospacing="0" w:line="380" w:lineRule="exact"/>
        <w:rPr>
          <w:rFonts w:hint="eastAsia" w:eastAsia="宋体" w:cs="宋体"/>
          <w:color w:val="000000" w:themeColor="text1"/>
          <w:sz w:val="21"/>
          <w:szCs w:val="21"/>
          <w:highlight w:val="none"/>
          <w:shd w:val="clear" w:color="auto" w:fill="F7F7F7"/>
          <w:lang w:eastAsia="zh-CN"/>
          <w14:textFill>
            <w14:solidFill>
              <w14:schemeClr w14:val="tx1"/>
            </w14:solidFill>
          </w14:textFill>
        </w:rPr>
      </w:pPr>
      <w:r>
        <w:rPr>
          <w:rFonts w:hint="eastAsia" w:cs="宋体"/>
          <w:color w:val="000000" w:themeColor="text1"/>
          <w:sz w:val="21"/>
          <w:szCs w:val="21"/>
          <w:highlight w:val="none"/>
          <w:shd w:val="clear" w:color="auto" w:fill="F7F7F7"/>
          <w14:textFill>
            <w14:solidFill>
              <w14:schemeClr w14:val="tx1"/>
            </w14:solidFill>
          </w14:textFill>
        </w:rPr>
        <w:t xml:space="preserve">    本标项（</w:t>
      </w:r>
      <w:r>
        <w:rPr>
          <w:rStyle w:val="70"/>
          <w:rFonts w:hint="eastAsia" w:ascii="宋体" w:hAnsi="宋体" w:eastAsia="宋体" w:cs="宋体"/>
          <w:color w:val="000000" w:themeColor="text1"/>
          <w:sz w:val="21"/>
          <w:szCs w:val="21"/>
          <w:highlight w:val="none"/>
          <w:shd w:val="clear" w:color="auto" w:fill="F7F7F7"/>
          <w14:textFill>
            <w14:solidFill>
              <w14:schemeClr w14:val="tx1"/>
            </w14:solidFill>
          </w14:textFill>
        </w:rPr>
        <w:t>否</w:t>
      </w:r>
      <w:r>
        <w:rPr>
          <w:rFonts w:hint="eastAsia" w:cs="宋体"/>
          <w:color w:val="000000" w:themeColor="text1"/>
          <w:sz w:val="21"/>
          <w:szCs w:val="21"/>
          <w:highlight w:val="none"/>
          <w:shd w:val="clear" w:color="auto" w:fill="F7F7F7"/>
          <w14:textFill>
            <w14:solidFill>
              <w14:schemeClr w14:val="tx1"/>
            </w14:solidFill>
          </w14:textFill>
        </w:rPr>
        <w:t>）接受联合体投标</w:t>
      </w:r>
    </w:p>
    <w:p>
      <w:pPr>
        <w:pStyle w:val="51"/>
        <w:spacing w:before="75" w:beforeAutospacing="0" w:after="75" w:afterAutospacing="0" w:line="380" w:lineRule="exac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7F7F7"/>
          <w14:textFill>
            <w14:solidFill>
              <w14:schemeClr w14:val="tx1"/>
            </w14:solidFill>
          </w14:textFill>
        </w:rPr>
        <w:t xml:space="preserve">    备注：</w:t>
      </w:r>
      <w:r>
        <w:rPr>
          <w:rStyle w:val="602"/>
          <w:rFonts w:hint="eastAsia" w:cs="宋体"/>
          <w:color w:val="000000" w:themeColor="text1"/>
          <w:sz w:val="21"/>
          <w:szCs w:val="21"/>
          <w:highlight w:val="none"/>
          <w:shd w:val="clear" w:color="auto" w:fill="F7F7F7"/>
          <w14:textFill>
            <w14:solidFill>
              <w14:schemeClr w14:val="tx1"/>
            </w14:solidFill>
          </w14:textFill>
        </w:rPr>
        <w:t>本项目为线上电子招标项目，有意向参与本项目的供应商应当做好参与全流程电子招投标交易的充分准备。</w:t>
      </w:r>
    </w:p>
    <w:p>
      <w:pPr>
        <w:pStyle w:val="51"/>
        <w:spacing w:before="75" w:beforeAutospacing="0" w:after="75" w:afterAutospacing="0" w:line="380" w:lineRule="exact"/>
        <w:rPr>
          <w:rFonts w:hint="eastAsia" w:cs="宋体"/>
          <w:color w:val="000000" w:themeColor="text1"/>
          <w:sz w:val="21"/>
          <w:szCs w:val="21"/>
          <w:highlight w:val="none"/>
          <w14:textFill>
            <w14:solidFill>
              <w14:schemeClr w14:val="tx1"/>
            </w14:solidFill>
          </w14:textFill>
        </w:rPr>
      </w:pPr>
    </w:p>
    <w:p>
      <w:pPr>
        <w:pStyle w:val="51"/>
        <w:spacing w:before="75" w:beforeAutospacing="0" w:after="75" w:afterAutospacing="0" w:line="380" w:lineRule="exact"/>
        <w:rPr>
          <w:rFonts w:hint="eastAsia" w:cs="宋体"/>
          <w:color w:val="000000" w:themeColor="text1"/>
          <w:sz w:val="21"/>
          <w:szCs w:val="21"/>
          <w:highlight w:val="none"/>
          <w14:textFill>
            <w14:solidFill>
              <w14:schemeClr w14:val="tx1"/>
            </w14:solidFill>
          </w14:textFill>
        </w:rPr>
      </w:pPr>
      <w:r>
        <w:rPr>
          <w:rStyle w:val="57"/>
          <w:rFonts w:hint="eastAsia" w:cs="宋体"/>
          <w:color w:val="000000" w:themeColor="text1"/>
          <w:sz w:val="21"/>
          <w:szCs w:val="21"/>
          <w:highlight w:val="none"/>
          <w14:textFill>
            <w14:solidFill>
              <w14:schemeClr w14:val="tx1"/>
            </w14:solidFill>
          </w14:textFill>
        </w:rPr>
        <w:t>二、申请人的资格要求：</w:t>
      </w:r>
    </w:p>
    <w:p>
      <w:pPr>
        <w:pStyle w:val="51"/>
        <w:spacing w:before="75" w:beforeAutospacing="0" w:after="75" w:afterAutospacing="0" w:line="380" w:lineRule="exac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1.满足《中华人民共和国政府采购法》第二十二条规定；</w:t>
      </w:r>
    </w:p>
    <w:p>
      <w:pPr>
        <w:pStyle w:val="51"/>
        <w:spacing w:before="75" w:beforeAutospacing="0" w:after="75" w:afterAutospacing="0" w:line="380" w:lineRule="exac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2.落实政府采购政策需满足的资格要求：</w:t>
      </w:r>
      <w:r>
        <w:rPr>
          <w:rStyle w:val="603"/>
          <w:rFonts w:hint="eastAsia" w:cs="宋体"/>
          <w:color w:val="000000" w:themeColor="text1"/>
          <w:sz w:val="21"/>
          <w:szCs w:val="21"/>
          <w:highlight w:val="none"/>
          <w14:textFill>
            <w14:solidFill>
              <w14:schemeClr w14:val="tx1"/>
            </w14:solidFill>
          </w14:textFill>
        </w:rPr>
        <w:t>分标1：无</w:t>
      </w:r>
      <w:r>
        <w:rPr>
          <w:rFonts w:hint="eastAsia" w:cs="宋体"/>
          <w:color w:val="000000" w:themeColor="text1"/>
          <w:sz w:val="21"/>
          <w:szCs w:val="21"/>
          <w:highlight w:val="none"/>
          <w14:textFill>
            <w14:solidFill>
              <w14:schemeClr w14:val="tx1"/>
            </w14:solidFill>
          </w14:textFill>
        </w:rPr>
        <w:t> </w:t>
      </w:r>
    </w:p>
    <w:p>
      <w:pPr>
        <w:pStyle w:val="51"/>
        <w:spacing w:before="75" w:beforeAutospacing="0" w:after="75" w:afterAutospacing="0" w:line="380" w:lineRule="exac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3.本项目的特定资格要求：</w:t>
      </w:r>
      <w:r>
        <w:rPr>
          <w:rStyle w:val="604"/>
          <w:rFonts w:hint="eastAsia" w:cs="宋体"/>
          <w:color w:val="000000" w:themeColor="text1"/>
          <w:sz w:val="21"/>
          <w:szCs w:val="21"/>
          <w:highlight w:val="none"/>
          <w14:textFill>
            <w14:solidFill>
              <w14:schemeClr w14:val="tx1"/>
            </w14:solidFill>
          </w14:textFill>
        </w:rPr>
        <w:t>无</w:t>
      </w:r>
      <w:r>
        <w:rPr>
          <w:rFonts w:hint="eastAsia" w:cs="宋体"/>
          <w:color w:val="000000" w:themeColor="text1"/>
          <w:sz w:val="21"/>
          <w:szCs w:val="21"/>
          <w:highlight w:val="none"/>
          <w14:textFill>
            <w14:solidFill>
              <w14:schemeClr w14:val="tx1"/>
            </w14:solidFill>
          </w14:textFill>
        </w:rPr>
        <w:t> </w:t>
      </w:r>
    </w:p>
    <w:p>
      <w:pPr>
        <w:pStyle w:val="51"/>
        <w:spacing w:before="255" w:beforeAutospacing="0" w:after="255" w:afterAutospacing="0" w:line="380" w:lineRule="exact"/>
        <w:jc w:val="both"/>
        <w:rPr>
          <w:rFonts w:hint="eastAsia" w:cs="宋体"/>
          <w:color w:val="000000" w:themeColor="text1"/>
          <w:sz w:val="21"/>
          <w:szCs w:val="21"/>
          <w:highlight w:val="none"/>
          <w14:textFill>
            <w14:solidFill>
              <w14:schemeClr w14:val="tx1"/>
            </w14:solidFill>
          </w14:textFill>
        </w:rPr>
      </w:pPr>
      <w:r>
        <w:rPr>
          <w:rStyle w:val="57"/>
          <w:rFonts w:hint="eastAsia" w:cs="宋体"/>
          <w:color w:val="000000" w:themeColor="text1"/>
          <w:sz w:val="21"/>
          <w:szCs w:val="21"/>
          <w:highlight w:val="none"/>
          <w14:textFill>
            <w14:solidFill>
              <w14:schemeClr w14:val="tx1"/>
            </w14:solidFill>
          </w14:textFill>
        </w:rPr>
        <w:t>三、获取招标文件</w:t>
      </w:r>
      <w:r>
        <w:rPr>
          <w:rFonts w:hint="eastAsia" w:cs="宋体"/>
          <w:color w:val="000000" w:themeColor="text1"/>
          <w:sz w:val="21"/>
          <w:szCs w:val="21"/>
          <w:highlight w:val="none"/>
          <w14:textFill>
            <w14:solidFill>
              <w14:schemeClr w14:val="tx1"/>
            </w14:solidFill>
          </w14:textFill>
        </w:rPr>
        <w:t> </w:t>
      </w:r>
    </w:p>
    <w:p>
      <w:pPr>
        <w:pStyle w:val="51"/>
        <w:spacing w:before="75" w:beforeAutospacing="0" w:after="75" w:afterAutospacing="0" w:line="380" w:lineRule="exac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时间：</w:t>
      </w:r>
      <w:r>
        <w:rPr>
          <w:rStyle w:val="605"/>
          <w:rFonts w:hint="eastAsia" w:cs="宋体"/>
          <w:color w:val="000000" w:themeColor="text1"/>
          <w:sz w:val="21"/>
          <w:szCs w:val="21"/>
          <w:highlight w:val="none"/>
          <w14:textFill>
            <w14:solidFill>
              <w14:schemeClr w14:val="tx1"/>
            </w14:solidFill>
          </w14:textFill>
        </w:rPr>
        <w:t>2024年</w:t>
      </w:r>
      <w:r>
        <w:rPr>
          <w:rStyle w:val="605"/>
          <w:rFonts w:hint="eastAsia" w:cs="宋体"/>
          <w:color w:val="000000" w:themeColor="text1"/>
          <w:sz w:val="21"/>
          <w:szCs w:val="21"/>
          <w:highlight w:val="none"/>
          <w:lang w:val="en-US" w:eastAsia="zh-CN"/>
          <w14:textFill>
            <w14:solidFill>
              <w14:schemeClr w14:val="tx1"/>
            </w14:solidFill>
          </w14:textFill>
        </w:rPr>
        <w:t>12</w:t>
      </w:r>
      <w:r>
        <w:rPr>
          <w:rStyle w:val="605"/>
          <w:rFonts w:hint="eastAsia" w:cs="宋体"/>
          <w:color w:val="000000" w:themeColor="text1"/>
          <w:sz w:val="21"/>
          <w:szCs w:val="21"/>
          <w:highlight w:val="none"/>
          <w14:textFill>
            <w14:solidFill>
              <w14:schemeClr w14:val="tx1"/>
            </w14:solidFill>
          </w14:textFill>
        </w:rPr>
        <w:t>月</w:t>
      </w:r>
      <w:r>
        <w:rPr>
          <w:rStyle w:val="605"/>
          <w:rFonts w:hint="eastAsia" w:cs="宋体"/>
          <w:color w:val="000000" w:themeColor="text1"/>
          <w:sz w:val="21"/>
          <w:szCs w:val="21"/>
          <w:highlight w:val="none"/>
          <w:lang w:val="en-US" w:eastAsia="zh-CN"/>
          <w14:textFill>
            <w14:solidFill>
              <w14:schemeClr w14:val="tx1"/>
            </w14:solidFill>
          </w14:textFill>
        </w:rPr>
        <w:t>02</w:t>
      </w:r>
      <w:r>
        <w:rPr>
          <w:rStyle w:val="605"/>
          <w:rFonts w:hint="eastAsia" w:cs="宋体"/>
          <w:color w:val="000000" w:themeColor="text1"/>
          <w:sz w:val="21"/>
          <w:szCs w:val="21"/>
          <w:highlight w:val="none"/>
          <w14:textFill>
            <w14:solidFill>
              <w14:schemeClr w14:val="tx1"/>
            </w14:solidFill>
          </w14:textFill>
        </w:rPr>
        <w:t>日</w:t>
      </w:r>
      <w:r>
        <w:rPr>
          <w:rFonts w:hint="eastAsia" w:cs="宋体"/>
          <w:color w:val="000000" w:themeColor="text1"/>
          <w:sz w:val="21"/>
          <w:szCs w:val="21"/>
          <w:highlight w:val="none"/>
          <w14:textFill>
            <w14:solidFill>
              <w14:schemeClr w14:val="tx1"/>
            </w14:solidFill>
          </w14:textFill>
        </w:rPr>
        <w:t>至</w:t>
      </w:r>
      <w:r>
        <w:rPr>
          <w:rStyle w:val="606"/>
          <w:rFonts w:hint="eastAsia" w:cs="宋体"/>
          <w:color w:val="000000" w:themeColor="text1"/>
          <w:sz w:val="21"/>
          <w:szCs w:val="21"/>
          <w:highlight w:val="none"/>
          <w14:textFill>
            <w14:solidFill>
              <w14:schemeClr w14:val="tx1"/>
            </w14:solidFill>
          </w14:textFill>
        </w:rPr>
        <w:t>2024年</w:t>
      </w:r>
      <w:r>
        <w:rPr>
          <w:rStyle w:val="606"/>
          <w:rFonts w:hint="eastAsia" w:cs="宋体"/>
          <w:color w:val="000000" w:themeColor="text1"/>
          <w:sz w:val="21"/>
          <w:szCs w:val="21"/>
          <w:highlight w:val="none"/>
          <w:lang w:val="en-US" w:eastAsia="zh-CN"/>
          <w14:textFill>
            <w14:solidFill>
              <w14:schemeClr w14:val="tx1"/>
            </w14:solidFill>
          </w14:textFill>
        </w:rPr>
        <w:t>12</w:t>
      </w:r>
      <w:r>
        <w:rPr>
          <w:rStyle w:val="606"/>
          <w:rFonts w:hint="eastAsia" w:cs="宋体"/>
          <w:color w:val="000000" w:themeColor="text1"/>
          <w:sz w:val="21"/>
          <w:szCs w:val="21"/>
          <w:highlight w:val="none"/>
          <w14:textFill>
            <w14:solidFill>
              <w14:schemeClr w14:val="tx1"/>
            </w14:solidFill>
          </w14:textFill>
        </w:rPr>
        <w:t>月</w:t>
      </w:r>
      <w:r>
        <w:rPr>
          <w:rStyle w:val="606"/>
          <w:rFonts w:hint="eastAsia" w:cs="宋体"/>
          <w:color w:val="000000" w:themeColor="text1"/>
          <w:sz w:val="21"/>
          <w:szCs w:val="21"/>
          <w:highlight w:val="none"/>
          <w:lang w:val="en-US" w:eastAsia="zh-CN"/>
          <w14:textFill>
            <w14:solidFill>
              <w14:schemeClr w14:val="tx1"/>
            </w14:solidFill>
          </w14:textFill>
        </w:rPr>
        <w:t>09</w:t>
      </w:r>
      <w:r>
        <w:rPr>
          <w:rStyle w:val="606"/>
          <w:rFonts w:hint="eastAsia" w:cs="宋体"/>
          <w:color w:val="000000" w:themeColor="text1"/>
          <w:sz w:val="21"/>
          <w:szCs w:val="21"/>
          <w:highlight w:val="none"/>
          <w14:textFill>
            <w14:solidFill>
              <w14:schemeClr w14:val="tx1"/>
            </w14:solidFill>
          </w14:textFill>
        </w:rPr>
        <w:t>日</w:t>
      </w:r>
      <w:r>
        <w:rPr>
          <w:rFonts w:hint="eastAsia" w:cs="宋体"/>
          <w:color w:val="000000" w:themeColor="text1"/>
          <w:sz w:val="21"/>
          <w:szCs w:val="21"/>
          <w:highlight w:val="none"/>
          <w14:textFill>
            <w14:solidFill>
              <w14:schemeClr w14:val="tx1"/>
            </w14:solidFill>
          </w14:textFill>
        </w:rPr>
        <w:t>，每天上午</w:t>
      </w:r>
      <w:r>
        <w:rPr>
          <w:rStyle w:val="607"/>
          <w:rFonts w:hint="eastAsia" w:cs="宋体"/>
          <w:color w:val="000000" w:themeColor="text1"/>
          <w:sz w:val="21"/>
          <w:szCs w:val="21"/>
          <w:highlight w:val="none"/>
          <w14:textFill>
            <w14:solidFill>
              <w14:schemeClr w14:val="tx1"/>
            </w14:solidFill>
          </w14:textFill>
        </w:rPr>
        <w:t>00:00至</w:t>
      </w:r>
      <w:r>
        <w:rPr>
          <w:rStyle w:val="607"/>
          <w:rFonts w:hint="eastAsia" w:cs="宋体"/>
          <w:color w:val="000000" w:themeColor="text1"/>
          <w:sz w:val="21"/>
          <w:szCs w:val="21"/>
          <w:highlight w:val="none"/>
          <w:lang w:val="en-US" w:eastAsia="zh-CN"/>
          <w14:textFill>
            <w14:solidFill>
              <w14:schemeClr w14:val="tx1"/>
            </w14:solidFill>
          </w14:textFill>
        </w:rPr>
        <w:t>11</w:t>
      </w:r>
      <w:r>
        <w:rPr>
          <w:rStyle w:val="607"/>
          <w:rFonts w:hint="eastAsia" w:cs="宋体"/>
          <w:color w:val="000000" w:themeColor="text1"/>
          <w:sz w:val="21"/>
          <w:szCs w:val="21"/>
          <w:highlight w:val="none"/>
          <w14:textFill>
            <w14:solidFill>
              <w14:schemeClr w14:val="tx1"/>
            </w14:solidFill>
          </w14:textFill>
        </w:rPr>
        <w:t>:</w:t>
      </w:r>
      <w:r>
        <w:rPr>
          <w:rStyle w:val="607"/>
          <w:rFonts w:hint="eastAsia" w:cs="宋体"/>
          <w:color w:val="000000" w:themeColor="text1"/>
          <w:sz w:val="21"/>
          <w:szCs w:val="21"/>
          <w:highlight w:val="none"/>
          <w:lang w:val="en-US" w:eastAsia="zh-CN"/>
          <w14:textFill>
            <w14:solidFill>
              <w14:schemeClr w14:val="tx1"/>
            </w14:solidFill>
          </w14:textFill>
        </w:rPr>
        <w:t>59</w:t>
      </w:r>
      <w:r>
        <w:rPr>
          <w:rFonts w:hint="eastAsia" w:cs="宋体"/>
          <w:color w:val="000000" w:themeColor="text1"/>
          <w:sz w:val="21"/>
          <w:szCs w:val="21"/>
          <w:highlight w:val="none"/>
          <w14:textFill>
            <w14:solidFill>
              <w14:schemeClr w14:val="tx1"/>
            </w14:solidFill>
          </w14:textFill>
        </w:rPr>
        <w:t>，下午</w:t>
      </w:r>
      <w:r>
        <w:rPr>
          <w:rStyle w:val="608"/>
          <w:rFonts w:hint="eastAsia" w:cs="宋体"/>
          <w:color w:val="000000" w:themeColor="text1"/>
          <w:sz w:val="21"/>
          <w:szCs w:val="21"/>
          <w:highlight w:val="none"/>
          <w14:textFill>
            <w14:solidFill>
              <w14:schemeClr w14:val="tx1"/>
            </w14:solidFill>
          </w14:textFill>
        </w:rPr>
        <w:t>12:00至23:59</w:t>
      </w:r>
      <w:r>
        <w:rPr>
          <w:rFonts w:hint="eastAsia" w:cs="宋体"/>
          <w:color w:val="000000" w:themeColor="text1"/>
          <w:sz w:val="21"/>
          <w:szCs w:val="21"/>
          <w:highlight w:val="none"/>
          <w14:textFill>
            <w14:solidFill>
              <w14:schemeClr w14:val="tx1"/>
            </w14:solidFill>
          </w14:textFill>
        </w:rPr>
        <w:t>（北京时间，法定节假日除外）</w:t>
      </w:r>
    </w:p>
    <w:p>
      <w:pPr>
        <w:pStyle w:val="51"/>
        <w:spacing w:before="75" w:beforeAutospacing="0" w:after="75" w:afterAutospacing="0" w:line="380" w:lineRule="exac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地点（网址）：</w:t>
      </w:r>
      <w:r>
        <w:rPr>
          <w:rStyle w:val="609"/>
          <w:rFonts w:hint="eastAsia" w:cs="宋体"/>
          <w:color w:val="000000" w:themeColor="text1"/>
          <w:sz w:val="21"/>
          <w:szCs w:val="21"/>
          <w:highlight w:val="none"/>
          <w14:textFill>
            <w14:solidFill>
              <w14:schemeClr w14:val="tx1"/>
            </w14:solidFill>
          </w14:textFill>
        </w:rPr>
        <w:t>广西政府采购云平台（网址：www.gcy.zfcg.gxzf.gov.cn）</w:t>
      </w:r>
      <w:r>
        <w:rPr>
          <w:rFonts w:hint="eastAsia" w:cs="宋体"/>
          <w:color w:val="000000" w:themeColor="text1"/>
          <w:sz w:val="21"/>
          <w:szCs w:val="21"/>
          <w:highlight w:val="none"/>
          <w14:textFill>
            <w14:solidFill>
              <w14:schemeClr w14:val="tx1"/>
            </w14:solidFill>
          </w14:textFill>
        </w:rPr>
        <w:t> </w:t>
      </w:r>
    </w:p>
    <w:p>
      <w:pPr>
        <w:pStyle w:val="51"/>
        <w:spacing w:before="75" w:beforeAutospacing="0" w:after="75" w:afterAutospacing="0" w:line="380" w:lineRule="exac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方式：</w:t>
      </w:r>
      <w:r>
        <w:rPr>
          <w:rStyle w:val="610"/>
          <w:rFonts w:hint="eastAsia" w:cs="宋体"/>
          <w:color w:val="000000" w:themeColor="text1"/>
          <w:sz w:val="21"/>
          <w:szCs w:val="21"/>
          <w:highlight w:val="none"/>
          <w14:textFill>
            <w14:solidFill>
              <w14:schemeClr w14:val="tx1"/>
            </w14:solidFill>
          </w14:textFill>
        </w:rPr>
        <w:t>请登录广西政府采购云平台（网址： www.gcy.zfcg.gxzf.gov.cn）进行报名并获取采购文件；未注册的供应商可在广西政府采购云平台完成注册后再行报名。如在操作过程中遇到问题或需技术支持，请致电政采云客服热线：95763。提示：公开招标公告附件内的招标采购文件仅供阅览使用；供应商只有在“广西政府采购云平台”完成获取招标采购文件申请并下载了招标采购文件后才视作依法获取招标采购文件（法律法规所指的供应商获取招标采购文件时间以供应商完成获取招标采购文件申请后下载招标采购文件的时间为准）。</w:t>
      </w:r>
      <w:r>
        <w:rPr>
          <w:rFonts w:hint="eastAsia" w:cs="宋体"/>
          <w:color w:val="000000" w:themeColor="text1"/>
          <w:sz w:val="21"/>
          <w:szCs w:val="21"/>
          <w:highlight w:val="none"/>
          <w14:textFill>
            <w14:solidFill>
              <w14:schemeClr w14:val="tx1"/>
            </w14:solidFill>
          </w14:textFill>
        </w:rPr>
        <w:t> </w:t>
      </w:r>
    </w:p>
    <w:p>
      <w:pPr>
        <w:pStyle w:val="51"/>
        <w:spacing w:before="75" w:beforeAutospacing="0" w:after="75" w:afterAutospacing="0" w:line="380" w:lineRule="exac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售价（元）：</w:t>
      </w:r>
      <w:r>
        <w:rPr>
          <w:rStyle w:val="611"/>
          <w:rFonts w:hint="eastAsia" w:cs="宋体"/>
          <w:color w:val="000000" w:themeColor="text1"/>
          <w:sz w:val="21"/>
          <w:szCs w:val="21"/>
          <w:highlight w:val="none"/>
          <w14:textFill>
            <w14:solidFill>
              <w14:schemeClr w14:val="tx1"/>
            </w14:solidFill>
          </w14:textFill>
        </w:rPr>
        <w:t>0</w:t>
      </w:r>
      <w:r>
        <w:rPr>
          <w:rFonts w:hint="eastAsia" w:cs="宋体"/>
          <w:color w:val="000000" w:themeColor="text1"/>
          <w:sz w:val="21"/>
          <w:szCs w:val="21"/>
          <w:highlight w:val="none"/>
          <w14:textFill>
            <w14:solidFill>
              <w14:schemeClr w14:val="tx1"/>
            </w14:solidFill>
          </w14:textFill>
        </w:rPr>
        <w:t> </w:t>
      </w:r>
    </w:p>
    <w:p>
      <w:pPr>
        <w:pStyle w:val="51"/>
        <w:spacing w:before="255" w:beforeAutospacing="0" w:after="255" w:afterAutospacing="0" w:line="380" w:lineRule="exact"/>
        <w:jc w:val="both"/>
        <w:rPr>
          <w:rFonts w:hint="eastAsia" w:cs="宋体"/>
          <w:color w:val="000000" w:themeColor="text1"/>
          <w:sz w:val="21"/>
          <w:szCs w:val="21"/>
          <w:highlight w:val="none"/>
          <w14:textFill>
            <w14:solidFill>
              <w14:schemeClr w14:val="tx1"/>
            </w14:solidFill>
          </w14:textFill>
        </w:rPr>
      </w:pPr>
      <w:r>
        <w:rPr>
          <w:rStyle w:val="57"/>
          <w:rFonts w:hint="eastAsia" w:cs="宋体"/>
          <w:color w:val="000000" w:themeColor="text1"/>
          <w:sz w:val="21"/>
          <w:szCs w:val="21"/>
          <w:highlight w:val="none"/>
          <w14:textFill>
            <w14:solidFill>
              <w14:schemeClr w14:val="tx1"/>
            </w14:solidFill>
          </w14:textFill>
        </w:rPr>
        <w:t>四、提交投标文件截止时间、开标时间和地点</w:t>
      </w:r>
    </w:p>
    <w:p>
      <w:pPr>
        <w:pStyle w:val="51"/>
        <w:spacing w:before="75" w:beforeAutospacing="0" w:after="75" w:afterAutospacing="0" w:line="380" w:lineRule="exac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提交投标文件截止时间：</w:t>
      </w:r>
      <w:r>
        <w:rPr>
          <w:rStyle w:val="612"/>
          <w:rFonts w:hint="eastAsia" w:cs="宋体"/>
          <w:color w:val="000000" w:themeColor="text1"/>
          <w:sz w:val="21"/>
          <w:szCs w:val="21"/>
          <w:highlight w:val="none"/>
          <w14:textFill>
            <w14:solidFill>
              <w14:schemeClr w14:val="tx1"/>
            </w14:solidFill>
          </w14:textFill>
        </w:rPr>
        <w:t>2024年</w:t>
      </w:r>
      <w:r>
        <w:rPr>
          <w:rStyle w:val="612"/>
          <w:rFonts w:hint="eastAsia" w:cs="宋体"/>
          <w:color w:val="000000" w:themeColor="text1"/>
          <w:sz w:val="21"/>
          <w:szCs w:val="21"/>
          <w:highlight w:val="none"/>
          <w:lang w:val="en-US" w:eastAsia="zh-CN"/>
          <w14:textFill>
            <w14:solidFill>
              <w14:schemeClr w14:val="tx1"/>
            </w14:solidFill>
          </w14:textFill>
        </w:rPr>
        <w:t>12</w:t>
      </w:r>
      <w:r>
        <w:rPr>
          <w:rStyle w:val="612"/>
          <w:rFonts w:hint="eastAsia" w:cs="宋体"/>
          <w:color w:val="000000" w:themeColor="text1"/>
          <w:sz w:val="21"/>
          <w:szCs w:val="21"/>
          <w:highlight w:val="none"/>
          <w14:textFill>
            <w14:solidFill>
              <w14:schemeClr w14:val="tx1"/>
            </w14:solidFill>
          </w14:textFill>
        </w:rPr>
        <w:t>月</w:t>
      </w:r>
      <w:r>
        <w:rPr>
          <w:rStyle w:val="612"/>
          <w:rFonts w:hint="eastAsia" w:cs="宋体"/>
          <w:color w:val="000000" w:themeColor="text1"/>
          <w:sz w:val="21"/>
          <w:szCs w:val="21"/>
          <w:highlight w:val="none"/>
          <w:lang w:val="en-US" w:eastAsia="zh-CN"/>
          <w14:textFill>
            <w14:solidFill>
              <w14:schemeClr w14:val="tx1"/>
            </w14:solidFill>
          </w14:textFill>
        </w:rPr>
        <w:t>23</w:t>
      </w:r>
      <w:r>
        <w:rPr>
          <w:rStyle w:val="612"/>
          <w:rFonts w:hint="eastAsia" w:cs="宋体"/>
          <w:color w:val="000000" w:themeColor="text1"/>
          <w:sz w:val="21"/>
          <w:szCs w:val="21"/>
          <w:highlight w:val="none"/>
          <w14:textFill>
            <w14:solidFill>
              <w14:schemeClr w14:val="tx1"/>
            </w14:solidFill>
          </w14:textFill>
        </w:rPr>
        <w:t>日 10:00</w:t>
      </w:r>
      <w:r>
        <w:rPr>
          <w:rFonts w:hint="eastAsia" w:cs="宋体"/>
          <w:color w:val="000000" w:themeColor="text1"/>
          <w:sz w:val="21"/>
          <w:szCs w:val="21"/>
          <w:highlight w:val="none"/>
          <w14:textFill>
            <w14:solidFill>
              <w14:schemeClr w14:val="tx1"/>
            </w14:solidFill>
          </w14:textFill>
        </w:rPr>
        <w:t>（北京时间）</w:t>
      </w:r>
    </w:p>
    <w:p>
      <w:pPr>
        <w:pStyle w:val="51"/>
        <w:spacing w:before="75" w:beforeAutospacing="0" w:after="75" w:afterAutospacing="0" w:line="380" w:lineRule="exac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投标地点（网址）：</w:t>
      </w:r>
      <w:r>
        <w:rPr>
          <w:rStyle w:val="613"/>
          <w:rFonts w:hint="eastAsia" w:cs="宋体"/>
          <w:color w:val="000000" w:themeColor="text1"/>
          <w:sz w:val="21"/>
          <w:szCs w:val="21"/>
          <w:highlight w:val="none"/>
          <w14:textFill>
            <w14:solidFill>
              <w14:schemeClr w14:val="tx1"/>
            </w14:solidFill>
          </w14:textFill>
        </w:rPr>
        <w:t>www.gcy.zfcg.gxzf.gov.cn（本项目不要求投标供应商到达开标现场，但供应商应派法定代表人或委托代理人准时在线出席电子开评标会议，随时关注开评标进度，如在开评标过程中有电子询标，应在规定的时间内对电子询标函进行澄清回复。）</w:t>
      </w:r>
      <w:r>
        <w:rPr>
          <w:rFonts w:hint="eastAsia" w:cs="宋体"/>
          <w:color w:val="000000" w:themeColor="text1"/>
          <w:sz w:val="21"/>
          <w:szCs w:val="21"/>
          <w:highlight w:val="none"/>
          <w14:textFill>
            <w14:solidFill>
              <w14:schemeClr w14:val="tx1"/>
            </w14:solidFill>
          </w14:textFill>
        </w:rPr>
        <w:t> </w:t>
      </w:r>
    </w:p>
    <w:p>
      <w:pPr>
        <w:pStyle w:val="51"/>
        <w:spacing w:before="75" w:beforeAutospacing="0" w:after="75" w:afterAutospacing="0" w:line="380" w:lineRule="exac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开标时间：</w:t>
      </w:r>
      <w:r>
        <w:rPr>
          <w:rStyle w:val="614"/>
          <w:rFonts w:hint="eastAsia" w:cs="宋体"/>
          <w:color w:val="000000" w:themeColor="text1"/>
          <w:sz w:val="21"/>
          <w:szCs w:val="21"/>
          <w:highlight w:val="none"/>
          <w14:textFill>
            <w14:solidFill>
              <w14:schemeClr w14:val="tx1"/>
            </w14:solidFill>
          </w14:textFill>
        </w:rPr>
        <w:t>2024年</w:t>
      </w:r>
      <w:r>
        <w:rPr>
          <w:rStyle w:val="614"/>
          <w:rFonts w:hint="eastAsia" w:cs="宋体"/>
          <w:color w:val="000000" w:themeColor="text1"/>
          <w:sz w:val="21"/>
          <w:szCs w:val="21"/>
          <w:highlight w:val="none"/>
          <w:lang w:val="en-US" w:eastAsia="zh-CN"/>
          <w14:textFill>
            <w14:solidFill>
              <w14:schemeClr w14:val="tx1"/>
            </w14:solidFill>
          </w14:textFill>
        </w:rPr>
        <w:t>12</w:t>
      </w:r>
      <w:r>
        <w:rPr>
          <w:rStyle w:val="614"/>
          <w:rFonts w:hint="eastAsia" w:cs="宋体"/>
          <w:color w:val="000000" w:themeColor="text1"/>
          <w:sz w:val="21"/>
          <w:szCs w:val="21"/>
          <w:highlight w:val="none"/>
          <w14:textFill>
            <w14:solidFill>
              <w14:schemeClr w14:val="tx1"/>
            </w14:solidFill>
          </w14:textFill>
        </w:rPr>
        <w:t>月</w:t>
      </w:r>
      <w:r>
        <w:rPr>
          <w:rStyle w:val="614"/>
          <w:rFonts w:hint="eastAsia" w:cs="宋体"/>
          <w:color w:val="000000" w:themeColor="text1"/>
          <w:sz w:val="21"/>
          <w:szCs w:val="21"/>
          <w:highlight w:val="none"/>
          <w:lang w:val="en-US" w:eastAsia="zh-CN"/>
          <w14:textFill>
            <w14:solidFill>
              <w14:schemeClr w14:val="tx1"/>
            </w14:solidFill>
          </w14:textFill>
        </w:rPr>
        <w:t>23</w:t>
      </w:r>
      <w:r>
        <w:rPr>
          <w:rStyle w:val="614"/>
          <w:rFonts w:hint="eastAsia" w:cs="宋体"/>
          <w:color w:val="000000" w:themeColor="text1"/>
          <w:sz w:val="21"/>
          <w:szCs w:val="21"/>
          <w:highlight w:val="none"/>
          <w14:textFill>
            <w14:solidFill>
              <w14:schemeClr w14:val="tx1"/>
            </w14:solidFill>
          </w14:textFill>
        </w:rPr>
        <w:t>日 10:00</w:t>
      </w:r>
      <w:r>
        <w:rPr>
          <w:rFonts w:hint="eastAsia" w:cs="宋体"/>
          <w:color w:val="000000" w:themeColor="text1"/>
          <w:sz w:val="21"/>
          <w:szCs w:val="21"/>
          <w:highlight w:val="none"/>
          <w14:textFill>
            <w14:solidFill>
              <w14:schemeClr w14:val="tx1"/>
            </w14:solidFill>
          </w14:textFill>
        </w:rPr>
        <w:t> </w:t>
      </w:r>
    </w:p>
    <w:p>
      <w:pPr>
        <w:pStyle w:val="51"/>
        <w:spacing w:before="75" w:beforeAutospacing="0" w:after="75" w:afterAutospacing="0" w:line="380" w:lineRule="exac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开标地点：</w:t>
      </w:r>
      <w:r>
        <w:rPr>
          <w:rStyle w:val="615"/>
          <w:rFonts w:hint="eastAsia" w:cs="宋体"/>
          <w:color w:val="000000" w:themeColor="text1"/>
          <w:sz w:val="21"/>
          <w:szCs w:val="21"/>
          <w:highlight w:val="none"/>
          <w14:textFill>
            <w14:solidFill>
              <w14:schemeClr w14:val="tx1"/>
            </w14:solidFill>
          </w14:textFill>
        </w:rPr>
        <w:t>广西壮族自治区南宁市青秀区广西政府采购云平台开标大厅</w:t>
      </w:r>
      <w:r>
        <w:rPr>
          <w:rFonts w:hint="eastAsia" w:cs="宋体"/>
          <w:color w:val="000000" w:themeColor="text1"/>
          <w:sz w:val="21"/>
          <w:szCs w:val="21"/>
          <w:highlight w:val="none"/>
          <w14:textFill>
            <w14:solidFill>
              <w14:schemeClr w14:val="tx1"/>
            </w14:solidFill>
          </w14:textFill>
        </w:rPr>
        <w:t>  </w:t>
      </w:r>
    </w:p>
    <w:p>
      <w:pPr>
        <w:pStyle w:val="51"/>
        <w:spacing w:before="255" w:beforeAutospacing="0" w:after="255" w:afterAutospacing="0" w:line="380" w:lineRule="exact"/>
        <w:jc w:val="both"/>
        <w:rPr>
          <w:rFonts w:hint="eastAsia" w:cs="宋体"/>
          <w:color w:val="000000" w:themeColor="text1"/>
          <w:sz w:val="21"/>
          <w:szCs w:val="21"/>
          <w:highlight w:val="none"/>
          <w14:textFill>
            <w14:solidFill>
              <w14:schemeClr w14:val="tx1"/>
            </w14:solidFill>
          </w14:textFill>
        </w:rPr>
      </w:pPr>
      <w:r>
        <w:rPr>
          <w:rStyle w:val="57"/>
          <w:rFonts w:hint="eastAsia" w:cs="宋体"/>
          <w:color w:val="000000" w:themeColor="text1"/>
          <w:sz w:val="21"/>
          <w:szCs w:val="21"/>
          <w:highlight w:val="none"/>
          <w14:textFill>
            <w14:solidFill>
              <w14:schemeClr w14:val="tx1"/>
            </w14:solidFill>
          </w14:textFill>
        </w:rPr>
        <w:t>五、公告期限</w:t>
      </w:r>
      <w:r>
        <w:rPr>
          <w:rFonts w:hint="eastAsia" w:cs="宋体"/>
          <w:color w:val="000000" w:themeColor="text1"/>
          <w:sz w:val="21"/>
          <w:szCs w:val="21"/>
          <w:highlight w:val="none"/>
          <w14:textFill>
            <w14:solidFill>
              <w14:schemeClr w14:val="tx1"/>
            </w14:solidFill>
          </w14:textFill>
        </w:rPr>
        <w:t> </w:t>
      </w:r>
    </w:p>
    <w:p>
      <w:pPr>
        <w:pStyle w:val="51"/>
        <w:spacing w:before="75" w:beforeAutospacing="0" w:after="75" w:afterAutospacing="0" w:line="380" w:lineRule="exac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自本公告发布之日起5个工作日。</w:t>
      </w:r>
    </w:p>
    <w:p>
      <w:pPr>
        <w:pStyle w:val="51"/>
        <w:spacing w:before="255" w:beforeAutospacing="0" w:after="255" w:afterAutospacing="0" w:line="380" w:lineRule="exact"/>
        <w:jc w:val="both"/>
        <w:rPr>
          <w:rFonts w:hint="eastAsia" w:cs="宋体"/>
          <w:color w:val="000000" w:themeColor="text1"/>
          <w:sz w:val="21"/>
          <w:szCs w:val="21"/>
          <w:highlight w:val="none"/>
          <w14:textFill>
            <w14:solidFill>
              <w14:schemeClr w14:val="tx1"/>
            </w14:solidFill>
          </w14:textFill>
        </w:rPr>
      </w:pPr>
      <w:r>
        <w:rPr>
          <w:rStyle w:val="57"/>
          <w:rFonts w:hint="eastAsia" w:cs="宋体"/>
          <w:color w:val="000000" w:themeColor="text1"/>
          <w:sz w:val="21"/>
          <w:szCs w:val="21"/>
          <w:highlight w:val="none"/>
          <w14:textFill>
            <w14:solidFill>
              <w14:schemeClr w14:val="tx1"/>
            </w14:solidFill>
          </w14:textFill>
        </w:rPr>
        <w:t>六、其他补充事宜</w:t>
      </w:r>
    </w:p>
    <w:p>
      <w:pPr>
        <w:pStyle w:val="51"/>
        <w:spacing w:before="75" w:beforeAutospacing="0" w:after="75" w:afterAutospacing="0" w:line="380" w:lineRule="exac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r>
        <w:rPr>
          <w:rStyle w:val="616"/>
          <w:rFonts w:hint="eastAsia" w:cs="宋体"/>
          <w:color w:val="000000" w:themeColor="text1"/>
          <w:sz w:val="21"/>
          <w:szCs w:val="21"/>
          <w:highlight w:val="none"/>
          <w14:textFill>
            <w14:solidFill>
              <w14:schemeClr w14:val="tx1"/>
            </w14:solidFill>
          </w14:textFill>
        </w:rPr>
        <w:t>1.投标保证金（人民币）：</w:t>
      </w:r>
      <w:r>
        <w:rPr>
          <w:rStyle w:val="616"/>
          <w:rFonts w:hint="eastAsia" w:cs="宋体"/>
          <w:color w:val="000000" w:themeColor="text1"/>
          <w:sz w:val="21"/>
          <w:szCs w:val="21"/>
          <w:highlight w:val="none"/>
          <w:lang w:val="en-US" w:eastAsia="zh-CN"/>
          <w14:textFill>
            <w14:solidFill>
              <w14:schemeClr w14:val="tx1"/>
            </w14:solidFill>
          </w14:textFill>
        </w:rPr>
        <w:t>10</w:t>
      </w:r>
      <w:r>
        <w:rPr>
          <w:rStyle w:val="616"/>
          <w:rFonts w:hint="eastAsia" w:cs="宋体"/>
          <w:color w:val="000000" w:themeColor="text1"/>
          <w:sz w:val="21"/>
          <w:szCs w:val="21"/>
          <w:highlight w:val="none"/>
          <w14:textFill>
            <w14:solidFill>
              <w14:schemeClr w14:val="tx1"/>
            </w14:solidFill>
          </w14:textFill>
        </w:rPr>
        <w:t>万元。(必须足额交纳) （1）投标保证金交纳形式：支票、汇票、本票、网上银行或者金融、担保机构出具的保函等非现金形式。（2）采用网上银行转账形式的，投标人应于提交投标文件截止时间前将投标保证金交至以下账户。开户名称：广西壮族自治区政府采购中心； 开户银行：中国农业银行股份有限公司南宁市古城支行；银行账号：20009101040051648。（3）采用支票、汇票、本票或者保函等形式的，投标人应于提交投标文件截止时间前递交单独密封的支票、汇票、本票或者保函原件至我中心财务处。（4）本中心财务处联系方式：地址：广西南宁市星湖路22号；电话：0771-8600309。2.本项目需要落实的政府采购政策 政府采购促进中小企业发展；政府采购支持采用本国产品的政策；强制采购节能产品；优先采购节能产品、环境标志产品；政府采购促进残疾人就业政策；政府采购支持监狱企业发展；政府采购扶持不发达地区和少数民族地区等。3.网上公告媒体查询 中国政府采购网（www.ccgp.gov.cn）、广西壮族自治区政府采购网（zfcg.gxzf.gov.cn）、广西壮族自治区政府采购中心网站（http://gxggzy.gxzf.gov.cn/）。4.其他注意事项 （1）本项目实行电子投标，供应商应按照本项目招标文件和广西政府采购云平台的要求编制、加密并提交投标文件。供应商在使用系统参与投标过程中遇到涉及平台使用的任何问题，可致电广西政府采购云平台技术支持热线咨询，联系方式：95763。（2）供应商应及时熟悉掌握电子标系统操作指南（见政采云电子卖场首页右上角—服务中心—帮助文档—项目采购）：https://service.zcygov.cn/#/knowledges/tree?tag=AG1DtGwBFdiHxlNdhY0r。（3）供应商应及时完成CA申领和绑定（见广西壮族自治区政府采购网—办事服务—下载专区-政采云CA证书办理操作指南） （4）供应商通过广西政府采购云平台投标客户端软件制作投标文件，广西政府采购云平台投标客户端软件请供应商自行前往下载并安装（见广西壮族自治区政府采购网—办事服务—下载专区-广西壮族自治区全流程电子招投标项目管理系统--供应商客户端）。（5）因未注册入库、未办理CA数字证书、CA证书故障、操作不当等原因造成无法投标或投标失败等后果由供应商自行承担。（6）投标文件网上提交截止后，广西政府采购云平台（电子标系统）自动提取所有投标文件，各供应商须在开标开始后30分钟内对上传广西政府采购云平台的投标文件进行解密，所有供应商在规定的解密时限内解密完成或解密时限结束后，本中心开启投标文件；供应商超过解密时限的，系统默认自动放弃。</w:t>
      </w:r>
      <w:r>
        <w:rPr>
          <w:rFonts w:hint="eastAsia" w:cs="宋体"/>
          <w:color w:val="000000" w:themeColor="text1"/>
          <w:sz w:val="21"/>
          <w:szCs w:val="21"/>
          <w:highlight w:val="none"/>
          <w14:textFill>
            <w14:solidFill>
              <w14:schemeClr w14:val="tx1"/>
            </w14:solidFill>
          </w14:textFill>
        </w:rPr>
        <w:t>  </w:t>
      </w:r>
    </w:p>
    <w:p>
      <w:pPr>
        <w:pStyle w:val="51"/>
        <w:spacing w:before="255" w:beforeAutospacing="0" w:after="255" w:afterAutospacing="0" w:line="380" w:lineRule="exact"/>
        <w:jc w:val="both"/>
        <w:rPr>
          <w:rFonts w:hint="eastAsia" w:cs="宋体"/>
          <w:color w:val="000000" w:themeColor="text1"/>
          <w:sz w:val="21"/>
          <w:szCs w:val="21"/>
          <w:highlight w:val="none"/>
          <w14:textFill>
            <w14:solidFill>
              <w14:schemeClr w14:val="tx1"/>
            </w14:solidFill>
          </w14:textFill>
        </w:rPr>
      </w:pPr>
      <w:r>
        <w:rPr>
          <w:rStyle w:val="57"/>
          <w:rFonts w:hint="eastAsia" w:cs="宋体"/>
          <w:color w:val="000000" w:themeColor="text1"/>
          <w:sz w:val="21"/>
          <w:szCs w:val="21"/>
          <w:highlight w:val="none"/>
          <w14:textFill>
            <w14:solidFill>
              <w14:schemeClr w14:val="tx1"/>
            </w14:solidFill>
          </w14:textFill>
        </w:rPr>
        <w:t>七、对本次采购提出询问，请按以下方式联系</w:t>
      </w:r>
    </w:p>
    <w:p>
      <w:pPr>
        <w:pStyle w:val="51"/>
        <w:spacing w:before="75" w:beforeAutospacing="0" w:after="75" w:afterAutospacing="0" w:line="380" w:lineRule="exac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1.采购人信息</w:t>
      </w:r>
    </w:p>
    <w:p>
      <w:pPr>
        <w:pStyle w:val="51"/>
        <w:spacing w:before="75" w:beforeAutospacing="0" w:after="75" w:afterAutospacing="0" w:line="380" w:lineRule="exac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名    称：</w:t>
      </w:r>
      <w:r>
        <w:rPr>
          <w:rStyle w:val="617"/>
          <w:rFonts w:cs="宋体"/>
          <w:color w:val="000000" w:themeColor="text1"/>
          <w:sz w:val="21"/>
          <w:szCs w:val="21"/>
          <w:highlight w:val="none"/>
          <w:lang w:val="en"/>
          <w14:textFill>
            <w14:solidFill>
              <w14:schemeClr w14:val="tx1"/>
            </w14:solidFill>
          </w14:textFill>
        </w:rPr>
        <w:t>广西壮族自治区科学技术馆（广西青少年科技中心）</w:t>
      </w:r>
      <w:r>
        <w:rPr>
          <w:rFonts w:hint="eastAsia" w:cs="宋体"/>
          <w:color w:val="000000" w:themeColor="text1"/>
          <w:sz w:val="21"/>
          <w:szCs w:val="21"/>
          <w:highlight w:val="none"/>
          <w14:textFill>
            <w14:solidFill>
              <w14:schemeClr w14:val="tx1"/>
            </w14:solidFill>
          </w14:textFill>
        </w:rPr>
        <w:t> </w:t>
      </w:r>
    </w:p>
    <w:p>
      <w:pPr>
        <w:pStyle w:val="51"/>
        <w:spacing w:before="75" w:beforeAutospacing="0" w:after="75" w:afterAutospacing="0" w:line="380" w:lineRule="exact"/>
        <w:rPr>
          <w:rFonts w:hint="default" w:eastAsia="宋体" w:cs="宋体"/>
          <w:color w:val="000000"/>
          <w:sz w:val="21"/>
          <w:szCs w:val="21"/>
          <w:highlight w:val="none"/>
          <w:lang w:val="en-US" w:eastAsia="zh-CN"/>
        </w:rPr>
      </w:pPr>
      <w:r>
        <w:rPr>
          <w:rFonts w:hint="eastAsia" w:cs="宋体"/>
          <w:color w:val="000000" w:themeColor="text1"/>
          <w:sz w:val="21"/>
          <w:szCs w:val="21"/>
          <w:highlight w:val="none"/>
          <w14:textFill>
            <w14:solidFill>
              <w14:schemeClr w14:val="tx1"/>
            </w14:solidFill>
          </w14:textFill>
        </w:rPr>
        <w:t xml:space="preserve">    </w:t>
      </w:r>
      <w:r>
        <w:rPr>
          <w:rFonts w:hint="eastAsia" w:cs="宋体"/>
          <w:color w:val="000000"/>
          <w:sz w:val="21"/>
          <w:szCs w:val="21"/>
          <w:highlight w:val="none"/>
        </w:rPr>
        <w:t>地    址：南宁市青秀区民族大道20号</w:t>
      </w:r>
    </w:p>
    <w:p>
      <w:pPr>
        <w:pStyle w:val="51"/>
        <w:spacing w:before="75" w:beforeAutospacing="0" w:after="75" w:afterAutospacing="0" w:line="380" w:lineRule="exact"/>
        <w:rPr>
          <w:rFonts w:hint="eastAsia" w:eastAsia="宋体" w:cs="宋体"/>
          <w:color w:val="000000"/>
          <w:sz w:val="21"/>
          <w:szCs w:val="21"/>
          <w:highlight w:val="none"/>
          <w:lang w:val="en-US" w:eastAsia="zh-CN"/>
        </w:rPr>
      </w:pPr>
      <w:r>
        <w:rPr>
          <w:rFonts w:hint="eastAsia" w:cs="宋体"/>
          <w:color w:val="000000"/>
          <w:sz w:val="21"/>
          <w:szCs w:val="21"/>
          <w:highlight w:val="none"/>
        </w:rPr>
        <w:t xml:space="preserve">    </w:t>
      </w:r>
      <w:r>
        <w:rPr>
          <w:rFonts w:hint="eastAsia" w:cs="宋体"/>
          <w:color w:val="000000"/>
          <w:sz w:val="21"/>
          <w:szCs w:val="21"/>
          <w:highlight w:val="none"/>
          <w:lang w:val="en-US" w:eastAsia="zh-CN"/>
        </w:rPr>
        <w:t xml:space="preserve"> </w:t>
      </w:r>
      <w:r>
        <w:rPr>
          <w:rFonts w:hint="eastAsia" w:cs="宋体"/>
          <w:color w:val="000000"/>
          <w:sz w:val="21"/>
          <w:szCs w:val="21"/>
          <w:highlight w:val="none"/>
        </w:rPr>
        <w:t>项目联系人：</w:t>
      </w:r>
      <w:r>
        <w:rPr>
          <w:rFonts w:hint="eastAsia" w:cs="宋体"/>
          <w:color w:val="000000"/>
          <w:sz w:val="21"/>
          <w:szCs w:val="21"/>
          <w:highlight w:val="none"/>
          <w:lang w:val="en-US" w:eastAsia="zh-CN"/>
        </w:rPr>
        <w:t>杨扬</w:t>
      </w:r>
    </w:p>
    <w:p>
      <w:pPr>
        <w:pStyle w:val="51"/>
        <w:spacing w:before="75" w:beforeAutospacing="0" w:after="75" w:afterAutospacing="0" w:line="380" w:lineRule="exact"/>
        <w:rPr>
          <w:rFonts w:hint="eastAsia" w:cs="宋体"/>
          <w:color w:val="000000" w:themeColor="text1"/>
          <w:sz w:val="21"/>
          <w:szCs w:val="21"/>
          <w:highlight w:val="none"/>
          <w14:textFill>
            <w14:solidFill>
              <w14:schemeClr w14:val="tx1"/>
            </w14:solidFill>
          </w14:textFill>
        </w:rPr>
      </w:pPr>
      <w:r>
        <w:rPr>
          <w:rFonts w:hint="eastAsia" w:cs="宋体"/>
          <w:color w:val="000000"/>
          <w:sz w:val="21"/>
          <w:szCs w:val="21"/>
          <w:highlight w:val="none"/>
        </w:rPr>
        <w:t>    项目联系方式：0771-2811440</w:t>
      </w:r>
      <w:bookmarkStart w:id="65" w:name="_GoBack"/>
      <w:bookmarkEnd w:id="65"/>
    </w:p>
    <w:p>
      <w:pPr>
        <w:pStyle w:val="51"/>
        <w:spacing w:before="75" w:beforeAutospacing="0" w:after="75" w:afterAutospacing="0" w:line="380" w:lineRule="exact"/>
        <w:rPr>
          <w:rFonts w:hint="eastAsia"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w:t>
      </w:r>
    </w:p>
    <w:p>
      <w:pPr>
        <w:pStyle w:val="51"/>
        <w:spacing w:before="75" w:beforeAutospacing="0" w:after="75" w:afterAutospacing="0" w:line="380" w:lineRule="exac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2.采购代理机构信息            </w:t>
      </w:r>
    </w:p>
    <w:p>
      <w:pPr>
        <w:pStyle w:val="51"/>
        <w:spacing w:before="75" w:beforeAutospacing="0" w:after="75" w:afterAutospacing="0" w:line="380" w:lineRule="exac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名    称：</w:t>
      </w:r>
      <w:r>
        <w:rPr>
          <w:rStyle w:val="621"/>
          <w:rFonts w:hint="eastAsia" w:cs="宋体"/>
          <w:color w:val="000000" w:themeColor="text1"/>
          <w:sz w:val="21"/>
          <w:szCs w:val="21"/>
          <w:highlight w:val="none"/>
          <w14:textFill>
            <w14:solidFill>
              <w14:schemeClr w14:val="tx1"/>
            </w14:solidFill>
          </w14:textFill>
        </w:rPr>
        <w:t>广西壮族自治区政府采购中心</w:t>
      </w:r>
      <w:r>
        <w:rPr>
          <w:rFonts w:hint="eastAsia" w:cs="宋体"/>
          <w:color w:val="000000" w:themeColor="text1"/>
          <w:sz w:val="21"/>
          <w:szCs w:val="21"/>
          <w:highlight w:val="none"/>
          <w14:textFill>
            <w14:solidFill>
              <w14:schemeClr w14:val="tx1"/>
            </w14:solidFill>
          </w14:textFill>
        </w:rPr>
        <w:t>             </w:t>
      </w:r>
    </w:p>
    <w:p>
      <w:pPr>
        <w:pStyle w:val="51"/>
        <w:spacing w:before="75" w:beforeAutospacing="0" w:after="75" w:afterAutospacing="0" w:line="380" w:lineRule="exac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地    址：</w:t>
      </w:r>
      <w:r>
        <w:rPr>
          <w:rStyle w:val="622"/>
          <w:rFonts w:hint="eastAsia" w:cs="宋体"/>
          <w:color w:val="000000" w:themeColor="text1"/>
          <w:sz w:val="21"/>
          <w:szCs w:val="21"/>
          <w:highlight w:val="none"/>
          <w14:textFill>
            <w14:solidFill>
              <w14:schemeClr w14:val="tx1"/>
            </w14:solidFill>
          </w14:textFill>
        </w:rPr>
        <w:t>广西南宁市星湖路22号</w:t>
      </w:r>
      <w:r>
        <w:rPr>
          <w:rFonts w:hint="eastAsia" w:cs="宋体"/>
          <w:color w:val="000000" w:themeColor="text1"/>
          <w:sz w:val="21"/>
          <w:szCs w:val="21"/>
          <w:highlight w:val="none"/>
          <w14:textFill>
            <w14:solidFill>
              <w14:schemeClr w14:val="tx1"/>
            </w14:solidFill>
          </w14:textFill>
        </w:rPr>
        <w:t>              </w:t>
      </w:r>
    </w:p>
    <w:p>
      <w:pPr>
        <w:pStyle w:val="51"/>
        <w:spacing w:before="75" w:beforeAutospacing="0" w:after="75" w:afterAutospacing="0" w:line="380" w:lineRule="exac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项目联系人：</w:t>
      </w:r>
      <w:r>
        <w:rPr>
          <w:rStyle w:val="623"/>
          <w:rFonts w:cs="宋体"/>
          <w:color w:val="000000" w:themeColor="text1"/>
          <w:sz w:val="21"/>
          <w:szCs w:val="21"/>
          <w:highlight w:val="none"/>
          <w:lang w:val="en"/>
          <w14:textFill>
            <w14:solidFill>
              <w14:schemeClr w14:val="tx1"/>
            </w14:solidFill>
          </w14:textFill>
        </w:rPr>
        <w:t>罗燕媚</w:t>
      </w:r>
      <w:r>
        <w:rPr>
          <w:rFonts w:hint="eastAsia" w:cs="宋体"/>
          <w:color w:val="000000" w:themeColor="text1"/>
          <w:sz w:val="21"/>
          <w:szCs w:val="21"/>
          <w:highlight w:val="none"/>
          <w14:textFill>
            <w14:solidFill>
              <w14:schemeClr w14:val="tx1"/>
            </w14:solidFill>
          </w14:textFill>
        </w:rPr>
        <w:t>              </w:t>
      </w:r>
    </w:p>
    <w:p>
      <w:pPr>
        <w:pStyle w:val="51"/>
        <w:spacing w:before="75" w:beforeAutospacing="0" w:after="75" w:afterAutospacing="0" w:line="380" w:lineRule="exact"/>
        <w:rPr>
          <w:rFonts w:cs="宋体"/>
          <w:color w:val="000000" w:themeColor="text1"/>
          <w:sz w:val="21"/>
          <w:szCs w:val="21"/>
          <w:highlight w:val="none"/>
          <w:lang w:val="e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项目联系方式：</w:t>
      </w:r>
      <w:r>
        <w:rPr>
          <w:rStyle w:val="624"/>
          <w:rFonts w:cs="宋体"/>
          <w:color w:val="000000" w:themeColor="text1"/>
          <w:sz w:val="21"/>
          <w:szCs w:val="21"/>
          <w:highlight w:val="none"/>
          <w:lang w:val="en"/>
          <w14:textFill>
            <w14:solidFill>
              <w14:schemeClr w14:val="tx1"/>
            </w14:solidFill>
          </w14:textFill>
        </w:rPr>
        <w:t>0771-8600344</w:t>
      </w:r>
    </w:p>
    <w:p>
      <w:pPr>
        <w:pStyle w:val="51"/>
        <w:spacing w:before="75" w:beforeAutospacing="0" w:after="75" w:afterAutospacing="0" w:line="380" w:lineRule="exac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w:t>
      </w:r>
    </w:p>
    <w:p>
      <w:pPr>
        <w:pStyle w:val="51"/>
        <w:spacing w:before="75" w:beforeAutospacing="0" w:after="75" w:afterAutospacing="0" w:line="380" w:lineRule="exact"/>
        <w:rPr>
          <w:rFonts w:hint="eastAsia" w:cs="宋体"/>
          <w:color w:val="000000" w:themeColor="text1"/>
          <w:sz w:val="21"/>
          <w:szCs w:val="21"/>
          <w:highlight w:val="none"/>
          <w14:textFill>
            <w14:solidFill>
              <w14:schemeClr w14:val="tx1"/>
            </w14:solidFill>
          </w14:textFill>
        </w:rPr>
      </w:pPr>
    </w:p>
    <w:p>
      <w:pPr>
        <w:pStyle w:val="51"/>
        <w:spacing w:before="75" w:beforeAutospacing="0" w:after="75" w:afterAutospacing="0" w:line="380" w:lineRule="exact"/>
        <w:rPr>
          <w:rFonts w:hint="eastAsia" w:cs="宋体"/>
          <w:color w:val="000000" w:themeColor="text1"/>
          <w:sz w:val="21"/>
          <w:szCs w:val="21"/>
          <w:highlight w:val="none"/>
          <w14:textFill>
            <w14:solidFill>
              <w14:schemeClr w14:val="tx1"/>
            </w14:solidFill>
          </w14:textFill>
        </w:rPr>
      </w:pPr>
    </w:p>
    <w:p>
      <w:pPr>
        <w:widowControl/>
        <w:spacing w:before="54" w:after="54" w:line="380" w:lineRule="exact"/>
        <w:jc w:val="left"/>
        <w:rPr>
          <w:rFonts w:hint="eastAsia" w:ascii="宋体" w:hAnsi="宋体" w:cs="宋体"/>
          <w:color w:val="000000" w:themeColor="text1"/>
          <w:kern w:val="0"/>
          <w:szCs w:val="21"/>
          <w:highlight w:val="none"/>
          <w14:textFill>
            <w14:solidFill>
              <w14:schemeClr w14:val="tx1"/>
            </w14:solidFill>
          </w14:textFill>
        </w:rPr>
      </w:pPr>
    </w:p>
    <w:p>
      <w:pPr>
        <w:adjustRightInd w:val="0"/>
        <w:snapToGrid w:val="0"/>
        <w:spacing w:line="380" w:lineRule="exact"/>
        <w:ind w:firstLine="420" w:firstLineChars="200"/>
        <w:rPr>
          <w:rFonts w:hint="eastAsia" w:ascii="宋体" w:hAnsi="宋体" w:cs="宋体"/>
          <w:color w:val="000000" w:themeColor="text1"/>
          <w:szCs w:val="21"/>
          <w:highlight w:val="none"/>
          <w14:textFill>
            <w14:solidFill>
              <w14:schemeClr w14:val="tx1"/>
            </w14:solidFill>
          </w14:textFill>
        </w:rPr>
      </w:pPr>
    </w:p>
    <w:bookmarkEnd w:id="6"/>
    <w:bookmarkEnd w:id="7"/>
    <w:p>
      <w:pPr>
        <w:adjustRightInd w:val="0"/>
        <w:snapToGrid w:val="0"/>
        <w:spacing w:line="380" w:lineRule="exact"/>
        <w:ind w:left="238"/>
        <w:jc w:val="righ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广西壮族自治区政府采购中心</w:t>
      </w:r>
    </w:p>
    <w:p>
      <w:pPr>
        <w:widowControl/>
        <w:adjustRightInd w:val="0"/>
        <w:snapToGrid w:val="0"/>
        <w:spacing w:line="380" w:lineRule="exact"/>
        <w:ind w:right="384" w:rightChars="183"/>
        <w:jc w:val="right"/>
        <w:rPr>
          <w:rFonts w:hint="eastAsia" w:ascii="宋体" w:hAnsi="宋体" w:cs="宋体"/>
          <w:color w:val="000000" w:themeColor="text1"/>
          <w:kern w:val="0"/>
          <w:szCs w:val="21"/>
          <w:highlight w:val="none"/>
          <w:lang w:val="en"/>
          <w14:textFill>
            <w14:solidFill>
              <w14:schemeClr w14:val="tx1"/>
            </w14:solidFill>
          </w14:textFill>
        </w:rPr>
      </w:pPr>
      <w:r>
        <w:rPr>
          <w:rStyle w:val="605"/>
          <w:rFonts w:hint="eastAsia" w:ascii="宋体" w:hAnsi="宋体" w:cs="宋体"/>
          <w:color w:val="000000" w:themeColor="text1"/>
          <w:szCs w:val="21"/>
          <w:highlight w:val="none"/>
          <w14:textFill>
            <w14:solidFill>
              <w14:schemeClr w14:val="tx1"/>
            </w14:solidFill>
          </w14:textFill>
        </w:rPr>
        <w:t>2024年</w:t>
      </w:r>
      <w:r>
        <w:rPr>
          <w:rStyle w:val="605"/>
          <w:rFonts w:hint="eastAsia" w:ascii="宋体" w:hAnsi="宋体" w:cs="宋体"/>
          <w:color w:val="000000" w:themeColor="text1"/>
          <w:szCs w:val="21"/>
          <w:highlight w:val="none"/>
          <w:lang w:val="en-US" w:eastAsia="zh-CN"/>
          <w14:textFill>
            <w14:solidFill>
              <w14:schemeClr w14:val="tx1"/>
            </w14:solidFill>
          </w14:textFill>
        </w:rPr>
        <w:t>12</w:t>
      </w:r>
      <w:r>
        <w:rPr>
          <w:rStyle w:val="605"/>
          <w:rFonts w:hint="eastAsia" w:ascii="宋体" w:hAnsi="宋体" w:cs="宋体"/>
          <w:color w:val="000000" w:themeColor="text1"/>
          <w:szCs w:val="21"/>
          <w:highlight w:val="none"/>
          <w14:textFill>
            <w14:solidFill>
              <w14:schemeClr w14:val="tx1"/>
            </w14:solidFill>
          </w14:textFill>
        </w:rPr>
        <w:t>月</w:t>
      </w:r>
      <w:r>
        <w:rPr>
          <w:rStyle w:val="605"/>
          <w:rFonts w:hint="eastAsia" w:ascii="宋体" w:hAnsi="宋体" w:cs="宋体"/>
          <w:color w:val="000000" w:themeColor="text1"/>
          <w:szCs w:val="21"/>
          <w:highlight w:val="none"/>
          <w:lang w:val="en-US" w:eastAsia="zh-CN"/>
          <w14:textFill>
            <w14:solidFill>
              <w14:schemeClr w14:val="tx1"/>
            </w14:solidFill>
          </w14:textFill>
        </w:rPr>
        <w:t>02</w:t>
      </w:r>
      <w:r>
        <w:rPr>
          <w:rStyle w:val="605"/>
          <w:rFonts w:hint="eastAsia" w:ascii="宋体" w:hAnsi="宋体" w:cs="宋体"/>
          <w:color w:val="000000" w:themeColor="text1"/>
          <w:szCs w:val="21"/>
          <w:highlight w:val="none"/>
          <w14:textFill>
            <w14:solidFill>
              <w14:schemeClr w14:val="tx1"/>
            </w14:solidFill>
          </w14:textFill>
        </w:rPr>
        <w:t>日</w:t>
      </w:r>
    </w:p>
    <w:p>
      <w:pPr>
        <w:pageBreakBefore/>
        <w:snapToGrid w:val="0"/>
        <w:spacing w:before="156" w:beforeLines="50" w:after="156" w:afterLines="50"/>
        <w:ind w:left="238"/>
        <w:jc w:val="center"/>
        <w:rPr>
          <w:rFonts w:hint="eastAsia" w:ascii="仿宋_GB2312" w:hAnsi="宋体" w:eastAsia="仿宋_GB2312"/>
          <w:b/>
          <w:color w:val="000000" w:themeColor="text1"/>
          <w:sz w:val="44"/>
          <w:szCs w:val="44"/>
          <w:highlight w:val="none"/>
          <w14:textFill>
            <w14:solidFill>
              <w14:schemeClr w14:val="tx1"/>
            </w14:solidFill>
          </w14:textFill>
        </w:rPr>
      </w:pPr>
    </w:p>
    <w:p>
      <w:pPr>
        <w:snapToGrid w:val="0"/>
        <w:spacing w:before="156" w:beforeLines="50" w:after="156" w:afterLines="50"/>
        <w:ind w:left="238"/>
        <w:jc w:val="center"/>
        <w:rPr>
          <w:rFonts w:hint="eastAsia" w:ascii="仿宋_GB2312" w:hAnsi="宋体" w:eastAsia="仿宋_GB2312"/>
          <w:b/>
          <w:color w:val="000000" w:themeColor="text1"/>
          <w:sz w:val="44"/>
          <w:szCs w:val="44"/>
          <w:highlight w:val="none"/>
          <w14:textFill>
            <w14:solidFill>
              <w14:schemeClr w14:val="tx1"/>
            </w14:solidFill>
          </w14:textFill>
        </w:rPr>
      </w:pPr>
    </w:p>
    <w:p>
      <w:pPr>
        <w:snapToGrid w:val="0"/>
        <w:spacing w:before="156" w:beforeLines="50" w:after="156" w:afterLines="50"/>
        <w:ind w:left="238"/>
        <w:jc w:val="center"/>
        <w:rPr>
          <w:rFonts w:hint="eastAsia" w:ascii="仿宋_GB2312" w:hAnsi="宋体" w:eastAsia="仿宋_GB2312"/>
          <w:b/>
          <w:color w:val="000000" w:themeColor="text1"/>
          <w:sz w:val="44"/>
          <w:szCs w:val="44"/>
          <w:highlight w:val="none"/>
          <w14:textFill>
            <w14:solidFill>
              <w14:schemeClr w14:val="tx1"/>
            </w14:solidFill>
          </w14:textFill>
        </w:rPr>
      </w:pPr>
    </w:p>
    <w:p>
      <w:pPr>
        <w:snapToGrid w:val="0"/>
        <w:spacing w:before="156" w:beforeLines="50" w:after="156" w:afterLines="50"/>
        <w:ind w:left="238"/>
        <w:jc w:val="center"/>
        <w:rPr>
          <w:rFonts w:hint="eastAsia" w:ascii="仿宋_GB2312" w:hAnsi="宋体" w:eastAsia="仿宋_GB2312"/>
          <w:b/>
          <w:color w:val="000000" w:themeColor="text1"/>
          <w:sz w:val="44"/>
          <w:szCs w:val="44"/>
          <w:highlight w:val="none"/>
          <w14:textFill>
            <w14:solidFill>
              <w14:schemeClr w14:val="tx1"/>
            </w14:solidFill>
          </w14:textFill>
        </w:rPr>
      </w:pPr>
    </w:p>
    <w:p>
      <w:pPr>
        <w:snapToGrid w:val="0"/>
        <w:spacing w:before="156" w:beforeLines="50" w:after="156" w:afterLines="50"/>
        <w:ind w:left="238"/>
        <w:jc w:val="center"/>
        <w:rPr>
          <w:rFonts w:hint="eastAsia" w:ascii="仿宋_GB2312" w:hAnsi="宋体" w:eastAsia="仿宋_GB2312"/>
          <w:b/>
          <w:color w:val="000000" w:themeColor="text1"/>
          <w:sz w:val="44"/>
          <w:szCs w:val="44"/>
          <w:highlight w:val="none"/>
          <w14:textFill>
            <w14:solidFill>
              <w14:schemeClr w14:val="tx1"/>
            </w14:solidFill>
          </w14:textFill>
        </w:rPr>
      </w:pPr>
    </w:p>
    <w:p>
      <w:pPr>
        <w:snapToGrid w:val="0"/>
        <w:spacing w:before="156" w:beforeLines="50" w:after="156" w:afterLines="50"/>
        <w:ind w:left="238"/>
        <w:jc w:val="center"/>
        <w:rPr>
          <w:rFonts w:hint="eastAsia" w:ascii="仿宋_GB2312" w:hAnsi="宋体" w:eastAsia="仿宋_GB2312"/>
          <w:b/>
          <w:color w:val="000000" w:themeColor="text1"/>
          <w:sz w:val="44"/>
          <w:szCs w:val="44"/>
          <w:highlight w:val="none"/>
          <w14:textFill>
            <w14:solidFill>
              <w14:schemeClr w14:val="tx1"/>
            </w14:solidFill>
          </w14:textFill>
        </w:rPr>
      </w:pPr>
    </w:p>
    <w:p>
      <w:pPr>
        <w:spacing w:line="440" w:lineRule="atLeast"/>
        <w:ind w:firstLine="420"/>
        <w:rPr>
          <w:rFonts w:hint="eastAsia" w:ascii="宋体" w:hAnsi="宋体"/>
          <w:color w:val="000000" w:themeColor="text1"/>
          <w:szCs w:val="21"/>
          <w:highlight w:val="none"/>
          <w14:textFill>
            <w14:solidFill>
              <w14:schemeClr w14:val="tx1"/>
            </w14:solidFill>
          </w14:textFill>
        </w:rPr>
      </w:pPr>
    </w:p>
    <w:p>
      <w:pPr>
        <w:snapToGrid w:val="0"/>
        <w:spacing w:before="156" w:beforeLines="50" w:after="156" w:afterLines="50"/>
        <w:ind w:left="238"/>
        <w:jc w:val="center"/>
        <w:rPr>
          <w:rFonts w:hint="eastAsia" w:ascii="仿宋_GB2312" w:hAnsi="宋体" w:eastAsia="仿宋_GB2312"/>
          <w:b/>
          <w:color w:val="000000" w:themeColor="text1"/>
          <w:sz w:val="44"/>
          <w:szCs w:val="44"/>
          <w:highlight w:val="none"/>
          <w14:textFill>
            <w14:solidFill>
              <w14:schemeClr w14:val="tx1"/>
            </w14:solidFill>
          </w14:textFill>
        </w:rPr>
      </w:pPr>
    </w:p>
    <w:p>
      <w:pPr>
        <w:pStyle w:val="3"/>
        <w:jc w:val="center"/>
        <w:rPr>
          <w:rFonts w:hint="eastAsia"/>
          <w:color w:val="000000" w:themeColor="text1"/>
          <w:highlight w:val="none"/>
          <w14:textFill>
            <w14:solidFill>
              <w14:schemeClr w14:val="tx1"/>
            </w14:solidFill>
          </w14:textFill>
        </w:rPr>
      </w:pPr>
      <w:bookmarkStart w:id="8" w:name="_Toc2015667557"/>
      <w:r>
        <w:rPr>
          <w:rFonts w:hint="eastAsia"/>
          <w:color w:val="000000" w:themeColor="text1"/>
          <w:highlight w:val="none"/>
          <w14:textFill>
            <w14:solidFill>
              <w14:schemeClr w14:val="tx1"/>
            </w14:solidFill>
          </w14:textFill>
        </w:rPr>
        <w:t>第二章  招标项目采购需求</w:t>
      </w:r>
      <w:bookmarkEnd w:id="8"/>
    </w:p>
    <w:p>
      <w:pPr>
        <w:snapToGrid w:val="0"/>
        <w:spacing w:before="156" w:beforeLines="50" w:after="156" w:afterLines="50"/>
        <w:ind w:left="238"/>
        <w:jc w:val="center"/>
        <w:rPr>
          <w:rFonts w:hint="eastAsia" w:ascii="黑体" w:hAnsi="宋体" w:eastAsia="黑体"/>
          <w:color w:val="000000" w:themeColor="text1"/>
          <w:sz w:val="32"/>
          <w:szCs w:val="32"/>
          <w:highlight w:val="none"/>
          <w14:textFill>
            <w14:solidFill>
              <w14:schemeClr w14:val="tx1"/>
            </w14:solidFill>
          </w14:textFill>
        </w:rPr>
      </w:pPr>
    </w:p>
    <w:p>
      <w:pPr>
        <w:snapToGrid w:val="0"/>
        <w:spacing w:before="156" w:beforeLines="50" w:after="156" w:afterLines="50"/>
        <w:ind w:left="238"/>
        <w:jc w:val="center"/>
        <w:rPr>
          <w:rFonts w:hint="eastAsia" w:ascii="黑体" w:hAnsi="宋体" w:eastAsia="黑体"/>
          <w:color w:val="000000" w:themeColor="text1"/>
          <w:sz w:val="32"/>
          <w:szCs w:val="32"/>
          <w:highlight w:val="none"/>
          <w14:textFill>
            <w14:solidFill>
              <w14:schemeClr w14:val="tx1"/>
            </w14:solidFill>
          </w14:textFill>
        </w:rPr>
      </w:pPr>
    </w:p>
    <w:p>
      <w:pPr>
        <w:snapToGrid w:val="0"/>
        <w:spacing w:before="156" w:beforeLines="50" w:after="156" w:afterLines="50"/>
        <w:ind w:left="238"/>
        <w:jc w:val="center"/>
        <w:rPr>
          <w:rFonts w:hint="eastAsia" w:ascii="黑体" w:hAnsi="宋体" w:eastAsia="黑体"/>
          <w:color w:val="000000" w:themeColor="text1"/>
          <w:sz w:val="32"/>
          <w:szCs w:val="32"/>
          <w:highlight w:val="none"/>
          <w14:textFill>
            <w14:solidFill>
              <w14:schemeClr w14:val="tx1"/>
            </w14:solidFill>
          </w14:textFill>
        </w:rPr>
      </w:pPr>
    </w:p>
    <w:p>
      <w:pPr>
        <w:snapToGrid w:val="0"/>
        <w:spacing w:before="156" w:beforeLines="50" w:after="156" w:afterLines="50"/>
        <w:ind w:left="238"/>
        <w:jc w:val="center"/>
        <w:rPr>
          <w:rFonts w:hint="eastAsia" w:ascii="黑体" w:hAnsi="宋体" w:eastAsia="黑体"/>
          <w:color w:val="000000" w:themeColor="text1"/>
          <w:sz w:val="32"/>
          <w:szCs w:val="32"/>
          <w:highlight w:val="none"/>
          <w14:textFill>
            <w14:solidFill>
              <w14:schemeClr w14:val="tx1"/>
            </w14:solidFill>
          </w14:textFill>
        </w:rPr>
      </w:pPr>
    </w:p>
    <w:p>
      <w:pPr>
        <w:snapToGrid w:val="0"/>
        <w:spacing w:before="156" w:beforeLines="50" w:after="156" w:afterLines="50"/>
        <w:ind w:left="238"/>
        <w:jc w:val="center"/>
        <w:rPr>
          <w:rFonts w:hint="eastAsia" w:ascii="黑体" w:hAnsi="宋体" w:eastAsia="黑体"/>
          <w:color w:val="000000" w:themeColor="text1"/>
          <w:sz w:val="32"/>
          <w:szCs w:val="32"/>
          <w:highlight w:val="none"/>
          <w14:textFill>
            <w14:solidFill>
              <w14:schemeClr w14:val="tx1"/>
            </w14:solidFill>
          </w14:textFill>
        </w:rPr>
      </w:pPr>
    </w:p>
    <w:p>
      <w:pPr>
        <w:snapToGrid w:val="0"/>
        <w:spacing w:before="156" w:beforeLines="50" w:after="156" w:afterLines="50"/>
        <w:ind w:left="238"/>
        <w:jc w:val="center"/>
        <w:rPr>
          <w:rFonts w:hint="eastAsia" w:ascii="黑体" w:hAnsi="宋体" w:eastAsia="黑体"/>
          <w:color w:val="000000" w:themeColor="text1"/>
          <w:sz w:val="32"/>
          <w:szCs w:val="32"/>
          <w:highlight w:val="none"/>
          <w14:textFill>
            <w14:solidFill>
              <w14:schemeClr w14:val="tx1"/>
            </w14:solidFill>
          </w14:textFill>
        </w:rPr>
      </w:pPr>
    </w:p>
    <w:p>
      <w:pPr>
        <w:snapToGrid w:val="0"/>
        <w:spacing w:before="156" w:beforeLines="50" w:after="156" w:afterLines="50"/>
        <w:ind w:left="238"/>
        <w:jc w:val="center"/>
        <w:rPr>
          <w:rFonts w:hint="eastAsia" w:ascii="黑体" w:hAnsi="宋体" w:eastAsia="黑体"/>
          <w:color w:val="000000" w:themeColor="text1"/>
          <w:sz w:val="32"/>
          <w:szCs w:val="32"/>
          <w:highlight w:val="none"/>
          <w14:textFill>
            <w14:solidFill>
              <w14:schemeClr w14:val="tx1"/>
            </w14:solidFill>
          </w14:textFill>
        </w:rPr>
      </w:pPr>
    </w:p>
    <w:p>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r>
        <w:rPr>
          <w:rFonts w:ascii="宋体" w:hAnsi="宋体"/>
          <w:b/>
          <w:bCs/>
          <w:color w:val="000000" w:themeColor="text1"/>
          <w:sz w:val="32"/>
          <w:szCs w:val="32"/>
          <w:highlight w:val="none"/>
          <w14:textFill>
            <w14:solidFill>
              <w14:schemeClr w14:val="tx1"/>
            </w14:solidFill>
          </w14:textFill>
        </w:rPr>
        <w:br w:type="page"/>
      </w:r>
      <w:r>
        <w:rPr>
          <w:rFonts w:hint="eastAsia" w:ascii="宋体" w:hAnsi="宋体" w:cs="宋体"/>
          <w:b/>
          <w:bCs/>
          <w:color w:val="000000" w:themeColor="text1"/>
          <w:sz w:val="36"/>
          <w:szCs w:val="36"/>
          <w:highlight w:val="none"/>
          <w14:textFill>
            <w14:solidFill>
              <w14:schemeClr w14:val="tx1"/>
            </w14:solidFill>
          </w14:textFill>
        </w:rPr>
        <w:t>采购</w:t>
      </w:r>
      <w:r>
        <w:rPr>
          <w:rFonts w:hint="eastAsia" w:ascii="宋体" w:hAnsi="宋体" w:cs="宋体"/>
          <w:b/>
          <w:color w:val="000000" w:themeColor="text1"/>
          <w:sz w:val="36"/>
          <w:szCs w:val="36"/>
          <w:highlight w:val="none"/>
          <w14:textFill>
            <w14:solidFill>
              <w14:schemeClr w14:val="tx1"/>
            </w14:solidFill>
          </w14:textFill>
        </w:rPr>
        <w:t>项目采购需求</w:t>
      </w:r>
    </w:p>
    <w:p>
      <w:pPr>
        <w:adjustRightInd w:val="0"/>
        <w:snapToGrid w:val="0"/>
        <w:spacing w:line="400" w:lineRule="exact"/>
        <w:jc w:val="center"/>
        <w:rPr>
          <w:rFonts w:hint="eastAsia" w:ascii="宋体" w:hAnsi="宋体" w:cs="宋体"/>
          <w:b/>
          <w:bCs/>
          <w:color w:val="000000" w:themeColor="text1"/>
          <w:szCs w:val="21"/>
          <w:highlight w:val="none"/>
          <w14:textFill>
            <w14:solidFill>
              <w14:schemeClr w14:val="tx1"/>
            </w14:solidFill>
          </w14:textFill>
        </w:rPr>
      </w:pPr>
      <w:r>
        <w:rPr>
          <w:rFonts w:ascii="宋体" w:hAnsi="宋体" w:cs="宋体"/>
          <w:b/>
          <w:bCs/>
          <w:color w:val="000000" w:themeColor="text1"/>
          <w:sz w:val="30"/>
          <w:szCs w:val="30"/>
          <w:highlight w:val="none"/>
          <w:lang w:val="en"/>
          <w14:textFill>
            <w14:solidFill>
              <w14:schemeClr w14:val="tx1"/>
            </w14:solidFill>
          </w14:textFill>
        </w:rPr>
        <w:t>广西壮族自治区科学技术馆2025-2026年度物业服务采购</w:t>
      </w:r>
      <w:r>
        <w:rPr>
          <w:rFonts w:hint="eastAsia" w:ascii="宋体" w:hAnsi="宋体" w:cs="宋体"/>
          <w:b/>
          <w:bCs/>
          <w:color w:val="000000" w:themeColor="text1"/>
          <w:sz w:val="30"/>
          <w:szCs w:val="30"/>
          <w:highlight w:val="none"/>
          <w14:textFill>
            <w14:solidFill>
              <w14:schemeClr w14:val="tx1"/>
            </w14:solidFill>
          </w14:textFill>
        </w:rPr>
        <w:t>需求</w:t>
      </w:r>
    </w:p>
    <w:p>
      <w:pPr>
        <w:adjustRightInd w:val="0"/>
        <w:snapToGrid w:val="0"/>
        <w:spacing w:line="4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一、项目基本概况：</w:t>
      </w:r>
      <w:r>
        <w:rPr>
          <w:rFonts w:hint="eastAsia" w:ascii="宋体" w:hAnsi="宋体"/>
          <w:color w:val="000000" w:themeColor="text1"/>
          <w:szCs w:val="21"/>
          <w:highlight w:val="none"/>
          <w14:textFill>
            <w14:solidFill>
              <w14:schemeClr w14:val="tx1"/>
            </w14:solidFill>
          </w14:textFill>
        </w:rPr>
        <w:t>广西科技馆座落于南宁市民族大道20号，</w:t>
      </w:r>
      <w:r>
        <w:rPr>
          <w:rFonts w:hint="eastAsia" w:ascii="宋体" w:hAnsi="宋体" w:cs="Arial"/>
          <w:color w:val="000000" w:themeColor="text1"/>
          <w:szCs w:val="21"/>
          <w:highlight w:val="none"/>
          <w:shd w:val="clear" w:color="auto" w:fill="FFFFFF"/>
          <w14:textFill>
            <w14:solidFill>
              <w14:schemeClr w14:val="tx1"/>
            </w14:solidFill>
          </w14:textFill>
        </w:rPr>
        <w:t>占地面积14655平方米，总建筑面积38988平方米，地处广西首府政治、经济、文化中心，毗邻民族广场、广西人民会堂和广西博物馆等重要公共设施。 以“探索 科技 创新”为主题的广西科技馆，对提高公众科学文化素质，促进社会经济发展和科技进步具有十分重要的意义。作为现代化的科普场馆和青少年科技活动中心，成为广西科普教育的龙头和展示广西的窗口，也成为中国与东盟各国开展科技交流、科普活动和青少年科技教育的重要平台。</w:t>
      </w:r>
    </w:p>
    <w:p>
      <w:pPr>
        <w:adjustRightInd w:val="0"/>
        <w:snapToGrid w:val="0"/>
        <w:spacing w:line="400" w:lineRule="exact"/>
        <w:ind w:firstLine="420" w:firstLineChars="200"/>
        <w:rPr>
          <w:color w:val="000000" w:themeColor="text1"/>
          <w:highlight w:val="none"/>
          <w14:textFill>
            <w14:solidFill>
              <w14:schemeClr w14:val="tx1"/>
            </w14:solidFill>
          </w14:textFill>
        </w:rPr>
      </w:pPr>
      <w:r>
        <w:rPr>
          <w:rFonts w:hint="eastAsia" w:ascii="宋体" w:hAnsi="宋体" w:cs="Arial"/>
          <w:color w:val="000000" w:themeColor="text1"/>
          <w:szCs w:val="21"/>
          <w:highlight w:val="none"/>
          <w:shd w:val="clear" w:color="auto" w:fill="FFFFFF"/>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广西科技馆服务全民科学素质建设工作，以提升公众科学素养、传播科学思想和文化为宗旨，致力于为公众和社会提供有理念、有特色、有品质的综合性科普场所和科普服务。2009年12月被评为国家4A级旅游景区，2015年2月被评为全国文明单位。</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（一）采购人：广西壮族自治区科学技术馆</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（二）物业名称：广西壮族自治区科学技术馆物业服务</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（三）采购内容：</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年物业服务（包括：秩序服务、工程维修服务、保洁服务、客服服务）</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（四）物业概况：总面积约46000m</w:t>
      </w:r>
      <w:r>
        <w:rPr>
          <w:rFonts w:hint="eastAsia" w:ascii="宋体" w:hAnsi="宋体"/>
          <w:color w:val="000000" w:themeColor="text1"/>
          <w:szCs w:val="21"/>
          <w:highlight w:val="none"/>
          <w:vertAlign w:val="superscript"/>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，包括以下区域：</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1．广西壮族自治区科学技术馆主体建筑（包括展厅、办公区域、培训部教室、青少年工作室、会议室、贵宾室、学术报告厅、设备间、功能间等）；</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2．广西壮族自治区科学技术馆广场；</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3．非机动车停车区域及大楼四周通道；</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4. 负一楼立体停车库和所有设备用房、仓库等； </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5．监控室；</w:t>
      </w:r>
    </w:p>
    <w:p>
      <w:pPr>
        <w:adjustRightInd w:val="0"/>
        <w:snapToGrid w:val="0"/>
        <w:spacing w:line="400" w:lineRule="exact"/>
        <w:ind w:firstLine="420" w:firstLineChars="200"/>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 发票亭、安保亭等；</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（五）投标人需自行对服务现场和周围环境进行考察，以现场和周围实际环境为准。</w:t>
      </w:r>
    </w:p>
    <w:p>
      <w:pPr>
        <w:adjustRightInd w:val="0"/>
        <w:snapToGrid w:val="0"/>
        <w:spacing w:line="400" w:lineRule="exact"/>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二、物业服务内容</w:t>
      </w:r>
    </w:p>
    <w:p>
      <w:pPr>
        <w:pStyle w:val="2"/>
        <w:ind w:firstLine="420"/>
        <w:rPr>
          <w:rFonts w:hAnsi="宋体" w:cs="宋体"/>
          <w:b w:val="0"/>
          <w:bCs/>
          <w:color w:val="000000" w:themeColor="text1"/>
          <w:szCs w:val="21"/>
          <w:highlight w:val="none"/>
          <w14:textFill>
            <w14:solidFill>
              <w14:schemeClr w14:val="tx1"/>
            </w14:solidFill>
          </w14:textFill>
        </w:rPr>
      </w:pPr>
      <w:r>
        <w:rPr>
          <w:rFonts w:hint="eastAsia" w:hAnsi="宋体" w:cs="宋体"/>
          <w:b w:val="0"/>
          <w:bCs/>
          <w:color w:val="000000" w:themeColor="text1"/>
          <w:szCs w:val="21"/>
          <w:highlight w:val="none"/>
          <w14:textFill>
            <w14:solidFill>
              <w14:schemeClr w14:val="tx1"/>
            </w14:solidFill>
          </w14:textFill>
        </w:rPr>
        <w:t>广西壮族自治区科学技术馆主体建筑（包括负一楼地下室）、广场及大楼四周通道、非机动车停车场、发票亭等区域的安保服务、设备维护、保洁服务、客服服务管理等工作。</w:t>
      </w:r>
    </w:p>
    <w:p>
      <w:pPr>
        <w:spacing w:line="4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一）秩序安保部（安全保卫工作、公共秩序管理、公共卫生健康安全管理和车辆管理）：负责广西科技馆管辖内外全馆的安全保卫工作、公共秩序维护及突发事件的应急处理，对重点部位及责任区域定点守护和24小时安全巡查，设立门岗，监控外来人员和进出车辆，纠正违章行为，确保公共秩序良好。负责车辆行驶与停放秩序的管理、收费服务。负责完成业主各类展览、活动、比赛等全程安保工作。负责建立消防、防恐、防爆、防洪、防盗、防震等安全应急预案，及时处理突发事件流程，确保馆内无治安案件、恐怖事件、刑事案件等安全事故发生。负责发生安全事件及时在馆内发布告示和广播通告，提醒并协助相关人员撤离。每月提交秩序安保工作情况报告。</w:t>
      </w:r>
      <w:r>
        <w:rPr>
          <w:rFonts w:hint="eastAsia" w:ascii="宋体" w:hAnsi="宋体"/>
          <w:color w:val="000000" w:themeColor="text1"/>
          <w:szCs w:val="21"/>
          <w:highlight w:val="none"/>
          <w14:textFill>
            <w14:solidFill>
              <w14:schemeClr w14:val="tx1"/>
            </w14:solidFill>
          </w14:textFill>
        </w:rPr>
        <w:t>完成业主交办的其他工作任务</w:t>
      </w:r>
      <w:r>
        <w:rPr>
          <w:rFonts w:hint="eastAsia" w:ascii="宋体" w:hAnsi="宋体" w:cs="宋体"/>
          <w:bCs/>
          <w:color w:val="000000" w:themeColor="text1"/>
          <w:szCs w:val="21"/>
          <w:highlight w:val="none"/>
          <w14:textFill>
            <w14:solidFill>
              <w14:schemeClr w14:val="tx1"/>
            </w14:solidFill>
          </w14:textFill>
        </w:rPr>
        <w:t>。</w:t>
      </w:r>
    </w:p>
    <w:p>
      <w:pPr>
        <w:spacing w:line="4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二）工程部（设施、设备的维修与管理）：负责广西科技馆管辖范围内所有系统设施设备的管理、维护（楼宇、房屋、水体、给排水、供电﹑空调﹑电梯﹑消防、照明、景观与亮化、污水处理、地下管网等相关设备的管理、维护、维修与保养），突发事件的应急处理。负责完成业主各类展览、活动、比赛等的相应工作。每月提交维修记录交业主存档，</w:t>
      </w:r>
      <w:r>
        <w:rPr>
          <w:rFonts w:hint="eastAsia" w:ascii="宋体" w:hAnsi="宋体"/>
          <w:color w:val="000000" w:themeColor="text1"/>
          <w:szCs w:val="21"/>
          <w:highlight w:val="none"/>
          <w14:textFill>
            <w14:solidFill>
              <w14:schemeClr w14:val="tx1"/>
            </w14:solidFill>
          </w14:textFill>
        </w:rPr>
        <w:t>完成业主交办的其他工作任务</w:t>
      </w:r>
      <w:r>
        <w:rPr>
          <w:rFonts w:hint="eastAsia" w:ascii="宋体" w:hAnsi="宋体" w:cs="宋体"/>
          <w:bCs/>
          <w:color w:val="000000" w:themeColor="text1"/>
          <w:szCs w:val="21"/>
          <w:highlight w:val="none"/>
          <w14:textFill>
            <w14:solidFill>
              <w14:schemeClr w14:val="tx1"/>
            </w14:solidFill>
          </w14:textFill>
        </w:rPr>
        <w:t>。</w:t>
      </w:r>
    </w:p>
    <w:p>
      <w:pPr>
        <w:spacing w:line="4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三）保洁部（保洁服务）；负责广西科技馆（包括负责办公区域、教室、会议室、贵宾室、报告厅、党员政治生活活动室、地下停车场、厕所等区域的清洁卫生；负责展厅、展项、展品的日常清洁、除尘和定期消杀工作）；负责广场、大楼四周通道的清洁卫生；负责全馆垃圾的收集、清运（包括东西两侧垃圾集中点和地下室场馆内产生生活垃圾、建筑垃圾等）；负责化粪池、沟渠、水池清洗、四害消杀、空调管道清洗等清洁保洁服务，并提供相应的符合国家生产及使用标准的卫生用品；负责完成业主各类展览、活动、比赛等全程卫生保洁工作；每月提交保洁工作情况报告。</w:t>
      </w:r>
      <w:r>
        <w:rPr>
          <w:rFonts w:hint="eastAsia" w:ascii="宋体" w:hAnsi="宋体"/>
          <w:color w:val="000000" w:themeColor="text1"/>
          <w:szCs w:val="21"/>
          <w:highlight w:val="none"/>
          <w14:textFill>
            <w14:solidFill>
              <w14:schemeClr w14:val="tx1"/>
            </w14:solidFill>
          </w14:textFill>
        </w:rPr>
        <w:t>完成业主交办的其他工作任务</w:t>
      </w:r>
      <w:r>
        <w:rPr>
          <w:rFonts w:hint="eastAsia" w:ascii="宋体" w:hAnsi="宋体" w:cs="宋体"/>
          <w:bCs/>
          <w:color w:val="000000" w:themeColor="text1"/>
          <w:szCs w:val="21"/>
          <w:highlight w:val="none"/>
          <w14:textFill>
            <w14:solidFill>
              <w14:schemeClr w14:val="tx1"/>
            </w14:solidFill>
          </w14:textFill>
        </w:rPr>
        <w:t>。</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四）客服服务管理：1.负责贵宾室、会议室、报告厅、党员政治生活活动室等场所的会议服务工作。2.负责发票亭、检票口、服务中心的游客登记、检票、咨询、解释等工作，3.负责业主其他活动全程会议服务工作。3.负责广播工作。每月提供客服工作情况报告。</w:t>
      </w:r>
      <w:r>
        <w:rPr>
          <w:rFonts w:hint="eastAsia" w:ascii="宋体" w:hAnsi="宋体"/>
          <w:color w:val="000000" w:themeColor="text1"/>
          <w:szCs w:val="21"/>
          <w:highlight w:val="none"/>
          <w14:textFill>
            <w14:solidFill>
              <w14:schemeClr w14:val="tx1"/>
            </w14:solidFill>
          </w14:textFill>
        </w:rPr>
        <w:t>完成业主交办的其他工作任务</w:t>
      </w:r>
      <w:r>
        <w:rPr>
          <w:rFonts w:hint="eastAsia" w:ascii="宋体" w:hAnsi="宋体" w:cs="宋体"/>
          <w:bCs/>
          <w:color w:val="000000" w:themeColor="text1"/>
          <w:szCs w:val="21"/>
          <w:highlight w:val="none"/>
          <w14:textFill>
            <w14:solidFill>
              <w14:schemeClr w14:val="tx1"/>
            </w14:solidFill>
          </w14:textFill>
        </w:rPr>
        <w:t>。</w:t>
      </w:r>
    </w:p>
    <w:p>
      <w:pPr>
        <w:adjustRightInd w:val="0"/>
        <w:snapToGrid w:val="0"/>
        <w:spacing w:line="400" w:lineRule="exact"/>
        <w:ind w:right="-109" w:rightChars="-52"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（五）服务项目服务期限</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b/>
          <w:color w:val="000000" w:themeColor="text1"/>
          <w:szCs w:val="21"/>
          <w:highlight w:val="none"/>
          <w:u w:val="single"/>
          <w14:textFill>
            <w14:solidFill>
              <w14:schemeClr w14:val="tx1"/>
            </w14:solidFill>
          </w14:textFill>
        </w:rPr>
        <w:t>2</w:t>
      </w:r>
      <w:r>
        <w:rPr>
          <w:rFonts w:hint="eastAsia" w:ascii="宋体" w:hAnsi="宋体"/>
          <w:b/>
          <w:color w:val="000000" w:themeColor="text1"/>
          <w:szCs w:val="21"/>
          <w:highlight w:val="none"/>
          <w:u w:val="singl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14:textFill>
            <w14:solidFill>
              <w14:schemeClr w14:val="tx1"/>
            </w14:solidFill>
          </w14:textFill>
        </w:rPr>
        <w:t>。</w:t>
      </w:r>
    </w:p>
    <w:p>
      <w:pPr>
        <w:adjustRightInd w:val="0"/>
        <w:snapToGrid w:val="0"/>
        <w:spacing w:line="400" w:lineRule="exact"/>
        <w:ind w:right="-109" w:rightChars="-52" w:firstLine="420"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三、人员和设备、物资配置要求</w:t>
      </w:r>
    </w:p>
    <w:p>
      <w:pPr>
        <w:pStyle w:val="2"/>
        <w:ind w:firstLine="422"/>
        <w:rPr>
          <w:color w:val="000000" w:themeColor="text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（一）人员配置要求</w:t>
      </w:r>
    </w:p>
    <w:p>
      <w:pPr>
        <w:spacing w:line="360" w:lineRule="auto"/>
        <w:ind w:firstLine="420" w:firstLineChars="200"/>
        <w:rPr>
          <w:color w:val="000000" w:themeColor="text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广西科技馆物业服务所需人员总计110人,定员110人。中标人要保证人员的数量和稳定性，如人员离职、缺岗等人员减少，必须在一个月内补充到位，全年流动性不超过30%。</w:t>
      </w:r>
    </w:p>
    <w:tbl>
      <w:tblPr>
        <w:tblStyle w:val="55"/>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32"/>
        <w:gridCol w:w="1130"/>
        <w:gridCol w:w="539"/>
        <w:gridCol w:w="4609"/>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26"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序号</w:t>
            </w:r>
          </w:p>
        </w:tc>
        <w:tc>
          <w:tcPr>
            <w:tcW w:w="732"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部门</w:t>
            </w:r>
          </w:p>
        </w:tc>
        <w:tc>
          <w:tcPr>
            <w:tcW w:w="1130"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岗位</w:t>
            </w:r>
          </w:p>
        </w:tc>
        <w:tc>
          <w:tcPr>
            <w:tcW w:w="539"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人数</w:t>
            </w:r>
          </w:p>
        </w:tc>
        <w:tc>
          <w:tcPr>
            <w:tcW w:w="4609"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主要岗位职责和要求</w:t>
            </w:r>
          </w:p>
        </w:tc>
        <w:tc>
          <w:tcPr>
            <w:tcW w:w="1774"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上班时间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w:t>
            </w:r>
          </w:p>
        </w:tc>
        <w:tc>
          <w:tcPr>
            <w:tcW w:w="732" w:type="dxa"/>
            <w:vMerge w:val="restart"/>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行政人员</w:t>
            </w:r>
          </w:p>
          <w:p>
            <w:pPr>
              <w:jc w:val="center"/>
              <w:rPr>
                <w:rFonts w:ascii="宋体" w:hAnsi="宋体" w:cs="宋体"/>
                <w:bCs/>
                <w:color w:val="000000" w:themeColor="text1"/>
                <w:kern w:val="0"/>
                <w:sz w:val="20"/>
                <w:szCs w:val="21"/>
                <w:highlight w:val="none"/>
                <w14:textFill>
                  <w14:solidFill>
                    <w14:schemeClr w14:val="tx1"/>
                  </w14:solidFill>
                </w14:textFill>
              </w:rPr>
            </w:pPr>
          </w:p>
          <w:p>
            <w:pPr>
              <w:pStyle w:val="2"/>
              <w:ind w:firstLine="402"/>
              <w:rPr>
                <w:color w:val="000000" w:themeColor="text1"/>
                <w:kern w:val="0"/>
                <w:sz w:val="20"/>
                <w:highlight w:val="none"/>
                <w14:textFill>
                  <w14:solidFill>
                    <w14:schemeClr w14:val="tx1"/>
                  </w14:solidFill>
                </w14:textFill>
              </w:rPr>
            </w:pPr>
          </w:p>
        </w:tc>
        <w:tc>
          <w:tcPr>
            <w:tcW w:w="1130"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项目</w:t>
            </w: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经理</w:t>
            </w:r>
          </w:p>
        </w:tc>
        <w:tc>
          <w:tcPr>
            <w:tcW w:w="539" w:type="dxa"/>
            <w:vAlign w:val="center"/>
          </w:tcPr>
          <w:p>
            <w:pPr>
              <w:ind w:firstLine="200" w:firstLineChars="100"/>
              <w:jc w:val="center"/>
              <w:rPr>
                <w:rFonts w:ascii="宋体" w:hAnsi="宋体" w:cs="宋体"/>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w:t>
            </w:r>
          </w:p>
        </w:tc>
        <w:tc>
          <w:tcPr>
            <w:tcW w:w="4609"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全面负责物业管理工作，做好各部门工作统筹协调和推进，检查各项工作推进和落实情况。并负责与科技馆相关部门进行日常工作联系。</w:t>
            </w:r>
          </w:p>
        </w:tc>
        <w:tc>
          <w:tcPr>
            <w:tcW w:w="1774" w:type="dxa"/>
            <w:vMerge w:val="restart"/>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8：00-12：00</w:t>
            </w:r>
          </w:p>
          <w:p>
            <w:pPr>
              <w:pStyle w:val="2"/>
              <w:ind w:firstLine="0" w:firstLineChars="0"/>
              <w:jc w:val="center"/>
              <w:rPr>
                <w:rFonts w:hAnsi="宋体" w:cs="宋体"/>
                <w:b w:val="0"/>
                <w:bCs/>
                <w:color w:val="000000" w:themeColor="text1"/>
                <w:kern w:val="0"/>
                <w:sz w:val="20"/>
                <w:szCs w:val="21"/>
                <w:highlight w:val="none"/>
                <w14:textFill>
                  <w14:solidFill>
                    <w14:schemeClr w14:val="tx1"/>
                  </w14:solidFill>
                </w14:textFill>
              </w:rPr>
            </w:pPr>
            <w:r>
              <w:rPr>
                <w:rFonts w:hint="eastAsia" w:hAnsi="宋体" w:cs="宋体"/>
                <w:b w:val="0"/>
                <w:bCs/>
                <w:color w:val="000000" w:themeColor="text1"/>
                <w:kern w:val="0"/>
                <w:sz w:val="20"/>
                <w:szCs w:val="21"/>
                <w:highlight w:val="none"/>
                <w14:textFill>
                  <w14:solidFill>
                    <w14:schemeClr w14:val="tx1"/>
                  </w14:solidFill>
                </w14:textFill>
              </w:rPr>
              <w:t>15：00-18：30</w:t>
            </w: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（经理和副经理不能同时休息,2个文员不能同时休息）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2</w:t>
            </w:r>
          </w:p>
        </w:tc>
        <w:tc>
          <w:tcPr>
            <w:tcW w:w="732" w:type="dxa"/>
            <w:vMerge w:val="continue"/>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tc>
        <w:tc>
          <w:tcPr>
            <w:tcW w:w="1130"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副经理</w:t>
            </w:r>
          </w:p>
        </w:tc>
        <w:tc>
          <w:tcPr>
            <w:tcW w:w="539"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w:t>
            </w:r>
          </w:p>
        </w:tc>
        <w:tc>
          <w:tcPr>
            <w:tcW w:w="4609"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负责协助经理完成各项工作，根据分工监督所分管部门工作人员工作情况。并负责与科技馆相关部门进行日常工作联系，具体落实业主交代工作任务。经理休息期间代理经理职责处理物业各项工作。</w:t>
            </w:r>
          </w:p>
        </w:tc>
        <w:tc>
          <w:tcPr>
            <w:tcW w:w="1774" w:type="dxa"/>
            <w:vMerge w:val="continue"/>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3</w:t>
            </w:r>
          </w:p>
        </w:tc>
        <w:tc>
          <w:tcPr>
            <w:tcW w:w="732" w:type="dxa"/>
            <w:vMerge w:val="continue"/>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tc>
        <w:tc>
          <w:tcPr>
            <w:tcW w:w="1130" w:type="dxa"/>
            <w:vMerge w:val="restart"/>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文员</w:t>
            </w:r>
          </w:p>
        </w:tc>
        <w:tc>
          <w:tcPr>
            <w:tcW w:w="539" w:type="dxa"/>
            <w:vMerge w:val="restart"/>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2</w:t>
            </w:r>
          </w:p>
        </w:tc>
        <w:tc>
          <w:tcPr>
            <w:tcW w:w="4609" w:type="dxa"/>
            <w:vMerge w:val="restart"/>
            <w:vAlign w:val="center"/>
          </w:tcPr>
          <w:p>
            <w:pPr>
              <w:tabs>
                <w:tab w:val="left" w:pos="417"/>
              </w:tabs>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负责物业公司文字材料和行政工作，负责业主各项迎检材料准备等工作。</w:t>
            </w:r>
          </w:p>
        </w:tc>
        <w:tc>
          <w:tcPr>
            <w:tcW w:w="1774" w:type="dxa"/>
            <w:vMerge w:val="continue"/>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4</w:t>
            </w:r>
          </w:p>
        </w:tc>
        <w:tc>
          <w:tcPr>
            <w:tcW w:w="732" w:type="dxa"/>
            <w:vMerge w:val="continue"/>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tc>
        <w:tc>
          <w:tcPr>
            <w:tcW w:w="1130" w:type="dxa"/>
            <w:vMerge w:val="continue"/>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tc>
        <w:tc>
          <w:tcPr>
            <w:tcW w:w="539" w:type="dxa"/>
            <w:vMerge w:val="continue"/>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tc>
        <w:tc>
          <w:tcPr>
            <w:tcW w:w="4609" w:type="dxa"/>
            <w:vMerge w:val="continue"/>
            <w:vAlign w:val="center"/>
          </w:tcPr>
          <w:p>
            <w:pPr>
              <w:jc w:val="left"/>
              <w:rPr>
                <w:rFonts w:ascii="宋体" w:hAnsi="宋体" w:cs="宋体"/>
                <w:bCs/>
                <w:color w:val="000000" w:themeColor="text1"/>
                <w:kern w:val="0"/>
                <w:sz w:val="20"/>
                <w:szCs w:val="21"/>
                <w:highlight w:val="none"/>
                <w14:textFill>
                  <w14:solidFill>
                    <w14:schemeClr w14:val="tx1"/>
                  </w14:solidFill>
                </w14:textFill>
              </w:rPr>
            </w:pPr>
          </w:p>
        </w:tc>
        <w:tc>
          <w:tcPr>
            <w:tcW w:w="1774" w:type="dxa"/>
            <w:vMerge w:val="continue"/>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5</w:t>
            </w:r>
          </w:p>
        </w:tc>
        <w:tc>
          <w:tcPr>
            <w:tcW w:w="732" w:type="dxa"/>
            <w:vMerge w:val="restart"/>
            <w:vAlign w:val="center"/>
          </w:tcPr>
          <w:p>
            <w:pPr>
              <w:pStyle w:val="2"/>
              <w:ind w:firstLine="400"/>
              <w:jc w:val="center"/>
              <w:rPr>
                <w:rFonts w:hAnsi="宋体" w:cs="宋体"/>
                <w:b w:val="0"/>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p>
          <w:p>
            <w:pPr>
              <w:pStyle w:val="2"/>
              <w:ind w:firstLine="400"/>
              <w:jc w:val="center"/>
              <w:rPr>
                <w:rFonts w:hAnsi="宋体" w:cs="宋体"/>
                <w:b w:val="0"/>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p>
          <w:p>
            <w:pPr>
              <w:pStyle w:val="2"/>
              <w:ind w:firstLine="400"/>
              <w:jc w:val="center"/>
              <w:rPr>
                <w:rFonts w:hAnsi="宋体" w:cs="宋体"/>
                <w:b w:val="0"/>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p>
          <w:p>
            <w:pPr>
              <w:pStyle w:val="2"/>
              <w:ind w:firstLine="400"/>
              <w:jc w:val="center"/>
              <w:rPr>
                <w:rFonts w:hAnsi="宋体" w:cs="宋体"/>
                <w:b w:val="0"/>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p>
          <w:p>
            <w:pPr>
              <w:pStyle w:val="2"/>
              <w:ind w:firstLine="400"/>
              <w:jc w:val="center"/>
              <w:rPr>
                <w:rFonts w:hAnsi="宋体" w:cs="宋体"/>
                <w:b w:val="0"/>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p>
          <w:p>
            <w:pPr>
              <w:pStyle w:val="2"/>
              <w:ind w:firstLine="400"/>
              <w:jc w:val="center"/>
              <w:rPr>
                <w:rFonts w:hAnsi="宋体" w:cs="宋体"/>
                <w:b w:val="0"/>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p>
          <w:p>
            <w:pPr>
              <w:pStyle w:val="2"/>
              <w:ind w:firstLine="0" w:firstLineChars="0"/>
              <w:jc w:val="center"/>
              <w:rPr>
                <w:rFonts w:hAnsi="宋体" w:cs="宋体"/>
                <w:b w:val="0"/>
                <w:bCs/>
                <w:color w:val="000000" w:themeColor="text1"/>
                <w:kern w:val="0"/>
                <w:sz w:val="20"/>
                <w:szCs w:val="21"/>
                <w:highlight w:val="none"/>
                <w14:textFill>
                  <w14:solidFill>
                    <w14:schemeClr w14:val="tx1"/>
                  </w14:solidFill>
                </w14:textFill>
              </w:rPr>
            </w:pPr>
          </w:p>
          <w:p>
            <w:pPr>
              <w:pStyle w:val="2"/>
              <w:ind w:firstLine="0" w:firstLineChars="0"/>
              <w:jc w:val="center"/>
              <w:rPr>
                <w:rFonts w:hAnsi="宋体" w:cs="宋体"/>
                <w:b w:val="0"/>
                <w:bCs/>
                <w:color w:val="000000" w:themeColor="text1"/>
                <w:kern w:val="0"/>
                <w:sz w:val="20"/>
                <w:szCs w:val="21"/>
                <w:highlight w:val="none"/>
                <w14:textFill>
                  <w14:solidFill>
                    <w14:schemeClr w14:val="tx1"/>
                  </w14:solidFill>
                </w14:textFill>
              </w:rPr>
            </w:pPr>
          </w:p>
          <w:p>
            <w:pPr>
              <w:pStyle w:val="2"/>
              <w:ind w:firstLine="0" w:firstLineChars="0"/>
              <w:jc w:val="center"/>
              <w:rPr>
                <w:rFonts w:hAnsi="宋体" w:cs="宋体"/>
                <w:b w:val="0"/>
                <w:bCs/>
                <w:color w:val="000000" w:themeColor="text1"/>
                <w:kern w:val="0"/>
                <w:sz w:val="20"/>
                <w:szCs w:val="21"/>
                <w:highlight w:val="none"/>
                <w14:textFill>
                  <w14:solidFill>
                    <w14:schemeClr w14:val="tx1"/>
                  </w14:solidFill>
                </w14:textFill>
              </w:rPr>
            </w:pPr>
          </w:p>
          <w:p>
            <w:pPr>
              <w:pStyle w:val="2"/>
              <w:ind w:firstLine="0" w:firstLineChars="0"/>
              <w:jc w:val="center"/>
              <w:rPr>
                <w:rFonts w:hAnsi="宋体" w:cs="宋体"/>
                <w:b w:val="0"/>
                <w:bCs/>
                <w:color w:val="000000" w:themeColor="text1"/>
                <w:kern w:val="0"/>
                <w:sz w:val="20"/>
                <w:szCs w:val="21"/>
                <w:highlight w:val="none"/>
                <w14:textFill>
                  <w14:solidFill>
                    <w14:schemeClr w14:val="tx1"/>
                  </w14:solidFill>
                </w14:textFill>
              </w:rPr>
            </w:pPr>
          </w:p>
          <w:p>
            <w:pPr>
              <w:pStyle w:val="2"/>
              <w:ind w:firstLine="0" w:firstLineChars="0"/>
              <w:jc w:val="center"/>
              <w:rPr>
                <w:rFonts w:hAnsi="宋体" w:cs="宋体"/>
                <w:b w:val="0"/>
                <w:bCs/>
                <w:color w:val="000000" w:themeColor="text1"/>
                <w:kern w:val="0"/>
                <w:sz w:val="20"/>
                <w:szCs w:val="21"/>
                <w:highlight w:val="none"/>
                <w14:textFill>
                  <w14:solidFill>
                    <w14:schemeClr w14:val="tx1"/>
                  </w14:solidFill>
                </w14:textFill>
              </w:rPr>
            </w:pPr>
          </w:p>
          <w:p>
            <w:pPr>
              <w:pStyle w:val="2"/>
              <w:ind w:firstLine="0" w:firstLineChars="0"/>
              <w:jc w:val="center"/>
              <w:rPr>
                <w:rFonts w:hAnsi="宋体" w:cs="宋体"/>
                <w:b w:val="0"/>
                <w:bCs/>
                <w:color w:val="000000" w:themeColor="text1"/>
                <w:kern w:val="0"/>
                <w:sz w:val="20"/>
                <w:szCs w:val="21"/>
                <w:highlight w:val="none"/>
                <w14:textFill>
                  <w14:solidFill>
                    <w14:schemeClr w14:val="tx1"/>
                  </w14:solidFill>
                </w14:textFill>
              </w:rPr>
            </w:pPr>
          </w:p>
          <w:p>
            <w:pPr>
              <w:pStyle w:val="2"/>
              <w:ind w:firstLine="0" w:firstLineChars="0"/>
              <w:jc w:val="center"/>
              <w:rPr>
                <w:rFonts w:hAnsi="宋体" w:cs="宋体"/>
                <w:b w:val="0"/>
                <w:bCs/>
                <w:color w:val="000000" w:themeColor="text1"/>
                <w:kern w:val="0"/>
                <w:sz w:val="20"/>
                <w:szCs w:val="21"/>
                <w:highlight w:val="none"/>
                <w14:textFill>
                  <w14:solidFill>
                    <w14:schemeClr w14:val="tx1"/>
                  </w14:solidFill>
                </w14:textFill>
              </w:rPr>
            </w:pPr>
          </w:p>
          <w:p>
            <w:pPr>
              <w:pStyle w:val="2"/>
              <w:ind w:firstLine="0" w:firstLineChars="0"/>
              <w:jc w:val="center"/>
              <w:rPr>
                <w:rFonts w:hAnsi="宋体" w:cs="宋体"/>
                <w:b w:val="0"/>
                <w:bCs/>
                <w:color w:val="000000" w:themeColor="text1"/>
                <w:kern w:val="0"/>
                <w:sz w:val="20"/>
                <w:szCs w:val="21"/>
                <w:highlight w:val="none"/>
                <w14:textFill>
                  <w14:solidFill>
                    <w14:schemeClr w14:val="tx1"/>
                  </w14:solidFill>
                </w14:textFill>
              </w:rPr>
            </w:pPr>
          </w:p>
          <w:p>
            <w:pPr>
              <w:pStyle w:val="2"/>
              <w:ind w:firstLine="0" w:firstLineChars="0"/>
              <w:jc w:val="center"/>
              <w:rPr>
                <w:rFonts w:hAnsi="宋体" w:cs="宋体"/>
                <w:b w:val="0"/>
                <w:bCs/>
                <w:color w:val="000000" w:themeColor="text1"/>
                <w:kern w:val="0"/>
                <w:sz w:val="20"/>
                <w:szCs w:val="21"/>
                <w:highlight w:val="none"/>
                <w14:textFill>
                  <w14:solidFill>
                    <w14:schemeClr w14:val="tx1"/>
                  </w14:solidFill>
                </w14:textFill>
              </w:rPr>
            </w:pPr>
          </w:p>
          <w:p>
            <w:pPr>
              <w:pStyle w:val="2"/>
              <w:ind w:firstLine="0" w:firstLineChars="0"/>
              <w:jc w:val="center"/>
              <w:rPr>
                <w:rFonts w:hAnsi="宋体" w:cs="宋体"/>
                <w:b w:val="0"/>
                <w:bCs/>
                <w:color w:val="000000" w:themeColor="text1"/>
                <w:kern w:val="0"/>
                <w:sz w:val="20"/>
                <w:szCs w:val="21"/>
                <w:highlight w:val="none"/>
                <w14:textFill>
                  <w14:solidFill>
                    <w14:schemeClr w14:val="tx1"/>
                  </w14:solidFill>
                </w14:textFill>
              </w:rPr>
            </w:pPr>
            <w:r>
              <w:rPr>
                <w:rFonts w:hint="eastAsia" w:hAnsi="宋体" w:cs="宋体"/>
                <w:b w:val="0"/>
                <w:bCs/>
                <w:color w:val="000000" w:themeColor="text1"/>
                <w:kern w:val="0"/>
                <w:sz w:val="20"/>
                <w:szCs w:val="21"/>
                <w:highlight w:val="none"/>
                <w14:textFill>
                  <w14:solidFill>
                    <w14:schemeClr w14:val="tx1"/>
                  </w14:solidFill>
                </w14:textFill>
              </w:rPr>
              <w:t>秩</w:t>
            </w:r>
          </w:p>
          <w:p>
            <w:pPr>
              <w:pStyle w:val="2"/>
              <w:ind w:firstLine="0" w:firstLineChars="0"/>
              <w:jc w:val="center"/>
              <w:rPr>
                <w:rFonts w:hAnsi="宋体" w:cs="宋体"/>
                <w:b w:val="0"/>
                <w:bCs/>
                <w:color w:val="000000" w:themeColor="text1"/>
                <w:kern w:val="0"/>
                <w:sz w:val="20"/>
                <w:szCs w:val="21"/>
                <w:highlight w:val="none"/>
                <w14:textFill>
                  <w14:solidFill>
                    <w14:schemeClr w14:val="tx1"/>
                  </w14:solidFill>
                </w14:textFill>
              </w:rPr>
            </w:pPr>
            <w:r>
              <w:rPr>
                <w:rFonts w:hint="eastAsia" w:hAnsi="宋体" w:cs="宋体"/>
                <w:b w:val="0"/>
                <w:bCs/>
                <w:color w:val="000000" w:themeColor="text1"/>
                <w:kern w:val="0"/>
                <w:sz w:val="20"/>
                <w:szCs w:val="21"/>
                <w:highlight w:val="none"/>
                <w14:textFill>
                  <w14:solidFill>
                    <w14:schemeClr w14:val="tx1"/>
                  </w14:solidFill>
                </w14:textFill>
              </w:rPr>
              <w:t>序</w:t>
            </w:r>
          </w:p>
          <w:p>
            <w:pPr>
              <w:jc w:val="center"/>
              <w:rPr>
                <w:rFonts w:hAnsi="宋体" w:cs="宋体"/>
                <w:bCs/>
                <w:color w:val="000000" w:themeColor="text1"/>
                <w:kern w:val="0"/>
                <w:sz w:val="20"/>
                <w:szCs w:val="21"/>
                <w:highlight w:val="none"/>
                <w14:textFill>
                  <w14:solidFill>
                    <w14:schemeClr w14:val="tx1"/>
                  </w14:solidFill>
                </w14:textFill>
              </w:rPr>
            </w:pPr>
            <w:r>
              <w:rPr>
                <w:rFonts w:hint="eastAsia" w:hAnsi="宋体" w:cs="宋体"/>
                <w:bCs/>
                <w:color w:val="000000" w:themeColor="text1"/>
                <w:kern w:val="0"/>
                <w:sz w:val="20"/>
                <w:szCs w:val="21"/>
                <w:highlight w:val="none"/>
                <w14:textFill>
                  <w14:solidFill>
                    <w14:schemeClr w14:val="tx1"/>
                  </w14:solidFill>
                </w14:textFill>
              </w:rPr>
              <w:t>安</w:t>
            </w:r>
          </w:p>
          <w:p>
            <w:pPr>
              <w:jc w:val="center"/>
              <w:rPr>
                <w:color w:val="000000" w:themeColor="text1"/>
                <w:kern w:val="0"/>
                <w:sz w:val="20"/>
                <w:highlight w:val="none"/>
                <w14:textFill>
                  <w14:solidFill>
                    <w14:schemeClr w14:val="tx1"/>
                  </w14:solidFill>
                </w14:textFill>
              </w:rPr>
            </w:pPr>
            <w:r>
              <w:rPr>
                <w:rFonts w:hint="eastAsia" w:hAnsi="宋体" w:cs="宋体"/>
                <w:bCs/>
                <w:color w:val="000000" w:themeColor="text1"/>
                <w:kern w:val="0"/>
                <w:sz w:val="20"/>
                <w:szCs w:val="21"/>
                <w:highlight w:val="none"/>
                <w14:textFill>
                  <w14:solidFill>
                    <w14:schemeClr w14:val="tx1"/>
                  </w14:solidFill>
                </w14:textFill>
              </w:rPr>
              <w:t>保</w:t>
            </w:r>
          </w:p>
          <w:p>
            <w:pPr>
              <w:pStyle w:val="2"/>
              <w:ind w:firstLine="0" w:firstLineChars="0"/>
              <w:jc w:val="center"/>
              <w:rPr>
                <w:rFonts w:hAnsi="宋体" w:cs="宋体"/>
                <w:b w:val="0"/>
                <w:bCs/>
                <w:color w:val="000000" w:themeColor="text1"/>
                <w:kern w:val="0"/>
                <w:sz w:val="20"/>
                <w:szCs w:val="21"/>
                <w:highlight w:val="none"/>
                <w14:textFill>
                  <w14:solidFill>
                    <w14:schemeClr w14:val="tx1"/>
                  </w14:solidFill>
                </w14:textFill>
              </w:rPr>
            </w:pPr>
            <w:r>
              <w:rPr>
                <w:rFonts w:hint="eastAsia" w:hAnsi="宋体" w:cs="宋体"/>
                <w:b w:val="0"/>
                <w:bCs/>
                <w:color w:val="000000" w:themeColor="text1"/>
                <w:kern w:val="0"/>
                <w:sz w:val="20"/>
                <w:szCs w:val="21"/>
                <w:highlight w:val="none"/>
                <w14:textFill>
                  <w14:solidFill>
                    <w14:schemeClr w14:val="tx1"/>
                  </w14:solidFill>
                </w14:textFill>
              </w:rPr>
              <w:t>部</w:t>
            </w:r>
          </w:p>
          <w:p>
            <w:pPr>
              <w:jc w:val="center"/>
              <w:rPr>
                <w:rFonts w:ascii="宋体" w:hAnsi="宋体" w:cs="宋体"/>
                <w:bCs/>
                <w:color w:val="000000" w:themeColor="text1"/>
                <w:kern w:val="0"/>
                <w:sz w:val="20"/>
                <w:szCs w:val="21"/>
                <w:highlight w:val="none"/>
                <w14:textFill>
                  <w14:solidFill>
                    <w14:schemeClr w14:val="tx1"/>
                  </w14:solidFill>
                </w14:textFill>
              </w:rPr>
            </w:pPr>
          </w:p>
          <w:p>
            <w:pPr>
              <w:pStyle w:val="2"/>
              <w:ind w:firstLine="400"/>
              <w:jc w:val="center"/>
              <w:rPr>
                <w:rFonts w:hAnsi="宋体" w:cs="宋体"/>
                <w:b w:val="0"/>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p>
          <w:p>
            <w:pPr>
              <w:pStyle w:val="2"/>
              <w:ind w:firstLine="400"/>
              <w:jc w:val="center"/>
              <w:rPr>
                <w:rFonts w:hAnsi="宋体" w:cs="宋体"/>
                <w:b w:val="0"/>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p>
          <w:p>
            <w:pPr>
              <w:pStyle w:val="2"/>
              <w:ind w:firstLine="400"/>
              <w:jc w:val="center"/>
              <w:rPr>
                <w:rFonts w:hAnsi="宋体" w:cs="宋体"/>
                <w:b w:val="0"/>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p>
          <w:p>
            <w:pPr>
              <w:pStyle w:val="2"/>
              <w:ind w:firstLine="400"/>
              <w:jc w:val="center"/>
              <w:rPr>
                <w:rFonts w:hAnsi="宋体" w:cs="宋体"/>
                <w:b w:val="0"/>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p>
          <w:p>
            <w:pPr>
              <w:pStyle w:val="2"/>
              <w:ind w:firstLine="400"/>
              <w:jc w:val="center"/>
              <w:rPr>
                <w:rFonts w:hAnsi="宋体" w:cs="宋体"/>
                <w:b w:val="0"/>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p>
          <w:p>
            <w:pPr>
              <w:pStyle w:val="2"/>
              <w:ind w:firstLine="400"/>
              <w:jc w:val="center"/>
              <w:rPr>
                <w:rFonts w:hAnsi="宋体" w:cs="宋体"/>
                <w:b w:val="0"/>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p>
          <w:p>
            <w:pPr>
              <w:pStyle w:val="2"/>
              <w:ind w:firstLine="0" w:firstLineChars="0"/>
              <w:jc w:val="center"/>
              <w:rPr>
                <w:rFonts w:hAnsi="宋体" w:cs="宋体"/>
                <w:b w:val="0"/>
                <w:bCs/>
                <w:color w:val="000000" w:themeColor="text1"/>
                <w:kern w:val="0"/>
                <w:sz w:val="20"/>
                <w:szCs w:val="21"/>
                <w:highlight w:val="none"/>
                <w14:textFill>
                  <w14:solidFill>
                    <w14:schemeClr w14:val="tx1"/>
                  </w14:solidFill>
                </w14:textFill>
              </w:rPr>
            </w:pPr>
          </w:p>
          <w:p>
            <w:pPr>
              <w:pStyle w:val="2"/>
              <w:ind w:firstLine="0" w:firstLineChars="0"/>
              <w:jc w:val="center"/>
              <w:rPr>
                <w:rFonts w:hAnsi="宋体" w:cs="宋体"/>
                <w:b w:val="0"/>
                <w:bCs/>
                <w:color w:val="000000" w:themeColor="text1"/>
                <w:kern w:val="0"/>
                <w:sz w:val="20"/>
                <w:szCs w:val="21"/>
                <w:highlight w:val="none"/>
                <w14:textFill>
                  <w14:solidFill>
                    <w14:schemeClr w14:val="tx1"/>
                  </w14:solidFill>
                </w14:textFill>
              </w:rPr>
            </w:pPr>
          </w:p>
        </w:tc>
        <w:tc>
          <w:tcPr>
            <w:tcW w:w="1130"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秩序部</w:t>
            </w: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安保主管</w:t>
            </w:r>
          </w:p>
        </w:tc>
        <w:tc>
          <w:tcPr>
            <w:tcW w:w="539"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w:t>
            </w:r>
          </w:p>
        </w:tc>
        <w:tc>
          <w:tcPr>
            <w:tcW w:w="4609"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负责秩序部管理、协调岗位、车辆管理等，处理馆内突发事件，做好游客解释、纠纷调节、劝导等工作，协调秩序部员工完成业主各类展览、活动、比赛等全程安保工作。</w:t>
            </w:r>
          </w:p>
        </w:tc>
        <w:tc>
          <w:tcPr>
            <w:tcW w:w="1774"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8：30-12：00</w:t>
            </w:r>
          </w:p>
          <w:p>
            <w:pPr>
              <w:pStyle w:val="2"/>
              <w:ind w:firstLine="0" w:firstLineChars="0"/>
              <w:jc w:val="center"/>
              <w:rPr>
                <w:rFonts w:hAnsi="宋体" w:cs="宋体"/>
                <w:b w:val="0"/>
                <w:bCs/>
                <w:color w:val="000000" w:themeColor="text1"/>
                <w:kern w:val="0"/>
                <w:sz w:val="20"/>
                <w:szCs w:val="21"/>
                <w:highlight w:val="none"/>
                <w14:textFill>
                  <w14:solidFill>
                    <w14:schemeClr w14:val="tx1"/>
                  </w14:solidFill>
                </w14:textFill>
              </w:rPr>
            </w:pPr>
            <w:r>
              <w:rPr>
                <w:rFonts w:hint="eastAsia" w:hAnsi="宋体" w:cs="宋体"/>
                <w:b w:val="0"/>
                <w:bCs/>
                <w:color w:val="000000" w:themeColor="text1"/>
                <w:kern w:val="0"/>
                <w:sz w:val="20"/>
                <w:szCs w:val="21"/>
                <w:highlight w:val="none"/>
                <w14:textFill>
                  <w14:solidFill>
                    <w14:schemeClr w14:val="tx1"/>
                  </w14:solidFill>
                </w14:textFill>
              </w:rPr>
              <w:t>14：00-18：30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6</w:t>
            </w:r>
          </w:p>
        </w:tc>
        <w:tc>
          <w:tcPr>
            <w:tcW w:w="732" w:type="dxa"/>
            <w:vMerge w:val="continue"/>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tc>
        <w:tc>
          <w:tcPr>
            <w:tcW w:w="1130"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秩序部</w:t>
            </w: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安保班长</w:t>
            </w:r>
          </w:p>
        </w:tc>
        <w:tc>
          <w:tcPr>
            <w:tcW w:w="539"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3</w:t>
            </w:r>
          </w:p>
        </w:tc>
        <w:tc>
          <w:tcPr>
            <w:tcW w:w="4609"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负责管理本班人员，协调各岗位工作、顶岗、巡逻、监督各岗位人员工作，处理本班时间段各项突发事件。主管休息期间代理主管职责，处理秩序部工作。</w:t>
            </w:r>
          </w:p>
        </w:tc>
        <w:tc>
          <w:tcPr>
            <w:tcW w:w="1774"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全天3班，24小时值班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7</w:t>
            </w:r>
          </w:p>
        </w:tc>
        <w:tc>
          <w:tcPr>
            <w:tcW w:w="732" w:type="dxa"/>
            <w:vMerge w:val="continue"/>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tc>
        <w:tc>
          <w:tcPr>
            <w:tcW w:w="1130"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安检员</w:t>
            </w:r>
          </w:p>
        </w:tc>
        <w:tc>
          <w:tcPr>
            <w:tcW w:w="539"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6</w:t>
            </w:r>
          </w:p>
        </w:tc>
        <w:tc>
          <w:tcPr>
            <w:tcW w:w="4609"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其中：1.安检机值班员1人：负责通过X光射线仪检查观众随身箱包物品的，对疑是违禁物品，进行排查、询问、处置等；2主入口形象岗2人：负责维持主入口、序厅、安检口、检票口、服务中心、影院检等秩序，在进场高峰期需兼顾预约信息核查及安检引导工作，第一时间处置以上区域发生的突发事件；3.安检引导员1人：负责用手持探测器对游客进行安全检查，对存在安全隐患的情况，进行处置。4.预约信息核查员2人：负责向游客解释预约规则和核查游客预约信息，劝离未预约游客，维持游客排队秩序等。</w:t>
            </w:r>
          </w:p>
        </w:tc>
        <w:tc>
          <w:tcPr>
            <w:tcW w:w="1774"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9：00-17:00周一休息，国家法定节假日除外。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8</w:t>
            </w:r>
          </w:p>
        </w:tc>
        <w:tc>
          <w:tcPr>
            <w:tcW w:w="732" w:type="dxa"/>
            <w:vMerge w:val="continue"/>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tc>
        <w:tc>
          <w:tcPr>
            <w:tcW w:w="1130"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办公楼</w:t>
            </w: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培训部</w:t>
            </w: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入口</w:t>
            </w:r>
          </w:p>
        </w:tc>
        <w:tc>
          <w:tcPr>
            <w:tcW w:w="539"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5</w:t>
            </w:r>
          </w:p>
        </w:tc>
        <w:tc>
          <w:tcPr>
            <w:tcW w:w="4609"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负责对进出人员进行身份识别，对非工作人员和培训学员劝离。对来馆办事、拜访、志愿者等人员需联系到相关人员经过确认，登记放行，对出入馆的物品进行排查、严格按照物品放行清单放心物品。</w:t>
            </w:r>
          </w:p>
        </w:tc>
        <w:tc>
          <w:tcPr>
            <w:tcW w:w="1774"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7:30-22:30，办公楼、培训部入口每班1人，共两班，其中7:30—18:30为形象岗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9</w:t>
            </w:r>
          </w:p>
        </w:tc>
        <w:tc>
          <w:tcPr>
            <w:tcW w:w="732" w:type="dxa"/>
            <w:vMerge w:val="continue"/>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tc>
        <w:tc>
          <w:tcPr>
            <w:tcW w:w="1130"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停车场</w:t>
            </w: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出入口</w:t>
            </w: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（3个）</w:t>
            </w:r>
          </w:p>
        </w:tc>
        <w:tc>
          <w:tcPr>
            <w:tcW w:w="539"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11</w:t>
            </w:r>
          </w:p>
        </w:tc>
        <w:tc>
          <w:tcPr>
            <w:tcW w:w="4609"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负责车辆排队秩序维护、车辆出入引导、放行、收费、交接所收现金、报表汇总等均在值班记录表中记录并交接双方签字确认等工作。</w:t>
            </w:r>
          </w:p>
        </w:tc>
        <w:tc>
          <w:tcPr>
            <w:tcW w:w="1774"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全天3班，24小时值班，广场入口、出口及馆西侧出入口，每班1人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10</w:t>
            </w:r>
          </w:p>
        </w:tc>
        <w:tc>
          <w:tcPr>
            <w:tcW w:w="732" w:type="dxa"/>
            <w:vMerge w:val="continue"/>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tc>
        <w:tc>
          <w:tcPr>
            <w:tcW w:w="1130"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消防</w:t>
            </w: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监控员</w:t>
            </w:r>
          </w:p>
        </w:tc>
        <w:tc>
          <w:tcPr>
            <w:tcW w:w="539"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7</w:t>
            </w:r>
          </w:p>
        </w:tc>
        <w:tc>
          <w:tcPr>
            <w:tcW w:w="4609"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须持（《消防设施操作员证》或《建（构）筑消防员证》；</w:t>
            </w:r>
          </w:p>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（1）全面负责全馆消防控制室、监控中心的工作,保持高度警惕,密切注视单位范围布控点的情况,发现问题即刻汇报，并到现场处置；</w:t>
            </w:r>
          </w:p>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（2）监视单位的安全情况,熟练操作消防主机和监控台,第一时间处置，并及时报告当班班长；</w:t>
            </w:r>
          </w:p>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（3）保持录像资料的完整及秘密，监控情况严禁外泄,不得向外人提供单位监控布局,消防设备等方面的资料；</w:t>
            </w:r>
          </w:p>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（4）认真填写相关值班记录,严格执行交接班制度,接班人员未上岗前,不准离岗,做到交接清楚、责任明确；</w:t>
            </w:r>
          </w:p>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（5）熟悉消防器材的使用，出现火情第一时间处置。</w:t>
            </w:r>
          </w:p>
        </w:tc>
        <w:tc>
          <w:tcPr>
            <w:tcW w:w="1774"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全天3班，24小时值班，每班2人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11</w:t>
            </w:r>
          </w:p>
        </w:tc>
        <w:tc>
          <w:tcPr>
            <w:tcW w:w="732" w:type="dxa"/>
            <w:vMerge w:val="continue"/>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tc>
        <w:tc>
          <w:tcPr>
            <w:tcW w:w="1130"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地下车库车辆</w:t>
            </w: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管理员</w:t>
            </w:r>
          </w:p>
        </w:tc>
        <w:tc>
          <w:tcPr>
            <w:tcW w:w="539"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7</w:t>
            </w:r>
          </w:p>
        </w:tc>
        <w:tc>
          <w:tcPr>
            <w:tcW w:w="4609"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升降车库管理员须经过专业的培训，持证上岗。</w:t>
            </w:r>
          </w:p>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工作职责：巡查立体车库情况，如发现安全隐患及时处理并报维保公司处理。引导车辆安全、有序行驶和停放。巡查车辆停放情况及车辆的车况，遇有门未锁、灯未关、漏油、漏水等现象发生时，10分钟内通知车主。</w:t>
            </w:r>
          </w:p>
        </w:tc>
        <w:tc>
          <w:tcPr>
            <w:tcW w:w="1774"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全天3班24小时值守。（岗位设在地下停车场东西两侧）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12</w:t>
            </w:r>
          </w:p>
        </w:tc>
        <w:tc>
          <w:tcPr>
            <w:tcW w:w="732" w:type="dxa"/>
            <w:vMerge w:val="continue"/>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tc>
        <w:tc>
          <w:tcPr>
            <w:tcW w:w="1130"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广场</w:t>
            </w: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安保员</w:t>
            </w:r>
          </w:p>
        </w:tc>
        <w:tc>
          <w:tcPr>
            <w:tcW w:w="539"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7</w:t>
            </w:r>
          </w:p>
        </w:tc>
        <w:tc>
          <w:tcPr>
            <w:tcW w:w="4609"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负责发票亭、广场安保，广场观众秩序维护、广场停车引导、提醒司机安全驾驶等，提醒广场观众注意来往车辆，发现广场车辆未关门、关窗等情况，及时联系车主关门、关窗等。在各类展览、活动、比赛时完成主管交办工作任务。</w:t>
            </w:r>
          </w:p>
        </w:tc>
        <w:tc>
          <w:tcPr>
            <w:tcW w:w="1774"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全天3班，24小时值班及巡逻，每班2人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426"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13</w:t>
            </w:r>
          </w:p>
        </w:tc>
        <w:tc>
          <w:tcPr>
            <w:tcW w:w="732" w:type="dxa"/>
            <w:vMerge w:val="continue"/>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tc>
        <w:tc>
          <w:tcPr>
            <w:tcW w:w="1130"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巡逻</w:t>
            </w: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安保员</w:t>
            </w:r>
          </w:p>
        </w:tc>
        <w:tc>
          <w:tcPr>
            <w:tcW w:w="539"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7</w:t>
            </w:r>
          </w:p>
        </w:tc>
        <w:tc>
          <w:tcPr>
            <w:tcW w:w="4609"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主楼、周边、地下停车场定时与不定时巡逻，每2小时不少于1次，巡逻记录登记造册。</w:t>
            </w:r>
          </w:p>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巡查消防设备、设施和其它公共设施是否完好。（2）巡查车场(库)：车辆有无漏油人为损坏及异常现象相关设备、设施是否完好。（3）楼宇外墙、楼层门窗等是否完好。（4）公共场所秩序是否良好，发现可疑人员和可疑物品应上前询问、检查。（5）巡查馆内、广场施工区域是否存在安全隐患。（6）巡查其他可能存在安全隐患的地方。（7）对发现的问题记录于《巡逻记录表》，能解决的问题当即处理，不能解决的应及时上报。在各类展览、活动、比赛时完成主管交办工作任务。</w:t>
            </w:r>
          </w:p>
        </w:tc>
        <w:tc>
          <w:tcPr>
            <w:tcW w:w="1774"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全天3班，24小时值班及巡逻，每班2人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14</w:t>
            </w:r>
          </w:p>
        </w:tc>
        <w:tc>
          <w:tcPr>
            <w:tcW w:w="732" w:type="dxa"/>
            <w:vMerge w:val="continue"/>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tc>
        <w:tc>
          <w:tcPr>
            <w:tcW w:w="1130"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非机动车出入口</w:t>
            </w: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安保员</w:t>
            </w:r>
          </w:p>
        </w:tc>
        <w:tc>
          <w:tcPr>
            <w:tcW w:w="539"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w:t>
            </w:r>
          </w:p>
        </w:tc>
        <w:tc>
          <w:tcPr>
            <w:tcW w:w="4609"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负责引导非机动车整齐、有序停放、收费、巡查电动车是否存在安全隐患等。</w:t>
            </w:r>
          </w:p>
        </w:tc>
        <w:tc>
          <w:tcPr>
            <w:tcW w:w="1774"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9:15—17:15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15</w:t>
            </w:r>
          </w:p>
        </w:tc>
        <w:tc>
          <w:tcPr>
            <w:tcW w:w="732" w:type="dxa"/>
            <w:vMerge w:val="continue"/>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tc>
        <w:tc>
          <w:tcPr>
            <w:tcW w:w="1130"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扶梯安全值守员</w:t>
            </w:r>
          </w:p>
        </w:tc>
        <w:tc>
          <w:tcPr>
            <w:tcW w:w="539"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3</w:t>
            </w:r>
          </w:p>
        </w:tc>
        <w:tc>
          <w:tcPr>
            <w:tcW w:w="4609"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劝阻游客错误乘梯行为，宣传安全乘梯知识，发生意外情况及时停梯、施救等。</w:t>
            </w:r>
          </w:p>
        </w:tc>
        <w:tc>
          <w:tcPr>
            <w:tcW w:w="1774"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9:00—17:00，</w:t>
            </w: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周一休息，国家法定节假日除外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16</w:t>
            </w:r>
          </w:p>
        </w:tc>
        <w:tc>
          <w:tcPr>
            <w:tcW w:w="732" w:type="dxa"/>
            <w:vMerge w:val="restart"/>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工</w:t>
            </w: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程</w:t>
            </w: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部</w:t>
            </w:r>
          </w:p>
          <w:p>
            <w:pPr>
              <w:jc w:val="center"/>
              <w:rPr>
                <w:rFonts w:ascii="宋体" w:hAnsi="宋体" w:cs="宋体"/>
                <w:bCs/>
                <w:color w:val="000000" w:themeColor="text1"/>
                <w:kern w:val="0"/>
                <w:sz w:val="20"/>
                <w:szCs w:val="21"/>
                <w:highlight w:val="none"/>
                <w14:textFill>
                  <w14:solidFill>
                    <w14:schemeClr w14:val="tx1"/>
                  </w14:solidFill>
                </w14:textFill>
              </w:rPr>
            </w:pPr>
          </w:p>
        </w:tc>
        <w:tc>
          <w:tcPr>
            <w:tcW w:w="1130"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工程</w:t>
            </w: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主管</w:t>
            </w:r>
          </w:p>
        </w:tc>
        <w:tc>
          <w:tcPr>
            <w:tcW w:w="539"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w:t>
            </w:r>
          </w:p>
        </w:tc>
        <w:tc>
          <w:tcPr>
            <w:tcW w:w="4609"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全面负责馆内用电安全管理、馆管辖范围设备维护保养、维修、管理，配电房、线路、照明等维护。协助业主对接设备维保公司等工作，确保设备、线路、照明等正常运行，统筹管理工程部人员，完成业主各类展览、活动、比赛等全程的用电和用电安全管理工作。</w:t>
            </w:r>
          </w:p>
        </w:tc>
        <w:tc>
          <w:tcPr>
            <w:tcW w:w="1774"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8：30-12：00</w:t>
            </w:r>
          </w:p>
          <w:p>
            <w:pPr>
              <w:pStyle w:val="2"/>
              <w:ind w:firstLineChars="100"/>
              <w:jc w:val="left"/>
              <w:rPr>
                <w:rFonts w:hAnsi="宋体" w:cs="宋体"/>
                <w:b w:val="0"/>
                <w:bCs/>
                <w:color w:val="000000" w:themeColor="text1"/>
                <w:kern w:val="0"/>
                <w:sz w:val="20"/>
                <w:szCs w:val="21"/>
                <w:highlight w:val="none"/>
                <w14:textFill>
                  <w14:solidFill>
                    <w14:schemeClr w14:val="tx1"/>
                  </w14:solidFill>
                </w14:textFill>
              </w:rPr>
            </w:pPr>
            <w:r>
              <w:rPr>
                <w:rFonts w:hint="eastAsia" w:hAnsi="宋体" w:cs="宋体"/>
                <w:b w:val="0"/>
                <w:bCs/>
                <w:color w:val="000000" w:themeColor="text1"/>
                <w:kern w:val="0"/>
                <w:sz w:val="20"/>
                <w:szCs w:val="21"/>
                <w:highlight w:val="none"/>
                <w14:textFill>
                  <w14:solidFill>
                    <w14:schemeClr w14:val="tx1"/>
                  </w14:solidFill>
                </w14:textFill>
              </w:rPr>
              <w:t>14：00-18：30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17</w:t>
            </w:r>
          </w:p>
        </w:tc>
        <w:tc>
          <w:tcPr>
            <w:tcW w:w="732" w:type="dxa"/>
            <w:vMerge w:val="continue"/>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tc>
        <w:tc>
          <w:tcPr>
            <w:tcW w:w="1130"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工程</w:t>
            </w: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班长</w:t>
            </w:r>
          </w:p>
        </w:tc>
        <w:tc>
          <w:tcPr>
            <w:tcW w:w="539"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w:t>
            </w:r>
          </w:p>
        </w:tc>
        <w:tc>
          <w:tcPr>
            <w:tcW w:w="4609"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主管休息期间代理主管职责，负责安全用电管理、安排工程部工作，处理工程部紧急工作，完成日常维修，确保设备、线路、照明等正常运行，协助业主完成各项工作。</w:t>
            </w:r>
          </w:p>
        </w:tc>
        <w:tc>
          <w:tcPr>
            <w:tcW w:w="1774"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9：00-17：00</w:t>
            </w:r>
          </w:p>
          <w:p>
            <w:pPr>
              <w:pStyle w:val="2"/>
              <w:ind w:firstLine="0" w:firstLineChars="0"/>
              <w:jc w:val="center"/>
              <w:rPr>
                <w:rFonts w:hAnsi="宋体" w:cs="宋体"/>
                <w:b w:val="0"/>
                <w:bCs/>
                <w:color w:val="000000" w:themeColor="text1"/>
                <w:kern w:val="0"/>
                <w:sz w:val="20"/>
                <w:szCs w:val="21"/>
                <w:highlight w:val="none"/>
                <w14:textFill>
                  <w14:solidFill>
                    <w14:schemeClr w14:val="tx1"/>
                  </w14:solidFill>
                </w14:textFill>
              </w:rPr>
            </w:pPr>
            <w:r>
              <w:rPr>
                <w:rFonts w:hint="eastAsia" w:hAnsi="宋体" w:cs="宋体"/>
                <w:b w:val="0"/>
                <w:bCs/>
                <w:color w:val="000000" w:themeColor="text1"/>
                <w:kern w:val="0"/>
                <w:sz w:val="20"/>
                <w:szCs w:val="21"/>
                <w:highlight w:val="none"/>
                <w14:textFill>
                  <w14:solidFill>
                    <w14:schemeClr w14:val="tx1"/>
                  </w14:solidFill>
                </w14:textFill>
              </w:rPr>
              <w:t>（主管和班长不能同一天休息）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18</w:t>
            </w:r>
          </w:p>
        </w:tc>
        <w:tc>
          <w:tcPr>
            <w:tcW w:w="732" w:type="dxa"/>
            <w:vMerge w:val="continue"/>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tc>
        <w:tc>
          <w:tcPr>
            <w:tcW w:w="1130"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电梯、车库技术员</w:t>
            </w:r>
          </w:p>
        </w:tc>
        <w:tc>
          <w:tcPr>
            <w:tcW w:w="539"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2</w:t>
            </w:r>
          </w:p>
        </w:tc>
        <w:tc>
          <w:tcPr>
            <w:tcW w:w="4609"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负责电梯（13台电梯：7台直梯、6台扶梯）和机械车位巡查、维护保养等，简单维修处理，协助维保公司完成电梯、车位故障维修。在各类展览、活动、比赛时完成主管交办工作任务。</w:t>
            </w:r>
          </w:p>
        </w:tc>
        <w:tc>
          <w:tcPr>
            <w:tcW w:w="1774"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9：00-17：00</w:t>
            </w:r>
          </w:p>
          <w:p>
            <w:pPr>
              <w:jc w:val="center"/>
              <w:rPr>
                <w:rFonts w:ascii="宋体" w:hAnsi="宋体" w:cs="宋体"/>
                <w:bCs/>
                <w:color w:val="000000" w:themeColor="text1"/>
                <w:kern w:val="0"/>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19</w:t>
            </w:r>
          </w:p>
        </w:tc>
        <w:tc>
          <w:tcPr>
            <w:tcW w:w="732" w:type="dxa"/>
            <w:vMerge w:val="continue"/>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tc>
        <w:tc>
          <w:tcPr>
            <w:tcW w:w="1130"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空调系统技术员</w:t>
            </w:r>
          </w:p>
        </w:tc>
        <w:tc>
          <w:tcPr>
            <w:tcW w:w="539"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2</w:t>
            </w:r>
          </w:p>
        </w:tc>
        <w:tc>
          <w:tcPr>
            <w:tcW w:w="4609"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负责中央空调系统（冷却塔、主机房、风柜、末端等）和楼顶多联机开关、巡查、维护保养等，简单处理维修，协助维保公司完成故障维修。在各类展览、活动、比赛时完成主管交办工作任务。</w:t>
            </w:r>
          </w:p>
        </w:tc>
        <w:tc>
          <w:tcPr>
            <w:tcW w:w="1774"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7：30-12：00</w:t>
            </w: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15：00-18：30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20</w:t>
            </w:r>
          </w:p>
        </w:tc>
        <w:tc>
          <w:tcPr>
            <w:tcW w:w="732" w:type="dxa"/>
            <w:vMerge w:val="continue"/>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tc>
        <w:tc>
          <w:tcPr>
            <w:tcW w:w="1130"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给排水</w:t>
            </w: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技术员</w:t>
            </w:r>
          </w:p>
        </w:tc>
        <w:tc>
          <w:tcPr>
            <w:tcW w:w="539"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w:t>
            </w:r>
          </w:p>
        </w:tc>
        <w:tc>
          <w:tcPr>
            <w:tcW w:w="4609"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负责生活水泵房、消防水泵房、消防稳压水泵房、排水泵开关、巡查、维护保养等，简单处理维修，协助维保公司完成故障维修。在各类展览、活动、比赛时完成主管交办工作任务。</w:t>
            </w:r>
          </w:p>
        </w:tc>
        <w:tc>
          <w:tcPr>
            <w:tcW w:w="1774"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9：00-17：00</w:t>
            </w:r>
          </w:p>
          <w:p>
            <w:pPr>
              <w:jc w:val="center"/>
              <w:rPr>
                <w:rFonts w:ascii="宋体" w:hAnsi="宋体" w:cs="宋体"/>
                <w:bCs/>
                <w:color w:val="000000" w:themeColor="text1"/>
                <w:kern w:val="0"/>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21</w:t>
            </w:r>
          </w:p>
        </w:tc>
        <w:tc>
          <w:tcPr>
            <w:tcW w:w="732" w:type="dxa"/>
            <w:vMerge w:val="continue"/>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tc>
        <w:tc>
          <w:tcPr>
            <w:tcW w:w="1130"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强电</w:t>
            </w: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技术员</w:t>
            </w:r>
          </w:p>
        </w:tc>
        <w:tc>
          <w:tcPr>
            <w:tcW w:w="539"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2</w:t>
            </w:r>
          </w:p>
        </w:tc>
        <w:tc>
          <w:tcPr>
            <w:tcW w:w="4609"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负责全馆强电配电间、配电箱、线路、照明、插座等巡查、维修、维护。发现故障及时处理，日常维修工作。在各类展览、活动、比赛时完成主管交办工作任务。</w:t>
            </w:r>
          </w:p>
        </w:tc>
        <w:tc>
          <w:tcPr>
            <w:tcW w:w="1774"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7：30-12：00</w:t>
            </w: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15：00-18：30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22</w:t>
            </w:r>
          </w:p>
        </w:tc>
        <w:tc>
          <w:tcPr>
            <w:tcW w:w="732" w:type="dxa"/>
            <w:vMerge w:val="continue"/>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tc>
        <w:tc>
          <w:tcPr>
            <w:tcW w:w="1130"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总配电房</w:t>
            </w:r>
          </w:p>
        </w:tc>
        <w:tc>
          <w:tcPr>
            <w:tcW w:w="539"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4</w:t>
            </w:r>
          </w:p>
        </w:tc>
        <w:tc>
          <w:tcPr>
            <w:tcW w:w="4609"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24小时值班，每班1人，负责实时监控总配电房情况，抄录配电设备数据，处置配电房发生紧急情况。协助维保公司完成故障维修。持</w:t>
            </w:r>
            <w:r>
              <w:rPr>
                <w:rFonts w:hint="eastAsia" w:ascii="宋体" w:hAnsi="宋体"/>
                <w:color w:val="000000" w:themeColor="text1"/>
                <w:kern w:val="0"/>
                <w:sz w:val="20"/>
                <w:szCs w:val="21"/>
                <w:highlight w:val="none"/>
                <w14:textFill>
                  <w14:solidFill>
                    <w14:schemeClr w14:val="tx1"/>
                  </w14:solidFill>
                </w14:textFill>
              </w:rPr>
              <w:t>《高压电工作业》证。</w:t>
            </w:r>
          </w:p>
        </w:tc>
        <w:tc>
          <w:tcPr>
            <w:tcW w:w="1774"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全天3班，24小时值班,每班1人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23</w:t>
            </w:r>
          </w:p>
        </w:tc>
        <w:tc>
          <w:tcPr>
            <w:tcW w:w="732" w:type="dxa"/>
            <w:vMerge w:val="continue"/>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tc>
        <w:tc>
          <w:tcPr>
            <w:tcW w:w="1130"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弱电</w:t>
            </w: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技术员</w:t>
            </w:r>
          </w:p>
        </w:tc>
        <w:tc>
          <w:tcPr>
            <w:tcW w:w="539"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w:t>
            </w:r>
          </w:p>
        </w:tc>
        <w:tc>
          <w:tcPr>
            <w:tcW w:w="4609"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负责全馆弱电配电间巡查、维护，处理网络和电话故障，兼馆内各部门电脑维修。</w:t>
            </w:r>
          </w:p>
        </w:tc>
        <w:tc>
          <w:tcPr>
            <w:tcW w:w="1774"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7：30-12：00</w:t>
            </w: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15：00-18：30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24</w:t>
            </w:r>
          </w:p>
        </w:tc>
        <w:tc>
          <w:tcPr>
            <w:tcW w:w="732" w:type="dxa"/>
            <w:vMerge w:val="restart"/>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p>
            <w:pPr>
              <w:pStyle w:val="2"/>
              <w:ind w:firstLine="400"/>
              <w:jc w:val="center"/>
              <w:rPr>
                <w:rFonts w:hAnsi="宋体" w:cs="宋体"/>
                <w:b w:val="0"/>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p>
          <w:p>
            <w:pPr>
              <w:pStyle w:val="2"/>
              <w:ind w:firstLine="400"/>
              <w:jc w:val="center"/>
              <w:rPr>
                <w:rFonts w:hAnsi="宋体" w:cs="宋体"/>
                <w:b w:val="0"/>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保 洁 部</w:t>
            </w:r>
          </w:p>
        </w:tc>
        <w:tc>
          <w:tcPr>
            <w:tcW w:w="1130"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保洁主管</w:t>
            </w:r>
          </w:p>
        </w:tc>
        <w:tc>
          <w:tcPr>
            <w:tcW w:w="539"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w:t>
            </w:r>
          </w:p>
        </w:tc>
        <w:tc>
          <w:tcPr>
            <w:tcW w:w="4609"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负责安排管理保洁服务事务，负责日常保洁服务人员的管理和保洁服务质量的检查，确保全馆卫生标准要求达到全国文明单位、国家4A级景区的卫生标准。处理保洁中遇到的问题，协调保洁服务人员工作。完成业主各类展览、活动、比赛等全程保洁工作。</w:t>
            </w:r>
          </w:p>
        </w:tc>
        <w:tc>
          <w:tcPr>
            <w:tcW w:w="1774"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8：30-12：00</w:t>
            </w: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14：00-18：30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25</w:t>
            </w:r>
          </w:p>
        </w:tc>
        <w:tc>
          <w:tcPr>
            <w:tcW w:w="732" w:type="dxa"/>
            <w:vMerge w:val="continue"/>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tc>
        <w:tc>
          <w:tcPr>
            <w:tcW w:w="1130"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保洁班长</w:t>
            </w:r>
          </w:p>
        </w:tc>
        <w:tc>
          <w:tcPr>
            <w:tcW w:w="539"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w:t>
            </w:r>
          </w:p>
        </w:tc>
        <w:tc>
          <w:tcPr>
            <w:tcW w:w="4609"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负责监督管理保洁人员日常清扫情况，对存在清扫不及时、不干净等情况及时处理，非上班时间临时清扫工作，协助主管完成各项工作。</w:t>
            </w:r>
          </w:p>
        </w:tc>
        <w:tc>
          <w:tcPr>
            <w:tcW w:w="1774"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9：00-17：00</w:t>
            </w: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（主管和班长不能同一天休息）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26</w:t>
            </w:r>
          </w:p>
        </w:tc>
        <w:tc>
          <w:tcPr>
            <w:tcW w:w="732" w:type="dxa"/>
            <w:vMerge w:val="continue"/>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tc>
        <w:tc>
          <w:tcPr>
            <w:tcW w:w="1130"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展厅</w:t>
            </w: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保洁员</w:t>
            </w:r>
          </w:p>
          <w:p>
            <w:pPr>
              <w:jc w:val="center"/>
              <w:rPr>
                <w:rFonts w:ascii="宋体" w:hAnsi="宋体" w:cs="宋体"/>
                <w:bCs/>
                <w:color w:val="000000" w:themeColor="text1"/>
                <w:kern w:val="0"/>
                <w:sz w:val="20"/>
                <w:szCs w:val="21"/>
                <w:highlight w:val="none"/>
                <w14:textFill>
                  <w14:solidFill>
                    <w14:schemeClr w14:val="tx1"/>
                  </w14:solidFill>
                </w14:textFill>
              </w:rPr>
            </w:pPr>
          </w:p>
        </w:tc>
        <w:tc>
          <w:tcPr>
            <w:tcW w:w="539"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10</w:t>
            </w:r>
          </w:p>
        </w:tc>
        <w:tc>
          <w:tcPr>
            <w:tcW w:w="4609"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4层展厅，每层2人，负责展厅保洁卫生、垃圾收集等工作，巡查展厅卫生，随时清扫出现的垃圾。闭馆后负责全面清扫和拖洗。在各类展览、活动、比赛时完成主管交办工作任务。</w:t>
            </w:r>
          </w:p>
        </w:tc>
        <w:tc>
          <w:tcPr>
            <w:tcW w:w="1774"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9：30-17：30</w:t>
            </w:r>
          </w:p>
          <w:p>
            <w:pPr>
              <w:jc w:val="center"/>
              <w:rPr>
                <w:rFonts w:ascii="宋体" w:hAnsi="宋体" w:cs="宋体"/>
                <w:bCs/>
                <w:color w:val="000000" w:themeColor="text1"/>
                <w:kern w:val="0"/>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27</w:t>
            </w:r>
          </w:p>
        </w:tc>
        <w:tc>
          <w:tcPr>
            <w:tcW w:w="732" w:type="dxa"/>
            <w:vMerge w:val="continue"/>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tc>
        <w:tc>
          <w:tcPr>
            <w:tcW w:w="1130"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培训教室、科学工作室保洁员及其他办公区域</w:t>
            </w:r>
          </w:p>
        </w:tc>
        <w:tc>
          <w:tcPr>
            <w:tcW w:w="539" w:type="dxa"/>
            <w:vAlign w:val="center"/>
          </w:tcPr>
          <w:p>
            <w:pPr>
              <w:jc w:val="center"/>
              <w:rPr>
                <w:color w:val="000000" w:themeColor="text1"/>
                <w:kern w:val="0"/>
                <w:sz w:val="20"/>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4</w:t>
            </w:r>
          </w:p>
        </w:tc>
        <w:tc>
          <w:tcPr>
            <w:tcW w:w="4609"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负责培训和项目科教室日常卫生保洁、收集垃圾等工作，以及临时性清扫工作。在各类展览、活动、比赛时完成主管交办工作任务。</w:t>
            </w:r>
          </w:p>
        </w:tc>
        <w:tc>
          <w:tcPr>
            <w:tcW w:w="1774"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7：30-12：00</w:t>
            </w: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15：00-18：30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28</w:t>
            </w:r>
          </w:p>
        </w:tc>
        <w:tc>
          <w:tcPr>
            <w:tcW w:w="732" w:type="dxa"/>
            <w:vMerge w:val="continue"/>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tc>
        <w:tc>
          <w:tcPr>
            <w:tcW w:w="1130"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报告厅</w:t>
            </w: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会议室</w:t>
            </w: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贵宾室</w:t>
            </w: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保洁员</w:t>
            </w:r>
          </w:p>
        </w:tc>
        <w:tc>
          <w:tcPr>
            <w:tcW w:w="539"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w:t>
            </w:r>
          </w:p>
        </w:tc>
        <w:tc>
          <w:tcPr>
            <w:tcW w:w="4609"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负责会议、活动前后会场保洁工作、垃圾收集等工作。在各类展览、活动、比赛时完成主管交办工作任务。</w:t>
            </w:r>
          </w:p>
        </w:tc>
        <w:tc>
          <w:tcPr>
            <w:tcW w:w="1774"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7：30-12：00</w:t>
            </w: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15：00-18：30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29</w:t>
            </w:r>
          </w:p>
        </w:tc>
        <w:tc>
          <w:tcPr>
            <w:tcW w:w="732" w:type="dxa"/>
            <w:vMerge w:val="continue"/>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tc>
        <w:tc>
          <w:tcPr>
            <w:tcW w:w="1130"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地下车库保洁员</w:t>
            </w:r>
          </w:p>
        </w:tc>
        <w:tc>
          <w:tcPr>
            <w:tcW w:w="539"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w:t>
            </w:r>
          </w:p>
        </w:tc>
        <w:tc>
          <w:tcPr>
            <w:tcW w:w="4609"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负责地下车库卫生清扫（清扫中注意来往车辆，确保自身安全）、垃圾收集等工作。在各类展览、活动、比赛时完成主管交办工作任务。</w:t>
            </w:r>
          </w:p>
        </w:tc>
        <w:tc>
          <w:tcPr>
            <w:tcW w:w="1774"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9：00-17：00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30</w:t>
            </w:r>
          </w:p>
        </w:tc>
        <w:tc>
          <w:tcPr>
            <w:tcW w:w="732" w:type="dxa"/>
            <w:vMerge w:val="continue"/>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tc>
        <w:tc>
          <w:tcPr>
            <w:tcW w:w="1130"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室外广场、非机动棚</w:t>
            </w: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保洁员</w:t>
            </w:r>
          </w:p>
        </w:tc>
        <w:tc>
          <w:tcPr>
            <w:tcW w:w="539"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w:t>
            </w:r>
          </w:p>
        </w:tc>
        <w:tc>
          <w:tcPr>
            <w:tcW w:w="4609"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负责广场、车棚保洁卫生、垃圾收集等工作，巡查广场卫生，随时清扫出现的垃圾。在各类展览、活动、比赛时完成主管交办工作任务。</w:t>
            </w:r>
          </w:p>
        </w:tc>
        <w:tc>
          <w:tcPr>
            <w:tcW w:w="1774"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9：00-17：00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31</w:t>
            </w:r>
          </w:p>
        </w:tc>
        <w:tc>
          <w:tcPr>
            <w:tcW w:w="732" w:type="dxa"/>
            <w:vMerge w:val="continue"/>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tc>
        <w:tc>
          <w:tcPr>
            <w:tcW w:w="1130"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高科技影院保洁员</w:t>
            </w:r>
          </w:p>
        </w:tc>
        <w:tc>
          <w:tcPr>
            <w:tcW w:w="539"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w:t>
            </w:r>
          </w:p>
        </w:tc>
        <w:tc>
          <w:tcPr>
            <w:tcW w:w="4609"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负责影院部管辖范围的卫生保洁工作，放映前后保洁、垃圾收集等工作。</w:t>
            </w:r>
          </w:p>
        </w:tc>
        <w:tc>
          <w:tcPr>
            <w:tcW w:w="1774"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9：00-17：00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32</w:t>
            </w:r>
          </w:p>
        </w:tc>
        <w:tc>
          <w:tcPr>
            <w:tcW w:w="732" w:type="dxa"/>
            <w:vMerge w:val="restart"/>
            <w:vAlign w:val="center"/>
          </w:tcPr>
          <w:p>
            <w:pPr>
              <w:rPr>
                <w:rFonts w:ascii="宋体" w:hAnsi="宋体" w:cs="宋体"/>
                <w:bCs/>
                <w:color w:val="000000" w:themeColor="text1"/>
                <w:kern w:val="0"/>
                <w:sz w:val="20"/>
                <w:szCs w:val="21"/>
                <w:highlight w:val="none"/>
                <w14:textFill>
                  <w14:solidFill>
                    <w14:schemeClr w14:val="tx1"/>
                  </w14:solidFill>
                </w14:textFill>
              </w:rPr>
            </w:pP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客 服 部</w:t>
            </w:r>
          </w:p>
          <w:p>
            <w:pPr>
              <w:pStyle w:val="2"/>
              <w:ind w:firstLine="0" w:firstLineChars="0"/>
              <w:jc w:val="center"/>
              <w:rPr>
                <w:rFonts w:hAnsi="宋体" w:cs="宋体"/>
                <w:b w:val="0"/>
                <w:bCs/>
                <w:color w:val="000000" w:themeColor="text1"/>
                <w:kern w:val="0"/>
                <w:sz w:val="20"/>
                <w:szCs w:val="21"/>
                <w:highlight w:val="none"/>
                <w14:textFill>
                  <w14:solidFill>
                    <w14:schemeClr w14:val="tx1"/>
                  </w14:solidFill>
                </w14:textFill>
              </w:rPr>
            </w:pPr>
          </w:p>
        </w:tc>
        <w:tc>
          <w:tcPr>
            <w:tcW w:w="1130"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客服主管</w:t>
            </w:r>
          </w:p>
        </w:tc>
        <w:tc>
          <w:tcPr>
            <w:tcW w:w="539"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w:t>
            </w:r>
          </w:p>
        </w:tc>
        <w:tc>
          <w:tcPr>
            <w:tcW w:w="4609"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负责客服部管理及各项工作，协调客服人员开展会议、检票、咨询、票务及公共卫生健康安全服务工作，处置客服部工作中遇到的问题。完成业主各类展览、活动、比赛等全程保洁工作。</w:t>
            </w:r>
          </w:p>
        </w:tc>
        <w:tc>
          <w:tcPr>
            <w:tcW w:w="1774"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7：30-12：00</w:t>
            </w:r>
          </w:p>
          <w:p>
            <w:pPr>
              <w:jc w:val="center"/>
              <w:rPr>
                <w:color w:val="000000" w:themeColor="text1"/>
                <w:kern w:val="0"/>
                <w:sz w:val="20"/>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15：00-18：30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33</w:t>
            </w:r>
          </w:p>
        </w:tc>
        <w:tc>
          <w:tcPr>
            <w:tcW w:w="732" w:type="dxa"/>
            <w:vMerge w:val="continue"/>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tc>
        <w:tc>
          <w:tcPr>
            <w:tcW w:w="1130"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会议服务人员</w:t>
            </w:r>
          </w:p>
        </w:tc>
        <w:tc>
          <w:tcPr>
            <w:tcW w:w="539"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4</w:t>
            </w:r>
          </w:p>
        </w:tc>
        <w:tc>
          <w:tcPr>
            <w:tcW w:w="4609"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负责协助学术部完成会议室会议前中后服务工作（会前布置、会中服务、会后整理等工作），完成主管交办其他工作。</w:t>
            </w:r>
          </w:p>
        </w:tc>
        <w:tc>
          <w:tcPr>
            <w:tcW w:w="1774"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7：30-12：00</w:t>
            </w: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15：00-18：30</w:t>
            </w: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（如遇中午开会也需完成会议服务工作）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34</w:t>
            </w:r>
          </w:p>
        </w:tc>
        <w:tc>
          <w:tcPr>
            <w:tcW w:w="732" w:type="dxa"/>
            <w:vMerge w:val="continue"/>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tc>
        <w:tc>
          <w:tcPr>
            <w:tcW w:w="1130"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票务员</w:t>
            </w:r>
          </w:p>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检票员</w:t>
            </w:r>
          </w:p>
        </w:tc>
        <w:tc>
          <w:tcPr>
            <w:tcW w:w="539"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5</w:t>
            </w:r>
          </w:p>
        </w:tc>
        <w:tc>
          <w:tcPr>
            <w:tcW w:w="4609"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负责发票亭、检票口工作、解答游客咨询问题、门票预约领取方法、引导游客入场、电子身份证认证等工作。完成主管交办其他工作。</w:t>
            </w:r>
          </w:p>
        </w:tc>
        <w:tc>
          <w:tcPr>
            <w:tcW w:w="1774"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9：00-17：00，周一休息，国家法定节假日除外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35</w:t>
            </w:r>
          </w:p>
        </w:tc>
        <w:tc>
          <w:tcPr>
            <w:tcW w:w="732" w:type="dxa"/>
            <w:vMerge w:val="continue"/>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tc>
        <w:tc>
          <w:tcPr>
            <w:tcW w:w="1130"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广播员</w:t>
            </w:r>
          </w:p>
        </w:tc>
        <w:tc>
          <w:tcPr>
            <w:tcW w:w="539"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w:t>
            </w:r>
          </w:p>
        </w:tc>
        <w:tc>
          <w:tcPr>
            <w:tcW w:w="4609"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负责全馆广播工作，完成主管交办其他工作。</w:t>
            </w:r>
          </w:p>
        </w:tc>
        <w:tc>
          <w:tcPr>
            <w:tcW w:w="1774"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9：00-17：00，周一休息，国家法定节假日除外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426"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36</w:t>
            </w:r>
          </w:p>
        </w:tc>
        <w:tc>
          <w:tcPr>
            <w:tcW w:w="732" w:type="dxa"/>
            <w:vMerge w:val="continue"/>
            <w:vAlign w:val="center"/>
          </w:tcPr>
          <w:p>
            <w:pPr>
              <w:jc w:val="center"/>
              <w:rPr>
                <w:rFonts w:ascii="宋体" w:hAnsi="宋体" w:cs="宋体"/>
                <w:bCs/>
                <w:color w:val="000000" w:themeColor="text1"/>
                <w:kern w:val="0"/>
                <w:sz w:val="20"/>
                <w:szCs w:val="21"/>
                <w:highlight w:val="none"/>
                <w14:textFill>
                  <w14:solidFill>
                    <w14:schemeClr w14:val="tx1"/>
                  </w14:solidFill>
                </w14:textFill>
              </w:rPr>
            </w:pPr>
          </w:p>
        </w:tc>
        <w:tc>
          <w:tcPr>
            <w:tcW w:w="1130"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服务中心咨询和公共卫生健康安全管理</w:t>
            </w:r>
          </w:p>
        </w:tc>
        <w:tc>
          <w:tcPr>
            <w:tcW w:w="539"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3</w:t>
            </w:r>
          </w:p>
        </w:tc>
        <w:tc>
          <w:tcPr>
            <w:tcW w:w="4609"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岗位设置在服务中心：负责接游客咨询、投诉电话，回答游客咨询问题，记录游客投诉以及根据相关政策法规和馆规章制度解释工作（电话和现场），协助电子身份证认证工作等；游客突发疾病和意外伤害紧急处置，健康卫生安全宣传；每日巡查展厅、母婴室、直饮水机卫生状况；核查药品种类是否齐全和是否在保质期内；定期参加急救技能培训，获取岗位所需相应资质。</w:t>
            </w:r>
          </w:p>
        </w:tc>
        <w:tc>
          <w:tcPr>
            <w:tcW w:w="1774"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9：00-17：00，周一休息，国家法定节假日除外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8" w:type="dxa"/>
            <w:gridSpan w:val="3"/>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总计</w:t>
            </w:r>
          </w:p>
        </w:tc>
        <w:tc>
          <w:tcPr>
            <w:tcW w:w="539" w:type="dxa"/>
            <w:vAlign w:val="center"/>
          </w:tcPr>
          <w:p>
            <w:pPr>
              <w:jc w:val="center"/>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110</w:t>
            </w:r>
          </w:p>
        </w:tc>
        <w:tc>
          <w:tcPr>
            <w:tcW w:w="4609"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p>
        </w:tc>
        <w:tc>
          <w:tcPr>
            <w:tcW w:w="1774" w:type="dxa"/>
            <w:vAlign w:val="center"/>
          </w:tcPr>
          <w:p>
            <w:pPr>
              <w:jc w:val="left"/>
              <w:rPr>
                <w:rFonts w:ascii="宋体" w:hAnsi="宋体" w:cs="宋体"/>
                <w:bCs/>
                <w:color w:val="000000" w:themeColor="text1"/>
                <w:kern w:val="0"/>
                <w:sz w:val="20"/>
                <w:szCs w:val="21"/>
                <w:highlight w:val="none"/>
                <w14:textFill>
                  <w14:solidFill>
                    <w14:schemeClr w14:val="tx1"/>
                  </w14:solidFill>
                </w14:textFill>
              </w:rPr>
            </w:pPr>
            <w:r>
              <w:rPr>
                <w:rFonts w:hint="eastAsia" w:ascii="宋体" w:hAnsi="宋体" w:cs="宋体"/>
                <w:bCs/>
                <w:color w:val="000000" w:themeColor="text1"/>
                <w:kern w:val="0"/>
                <w:sz w:val="20"/>
                <w:szCs w:val="21"/>
                <w:highlight w:val="none"/>
                <w14:textFill>
                  <w14:solidFill>
                    <w14:schemeClr w14:val="tx1"/>
                  </w14:solidFill>
                </w14:textFill>
              </w:rPr>
              <w:t>上班时间根据馆方活动情况，会有变动。</w:t>
            </w:r>
          </w:p>
        </w:tc>
      </w:tr>
    </w:tbl>
    <w:p>
      <w:pPr>
        <w:adjustRightInd w:val="0"/>
        <w:snapToGrid w:val="0"/>
        <w:spacing w:line="400" w:lineRule="exact"/>
        <w:ind w:right="-109" w:rightChars="-52" w:firstLine="210" w:firstLineChars="100"/>
        <w:rPr>
          <w:color w:val="000000" w:themeColor="text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（二）设备、物资配置要求</w:t>
      </w:r>
    </w:p>
    <w:p>
      <w:pPr>
        <w:pStyle w:val="2"/>
        <w:ind w:firstLine="420"/>
        <w:rPr>
          <w:rFonts w:hAnsi="宋体" w:cs="宋体"/>
          <w:b w:val="0"/>
          <w:bCs/>
          <w:color w:val="000000" w:themeColor="text1"/>
          <w:szCs w:val="21"/>
          <w:highlight w:val="none"/>
          <w14:textFill>
            <w14:solidFill>
              <w14:schemeClr w14:val="tx1"/>
            </w14:solidFill>
          </w14:textFill>
        </w:rPr>
      </w:pPr>
      <w:r>
        <w:rPr>
          <w:rFonts w:hint="eastAsia" w:hAnsi="宋体" w:cs="宋体"/>
          <w:b w:val="0"/>
          <w:bCs/>
          <w:color w:val="000000" w:themeColor="text1"/>
          <w:szCs w:val="21"/>
          <w:highlight w:val="none"/>
          <w14:textFill>
            <w14:solidFill>
              <w14:schemeClr w14:val="tx1"/>
            </w14:solidFill>
          </w14:textFill>
        </w:rPr>
        <w:t>中标方必须按照以下要求配置相应的设备、物资、工具等。</w:t>
      </w:r>
    </w:p>
    <w:p>
      <w:pPr>
        <w:pStyle w:val="2"/>
        <w:ind w:firstLine="420"/>
        <w:rPr>
          <w:rFonts w:hAnsi="宋体" w:cs="宋体"/>
          <w:b w:val="0"/>
          <w:bCs/>
          <w:color w:val="000000" w:themeColor="text1"/>
          <w:szCs w:val="21"/>
          <w:highlight w:val="none"/>
          <w14:textFill>
            <w14:solidFill>
              <w14:schemeClr w14:val="tx1"/>
            </w14:solidFill>
          </w14:textFill>
        </w:rPr>
      </w:pPr>
      <w:r>
        <w:rPr>
          <w:rFonts w:hint="eastAsia" w:hAnsi="宋体" w:cs="宋体"/>
          <w:b w:val="0"/>
          <w:bCs/>
          <w:color w:val="000000" w:themeColor="text1"/>
          <w:szCs w:val="21"/>
          <w:highlight w:val="none"/>
          <w14:textFill>
            <w14:solidFill>
              <w14:schemeClr w14:val="tx1"/>
            </w14:solidFill>
          </w14:textFill>
        </w:rPr>
        <w:t>1.行政办公：至少电脑五台、打印机、复印机、有线电话等办公设备；</w:t>
      </w:r>
    </w:p>
    <w:p>
      <w:pPr>
        <w:pStyle w:val="2"/>
        <w:ind w:firstLine="420"/>
        <w:rPr>
          <w:rFonts w:hAnsi="宋体" w:cs="宋体"/>
          <w:b w:val="0"/>
          <w:bCs/>
          <w:color w:val="000000" w:themeColor="text1"/>
          <w:szCs w:val="21"/>
          <w:highlight w:val="none"/>
          <w14:textFill>
            <w14:solidFill>
              <w14:schemeClr w14:val="tx1"/>
            </w14:solidFill>
          </w14:textFill>
        </w:rPr>
      </w:pPr>
      <w:r>
        <w:rPr>
          <w:rFonts w:hint="eastAsia" w:hAnsi="宋体" w:cs="宋体"/>
          <w:b w:val="0"/>
          <w:bCs/>
          <w:color w:val="000000" w:themeColor="text1"/>
          <w:szCs w:val="21"/>
          <w:highlight w:val="none"/>
          <w14:textFill>
            <w14:solidFill>
              <w14:schemeClr w14:val="tx1"/>
            </w14:solidFill>
          </w14:textFill>
        </w:rPr>
        <w:t>2.秩序安保部：每个岗位需配置强光手电筒、对讲机、方盾、金属头盔、防刺服、钢叉、棍等安保器材。</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3.工程部：工程维修的需要用到工具、设备、警示标志等。</w:t>
      </w:r>
    </w:p>
    <w:p>
      <w:pPr>
        <w:adjustRightInd w:val="0"/>
        <w:snapToGrid w:val="0"/>
        <w:spacing w:line="4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4.保洁部：</w:t>
      </w:r>
      <w:r>
        <w:rPr>
          <w:rFonts w:hint="eastAsia" w:ascii="宋体" w:hAnsi="宋体"/>
          <w:color w:val="000000" w:themeColor="text1"/>
          <w:szCs w:val="21"/>
          <w:highlight w:val="none"/>
          <w14:textFill>
            <w14:solidFill>
              <w14:schemeClr w14:val="tx1"/>
            </w14:solidFill>
          </w14:textFill>
        </w:rPr>
        <w:t>大、小吸尘器2台以上；石材地面抛光、打磨机1台；清洁服务手推车6辆以及</w:t>
      </w:r>
      <w:r>
        <w:rPr>
          <w:rFonts w:hint="eastAsia" w:ascii="宋体" w:hAnsi="宋体" w:cs="宋体"/>
          <w:bCs/>
          <w:color w:val="000000" w:themeColor="text1"/>
          <w:szCs w:val="21"/>
          <w:highlight w:val="none"/>
          <w14:textFill>
            <w14:solidFill>
              <w14:schemeClr w14:val="tx1"/>
            </w14:solidFill>
          </w14:textFill>
        </w:rPr>
        <w:t>在清洁卫生过程使用到的垃圾袋、扫把、毛巾、洗洁剂、刮刷、水管、垃圾篓、垃圾清运车等物品。</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5.消防控制室至少配备1套灭火防护设备（消防头盔、灭火防护服、消防手套、消防安全腰带、灭火防护靴、过滤呼吸器、安全腰带、安全绳、消防斧头等）。</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6.消防演练、防恐防暴演练所需物品及耗材。</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7.各类工具、耗材统一管理，摆放整齐，做好标记。</w:t>
      </w:r>
    </w:p>
    <w:p>
      <w:pPr>
        <w:adjustRightInd w:val="0"/>
        <w:snapToGrid w:val="0"/>
        <w:spacing w:line="400" w:lineRule="exact"/>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四、物业服务管理要求</w:t>
      </w:r>
    </w:p>
    <w:p>
      <w:pPr>
        <w:pStyle w:val="2"/>
        <w:ind w:firstLine="422"/>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（一）总体要求</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中标方应从本项目管理实际出发，建立健全疾病预防控制、消防、防恐、防爆、防洪、防盗、防震、创城、创卫等工作应急预案和突发事件处理程序。根据项目采购需求，设立专门的管理机构，配备符合要求的行政人员、秩序安保人员、保洁人员、工程人员、客服人员等各类服务人员，提供安全保卫、公共秩序管理、卫生保洁、设施、设备的使用、维护与管理、客服等服务，制定完整有效的内部管理机制和日常运营服务管理制度等，满足广西科技馆正常运营和各项活动开展要求。</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中标方应对广西科技馆各种设施设备进行维修、维护、保养，确保房屋建筑的完好和设施设备的正常运行；提供全天24小时公共秩序安全维护服务，保证房屋建筑设施、人员和财产的安全；确保环境的整洁、卫生、美观；负责日常游客、到访人员登记、检票、咨询、广播、会议会务服务及场馆其他活动全程支持等服务工作，做到热情周到，服务到位；配合业主做好单位卫生、消防、质检、特种设备、创城、创卫等方面检查准备材料以及其他事项。</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3.中标方制订物业各部门年度工作、季度、月工作计划。每周召开一次管理人员工作会议，</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"http://www.3edu.net/Article/"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szCs w:val="21"/>
          <w:highlight w:val="none"/>
          <w14:textFill>
            <w14:solidFill>
              <w14:schemeClr w14:val="tx1"/>
            </w14:solidFill>
          </w14:textFill>
        </w:rPr>
        <w:t>总结</w:t>
      </w:r>
      <w:r>
        <w:rPr>
          <w:rFonts w:hint="eastAsia" w:ascii="宋体" w:hAnsi="宋体" w:cs="宋体"/>
          <w:bCs/>
          <w:color w:val="000000" w:themeColor="text1"/>
          <w:szCs w:val="21"/>
          <w:highlight w:val="none"/>
          <w14:textFill>
            <w14:solidFill>
              <w14:schemeClr w14:val="tx1"/>
            </w14:solidFill>
          </w14:textFill>
        </w:rPr>
        <w:fldChar w:fldCharType="end"/>
      </w:r>
      <w:r>
        <w:rPr>
          <w:rFonts w:hint="eastAsia" w:ascii="宋体" w:hAnsi="宋体" w:cs="宋体"/>
          <w:bCs/>
          <w:color w:val="000000" w:themeColor="text1"/>
          <w:szCs w:val="21"/>
          <w:highlight w:val="none"/>
          <w14:textFill>
            <w14:solidFill>
              <w14:schemeClr w14:val="tx1"/>
            </w14:solidFill>
          </w14:textFill>
        </w:rPr>
        <w:t>工作，研究和解决工作中出现的各类问题；每季组织一次突发事件应急演练（消防、治安、电梯救援、自然灾害等方面演练，其中消防每年不少于2次）。开展物业人员培训、消防安全应急演练、安全保卫演练，对自然灾害、突发事故、公共卫生事件和社会安全事件等突发公共事件能配合业主及时进行应对和处理。</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4.中标方做好开展各项工作的图片收集、台账材料整理等工作，并及时整理汇总材料，完成有关单位的各项检查。</w:t>
      </w:r>
    </w:p>
    <w:p>
      <w:pPr>
        <w:spacing w:line="360" w:lineRule="auto"/>
        <w:ind w:firstLine="420" w:firstLineChars="200"/>
        <w:rPr>
          <w:color w:val="000000" w:themeColor="text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5.中标方拟派驻工程人员须全部持有《低压电工作业证》，其中配电房人员须持有《高压电工作业证》；工程主管还需持有：T类及A类《中华人民共和国特种设备安全管理和作业人员》上岗证；秩序部安保主管</w:t>
      </w:r>
      <w:bookmarkStart w:id="9" w:name="_Hlk179990999"/>
      <w:r>
        <w:rPr>
          <w:rFonts w:hint="eastAsia" w:ascii="宋体" w:hAnsi="宋体" w:cs="宋体"/>
          <w:bCs/>
          <w:color w:val="000000" w:themeColor="text1"/>
          <w:szCs w:val="21"/>
          <w:highlight w:val="none"/>
          <w14:textFill>
            <w14:solidFill>
              <w14:schemeClr w14:val="tx1"/>
            </w14:solidFill>
          </w14:textFill>
        </w:rPr>
        <w:t>具有消防设施操作员国家职业技能等级证书</w:t>
      </w:r>
      <w:bookmarkEnd w:id="9"/>
      <w:r>
        <w:rPr>
          <w:rFonts w:hint="eastAsia" w:ascii="宋体" w:hAnsi="宋体" w:cs="宋体"/>
          <w:bCs/>
          <w:color w:val="000000" w:themeColor="text1"/>
          <w:szCs w:val="21"/>
          <w:highlight w:val="none"/>
          <w14:textFill>
            <w14:solidFill>
              <w14:schemeClr w14:val="tx1"/>
            </w14:solidFill>
          </w14:textFill>
        </w:rPr>
        <w:t>；广播员要求持普通话二级甲等及以上证书；监控室人员持《消防设施操作员证》或《建（构）筑消防员证》。</w:t>
      </w:r>
      <w:r>
        <w:rPr>
          <w:rFonts w:hint="eastAsia" w:ascii="宋体" w:hAnsi="宋体" w:cs="宋体"/>
          <w:bCs/>
          <w:color w:val="000000" w:themeColor="text1"/>
          <w:szCs w:val="21"/>
          <w:highlight w:val="none"/>
          <w:lang w:val="en-US" w:eastAsia="zh-CN"/>
          <w14:textFill>
            <w14:solidFill>
              <w14:schemeClr w14:val="tx1"/>
            </w14:solidFill>
          </w14:textFill>
        </w:rPr>
        <w:t>以上</w:t>
      </w:r>
      <w:r>
        <w:rPr>
          <w:rFonts w:hint="eastAsia" w:ascii="宋体" w:hAnsi="宋体" w:cs="宋体"/>
          <w:bCs/>
          <w:color w:val="000000" w:themeColor="text1"/>
          <w:szCs w:val="21"/>
          <w:highlight w:val="none"/>
          <w14:textFill>
            <w14:solidFill>
              <w14:schemeClr w14:val="tx1"/>
            </w14:solidFill>
          </w14:textFill>
        </w:rPr>
        <w:t>所有证件必须在有效期内，超过有效期视为无效证件。投标文件中须提供</w:t>
      </w:r>
      <w:r>
        <w:rPr>
          <w:rFonts w:hint="eastAsia" w:ascii="宋体" w:hAnsi="宋体" w:cs="宋体"/>
          <w:bCs/>
          <w:color w:val="000000" w:themeColor="text1"/>
          <w:szCs w:val="21"/>
          <w:highlight w:val="none"/>
          <w:lang w:val="en-US" w:eastAsia="zh-CN"/>
          <w14:textFill>
            <w14:solidFill>
              <w14:schemeClr w14:val="tx1"/>
            </w14:solidFill>
          </w14:textFill>
        </w:rPr>
        <w:t>以上</w:t>
      </w:r>
      <w:r>
        <w:rPr>
          <w:rFonts w:hint="eastAsia" w:ascii="宋体" w:hAnsi="宋体" w:cs="宋体"/>
          <w:bCs/>
          <w:color w:val="000000" w:themeColor="text1"/>
          <w:szCs w:val="21"/>
          <w:highlight w:val="none"/>
          <w14:textFill>
            <w14:solidFill>
              <w14:schemeClr w14:val="tx1"/>
            </w14:solidFill>
          </w14:textFill>
        </w:rPr>
        <w:t>人员身份证、有效证书复印件。</w:t>
      </w:r>
    </w:p>
    <w:p>
      <w:pPr>
        <w:pStyle w:val="2"/>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注：除上述人员资格证书或上岗证外，投标人投标时仅需要承诺人员满足采购需求要求，不需要提供相关证明材料，中标后人员上岗前提供的证明材料不符合采购需求要求的，属于违约，采购人有权追究相关法律责任，一切后果由中标人承担）。</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6.中标方必须按照服务工种不同配置服装：一律按夏装、冬装统一工作服装（服装款式风格须报经业主确认同意）。各岗位人员须统一穿着工作制服并佩戴注明工作人员姓名、相片的工作证上岗。</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7.中标方拟派驻行政、安保、工程、客服人员不能聘用已退休人员。</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8.</w:t>
      </w:r>
      <w:r>
        <w:rPr>
          <w:rFonts w:hint="eastAsia" w:ascii="宋体" w:hAnsi="宋体"/>
          <w:bCs/>
          <w:color w:val="000000" w:themeColor="text1"/>
          <w:szCs w:val="21"/>
          <w:highlight w:val="none"/>
          <w14:textFill>
            <w14:solidFill>
              <w14:schemeClr w14:val="tx1"/>
            </w14:solidFill>
          </w14:textFill>
        </w:rPr>
        <w:t>中标方</w:t>
      </w:r>
      <w:r>
        <w:rPr>
          <w:rFonts w:hint="eastAsia" w:ascii="宋体" w:hAnsi="宋体" w:cs="宋体"/>
          <w:bCs/>
          <w:color w:val="000000" w:themeColor="text1"/>
          <w:szCs w:val="21"/>
          <w:highlight w:val="none"/>
          <w14:textFill>
            <w14:solidFill>
              <w14:schemeClr w14:val="tx1"/>
            </w14:solidFill>
          </w14:textFill>
        </w:rPr>
        <w:t>应</w:t>
      </w:r>
      <w:r>
        <w:rPr>
          <w:rFonts w:hint="eastAsia" w:ascii="宋体" w:hAnsi="宋体"/>
          <w:bCs/>
          <w:color w:val="000000" w:themeColor="text1"/>
          <w:szCs w:val="21"/>
          <w:highlight w:val="none"/>
          <w14:textFill>
            <w14:solidFill>
              <w14:schemeClr w14:val="tx1"/>
            </w14:solidFill>
          </w14:textFill>
        </w:rPr>
        <w:t>对所录用从业人员档案管理应规范，手续齐全，并进行严格政审，确保从业人员无刑事犯罪记录，人员政审合格证明需提交业主备案</w:t>
      </w:r>
      <w:r>
        <w:rPr>
          <w:rFonts w:hint="eastAsia" w:ascii="宋体" w:hAnsi="宋体" w:cs="宋体"/>
          <w:bCs/>
          <w:color w:val="000000" w:themeColor="text1"/>
          <w:szCs w:val="21"/>
          <w:highlight w:val="none"/>
          <w14:textFill>
            <w14:solidFill>
              <w14:schemeClr w14:val="tx1"/>
            </w14:solidFill>
          </w14:textFill>
        </w:rPr>
        <w:t>。</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9.中标方拟派驻本项目服务人员上岗时提供全员健康证。</w:t>
      </w:r>
    </w:p>
    <w:p>
      <w:pPr>
        <w:pStyle w:val="2"/>
        <w:ind w:firstLine="420"/>
        <w:rPr>
          <w:color w:val="000000" w:themeColor="text1"/>
          <w:highlight w:val="none"/>
          <w14:textFill>
            <w14:solidFill>
              <w14:schemeClr w14:val="tx1"/>
            </w14:solidFill>
          </w14:textFill>
        </w:rPr>
      </w:pPr>
      <w:r>
        <w:rPr>
          <w:rFonts w:hint="eastAsia" w:hAnsi="宋体" w:cs="宋体"/>
          <w:b w:val="0"/>
          <w:bCs/>
          <w:color w:val="000000" w:themeColor="text1"/>
          <w:szCs w:val="21"/>
          <w:highlight w:val="none"/>
          <w14:textFill>
            <w14:solidFill>
              <w14:schemeClr w14:val="tx1"/>
            </w14:solidFill>
          </w14:textFill>
        </w:rPr>
        <w:t>10.中标方按国家规定为所有物业服务人员购买社会保险。</w:t>
      </w:r>
    </w:p>
    <w:p>
      <w:pPr>
        <w:pStyle w:val="2"/>
        <w:ind w:firstLine="420"/>
        <w:rPr>
          <w:color w:val="000000" w:themeColor="text1"/>
          <w:highlight w:val="none"/>
          <w14:textFill>
            <w14:solidFill>
              <w14:schemeClr w14:val="tx1"/>
            </w14:solidFill>
          </w14:textFill>
        </w:rPr>
      </w:pPr>
      <w:r>
        <w:rPr>
          <w:rFonts w:hint="eastAsia" w:hAnsi="宋体" w:cs="宋体"/>
          <w:b w:val="0"/>
          <w:bCs/>
          <w:color w:val="000000" w:themeColor="text1"/>
          <w:szCs w:val="21"/>
          <w:highlight w:val="none"/>
          <w14:textFill>
            <w14:solidFill>
              <w14:schemeClr w14:val="tx1"/>
            </w14:solidFill>
          </w14:textFill>
        </w:rPr>
        <w:t>11.完成业主交办的其他工作任务。</w:t>
      </w:r>
    </w:p>
    <w:p>
      <w:pPr>
        <w:pStyle w:val="2"/>
        <w:ind w:firstLine="422"/>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（二）行政人员要求</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项目经理：具有大专及以上学历，具有3年以上综合物业管理经验且3A级及以上景区或公益类公众开放性场馆管理经验不少于2年，负责统筹安排日常工作，负责管理广西科技馆项目，负责审核批准各项必要的应急预案并组织人员学习和演练，审核批准年度工作计划、季度计划、每月工作计划、每周工作计划、员工培训计划等，检查落实工作执行情况，发现问题及时处理，对工作质量和进度负总责。并负责与科技馆日常工作联系。担任项目经理的人员（含项目经理外出期间代行项目经理职责的人员）要求手机24小时开机，手机号码交馆方备案，业主认为项目经理不称职中标方应无条件更换。</w:t>
      </w:r>
      <w:r>
        <w:rPr>
          <w:rFonts w:hint="eastAsia" w:ascii="宋体" w:hAnsi="宋体"/>
          <w:color w:val="000000" w:themeColor="text1"/>
          <w:szCs w:val="21"/>
          <w:highlight w:val="none"/>
          <w14:textFill>
            <w14:solidFill>
              <w14:schemeClr w14:val="tx1"/>
            </w14:solidFill>
          </w14:textFill>
        </w:rPr>
        <w:t>完成业主交办的其他工作任务。</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2.项目副经理：具有大专及以上学历</w:t>
      </w:r>
      <w:r>
        <w:rPr>
          <w:rFonts w:hint="eastAsia" w:ascii="宋体" w:hAnsi="宋体" w:cs="宋体"/>
          <w:bCs/>
          <w:color w:val="000000" w:themeColor="text1"/>
          <w:szCs w:val="21"/>
          <w:highlight w:val="none"/>
          <w:lang w:eastAsia="zh-CN"/>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负责协助项目经理完成各项工作。负责制订各项必要的应急预案并组织人员学习和演练，制订年度工作计划、季度工作计划、每月工作计划、每周工作计划、员工培训计划等，组织落实工作，发现问题及时处理，对工作质量和进度负责。负责协助项目经理管理本项目物业员工。完成业主交办的其他工作任务</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3.文员：具有大专及以上学历，熟悉使用各类办公软件，负责物业公司各项文字材料工作，迎检材料准备等工作。完成业主交办的其他工作任务。</w:t>
      </w:r>
    </w:p>
    <w:p>
      <w:pPr>
        <w:spacing w:line="360" w:lineRule="auto"/>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（三）秩序安保部（</w:t>
      </w:r>
      <w:r>
        <w:rPr>
          <w:rFonts w:hint="eastAsia" w:ascii="宋体" w:hAnsi="宋体" w:cs="宋体"/>
          <w:bCs/>
          <w:color w:val="000000" w:themeColor="text1"/>
          <w:szCs w:val="21"/>
          <w:highlight w:val="none"/>
          <w14:textFill>
            <w14:solidFill>
              <w14:schemeClr w14:val="tx1"/>
            </w14:solidFill>
          </w14:textFill>
        </w:rPr>
        <w:t>安全保卫工作、公共秩序管理、公共卫生健康安全管理和车辆管理</w:t>
      </w:r>
      <w:r>
        <w:rPr>
          <w:rFonts w:hint="eastAsia" w:ascii="宋体" w:hAnsi="宋体" w:cs="宋体"/>
          <w:b/>
          <w:color w:val="000000" w:themeColor="text1"/>
          <w:szCs w:val="21"/>
          <w:highlight w:val="none"/>
          <w14:textFill>
            <w14:solidFill>
              <w14:schemeClr w14:val="tx1"/>
            </w14:solidFill>
          </w14:textFill>
        </w:rPr>
        <w:t>）</w:t>
      </w:r>
    </w:p>
    <w:p>
      <w:pPr>
        <w:pStyle w:val="2"/>
        <w:ind w:firstLine="420"/>
        <w:rPr>
          <w:rFonts w:hint="eastAsia" w:hAnsi="宋体" w:eastAsia="宋体" w:cs="宋体"/>
          <w:b w:val="0"/>
          <w:bCs/>
          <w:color w:val="000000" w:themeColor="text1"/>
          <w:szCs w:val="21"/>
          <w:highlight w:val="none"/>
          <w:lang w:eastAsia="zh-CN"/>
          <w14:textFill>
            <w14:solidFill>
              <w14:schemeClr w14:val="tx1"/>
            </w14:solidFill>
          </w14:textFill>
        </w:rPr>
      </w:pPr>
      <w:r>
        <w:rPr>
          <w:rFonts w:hint="eastAsia" w:hAnsi="宋体" w:cs="宋体"/>
          <w:b w:val="0"/>
          <w:bCs/>
          <w:color w:val="000000" w:themeColor="text1"/>
          <w:szCs w:val="21"/>
          <w:highlight w:val="none"/>
          <w14:textFill>
            <w14:solidFill>
              <w14:schemeClr w14:val="tx1"/>
            </w14:solidFill>
          </w14:textFill>
        </w:rPr>
        <w:t>安保部人员须全部持有保安员证</w:t>
      </w:r>
      <w:r>
        <w:rPr>
          <w:rFonts w:hint="eastAsia"/>
          <w:b w:val="0"/>
          <w:bCs/>
          <w:color w:val="000000" w:themeColor="text1"/>
          <w:highlight w:val="none"/>
          <w:lang w:eastAsia="zh-CN"/>
          <w14:textFill>
            <w14:solidFill>
              <w14:schemeClr w14:val="tx1"/>
            </w14:solidFill>
          </w14:textFill>
        </w:rPr>
        <w:t>（投标人须在投标文件中承诺</w:t>
      </w:r>
      <w:r>
        <w:rPr>
          <w:rFonts w:hint="eastAsia"/>
          <w:b w:val="0"/>
          <w:bCs/>
          <w:color w:val="000000" w:themeColor="text1"/>
          <w:highlight w:val="none"/>
          <w:lang w:val="en-US" w:eastAsia="zh-CN"/>
          <w14:textFill>
            <w14:solidFill>
              <w14:schemeClr w14:val="tx1"/>
            </w14:solidFill>
          </w14:textFill>
        </w:rPr>
        <w:t>响应，否则投标无效</w:t>
      </w:r>
      <w:r>
        <w:rPr>
          <w:rFonts w:hint="eastAsia"/>
          <w:b w:val="0"/>
          <w:bCs/>
          <w:color w:val="000000" w:themeColor="text1"/>
          <w:highlight w:val="none"/>
          <w:lang w:eastAsia="zh-CN"/>
          <w14:textFill>
            <w14:solidFill>
              <w14:schemeClr w14:val="tx1"/>
            </w14:solidFill>
          </w14:textFill>
        </w:rPr>
        <w:t>）</w:t>
      </w:r>
      <w:r>
        <w:rPr>
          <w:rFonts w:hint="eastAsia" w:hAnsi="宋体" w:cs="宋体"/>
          <w:b w:val="0"/>
          <w:bCs/>
          <w:color w:val="000000" w:themeColor="text1"/>
          <w:szCs w:val="21"/>
          <w:highlight w:val="none"/>
          <w14:textFill>
            <w14:solidFill>
              <w14:schemeClr w14:val="tx1"/>
            </w14:solidFill>
          </w14:textFill>
        </w:rPr>
        <w:t>。负责广西科技馆管辖内外全馆的安全保卫工作、公共秩序维护及突发事件的应急处理，对重点部位及责任区域定点守护和24小时安全巡查，设立门岗，监控外来人员和进出车辆，纠正违章行为，确保公共秩序良好。负责车辆行驶与停放秩序的管、收费服务。负责完成业主各类展览、活动、比赛等全程安保、防疫工作。负责建立消防、防恐、防爆、防洪、防盗、防震等安全应急预案，及时处理突发事件流程，确保馆内无治安案件、恐怖事件、刑事案件等安全事故发生。负责发生安全事件及时在馆内发布告示和广播通告，提醒并协助相关人员撤离。每月提交秩序安保工作情况报告。完成业主交办的其他工作任务。</w:t>
      </w:r>
    </w:p>
    <w:p>
      <w:pPr>
        <w:adjustRightInd w:val="0"/>
        <w:snapToGrid w:val="0"/>
        <w:spacing w:line="400" w:lineRule="exact"/>
        <w:ind w:firstLine="57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1.各岗位职责</w:t>
      </w:r>
    </w:p>
    <w:p>
      <w:pPr>
        <w:adjustRightInd w:val="0"/>
        <w:snapToGrid w:val="0"/>
        <w:spacing w:line="400" w:lineRule="exact"/>
        <w:ind w:firstLine="420"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（1）秩序安保部工作职责</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①贯彻执行党的方针、政策和国家的法律、法规，严格执行《广西壮族自治区保安服务管理条例》（广西壮族自治区十届人大常委会公告第66号）及科技馆有关安全保卫工作规定。</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②制订年度工作计划，批准季度、月、周工作计划，检查落实工作执行情况。</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③抓好干部队伍和骨干队伍的建设，有</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"http://www.3edu.net/Article/" </w:instrText>
      </w:r>
      <w:r>
        <w:rPr>
          <w:color w:val="000000" w:themeColor="text1"/>
          <w:highlight w:val="none"/>
          <w14:textFill>
            <w14:solidFill>
              <w14:schemeClr w14:val="tx1"/>
            </w14:solidFill>
          </w14:textFill>
        </w:rPr>
        <w:fldChar w:fldCharType="separate"/>
      </w:r>
      <w:r>
        <w:rPr>
          <w:rFonts w:hint="eastAsia" w:ascii="宋体" w:hAnsi="宋体"/>
          <w:color w:val="000000" w:themeColor="text1"/>
          <w:szCs w:val="21"/>
          <w:highlight w:val="none"/>
          <w:u w:val="single"/>
          <w14:textFill>
            <w14:solidFill>
              <w14:schemeClr w14:val="tx1"/>
            </w14:solidFill>
          </w14:textFill>
        </w:rPr>
        <w:t>计划</w:t>
      </w:r>
      <w:r>
        <w:rPr>
          <w:rFonts w:hint="eastAsia" w:ascii="宋体" w:hAnsi="宋体"/>
          <w:color w:val="000000" w:themeColor="text1"/>
          <w:szCs w:val="21"/>
          <w:highlight w:val="none"/>
          <w:u w:val="singl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地组织干部、骨干进行业务培训，提高工作效率。</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④定期召开安保办公会议，</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"http://www.3edu.net/Article/" </w:instrText>
      </w:r>
      <w:r>
        <w:rPr>
          <w:color w:val="000000" w:themeColor="text1"/>
          <w:highlight w:val="none"/>
          <w14:textFill>
            <w14:solidFill>
              <w14:schemeClr w14:val="tx1"/>
            </w14:solidFill>
          </w14:textFill>
        </w:rPr>
        <w:fldChar w:fldCharType="separate"/>
      </w:r>
      <w:r>
        <w:rPr>
          <w:rFonts w:hint="eastAsia" w:ascii="宋体" w:hAnsi="宋体"/>
          <w:color w:val="000000" w:themeColor="text1"/>
          <w:szCs w:val="21"/>
          <w:highlight w:val="none"/>
          <w:u w:val="single"/>
          <w14:textFill>
            <w14:solidFill>
              <w14:schemeClr w14:val="tx1"/>
            </w14:solidFill>
          </w14:textFill>
        </w:rPr>
        <w:t>总结</w:t>
      </w:r>
      <w:r>
        <w:rPr>
          <w:rFonts w:hint="eastAsia" w:ascii="宋体" w:hAnsi="宋体"/>
          <w:color w:val="000000" w:themeColor="text1"/>
          <w:szCs w:val="21"/>
          <w:highlight w:val="none"/>
          <w:u w:val="singl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工作，研究和解决工作中出现的各类问题。</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⑤加强与馆方有关部门的联系，虚心听取各职能部门意见，并采取积极有效的措施加以改进，提高服务质量。</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⑥健全防火、防盗等安全制度，落实防范应急措施，保障科技馆及员工的生命财产安全。</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⑦完成业主交办的其他工作任务。</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（2）秩序安保主管职责</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①协助经理负责主持物业公司驻馆的安全保卫工作。</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②贯彻执行馆方 及物业公司有关安全保卫工作任务。</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③负责拟制秩序部安全保卫工作计划，并组织实施。</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④对各岗位执勤人员的工作进行巡查、督导。</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⑤负责对馆内车辆管理，确保道路畅通，车辆停放有序。</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⑥负责做好保安人员的岗位培训、日常训练及考核工作。</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⑦加强与业主的工作联系，听取意见与建议，做好安全保卫工作。</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⑧完成业主交办的其他工作任务。</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（3）秩序安保班长、安保员职责</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①服务命令、听从指挥、做到令行即止，遇事要报告；</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②遵守国家法律、法规，做到依法办事；</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③熟悉本岗位职责和工作程序，圆满完成工作任务；</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④坚守岗位，保持高度警惕，注意发现可疑的人、事、物，预防治安案件的发生；</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⑤熟悉和爱护管辖区的公共设施、消防器材，并熟悉掌握各种灭火器材的使用方法；</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⑥负责来访登记，指挥车辆行驶和停放，检查停放车辆的状况；</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⑦积极协助公安机关开展各项治安防范活动和行为，努力完成各项治安防范工作；</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⑧完成业主交办的其他工作任务。</w:t>
      </w:r>
    </w:p>
    <w:p>
      <w:pPr>
        <w:adjustRightInd w:val="0"/>
        <w:snapToGrid w:val="0"/>
        <w:spacing w:line="400" w:lineRule="exact"/>
        <w:ind w:firstLine="420"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2.服务要求与标准：</w:t>
      </w:r>
    </w:p>
    <w:p>
      <w:pPr>
        <w:adjustRightInd w:val="0"/>
        <w:snapToGrid w:val="0"/>
        <w:spacing w:line="400" w:lineRule="exact"/>
        <w:ind w:firstLine="420"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（1）秩序安保部服务要求</w:t>
      </w:r>
    </w:p>
    <w:p>
      <w:pPr>
        <w:adjustRightInd w:val="0"/>
        <w:snapToGrid w:val="0"/>
        <w:spacing w:line="40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①严格执行《广西壮族自治区保安服务管理条例》（广西壮族自治区十届人大常委会公告第66号），并严格按照该《条例》为广西科技馆提供安全保卫、车辆管理、秩序维护等相关服务。</w:t>
      </w:r>
    </w:p>
    <w:p>
      <w:pPr>
        <w:adjustRightInd w:val="0"/>
        <w:snapToGrid w:val="0"/>
        <w:spacing w:line="40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②安全保卫服务队伍必须由经过专业训练的专业人员组成。</w:t>
      </w:r>
    </w:p>
    <w:p>
      <w:pPr>
        <w:adjustRightInd w:val="0"/>
        <w:snapToGrid w:val="0"/>
        <w:spacing w:line="40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③根据业主的实际情况建立健全各项安全保卫规章制度、各类应急预案、检查记录和奖惩制度。对来访、办事人员应建立询问登记制度。</w:t>
      </w:r>
    </w:p>
    <w:p>
      <w:pPr>
        <w:adjustRightInd w:val="0"/>
        <w:snapToGrid w:val="0"/>
        <w:spacing w:line="40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④负责对业主所属馆舍及场地、设施进行安全保卫，做好消防安全检查，维持相关场所的公共治安及正常秩序，保证保卫目标安全，严防案件事故的发生。检查中发现各种安全和事故隐患，应及时向业主报告，遇有紧急情况时应3分钟内到达现场，向业主主管部门报告的同时要立即采取相应应急措施，防止事态扩大并做好现场保护。对进出馆方的车辆进行管理和疏导，确保道路畅通，车辆停放有序，必要时根据业主要求对出入车辆、物品进行检查。对游客的进出秩序进行监控和维护，控制噪音，制止喧闹现象，维护参观秩序，制止不文明行为。</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⑤主管人员</w:t>
      </w:r>
      <w:r>
        <w:rPr>
          <w:rFonts w:hint="eastAsia" w:ascii="宋体" w:hAnsi="宋体"/>
          <w:color w:val="000000" w:themeColor="text1"/>
          <w:szCs w:val="21"/>
          <w:highlight w:val="none"/>
          <w14:textFill>
            <w14:solidFill>
              <w14:schemeClr w14:val="tx1"/>
            </w14:solidFill>
          </w14:textFill>
        </w:rPr>
        <w:t>遇请假、外出公干需离岗，必须指定负责人衔接工作并通知业主主管部门。</w:t>
      </w:r>
    </w:p>
    <w:p>
      <w:pPr>
        <w:adjustRightInd w:val="0"/>
        <w:snapToGrid w:val="0"/>
        <w:spacing w:line="40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⑥</w:t>
      </w:r>
      <w:r>
        <w:rPr>
          <w:rFonts w:hint="eastAsia" w:ascii="宋体" w:hAnsi="宋体"/>
          <w:color w:val="000000" w:themeColor="text1"/>
          <w:szCs w:val="21"/>
          <w:highlight w:val="none"/>
          <w14:textFill>
            <w14:solidFill>
              <w14:schemeClr w14:val="tx1"/>
            </w14:solidFill>
          </w14:textFill>
        </w:rPr>
        <w:t>按时交接班，接班人员必须提前十分钟到岗做好交接班准备，交接班必须列队，行进中应做到步伐整齐、规范。</w:t>
      </w:r>
    </w:p>
    <w:p>
      <w:pPr>
        <w:adjustRightInd w:val="0"/>
        <w:snapToGrid w:val="0"/>
        <w:spacing w:line="40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⑦每周召开一次全体人员安全工作会议；每月组织一次队列操练；每季组织一次突发事件应急演练。</w:t>
      </w:r>
    </w:p>
    <w:p>
      <w:pPr>
        <w:adjustRightInd w:val="0"/>
        <w:snapToGrid w:val="0"/>
        <w:spacing w:line="40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⑧中标公</w:t>
      </w:r>
      <w:r>
        <w:rPr>
          <w:rFonts w:hint="eastAsia" w:ascii="宋体" w:hAnsi="宋体" w:cs="宋体"/>
          <w:bCs/>
          <w:color w:val="000000" w:themeColor="text1"/>
          <w:szCs w:val="21"/>
          <w:highlight w:val="none"/>
          <w14:textFill>
            <w14:solidFill>
              <w14:schemeClr w14:val="tx1"/>
            </w14:solidFill>
          </w14:textFill>
        </w:rPr>
        <w:t>司应</w:t>
      </w:r>
      <w:r>
        <w:rPr>
          <w:rFonts w:hint="eastAsia" w:ascii="宋体" w:hAnsi="宋体"/>
          <w:bCs/>
          <w:color w:val="000000" w:themeColor="text1"/>
          <w:szCs w:val="21"/>
          <w:highlight w:val="none"/>
          <w14:textFill>
            <w14:solidFill>
              <w14:schemeClr w14:val="tx1"/>
            </w14:solidFill>
          </w14:textFill>
        </w:rPr>
        <w:t>对所录用从业人员档案管理应规范，手续齐全，并进行严格政审，确保从业人员无刑事犯罪记录，人员政审合格证明需提交业主备案。采取切实有效的措施维护队伍稳定，确保服务质量不因人员变动而受任何影响。</w:t>
      </w:r>
    </w:p>
    <w:p>
      <w:pPr>
        <w:adjustRightInd w:val="0"/>
        <w:snapToGrid w:val="0"/>
        <w:spacing w:line="40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⑨物业服务从业人员必须五官端正，身体健康，有沟通能力，能吃苦耐劳，责任心强。 安保人员结构中复退军人、受过相关专业教育的人员应占有一定比例,安保人员</w:t>
      </w:r>
      <w:r>
        <w:rPr>
          <w:rFonts w:hint="eastAsia" w:hAnsi="宋体" w:cs="宋体"/>
          <w:b w:val="0"/>
          <w:bCs/>
          <w:color w:val="000000" w:themeColor="text1"/>
          <w:szCs w:val="21"/>
          <w:highlight w:val="none"/>
          <w14:textFill>
            <w14:solidFill>
              <w14:schemeClr w14:val="tx1"/>
            </w14:solidFill>
          </w14:textFill>
        </w:rPr>
        <w:t>须全部持有</w:t>
      </w:r>
      <w:r>
        <w:rPr>
          <w:rFonts w:hint="eastAsia" w:ascii="宋体" w:hAnsi="宋体"/>
          <w:bCs/>
          <w:color w:val="000000" w:themeColor="text1"/>
          <w:szCs w:val="21"/>
          <w:highlight w:val="none"/>
          <w14:textFill>
            <w14:solidFill>
              <w14:schemeClr w14:val="tx1"/>
            </w14:solidFill>
          </w14:textFill>
        </w:rPr>
        <w:t>相关部门核发的</w:t>
      </w:r>
      <w:r>
        <w:rPr>
          <w:rFonts w:hint="eastAsia" w:ascii="宋体" w:hAnsi="宋体"/>
          <w:bCs/>
          <w:color w:val="000000" w:themeColor="text1"/>
          <w:szCs w:val="21"/>
          <w:highlight w:val="none"/>
          <w:lang w:val="en-US" w:eastAsia="zh-CN"/>
          <w14:textFill>
            <w14:solidFill>
              <w14:schemeClr w14:val="tx1"/>
            </w14:solidFill>
          </w14:textFill>
        </w:rPr>
        <w:t>保安员</w:t>
      </w:r>
      <w:r>
        <w:rPr>
          <w:rFonts w:hint="eastAsia" w:ascii="宋体" w:hAnsi="宋体"/>
          <w:bCs/>
          <w:color w:val="000000" w:themeColor="text1"/>
          <w:szCs w:val="21"/>
          <w:highlight w:val="none"/>
          <w14:textFill>
            <w14:solidFill>
              <w14:schemeClr w14:val="tx1"/>
            </w14:solidFill>
          </w14:textFill>
        </w:rPr>
        <w:t>证（相关手续由中标公司负责办理）。</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⑩</w:t>
      </w:r>
      <w:r>
        <w:rPr>
          <w:rFonts w:hint="eastAsia" w:ascii="宋体" w:hAnsi="宋体"/>
          <w:color w:val="000000" w:themeColor="text1"/>
          <w:szCs w:val="21"/>
          <w:highlight w:val="none"/>
          <w14:textFill>
            <w14:solidFill>
              <w14:schemeClr w14:val="tx1"/>
            </w14:solidFill>
          </w14:textFill>
        </w:rPr>
        <w:t>馆内临时举办短期大型活动时，应无条件按需增加安保力量而不另外增加费用。</w:t>
      </w:r>
    </w:p>
    <w:p>
      <w:pPr>
        <w:adjustRightInd w:val="0"/>
        <w:snapToGrid w:val="0"/>
        <w:spacing w:line="400" w:lineRule="exact"/>
        <w:ind w:firstLine="420"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（2）秩序安保主管要求</w:t>
      </w:r>
    </w:p>
    <w:p>
      <w:pPr>
        <w:adjustRightInd w:val="0"/>
        <w:snapToGrid w:val="0"/>
        <w:spacing w:line="400" w:lineRule="exact"/>
        <w:ind w:firstLine="420" w:firstLineChars="200"/>
        <w:rPr>
          <w:rFonts w:hint="eastAsia" w:eastAsia="宋体"/>
          <w:color w:val="000000" w:themeColor="text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w:t>
      </w:r>
      <w:r>
        <w:rPr>
          <w:rFonts w:hint="eastAsia"/>
          <w:color w:val="000000" w:themeColor="text1"/>
          <w:highlight w:val="none"/>
          <w14:textFill>
            <w14:solidFill>
              <w14:schemeClr w14:val="tx1"/>
            </w14:solidFill>
          </w14:textFill>
        </w:rPr>
        <w:t>具有</w:t>
      </w:r>
      <w:r>
        <w:rPr>
          <w:rFonts w:hint="eastAsia"/>
          <w:color w:val="000000" w:themeColor="text1"/>
          <w:highlight w:val="none"/>
          <w:lang w:val="en-US" w:eastAsia="zh-CN"/>
          <w14:textFill>
            <w14:solidFill>
              <w14:schemeClr w14:val="tx1"/>
            </w14:solidFill>
          </w14:textFill>
        </w:rPr>
        <w:t>大学专</w:t>
      </w:r>
      <w:r>
        <w:rPr>
          <w:rFonts w:hint="eastAsia"/>
          <w:color w:val="000000" w:themeColor="text1"/>
          <w:highlight w:val="none"/>
          <w14:textFill>
            <w14:solidFill>
              <w14:schemeClr w14:val="tx1"/>
            </w14:solidFill>
          </w14:textFill>
        </w:rPr>
        <w:t>科</w:t>
      </w:r>
      <w:r>
        <w:rPr>
          <w:rFonts w:hint="eastAsia"/>
          <w:color w:val="000000" w:themeColor="text1"/>
          <w:highlight w:val="none"/>
          <w:lang w:val="en-US" w:eastAsia="zh-CN"/>
          <w14:textFill>
            <w14:solidFill>
              <w14:schemeClr w14:val="tx1"/>
            </w14:solidFill>
          </w14:textFill>
        </w:rPr>
        <w:t>或</w:t>
      </w:r>
      <w:r>
        <w:rPr>
          <w:rFonts w:hint="eastAsia"/>
          <w:color w:val="000000" w:themeColor="text1"/>
          <w:highlight w:val="none"/>
          <w14:textFill>
            <w14:solidFill>
              <w14:schemeClr w14:val="tx1"/>
            </w14:solidFill>
          </w14:textFill>
        </w:rPr>
        <w:t>以上学历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具有</w:t>
      </w:r>
      <w:r>
        <w:rPr>
          <w:rFonts w:hint="eastAsia"/>
          <w:color w:val="000000" w:themeColor="text1"/>
          <w:highlight w:val="none"/>
          <w:lang w:eastAsia="zh-CN"/>
          <w14:textFill>
            <w14:solidFill>
              <w14:schemeClr w14:val="tx1"/>
            </w14:solidFill>
          </w14:textFill>
        </w:rPr>
        <w:t>二级保安员</w:t>
      </w:r>
      <w:r>
        <w:rPr>
          <w:rFonts w:hint="eastAsia"/>
          <w:color w:val="000000" w:themeColor="text1"/>
          <w:highlight w:val="none"/>
          <w:lang w:val="en-US" w:eastAsia="zh-CN"/>
          <w14:textFill>
            <w14:solidFill>
              <w14:schemeClr w14:val="tx1"/>
            </w14:solidFill>
          </w14:textFill>
        </w:rPr>
        <w:t>职业技能等级</w:t>
      </w:r>
      <w:r>
        <w:rPr>
          <w:rFonts w:hint="eastAsia"/>
          <w:color w:val="000000" w:themeColor="text1"/>
          <w:highlight w:val="none"/>
          <w:lang w:eastAsia="zh-CN"/>
          <w14:textFill>
            <w14:solidFill>
              <w14:schemeClr w14:val="tx1"/>
            </w14:solidFill>
          </w14:textFill>
        </w:rPr>
        <w:t>证</w:t>
      </w:r>
      <w:r>
        <w:rPr>
          <w:rFonts w:hint="eastAsia"/>
          <w:color w:val="000000" w:themeColor="text1"/>
          <w:highlight w:val="none"/>
          <w:lang w:val="en-US" w:eastAsia="zh-CN"/>
          <w14:textFill>
            <w14:solidFill>
              <w14:schemeClr w14:val="tx1"/>
            </w14:solidFill>
          </w14:textFill>
        </w:rPr>
        <w:t>书</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具有应急管理部门颁发的消防设施操作员证</w:t>
      </w:r>
      <w:r>
        <w:rPr>
          <w:rFonts w:hint="eastAsia"/>
          <w:color w:val="000000" w:themeColor="text1"/>
          <w:highlight w:val="none"/>
          <w:lang w:eastAsia="zh-CN"/>
          <w14:textFill>
            <w14:solidFill>
              <w14:schemeClr w14:val="tx1"/>
            </w14:solidFill>
          </w14:textFill>
        </w:rPr>
        <w:t>。</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②按照业主要求主持安全保卫、公共服务秩序维护、交通疏导等事务，带领所属人员依据各自职责，按照服务责任总目标，科学、合理安排各项工作任务。</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③对馆区内安全工作情况进行检查，发现问题及时解决并汇报，消除安全隐患。加强对保安班长及保安员队伍管理，确保人员在位、在岗；对各岗位的安全监督和日常巡查，特别是对重点部位的巡查次数，每天不少于6次。</w:t>
      </w:r>
    </w:p>
    <w:p>
      <w:pPr>
        <w:adjustRightInd w:val="0"/>
        <w:snapToGrid w:val="0"/>
        <w:ind w:firstLine="420" w:firstLineChars="200"/>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④做好人员的岗位培训、日常训练及考核等工作（每周不少于一次），确保人员的业务素质和服务水平。</w:t>
      </w:r>
    </w:p>
    <w:p>
      <w:pPr>
        <w:adjustRightInd w:val="0"/>
        <w:snapToGrid w:val="0"/>
        <w:ind w:firstLine="42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⑤</w:t>
      </w:r>
      <w:r>
        <w:rPr>
          <w:rFonts w:hint="eastAsia" w:ascii="宋体" w:hAnsi="宋体"/>
          <w:color w:val="000000" w:themeColor="text1"/>
          <w:szCs w:val="21"/>
          <w:highlight w:val="none"/>
          <w14:textFill>
            <w14:solidFill>
              <w14:schemeClr w14:val="tx1"/>
            </w14:solidFill>
          </w14:textFill>
        </w:rPr>
        <w:t>负责与项目经理对接联系工作业务，及时准确传达业主的工作安排，制定详细工作计划，并负责检查落实。接受业主相关部室的业务指导和工作监督。</w:t>
      </w:r>
    </w:p>
    <w:p>
      <w:pPr>
        <w:adjustRightInd w:val="0"/>
        <w:snapToGrid w:val="0"/>
        <w:spacing w:line="400" w:lineRule="exact"/>
        <w:ind w:firstLine="420"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（3）秩序安保班长要求</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①协助主管做好保安员的日常管理工作，积极完成项目经理、主管及业主相关部室安排的各项工作任务。</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②上岗前，集合本班保安员，检查仪表仪容，服装是否整洁，是否佩带工作牌等，列队进行交接班，讲明工作重点，安排工作位置并说明注意事项。每隔20分钟对各岗位保安执勤情况进行一次检查，发现问题，立即进行纠正，并要求限期改正。</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③按照规定的巡更路线实行24小时巡逻，并认真填写巡更记录。发现异常情况应妥善处置并及时上报。</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④熟悉巡逻区域内各类设备、物品的放置，如发现设备、物品有移动等其他可疑现象时，要立即查明并上报。</w:t>
      </w:r>
    </w:p>
    <w:p>
      <w:pPr>
        <w:pStyle w:val="2"/>
        <w:ind w:firstLine="420"/>
        <w:rPr>
          <w:rFonts w:hAnsi="宋体"/>
          <w:b w:val="0"/>
          <w:color w:val="000000" w:themeColor="text1"/>
          <w:szCs w:val="21"/>
          <w:highlight w:val="none"/>
          <w14:textFill>
            <w14:solidFill>
              <w14:schemeClr w14:val="tx1"/>
            </w14:solidFill>
          </w14:textFill>
        </w:rPr>
      </w:pPr>
      <w:r>
        <w:rPr>
          <w:rFonts w:hint="eastAsia" w:hAnsi="宋体"/>
          <w:b w:val="0"/>
          <w:color w:val="000000" w:themeColor="text1"/>
          <w:szCs w:val="21"/>
          <w:highlight w:val="none"/>
          <w14:textFill>
            <w14:solidFill>
              <w14:schemeClr w14:val="tx1"/>
            </w14:solidFill>
          </w14:textFill>
        </w:rPr>
        <w:t>⑤完成业主交办的其他工作任务。</w:t>
      </w:r>
    </w:p>
    <w:p>
      <w:pPr>
        <w:adjustRightInd w:val="0"/>
        <w:snapToGrid w:val="0"/>
        <w:spacing w:line="400" w:lineRule="exact"/>
        <w:ind w:firstLine="411" w:firstLineChars="196"/>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（4）秩序安保员要求</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①遵守国家法律、法规，执行《广西壮族自治区保安服务管理条例》及科技馆相关规定，做到依法文明执勤。</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②熟悉各自岗位责任区域、任务及要求，认真履行岗位职责，做好防火、防盗、防洪等工作，发现不安全因素应立即查明情况，排除险情，并及时报告，确保馆方安全。</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③执勤过程中应精神饱满，态度和蔼，文明用语，礼貌待人，坚守岗位，尽职尽责，不许擅离职守，因事（如上洗手间等特殊情况）离开岗位必须有人代班，不许出现睡岗、脱岗、串岗、会客、聊天、看小说杂志、听音乐、听收音机、玩手机、玩游戏，严禁酒后上岗、监守自盗等违规违纪违法行为。着装应保持整洁，按规定统一着制服，佩戴工作牌，不准披衣敞怀、挽袖、卷裤管、冬夏装混穿。不可留长发，不得染除黑色以外的颜色，不可留长胡须。坐姿要端正，站立时应保持立正和跨立姿势。</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④按规定时间交接班，不得迟到、早退。交班人员应告知本班发生的情况和处理结果，并交待需要继续办理的事项。接班者未到或未办理交接班手续，当班者不能离岗。</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⑤严格执行门卫制度，认真做好人员、车辆出入登记工作。所有物品外出凭科技馆《放行条》放行。</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⑥熟悉和爱护馆内配套的公共设施、机电设备、消防器材，熟练掌握各种灭火器材的使用方法。爱护和保管好各岗位配备的对讲机、警棍、手电筒等装备器材。对讲机应按规定频道处于开机状态并随身携带，严禁利用对讲机与同事进行聊天，确保通讯畅通。</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⑦及时制止馆区域内各类治安案件和一切妨害馆安全和公共秩序的行为。当遇突发事件发生时，应立即采取应对措施，防止事态进一步扩大，做好现场保护，及时向公安机关和科技馆后勤部报告并协助调查。</w:t>
      </w:r>
    </w:p>
    <w:p>
      <w:pPr>
        <w:adjustRightInd w:val="0"/>
        <w:snapToGrid w:val="0"/>
        <w:spacing w:line="400" w:lineRule="exact"/>
        <w:ind w:firstLine="420" w:firstLineChars="200"/>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⑧形象岗要求：45岁以下，1.75米以上，退伍军人或具同岗位工作经验者优先，工资待遇高于一般保安员。</w:t>
      </w:r>
    </w:p>
    <w:p>
      <w:pPr>
        <w:pStyle w:val="2"/>
        <w:ind w:firstLine="420"/>
        <w:rPr>
          <w:rFonts w:hAnsi="宋体"/>
          <w:b w:val="0"/>
          <w:color w:val="000000" w:themeColor="text1"/>
          <w:szCs w:val="21"/>
          <w:highlight w:val="none"/>
          <w14:textFill>
            <w14:solidFill>
              <w14:schemeClr w14:val="tx1"/>
            </w14:solidFill>
          </w14:textFill>
        </w:rPr>
      </w:pPr>
      <w:r>
        <w:rPr>
          <w:rFonts w:hint="eastAsia" w:hAnsi="宋体"/>
          <w:b w:val="0"/>
          <w:color w:val="000000" w:themeColor="text1"/>
          <w:szCs w:val="21"/>
          <w:highlight w:val="none"/>
          <w14:textFill>
            <w14:solidFill>
              <w14:schemeClr w14:val="tx1"/>
            </w14:solidFill>
          </w14:textFill>
        </w:rPr>
        <w:t>⑨完成业主交办的其他工作任务</w:t>
      </w:r>
    </w:p>
    <w:p>
      <w:pPr>
        <w:adjustRightInd w:val="0"/>
        <w:snapToGrid w:val="0"/>
        <w:spacing w:line="400" w:lineRule="exact"/>
        <w:ind w:firstLine="420"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3.车辆停放管理及收费工作要求</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驶入馆管辖范围内的车辆，均实行限速行驶，严防高速行驶，馆外围各岗位保安员负责本管辖区域内的车辆按规定停放到指定区域，做到车辆停放规范、整齐，分类科学合理、安全有序，以完善细致的管理，进行安全有序的服务，防止乱停乱放现象发生。遇有重大活动安排时，事先做好预留车位，摆放醒目标志。遇有运输车辆出入，详细记录车辆来源与事由，放行时须手续完备（需有馆方签证的放行条），同时无其它违规行为。做好车辆出入登记及收费工作，馆区内车辆停放有序，保证参观道路畅通；当遇馆区内举行大型活动或有重要接待任务时，在车辆主入口和停车场入口应设置专门车管员现场指挥，加强对停车的引导；对车主乱停乱放车辆的行为进行劝阻，并令其改正，以维护馆内停车秩序。</w:t>
      </w:r>
    </w:p>
    <w:p>
      <w:pPr>
        <w:adjustRightInd w:val="0"/>
        <w:snapToGrid w:val="0"/>
        <w:spacing w:line="400" w:lineRule="exact"/>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停放馆内范围的机动车、电动车及自行车如发生被盗、丢失等现象，由中标单位负责赔偿并做好相关善后工作。</w:t>
      </w:r>
    </w:p>
    <w:p>
      <w:pPr>
        <w:adjustRightInd w:val="0"/>
        <w:snapToGrid w:val="0"/>
        <w:spacing w:line="400" w:lineRule="exact"/>
        <w:ind w:firstLine="420"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（1）地下车库车辆管理工作要求</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①道路线型、断面与整个建筑群体布置相协调。</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②车行道由中标单位负责管理，保持车行道畅通，出、入口标志明显，各出口流向明确，地下停车场车辆各出入口禁止行人通行。</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③外来车辆未经许可，不可进入。</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④进入停车场内的车辆，均服从中标单位车辆管理员指挥。</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⑤凡装有易燃、易爆、剧毒品或有污染物品车辆或2.5吨以上货车、超高车辆，一律不准驶入馆区。</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⑥驶入停车场的车辆均需减速，时速不超过5公里，无鸣笛现象发生（救护车、警车、救火车除外）。停车场内道路、停车库严禁练车。</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⑦馆区及停车场内的所有车辆（含自行车、电动车、摩托车、三轮车、汽车等）均纳入中标单位管理范围，做到车证齐全，电子识别、票证放车。相关票、卡由业主负责制作、中标单位发放，外来车辆办理停车需遵循业主方相关规定。</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⑧车辆管理人员礼貌待人、热情周到。</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⑨车辆管理人员随时巡查车辆停放情况及车辆的车况，遇有门未锁、灯未关、漏油、漏水等现象发生时，10分钟内通知车主。</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⑩停车场内无货物堆积、道路阻塞现象。</w:t>
      </w:r>
    </w:p>
    <w:p>
      <w:pPr>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⑪停车场内地面无水、无油、无污、无纸屑、无烟头等杂物。</w:t>
      </w:r>
    </w:p>
    <w:p>
      <w:pPr>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⑫停车场道路平整无坑、无尖锐物、无金属钉状物。</w:t>
      </w:r>
    </w:p>
    <w:p>
      <w:pPr>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⑬停车场内有明显禁烟标牌，且消防器械及设施均配备齐全，使用功能完好率100%。</w:t>
      </w:r>
    </w:p>
    <w:p>
      <w:pPr>
        <w:adjustRightInd w:val="0"/>
        <w:snapToGrid w:val="0"/>
        <w:spacing w:line="40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⑭辖区内交通事故年发生率不超过2%，丢失事故发生率为0%。</w:t>
      </w:r>
    </w:p>
    <w:p>
      <w:pPr>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⑮地下停车场光线明亮，能见度高，目测距离50米以上。</w:t>
      </w:r>
    </w:p>
    <w:p>
      <w:pPr>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⑯中标单位负责代业主收取停车相关费用，于次月15前上交业主，收费率100%。代业主制订停车场相关管理制度、办理车辆停放的相关手续，如收费许可证等。</w:t>
      </w:r>
    </w:p>
    <w:p>
      <w:pPr>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⑰负责停车场所有车辆安全（含车辆及车内物品），如有失窃、损伤等均由中标单位处理并赔偿。</w:t>
      </w:r>
    </w:p>
    <w:p>
      <w:pPr>
        <w:adjustRightInd w:val="0"/>
        <w:snapToGrid w:val="0"/>
        <w:spacing w:line="400" w:lineRule="exact"/>
        <w:ind w:firstLine="420"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（2）室外广场停车场</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①划分为机动车（大车、小车）停车区、非机动车（电单车、单车）停车区；</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②相关区域内每班不少于1名工作人员，节假日视情况增加。工作人员负责指挥车辆出入、停放及收费工作。</w:t>
      </w:r>
    </w:p>
    <w:p>
      <w:pPr>
        <w:adjustRightInd w:val="0"/>
        <w:snapToGrid w:val="0"/>
        <w:spacing w:line="400" w:lineRule="exact"/>
        <w:ind w:firstLine="420"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（3）管理员职责</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①积极指引车辆安全驶入车位停车。检查并提示车主锁好车门窗，并详细记录车辆进出时间，车况及车牌号。</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②做好对车辆的监护及车场的安全巡逻工作。</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③按规定收取车辆管理费，并做好票款的交接、保管工作。</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④提示司机严格遵守停车场的安全管理规定和使用规定。</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⑤严格杜绝停车场内有明火作业的情况发生。</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⑥认真检查停车场内的消防设施、器材，保持正常使用状态。</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⑦对车场周围的施工情况进行管理，避免因施工影响到地下停车场的正常停车秩序。</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⑧阻止未经许可或未办理停车位的机动车辆使用车库。</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⑨阻止装有易燃、易爆、危险物品的车辆驶入停车场，发现问题应立即向值班领班或主管报告。</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⑩阻止无关人员（包括非工作需要的员工）穿行车库、逗留。</w:t>
      </w:r>
    </w:p>
    <w:p>
      <w:pPr>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⑪对停放一天以上的临时车辆要记录，并报告领班和主管。</w:t>
      </w:r>
    </w:p>
    <w:p>
      <w:pPr>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⑫严格禁止在停车场内停放非机动车和存放货物。</w:t>
      </w:r>
    </w:p>
    <w:p>
      <w:pPr>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⑬认真做好当班各种记录，并做好交接班工作。</w:t>
      </w:r>
    </w:p>
    <w:p>
      <w:pPr>
        <w:adjustRightInd w:val="0"/>
        <w:snapToGrid w:val="0"/>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⑭完成业主交办的其他工作任务。</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4.服务质量保障措施（违规处罚机制）</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①中标单位必须贯彻执行党的方针、政策和国家的法律、法规，严格按照《广西壮族自治区保安服务管理条例》为业主提供安全保卫、车辆管理、秩序维护等相关服务。</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②中标单位未履行合同约定，达不到招标文件所规定的服务质量和服务要求，每发现1次扣中标单位</w:t>
      </w:r>
      <w:r>
        <w:rPr>
          <w:rFonts w:hint="eastAsia" w:ascii="宋体" w:hAnsi="宋体"/>
          <w:bCs/>
          <w:color w:val="000000" w:themeColor="text1"/>
          <w:szCs w:val="21"/>
          <w:highlight w:val="none"/>
          <w14:textFill>
            <w14:solidFill>
              <w14:schemeClr w14:val="tx1"/>
            </w14:solidFill>
          </w14:textFill>
        </w:rPr>
        <w:t>当月</w:t>
      </w:r>
      <w:r>
        <w:rPr>
          <w:rFonts w:hint="eastAsia" w:ascii="宋体" w:hAnsi="宋体"/>
          <w:color w:val="000000" w:themeColor="text1"/>
          <w:szCs w:val="21"/>
          <w:highlight w:val="none"/>
          <w14:textFill>
            <w14:solidFill>
              <w14:schemeClr w14:val="tx1"/>
            </w14:solidFill>
          </w14:textFill>
        </w:rPr>
        <w:t xml:space="preserve">服务费1000-3000元；未尽到约定的安全保卫义务，造成严重后果的，业主有权无条件取消与中标单位的合同，终止服务事项，由此而造成业主损失的，将追究从业人员及中标单位法律责任，并视损失情况向中标单位索赔。 </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③项目经理及秩序安保主管应全面负责主持本项目的秩序安保工作，按照招标文件服务要求与标准为业主提供服务，如发现上班时间不在岗、人员管理不到位、日常训练不落实、发现情况不汇报等违规违纪行为，每发生1次扣中标单位</w:t>
      </w:r>
      <w:r>
        <w:rPr>
          <w:rFonts w:hint="eastAsia" w:ascii="宋体" w:hAnsi="宋体"/>
          <w:bCs/>
          <w:color w:val="000000" w:themeColor="text1"/>
          <w:szCs w:val="21"/>
          <w:highlight w:val="none"/>
          <w14:textFill>
            <w14:solidFill>
              <w14:schemeClr w14:val="tx1"/>
            </w14:solidFill>
          </w14:textFill>
        </w:rPr>
        <w:t>当月</w:t>
      </w:r>
      <w:r>
        <w:rPr>
          <w:rFonts w:hint="eastAsia" w:ascii="宋体" w:hAnsi="宋体"/>
          <w:color w:val="000000" w:themeColor="text1"/>
          <w:szCs w:val="21"/>
          <w:highlight w:val="none"/>
          <w14:textFill>
            <w14:solidFill>
              <w14:schemeClr w14:val="tx1"/>
            </w14:solidFill>
          </w14:textFill>
        </w:rPr>
        <w:t>服务费1000-2000元；一月内同类违规违纪行为达2次以上的，扣中标单位</w:t>
      </w:r>
      <w:r>
        <w:rPr>
          <w:rFonts w:hint="eastAsia" w:ascii="宋体" w:hAnsi="宋体"/>
          <w:bCs/>
          <w:color w:val="000000" w:themeColor="text1"/>
          <w:szCs w:val="21"/>
          <w:highlight w:val="none"/>
          <w14:textFill>
            <w14:solidFill>
              <w14:schemeClr w14:val="tx1"/>
            </w14:solidFill>
          </w14:textFill>
        </w:rPr>
        <w:t>当月</w:t>
      </w:r>
      <w:r>
        <w:rPr>
          <w:rFonts w:hint="eastAsia" w:ascii="宋体" w:hAnsi="宋体"/>
          <w:color w:val="000000" w:themeColor="text1"/>
          <w:szCs w:val="21"/>
          <w:highlight w:val="none"/>
          <w14:textFill>
            <w14:solidFill>
              <w14:schemeClr w14:val="tx1"/>
            </w14:solidFill>
          </w14:textFill>
        </w:rPr>
        <w:t>服务费2000-5000元，并撤换主管。</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④安保班长当班期间应认真履行岗位职责，按照招标文件服务要求与标准为业主提供服务，如发现擅自离岗、不按规定时间路线巡逻、不对本班队员履行职责情况进行检查、发现异常情况不汇报的等违规违纪行为，每发生1次扣中标单位</w:t>
      </w:r>
      <w:r>
        <w:rPr>
          <w:rFonts w:hint="eastAsia" w:ascii="宋体" w:hAnsi="宋体"/>
          <w:bCs/>
          <w:color w:val="000000" w:themeColor="text1"/>
          <w:szCs w:val="21"/>
          <w:highlight w:val="none"/>
          <w14:textFill>
            <w14:solidFill>
              <w14:schemeClr w14:val="tx1"/>
            </w14:solidFill>
          </w14:textFill>
        </w:rPr>
        <w:t>当月</w:t>
      </w:r>
      <w:r>
        <w:rPr>
          <w:rFonts w:hint="eastAsia" w:ascii="宋体" w:hAnsi="宋体"/>
          <w:color w:val="000000" w:themeColor="text1"/>
          <w:szCs w:val="21"/>
          <w:highlight w:val="none"/>
          <w14:textFill>
            <w14:solidFill>
              <w14:schemeClr w14:val="tx1"/>
            </w14:solidFill>
          </w14:textFill>
        </w:rPr>
        <w:t>服务费1000元，一月内同类违规违纪行为达2次以上的，扣中标业单位</w:t>
      </w:r>
      <w:r>
        <w:rPr>
          <w:rFonts w:hint="eastAsia" w:ascii="宋体" w:hAnsi="宋体"/>
          <w:bCs/>
          <w:color w:val="000000" w:themeColor="text1"/>
          <w:szCs w:val="21"/>
          <w:highlight w:val="none"/>
          <w14:textFill>
            <w14:solidFill>
              <w14:schemeClr w14:val="tx1"/>
            </w14:solidFill>
          </w14:textFill>
        </w:rPr>
        <w:t>当月</w:t>
      </w:r>
      <w:r>
        <w:rPr>
          <w:rFonts w:hint="eastAsia" w:ascii="宋体" w:hAnsi="宋体"/>
          <w:color w:val="000000" w:themeColor="text1"/>
          <w:szCs w:val="21"/>
          <w:highlight w:val="none"/>
          <w14:textFill>
            <w14:solidFill>
              <w14:schemeClr w14:val="tx1"/>
            </w14:solidFill>
          </w14:textFill>
        </w:rPr>
        <w:t>服务费1000-3000元。</w:t>
      </w:r>
    </w:p>
    <w:p>
      <w:pPr>
        <w:adjustRightInd w:val="0"/>
        <w:snapToGrid w:val="0"/>
        <w:spacing w:line="400" w:lineRule="exact"/>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⑤安保员当班期间应认真履行岗位职责，按照招标文件服务要求与标准为业主提供服务，如发现擅离岗位、睡岗、脱岗、串岗、会客、聊天、看小说杂志、听音乐、听收音机、玩手机、玩游戏、酒后上岗、破坏公共财物等违规违纪行为，每发生1次扣中标单位</w:t>
      </w:r>
      <w:r>
        <w:rPr>
          <w:rFonts w:hint="eastAsia" w:ascii="宋体" w:hAnsi="宋体"/>
          <w:bCs/>
          <w:color w:val="000000" w:themeColor="text1"/>
          <w:szCs w:val="21"/>
          <w:highlight w:val="none"/>
          <w14:textFill>
            <w14:solidFill>
              <w14:schemeClr w14:val="tx1"/>
            </w14:solidFill>
          </w14:textFill>
        </w:rPr>
        <w:t>当月</w:t>
      </w:r>
      <w:r>
        <w:rPr>
          <w:rFonts w:hint="eastAsia" w:ascii="宋体" w:hAnsi="宋体"/>
          <w:color w:val="000000" w:themeColor="text1"/>
          <w:szCs w:val="21"/>
          <w:highlight w:val="none"/>
          <w14:textFill>
            <w14:solidFill>
              <w14:schemeClr w14:val="tx1"/>
            </w14:solidFill>
          </w14:textFill>
        </w:rPr>
        <w:t>服务费1000元，</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⑥如发现安保员监守自盗的，移送公安机关处理，另扣中标单位</w:t>
      </w:r>
      <w:r>
        <w:rPr>
          <w:rFonts w:hint="eastAsia" w:ascii="宋体" w:hAnsi="宋体"/>
          <w:bCs/>
          <w:color w:val="000000" w:themeColor="text1"/>
          <w:szCs w:val="21"/>
          <w:highlight w:val="none"/>
          <w14:textFill>
            <w14:solidFill>
              <w14:schemeClr w14:val="tx1"/>
            </w14:solidFill>
          </w14:textFill>
        </w:rPr>
        <w:t>当月</w:t>
      </w:r>
      <w:r>
        <w:rPr>
          <w:rFonts w:hint="eastAsia" w:ascii="宋体" w:hAnsi="宋体"/>
          <w:color w:val="000000" w:themeColor="text1"/>
          <w:szCs w:val="21"/>
          <w:highlight w:val="none"/>
          <w14:textFill>
            <w14:solidFill>
              <w14:schemeClr w14:val="tx1"/>
            </w14:solidFill>
          </w14:textFill>
        </w:rPr>
        <w:t>服务费5000元，并依照法律程序向中标单位进行索赔。</w:t>
      </w:r>
    </w:p>
    <w:p>
      <w:pPr>
        <w:pStyle w:val="2"/>
        <w:ind w:firstLine="420"/>
        <w:rPr>
          <w:rFonts w:hAnsi="宋体"/>
          <w:b w:val="0"/>
          <w:color w:val="000000" w:themeColor="text1"/>
          <w:szCs w:val="21"/>
          <w:highlight w:val="none"/>
          <w14:textFill>
            <w14:solidFill>
              <w14:schemeClr w14:val="tx1"/>
            </w14:solidFill>
          </w14:textFill>
        </w:rPr>
      </w:pPr>
      <w:r>
        <w:rPr>
          <w:rFonts w:hint="eastAsia" w:hAnsi="宋体"/>
          <w:b w:val="0"/>
          <w:color w:val="000000" w:themeColor="text1"/>
          <w:szCs w:val="21"/>
          <w:highlight w:val="none"/>
          <w14:textFill>
            <w14:solidFill>
              <w14:schemeClr w14:val="tx1"/>
            </w14:solidFill>
          </w14:textFill>
        </w:rPr>
        <w:t>⑦无故不完成业主交办的其他工作任务，每发生1次扣中标单位当月服务费1000元。</w:t>
      </w:r>
    </w:p>
    <w:p>
      <w:pPr>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（四）工程部（设施、设备的维修与管理）</w:t>
      </w:r>
    </w:p>
    <w:p>
      <w:pPr>
        <w:spacing w:line="4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负责广西科技馆管辖范围内所有系统设施设备的管理、维护（楼宇、房屋、水体、给排水、供电﹑空调﹑电梯﹑消防、照明、景观与亮化、污水处理、地下管网等相关设备的管理、维护、维修与保养），突发事件的应急处理。负责完成业主各类展览、活动、比赛等的布展、撤展等相应工作。每月提交维修记录交业主存档，</w:t>
      </w:r>
      <w:r>
        <w:rPr>
          <w:rFonts w:hint="eastAsia" w:ascii="宋体" w:hAnsi="宋体"/>
          <w:color w:val="000000" w:themeColor="text1"/>
          <w:szCs w:val="21"/>
          <w:highlight w:val="none"/>
          <w14:textFill>
            <w14:solidFill>
              <w14:schemeClr w14:val="tx1"/>
            </w14:solidFill>
          </w14:textFill>
        </w:rPr>
        <w:t>完成业主交办的其他工作任务</w:t>
      </w:r>
      <w:r>
        <w:rPr>
          <w:rFonts w:hint="eastAsia" w:ascii="宋体" w:hAnsi="宋体" w:cs="宋体"/>
          <w:bCs/>
          <w:color w:val="000000" w:themeColor="text1"/>
          <w:szCs w:val="21"/>
          <w:highlight w:val="none"/>
          <w14:textFill>
            <w14:solidFill>
              <w14:schemeClr w14:val="tx1"/>
            </w14:solidFill>
          </w14:textFill>
        </w:rPr>
        <w:t>。</w:t>
      </w:r>
    </w:p>
    <w:p>
      <w:pPr>
        <w:adjustRightInd w:val="0"/>
        <w:snapToGrid w:val="0"/>
        <w:spacing w:line="400" w:lineRule="exact"/>
        <w:ind w:right="-109" w:rightChars="-52" w:firstLine="420" w:firstLineChars="200"/>
        <w:rPr>
          <w:color w:val="000000" w:themeColor="text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1.技术人员上岗条件</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工程部技术人员均须持《低压电工作业》证方可上岗，配电房人员须持《高压电工作业证》。所有设备维护技术人员均须有两年以上相关工作经验，能够对建筑、电气、暖通、电梯、消防、智能化、机电、给排水、污水处理、亮化照明、门窗、办公家具等设施设备进行日常维护、管理、操作及简单维修。</w:t>
      </w:r>
    </w:p>
    <w:p>
      <w:pPr>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遵纪守法，品行端正，坚持四项基本原则，坚持党的领导，拥护祖国统一，拥护民族团结，有良好的职业道德和敬业精神，遵守业主方的各项规章制度，认真细致，吃苦耐劳，服从工作安排。上岗前须经公安机关政审合格（手续和费用由投标单位自理），工作期间经查有违法犯罪前科、行为者须立即调离科技馆工作岗位。</w:t>
      </w:r>
    </w:p>
    <w:p>
      <w:pPr>
        <w:adjustRightInd w:val="0"/>
        <w:snapToGrid w:val="0"/>
        <w:spacing w:line="400" w:lineRule="exact"/>
        <w:ind w:right="-109" w:rightChars="-52"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（3）白班不得重复使用晚上24时以后的晚班值班人员。</w:t>
      </w:r>
    </w:p>
    <w:p>
      <w:pPr>
        <w:adjustRightInd w:val="0"/>
        <w:snapToGrid w:val="0"/>
        <w:spacing w:line="400" w:lineRule="exact"/>
        <w:ind w:right="-109" w:rightChars="-52" w:firstLine="411"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2.各岗位工作职责、要求及标准：</w:t>
      </w:r>
    </w:p>
    <w:p>
      <w:pPr>
        <w:adjustRightInd w:val="0"/>
        <w:snapToGrid w:val="0"/>
        <w:spacing w:line="400" w:lineRule="exact"/>
        <w:ind w:right="-109" w:rightChars="-52" w:firstLine="57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（1）工程部主管</w:t>
      </w:r>
    </w:p>
    <w:p>
      <w:pPr>
        <w:adjustRightInd w:val="0"/>
        <w:snapToGrid w:val="0"/>
        <w:spacing w:line="400" w:lineRule="exact"/>
        <w:ind w:right="-109" w:rightChars="-52" w:firstLine="570"/>
        <w:rPr>
          <w:rFonts w:hint="eastAsia" w:ascii="宋体" w:hAnsi="宋体" w:eastAsia="宋体"/>
          <w:bCs/>
          <w:color w:val="000000" w:themeColor="text1"/>
          <w:szCs w:val="21"/>
          <w:highlight w:val="none"/>
          <w:lang w:eastAsia="zh-CN"/>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①</w:t>
      </w:r>
      <w:r>
        <w:rPr>
          <w:rFonts w:hint="eastAsia"/>
          <w:color w:val="000000" w:themeColor="text1"/>
          <w:highlight w:val="none"/>
          <w14:textFill>
            <w14:solidFill>
              <w14:schemeClr w14:val="tx1"/>
            </w14:solidFill>
          </w14:textFill>
        </w:rPr>
        <w:t>具有</w:t>
      </w:r>
      <w:r>
        <w:rPr>
          <w:rFonts w:hint="eastAsia"/>
          <w:color w:val="000000" w:themeColor="text1"/>
          <w:highlight w:val="none"/>
          <w:lang w:val="en-US" w:eastAsia="zh-CN"/>
          <w14:textFill>
            <w14:solidFill>
              <w14:schemeClr w14:val="tx1"/>
            </w14:solidFill>
          </w14:textFill>
        </w:rPr>
        <w:t>大学</w:t>
      </w:r>
      <w:r>
        <w:rPr>
          <w:rFonts w:hint="eastAsia"/>
          <w:color w:val="000000" w:themeColor="text1"/>
          <w:highlight w:val="none"/>
          <w14:textFill>
            <w14:solidFill>
              <w14:schemeClr w14:val="tx1"/>
            </w14:solidFill>
          </w14:textFill>
        </w:rPr>
        <w:t>专业本科</w:t>
      </w:r>
      <w:r>
        <w:rPr>
          <w:rFonts w:hint="eastAsia"/>
          <w:color w:val="000000" w:themeColor="text1"/>
          <w:highlight w:val="none"/>
          <w:lang w:val="en-US" w:eastAsia="zh-CN"/>
          <w14:textFill>
            <w14:solidFill>
              <w14:schemeClr w14:val="tx1"/>
            </w14:solidFill>
          </w14:textFill>
        </w:rPr>
        <w:t>或</w:t>
      </w:r>
      <w:r>
        <w:rPr>
          <w:rFonts w:hint="eastAsia"/>
          <w:color w:val="000000" w:themeColor="text1"/>
          <w:highlight w:val="none"/>
          <w14:textFill>
            <w14:solidFill>
              <w14:schemeClr w14:val="tx1"/>
            </w14:solidFill>
          </w14:textFill>
        </w:rPr>
        <w:t>以上学历</w:t>
      </w:r>
      <w:r>
        <w:rPr>
          <w:rFonts w:hint="eastAsia"/>
          <w:color w:val="000000" w:themeColor="text1"/>
          <w:highlight w:val="none"/>
          <w:lang w:eastAsia="zh-CN"/>
          <w14:textFill>
            <w14:solidFill>
              <w14:schemeClr w14:val="tx1"/>
            </w14:solidFill>
          </w14:textFill>
        </w:rPr>
        <w:t>。</w:t>
      </w:r>
    </w:p>
    <w:p>
      <w:pPr>
        <w:adjustRightInd w:val="0"/>
        <w:snapToGrid w:val="0"/>
        <w:spacing w:line="400" w:lineRule="exact"/>
        <w:ind w:right="-109" w:rightChars="-52" w:firstLine="570"/>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②</w:t>
      </w:r>
      <w:r>
        <w:rPr>
          <w:rFonts w:hint="eastAsia" w:ascii="宋体" w:hAnsi="宋体"/>
          <w:color w:val="000000" w:themeColor="text1"/>
          <w:szCs w:val="21"/>
          <w:highlight w:val="none"/>
          <w14:textFill>
            <w14:solidFill>
              <w14:schemeClr w14:val="tx1"/>
            </w14:solidFill>
          </w14:textFill>
        </w:rPr>
        <w:t>全面负责馆内房屋设备维护管理的各项管理工作，负责制订年、季度、月、周维修、保养工作计划，按照工作计划落实各项工作。建立健全日常相关工作档案。是维修维护各项工作计划的组织执行者，应具有良好的思想作风，工作中以身作则，责任心强，技术上精益求精，管理好员工，及时解决员工和技术上的疑难问题，保质保量按时完成各项工作任务。</w:t>
      </w:r>
    </w:p>
    <w:p>
      <w:pPr>
        <w:adjustRightInd w:val="0"/>
        <w:snapToGrid w:val="0"/>
        <w:spacing w:line="400" w:lineRule="exact"/>
        <w:ind w:right="-109" w:rightChars="-52" w:firstLine="57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③设备维修保养计划的制定、执行及预算控制。每周召开部门例会，总结上周工作、布置本周任务。</w:t>
      </w:r>
    </w:p>
    <w:p>
      <w:pPr>
        <w:adjustRightInd w:val="0"/>
        <w:snapToGrid w:val="0"/>
        <w:spacing w:line="400" w:lineRule="exact"/>
        <w:ind w:right="-109" w:rightChars="-52" w:firstLine="57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④确保场馆及辖区系统设施设备的安全，对下属员工和所辖系统设施设备负有全面的管理责任。</w:t>
      </w:r>
    </w:p>
    <w:p>
      <w:pPr>
        <w:adjustRightInd w:val="0"/>
        <w:snapToGrid w:val="0"/>
        <w:spacing w:line="400" w:lineRule="exact"/>
        <w:ind w:right="-109" w:rightChars="-52" w:firstLine="57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⑤认真贯彻落实岗位责任制，督导下属员工严格执行业主的各种规章制度和相关操作规程，坚持长期对馆内设备进行安全检查、对设施设备进行维护保养制度。管辖区域“三干净”（设备干净、机房干净、工作场地干净）、“四不漏”（不漏电、不漏气、不漏水 、不漏油），“五良好”（使用性能良好、密封良好、润滑良好、紧固良好、调整良好）。</w:t>
      </w:r>
    </w:p>
    <w:p>
      <w:pPr>
        <w:adjustRightInd w:val="0"/>
        <w:snapToGrid w:val="0"/>
        <w:spacing w:line="400" w:lineRule="exact"/>
        <w:ind w:right="-109" w:rightChars="-52" w:firstLine="57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⑥协助、配合维保公司完成维修保养工作。</w:t>
      </w:r>
    </w:p>
    <w:p>
      <w:pPr>
        <w:adjustRightInd w:val="0"/>
        <w:snapToGrid w:val="0"/>
        <w:spacing w:line="400" w:lineRule="exact"/>
        <w:ind w:right="-109" w:rightChars="-52" w:firstLine="57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⑦做好下属员工的管理工作，对展厅值班、设施、设备进行定期、不定期的巡查，将发现的问题，结合周计划的安排落实到员工的每日工作中去。</w:t>
      </w:r>
    </w:p>
    <w:p>
      <w:pPr>
        <w:adjustRightInd w:val="0"/>
        <w:snapToGrid w:val="0"/>
        <w:spacing w:line="400" w:lineRule="exact"/>
        <w:ind w:right="-109" w:rightChars="-52" w:firstLine="57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⑧负责管理部门员工排班等日常工作，对设备运行、维保等任务的完成进度和作业质量、服务态度进行监督检查。</w:t>
      </w:r>
    </w:p>
    <w:p>
      <w:pPr>
        <w:adjustRightInd w:val="0"/>
        <w:snapToGrid w:val="0"/>
        <w:spacing w:line="400" w:lineRule="exact"/>
        <w:ind w:right="-109" w:rightChars="-52" w:firstLine="57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⑨做好外判工作项目的配合协作。掌握科技动态，对设备不合理不完善的方面提出合理化建议。</w:t>
      </w:r>
    </w:p>
    <w:p>
      <w:pPr>
        <w:adjustRightInd w:val="0"/>
        <w:snapToGrid w:val="0"/>
        <w:spacing w:line="400" w:lineRule="exact"/>
        <w:ind w:right="-109" w:rightChars="-52" w:firstLine="57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⑩做好值班人员管理、设备的使用、维修、保养、大修、更新的记录，建立健全设备档案、日志，整理、收集、完善特种设备相关材料，确保特种设备年检合格。每月定期将资料汇总到物业办交科技馆后勤保障部检查。</w:t>
      </w:r>
    </w:p>
    <w:p>
      <w:pPr>
        <w:adjustRightInd w:val="0"/>
        <w:snapToGrid w:val="0"/>
        <w:spacing w:line="400" w:lineRule="exact"/>
        <w:ind w:right="-109" w:rightChars="-52" w:firstLine="57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⑪</w:t>
      </w:r>
      <w:r>
        <w:rPr>
          <w:rFonts w:hint="eastAsia" w:ascii="宋体" w:hAnsi="宋体"/>
          <w:color w:val="000000" w:themeColor="text1"/>
          <w:szCs w:val="21"/>
          <w:highlight w:val="none"/>
          <w14:textFill>
            <w14:solidFill>
              <w14:schemeClr w14:val="tx1"/>
            </w14:solidFill>
          </w14:textFill>
        </w:rPr>
        <w:t>受理、处理维修案件，不定期检查回访维保客户维修情况。</w:t>
      </w:r>
    </w:p>
    <w:p>
      <w:pPr>
        <w:adjustRightInd w:val="0"/>
        <w:snapToGrid w:val="0"/>
        <w:spacing w:line="400" w:lineRule="exact"/>
        <w:ind w:right="-109" w:rightChars="-52" w:firstLine="57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⑫根据馆方实际工作需要，针对员工的技术业务水平，定期开展员工业务培训、演习等工作。</w:t>
      </w:r>
    </w:p>
    <w:p>
      <w:pPr>
        <w:adjustRightInd w:val="0"/>
        <w:snapToGrid w:val="0"/>
        <w:spacing w:line="400" w:lineRule="exact"/>
        <w:ind w:right="-109" w:rightChars="-52" w:firstLine="57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⑬根据馆方实际工作需要，储备一批常用易损、易耗品零备件（设备件仓库）。</w:t>
      </w:r>
    </w:p>
    <w:p>
      <w:pPr>
        <w:adjustRightInd w:val="0"/>
        <w:snapToGrid w:val="0"/>
        <w:spacing w:line="400" w:lineRule="exact"/>
        <w:ind w:right="-109" w:rightChars="-52" w:firstLine="57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⑭熟悉广西科技馆各系统情况，遇到紧急、突发情况时立即判断并分派工作，并立即赶到现场做好应急工作及安排善后事项。</w:t>
      </w:r>
    </w:p>
    <w:p>
      <w:pPr>
        <w:adjustRightInd w:val="0"/>
        <w:snapToGrid w:val="0"/>
        <w:spacing w:line="400" w:lineRule="exact"/>
        <w:ind w:right="-109" w:rightChars="-52" w:firstLine="57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⑮节能降耗，掌握辖区内水电使用情况，每日检查、记录用水用电数据，准确及时申报用水、电计划数据。</w:t>
      </w:r>
    </w:p>
    <w:p>
      <w:pPr>
        <w:adjustRightInd w:val="0"/>
        <w:snapToGrid w:val="0"/>
        <w:spacing w:line="400" w:lineRule="exact"/>
        <w:ind w:right="-109" w:rightChars="-52" w:firstLine="57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⑯制订并严格执行各系统机房、值班室钥匙管理制度。</w:t>
      </w:r>
    </w:p>
    <w:p>
      <w:pPr>
        <w:adjustRightInd w:val="0"/>
        <w:snapToGrid w:val="0"/>
        <w:spacing w:line="400" w:lineRule="exact"/>
        <w:ind w:right="-109" w:rightChars="-52" w:firstLine="57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⑰每天记录工作日记，记录当天工作情况以及业主对工作的要求、通知和其他相关信息。</w:t>
      </w:r>
    </w:p>
    <w:p>
      <w:pPr>
        <w:adjustRightInd w:val="0"/>
        <w:snapToGrid w:val="0"/>
        <w:spacing w:line="400" w:lineRule="exact"/>
        <w:ind w:right="-109" w:rightChars="-52" w:firstLine="57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⑱协助和配合业主完成大型维修工作。</w:t>
      </w:r>
    </w:p>
    <w:p>
      <w:pPr>
        <w:adjustRightInd w:val="0"/>
        <w:snapToGrid w:val="0"/>
        <w:spacing w:line="400" w:lineRule="exact"/>
        <w:ind w:right="-109" w:rightChars="-52" w:firstLine="570"/>
        <w:rPr>
          <w:rFonts w:ascii="宋体" w:hAnsi="宋体" w:cs="宋体"/>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highlight w:val="none"/>
          <w:shd w:val="clear" w:fill="FFFFFF"/>
          <w14:textFill>
            <w14:solidFill>
              <w14:schemeClr w14:val="tx1"/>
            </w14:solidFill>
          </w14:textFill>
        </w:rPr>
        <w:t>⑲</w:t>
      </w:r>
      <w:r>
        <w:rPr>
          <w:rFonts w:hint="eastAsia" w:ascii="宋体" w:hAnsi="宋体" w:cs="宋体"/>
          <w:color w:val="000000" w:themeColor="text1"/>
          <w:szCs w:val="21"/>
          <w:highlight w:val="none"/>
          <w14:textFill>
            <w14:solidFill>
              <w14:schemeClr w14:val="tx1"/>
            </w14:solidFill>
          </w14:textFill>
        </w:rPr>
        <w:t>完成业主交办的其他工作任务。</w:t>
      </w:r>
    </w:p>
    <w:p>
      <w:pPr>
        <w:adjustRightInd w:val="0"/>
        <w:snapToGrid w:val="0"/>
        <w:spacing w:line="400" w:lineRule="exact"/>
        <w:ind w:right="-109" w:rightChars="-52" w:firstLine="525" w:firstLineChars="250"/>
        <w:rPr>
          <w:rFonts w:ascii="宋体" w:hAnsi="宋体"/>
          <w:b/>
          <w:color w:val="000000" w:themeColor="text1"/>
          <w:szCs w:val="21"/>
          <w:highlight w:val="none"/>
          <w:u w:val="singl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（2）工程技术员</w:t>
      </w:r>
    </w:p>
    <w:p>
      <w:pPr>
        <w:adjustRightInd w:val="0"/>
        <w:snapToGrid w:val="0"/>
        <w:spacing w:line="400" w:lineRule="exact"/>
        <w:ind w:right="-109" w:rightChars="-52" w:firstLine="570"/>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①</w:t>
      </w:r>
      <w:r>
        <w:rPr>
          <w:rFonts w:hint="eastAsia" w:ascii="宋体" w:hAnsi="宋体"/>
          <w:color w:val="000000" w:themeColor="text1"/>
          <w:szCs w:val="21"/>
          <w:highlight w:val="none"/>
          <w14:textFill>
            <w14:solidFill>
              <w14:schemeClr w14:val="tx1"/>
            </w14:solidFill>
          </w14:textFill>
        </w:rPr>
        <w:t>熟悉所辖物业内电力设备包括输电线路、高低压配电柜、变压器、照明系统、各类电动机、各系统相关电气设备、暖通、消防、电梯系统以及避雷设备等的基本情况、各供电电源开关、控制柜的位置和控制范围，并会正确操作；熟悉给排水、电、地下管网走向、管径、阀门、水电表、窖井、地漏位置、数量、容量、功能、作用等基本情况，并会正确操作；</w:t>
      </w:r>
    </w:p>
    <w:p>
      <w:pPr>
        <w:adjustRightInd w:val="0"/>
        <w:snapToGrid w:val="0"/>
        <w:spacing w:line="400" w:lineRule="exact"/>
        <w:ind w:right="-109" w:rightChars="-52" w:firstLine="57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②负责所辖物业内所有系统设施设备的技术资料、图纸资料、运行及维修记录等文档的搜集、整理、归档、备查；负责所辖物业内所有系统设施设备</w:t>
      </w:r>
    </w:p>
    <w:p>
      <w:pPr>
        <w:adjustRightInd w:val="0"/>
        <w:snapToGrid w:val="0"/>
        <w:spacing w:line="400" w:lineRule="exact"/>
        <w:ind w:right="-109" w:rightChars="-52" w:firstLine="57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③负责按操作规程和规章制度，保质保量按时的对物业辖区内所有系统设施设备（楼宇、房屋、水体、给排水、供电﹑空调﹑电梯﹑消防、照明、景观与亮化、污水处理、地下管网等）实施实施管理、运行、巡视检查、保养和维修并做好完整记录后存档保管，对各种设备的检查、维护与保养必须规范化、科学化、日常化、制度化，各种设备必须分别有检查、维护与保养的书面记录；负责定时抄录水电设备能耗数据，杜绝“跑、冒、滴、漏”现象，做好节能降耗；负责做好责任范围内突发事件的应急处理。</w:t>
      </w:r>
    </w:p>
    <w:p>
      <w:pPr>
        <w:adjustRightInd w:val="0"/>
        <w:snapToGrid w:val="0"/>
        <w:spacing w:line="400" w:lineRule="exact"/>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④为确保科技馆的正常运行，供电、电梯、空调、强电、弱电等工种白班不少于9人上班，总配电房不得缺岗值守，</w:t>
      </w:r>
      <w:r>
        <w:rPr>
          <w:rFonts w:hint="eastAsia" w:ascii="宋体" w:hAnsi="宋体" w:cs="宋体"/>
          <w:bCs/>
          <w:color w:val="000000" w:themeColor="text1"/>
          <w:szCs w:val="21"/>
          <w:highlight w:val="none"/>
          <w14:textFill>
            <w14:solidFill>
              <w14:schemeClr w14:val="tx1"/>
            </w14:solidFill>
          </w14:textFill>
        </w:rPr>
        <w:t>负责完成业主各类展览、活动、比赛等相应工作</w:t>
      </w:r>
      <w:r>
        <w:rPr>
          <w:rFonts w:hint="eastAsia" w:ascii="宋体" w:hAnsi="宋体"/>
          <w:color w:val="000000" w:themeColor="text1"/>
          <w:szCs w:val="21"/>
          <w:highlight w:val="none"/>
          <w14:textFill>
            <w14:solidFill>
              <w14:schemeClr w14:val="tx1"/>
            </w14:solidFill>
          </w14:textFill>
        </w:rPr>
        <w:t>，并根据业主要求提供相应工种技术服务。</w:t>
      </w:r>
    </w:p>
    <w:p>
      <w:pPr>
        <w:adjustRightInd w:val="0"/>
        <w:snapToGrid w:val="0"/>
        <w:spacing w:line="400" w:lineRule="exact"/>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⑤技术人员加强巡检，及时排除隐患、故障，当发生隐患、故障时，维修人员抵达的时间最长不应超过10分钟。一般性隐患、故障应在30分钟内解决，如不能解决隐患和故障及时汇报工程主管。</w:t>
      </w:r>
    </w:p>
    <w:p>
      <w:pPr>
        <w:adjustRightInd w:val="0"/>
        <w:snapToGrid w:val="0"/>
        <w:spacing w:line="400" w:lineRule="exact"/>
        <w:ind w:right="-109" w:rightChars="-52" w:firstLine="570"/>
        <w:rPr>
          <w:color w:val="000000" w:themeColor="text1"/>
          <w:highlight w:val="none"/>
          <w14:textFill>
            <w14:solidFill>
              <w14:schemeClr w14:val="tx1"/>
            </w14:solidFill>
          </w14:textFill>
        </w:rPr>
      </w:pPr>
      <w:r>
        <w:rPr>
          <w:rFonts w:hint="eastAsia" w:ascii="Cambria Math" w:hAnsi="Cambria Math" w:cs="Cambria Math"/>
          <w:color w:val="000000" w:themeColor="text1"/>
          <w:szCs w:val="21"/>
          <w:highlight w:val="none"/>
          <w14:textFill>
            <w14:solidFill>
              <w14:schemeClr w14:val="tx1"/>
            </w14:solidFill>
          </w14:textFill>
        </w:rPr>
        <w:t>⑥完成业主交办的其他工作任务。</w:t>
      </w:r>
    </w:p>
    <w:p>
      <w:pPr>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（五）保洁部（保洁绿化服务）</w:t>
      </w:r>
    </w:p>
    <w:p>
      <w:pPr>
        <w:adjustRightInd w:val="0"/>
        <w:snapToGrid w:val="0"/>
        <w:spacing w:line="400" w:lineRule="exact"/>
        <w:ind w:right="-109" w:rightChars="-52"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1.服务范围</w:t>
      </w:r>
      <w:r>
        <w:rPr>
          <w:rFonts w:hint="eastAsia" w:ascii="宋体" w:hAnsi="宋体"/>
          <w:color w:val="000000" w:themeColor="text1"/>
          <w:szCs w:val="21"/>
          <w:highlight w:val="none"/>
          <w14:textFill>
            <w14:solidFill>
              <w14:schemeClr w14:val="tx1"/>
            </w14:solidFill>
          </w14:textFill>
        </w:rPr>
        <w:t>：广西科技馆辖区内（46000m</w:t>
      </w:r>
      <w:r>
        <w:rPr>
          <w:rFonts w:hint="eastAsia" w:ascii="宋体" w:hAnsi="宋体"/>
          <w:color w:val="000000" w:themeColor="text1"/>
          <w:szCs w:val="21"/>
          <w:highlight w:val="none"/>
          <w:vertAlign w:val="superscript"/>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）及所有设备、设施清洁卫生。</w:t>
      </w:r>
    </w:p>
    <w:p>
      <w:pPr>
        <w:adjustRightInd w:val="0"/>
        <w:snapToGrid w:val="0"/>
        <w:spacing w:line="400" w:lineRule="exact"/>
        <w:ind w:right="-109" w:rightChars="-52"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2.保洁内容：</w:t>
      </w:r>
      <w:r>
        <w:rPr>
          <w:rFonts w:hint="eastAsia" w:ascii="宋体" w:hAnsi="宋体"/>
          <w:color w:val="000000" w:themeColor="text1"/>
          <w:szCs w:val="21"/>
          <w:highlight w:val="none"/>
          <w14:textFill>
            <w14:solidFill>
              <w14:schemeClr w14:val="tx1"/>
            </w14:solidFill>
          </w14:textFill>
        </w:rPr>
        <w:t>广西科技馆内外的环境的清洁卫生、垃圾的收集、清运及化粪池、沟渠、水池清理等清洁保洁服务。</w:t>
      </w:r>
    </w:p>
    <w:p>
      <w:pPr>
        <w:pStyle w:val="2"/>
        <w:ind w:firstLine="422"/>
        <w:rPr>
          <w:rFonts w:hAnsi="宋体"/>
          <w:bCs/>
          <w:color w:val="000000" w:themeColor="text1"/>
          <w:szCs w:val="2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3.清洁保洁服务人员主要岗位职责</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（1）按时上下班，不断提高服务意识，为观众、业主提供优质服务。</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（2）严格遵守馆方各种规章制度，每天严格按标准进行保洁作业，卫生间保洁时需设临时告示牌，发现问题保洁服务人员在5分钟内到达现场。</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（3）注意仪容仪表，统一着装、佩戴工牌，文明用语服务、热情大方、乐于助人、拾金不昧。</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（4）有疑惑和不清楚的事项及时报告主管或业主管理部门处理。</w:t>
      </w:r>
    </w:p>
    <w:p>
      <w:pPr>
        <w:adjustRightInd w:val="0"/>
        <w:snapToGrid w:val="0"/>
        <w:spacing w:line="400" w:lineRule="exact"/>
        <w:ind w:firstLine="420" w:firstLineChars="200"/>
        <w:rPr>
          <w:color w:val="000000" w:themeColor="text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（5）</w:t>
      </w:r>
      <w:r>
        <w:rPr>
          <w:rFonts w:hint="eastAsia" w:ascii="Cambria Math" w:hAnsi="Cambria Math" w:cs="Cambria Math"/>
          <w:color w:val="000000" w:themeColor="text1"/>
          <w:szCs w:val="21"/>
          <w:highlight w:val="none"/>
          <w14:textFill>
            <w14:solidFill>
              <w14:schemeClr w14:val="tx1"/>
            </w14:solidFill>
          </w14:textFill>
        </w:rPr>
        <w:t>完成业主交办的其他工作任务。</w:t>
      </w:r>
    </w:p>
    <w:p>
      <w:pPr>
        <w:adjustRightInd w:val="0"/>
        <w:snapToGrid w:val="0"/>
        <w:spacing w:line="400" w:lineRule="exact"/>
        <w:ind w:firstLine="420"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4.保洁服务标准</w:t>
      </w:r>
    </w:p>
    <w:p>
      <w:pPr>
        <w:pStyle w:val="2"/>
        <w:ind w:firstLine="420"/>
        <w:rPr>
          <w:color w:val="000000" w:themeColor="text1"/>
          <w:highlight w:val="none"/>
          <w14:textFill>
            <w14:solidFill>
              <w14:schemeClr w14:val="tx1"/>
            </w14:solidFill>
          </w14:textFill>
        </w:rPr>
      </w:pPr>
      <w:r>
        <w:rPr>
          <w:rFonts w:hint="eastAsia" w:hAnsi="宋体"/>
          <w:b w:val="0"/>
          <w:color w:val="000000" w:themeColor="text1"/>
          <w:szCs w:val="21"/>
          <w:highlight w:val="none"/>
          <w14:textFill>
            <w14:solidFill>
              <w14:schemeClr w14:val="tx1"/>
            </w14:solidFill>
          </w14:textFill>
        </w:rPr>
        <w:t>（1）全馆卫生标准要求达到全国文明单位、国家4A级景区的卫生标准。</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（2）各区域的垃圾桶要及时清理，垃圾箱外表干净，无异味。</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（3）保持清洁，无杂物、废物，无纸屑、烟头等废弃物。</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（4）地面干净，无污渍、积水、杂物，设备、设施干净、无积尘，其他部位无积尘，无蜘蛛网。</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（5）厕所保持清洁，无污渍、无异味。</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（6）定期进行“四害”消杀、鼠疫清理工作。</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各展厅、影院、学术中心、青少年科学工作室、培训教室、停车区域、办公区域、公共区域等内部、设施（含展品展项）、桌椅等干净，无污渍、积水、杂物，桌椅及扶手干净、无积尘、其他部位无积尘，无蜘蛛网。</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（8）临时展览展具的清洁。临时展厅展览完毕后按业主要求及时对展厅进行清洁、维护、保养。</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（9）窗面、窗台、窗框、窗沟、墙面、墙壁开关、器材表面天花板、玻璃、指示牌、标牌、监控、消防设施等保持清洁。</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（10）沉沙井、水沟、下水道每月巡查清理2次；化粪池容量达2/3即清理，保证畅通。</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在清洁卫生过程使用到的扫把、垃圾桶、垃圾篓及垃圾清运车等保洁用品由中标单位购买，费用自理。（在清洁卫生及环境保持过程使用到的大、小吸尘器2台以上，石材地面抛光、打磨机1台；清洁服务手推车6辆、扫把、垃圾桶、垃圾篓、除味用品、毛巾、清洁剂、刮刷、水管、除污用品、垃圾袋及垃圾清运车等所有保洁用品由中标单位购买，费用自理。）</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（12）所有保洁用品需达到爱国卫生先进单位等自治区相关环保要求。</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5.定期清洁作业</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（1）球幕影院、4D影院：每周全面清洁、吸尘、消毒1次；</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（2）北面玻璃幕墙（立面）：每月清洁1次；</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（3）景观水池：每周清洗1次，使水池水清无青苔；要求保洁人员每日及时清理景观水池里的杂物，馆石每年保养一次。</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（4）培训部教室：每日至少清洁1次，清洁时间为18:00—19:30；每年寒暑假每日清洁为3次，清洁时间为 6:00—8:00和12：00～1：30；18:00—19:30；（寒暑假保洁误餐费在物业费中支出，标准8元/人次）。以上清洁要求视课程时间及卫生情况可调整时间或增加次数。</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（5）常设展项展品及空调滤网、空调出风口、通风口：每周全面清洁、除尘1次；展项展品每月消杀1次，寒、暑假期间每月消杀2次。</w:t>
      </w:r>
    </w:p>
    <w:p>
      <w:pPr>
        <w:adjustRightInd w:val="0"/>
        <w:snapToGrid w:val="0"/>
        <w:spacing w:line="400" w:lineRule="exact"/>
        <w:ind w:firstLine="57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注：以上各项，如遇重要接待、活动，相应岗位、时间、内容须根据需要调配到位，并积极完成其它临时性清洁服务工作。</w:t>
      </w:r>
    </w:p>
    <w:p>
      <w:pPr>
        <w:widowControl/>
        <w:adjustRightInd w:val="0"/>
        <w:snapToGrid w:val="0"/>
        <w:spacing w:line="400" w:lineRule="exact"/>
        <w:ind w:firstLine="420" w:firstLineChars="200"/>
        <w:jc w:val="lef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6.服务质量的监督及保障措施</w:t>
      </w:r>
    </w:p>
    <w:p>
      <w:pPr>
        <w:adjustRightInd w:val="0"/>
        <w:snapToGrid w:val="0"/>
        <w:spacing w:line="400" w:lineRule="exact"/>
        <w:ind w:right="-109" w:rightChars="-52"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（1）中标单位有因保洁服务工作不到位造成业主被自治区、市、城区等相关部门通报或合同期内中标单位发生一起重大工作失误、事故，有严重后果的，造成业主或第三方损失的，业主有权追究赔偿。</w:t>
      </w:r>
    </w:p>
    <w:p>
      <w:pPr>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（2）中标</w:t>
      </w:r>
      <w:r>
        <w:rPr>
          <w:rFonts w:hint="eastAsia" w:ascii="宋体" w:hAnsi="宋体"/>
          <w:color w:val="000000" w:themeColor="text1"/>
          <w:szCs w:val="21"/>
          <w:highlight w:val="none"/>
          <w14:textFill>
            <w14:solidFill>
              <w14:schemeClr w14:val="tx1"/>
            </w14:solidFill>
          </w14:textFill>
        </w:rPr>
        <w:t>单位</w:t>
      </w:r>
      <w:r>
        <w:rPr>
          <w:rFonts w:hint="eastAsia" w:ascii="宋体" w:hAnsi="宋体"/>
          <w:bCs/>
          <w:color w:val="000000" w:themeColor="text1"/>
          <w:szCs w:val="21"/>
          <w:highlight w:val="none"/>
          <w14:textFill>
            <w14:solidFill>
              <w14:schemeClr w14:val="tx1"/>
            </w14:solidFill>
          </w14:textFill>
        </w:rPr>
        <w:t>有不按招标文件规定执行，违反广西科技馆规章制度，拒不落实馆方工作通知和有下列行为的，每发现一次，业主有权扣除中标</w:t>
      </w:r>
      <w:r>
        <w:rPr>
          <w:rFonts w:hint="eastAsia" w:ascii="宋体" w:hAnsi="宋体"/>
          <w:color w:val="000000" w:themeColor="text1"/>
          <w:szCs w:val="21"/>
          <w:highlight w:val="none"/>
          <w14:textFill>
            <w14:solidFill>
              <w14:schemeClr w14:val="tx1"/>
            </w14:solidFill>
          </w14:textFill>
        </w:rPr>
        <w:t>单位</w:t>
      </w:r>
      <w:r>
        <w:rPr>
          <w:rFonts w:hint="eastAsia" w:ascii="宋体" w:hAnsi="宋体"/>
          <w:bCs/>
          <w:color w:val="000000" w:themeColor="text1"/>
          <w:szCs w:val="21"/>
          <w:highlight w:val="none"/>
          <w14:textFill>
            <w14:solidFill>
              <w14:schemeClr w14:val="tx1"/>
            </w14:solidFill>
          </w14:textFill>
        </w:rPr>
        <w:t>当月服务费1000～3000元。由此造成严重后果一个月内发生2次以上的，扣除物业当月质保金。</w:t>
      </w:r>
    </w:p>
    <w:p>
      <w:pPr>
        <w:tabs>
          <w:tab w:val="left" w:pos="930"/>
        </w:tabs>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①未按招标文件要求投入足够人员造成缺岗；</w:t>
      </w:r>
    </w:p>
    <w:p>
      <w:pPr>
        <w:tabs>
          <w:tab w:val="left" w:pos="930"/>
        </w:tabs>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②未按招标文件对人员进行体检，造成服务人员将传染性疾病带入馆方的；</w:t>
      </w:r>
    </w:p>
    <w:p>
      <w:pPr>
        <w:tabs>
          <w:tab w:val="left" w:pos="930"/>
        </w:tabs>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③不按招标文件规定执行，有不</w:t>
      </w:r>
      <w:r>
        <w:rPr>
          <w:rFonts w:hint="eastAsia" w:ascii="宋体" w:hAnsi="宋体"/>
          <w:color w:val="000000" w:themeColor="text1"/>
          <w:szCs w:val="21"/>
          <w:highlight w:val="none"/>
          <w14:textFill>
            <w14:solidFill>
              <w14:schemeClr w14:val="tx1"/>
            </w14:solidFill>
          </w14:textFill>
        </w:rPr>
        <w:t>为从业人员按时发放工资、购买社会保险和支付加班费等行为的；</w:t>
      </w:r>
    </w:p>
    <w:p>
      <w:pPr>
        <w:pStyle w:val="412"/>
        <w:tabs>
          <w:tab w:val="left" w:pos="930"/>
        </w:tabs>
        <w:adjustRightInd w:val="0"/>
        <w:snapToGrid w:val="0"/>
        <w:spacing w:line="400" w:lineRule="exact"/>
        <w:ind w:right="-109" w:rightChars="-52"/>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④违反安全条例、安全操作规程，造成人员伤亡事故或科技馆财产重大损失的；</w:t>
      </w:r>
    </w:p>
    <w:p>
      <w:pPr>
        <w:tabs>
          <w:tab w:val="left" w:pos="930"/>
        </w:tabs>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⑤携带违禁物品（武器、毒品、爆炸品、易燃品、强腐蚀性物品等）进馆的；</w:t>
      </w:r>
    </w:p>
    <w:p>
      <w:pPr>
        <w:tabs>
          <w:tab w:val="left" w:pos="930"/>
        </w:tabs>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⑥在馆内进行违法乱纪行为、违反治安管理条例等行为的；</w:t>
      </w:r>
    </w:p>
    <w:p>
      <w:pPr>
        <w:tabs>
          <w:tab w:val="left" w:pos="930"/>
        </w:tabs>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⑦因服务人员内部矛盾影响业主正常办公、开放秩序的。</w:t>
      </w:r>
    </w:p>
    <w:p>
      <w:pPr>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（3）主管有不按规定时间上下班，外出无指定临时负责人，不服从馆方管理，对业主、观众投诉3个工作日内不上报、不处理，不落实业主交办任务，不检查督促保洁质量等行为的，每发现一次扣除</w:t>
      </w:r>
      <w:r>
        <w:rPr>
          <w:rFonts w:hint="eastAsia" w:ascii="宋体" w:hAnsi="宋体"/>
          <w:bCs/>
          <w:color w:val="000000" w:themeColor="text1"/>
          <w:szCs w:val="21"/>
          <w:highlight w:val="none"/>
          <w14:textFill>
            <w14:solidFill>
              <w14:schemeClr w14:val="tx1"/>
            </w14:solidFill>
          </w14:textFill>
        </w:rPr>
        <w:t>中标</w:t>
      </w:r>
      <w:r>
        <w:rPr>
          <w:rFonts w:hint="eastAsia" w:ascii="宋体" w:hAnsi="宋体"/>
          <w:color w:val="000000" w:themeColor="text1"/>
          <w:szCs w:val="21"/>
          <w:highlight w:val="none"/>
          <w14:textFill>
            <w14:solidFill>
              <w14:schemeClr w14:val="tx1"/>
            </w14:solidFill>
          </w14:textFill>
        </w:rPr>
        <w:t>单位</w:t>
      </w:r>
      <w:r>
        <w:rPr>
          <w:rFonts w:hint="eastAsia" w:ascii="宋体" w:hAnsi="宋体"/>
          <w:bCs/>
          <w:color w:val="000000" w:themeColor="text1"/>
          <w:szCs w:val="21"/>
          <w:highlight w:val="none"/>
          <w14:textFill>
            <w14:solidFill>
              <w14:schemeClr w14:val="tx1"/>
            </w14:solidFill>
          </w14:textFill>
        </w:rPr>
        <w:t>当月</w:t>
      </w:r>
      <w:r>
        <w:rPr>
          <w:rFonts w:hint="eastAsia" w:ascii="宋体" w:hAnsi="宋体"/>
          <w:color w:val="000000" w:themeColor="text1"/>
          <w:szCs w:val="21"/>
          <w:highlight w:val="none"/>
          <w14:textFill>
            <w14:solidFill>
              <w14:schemeClr w14:val="tx1"/>
            </w14:solidFill>
          </w14:textFill>
        </w:rPr>
        <w:t>服务费1000-3000元。</w:t>
      </w:r>
      <w:r>
        <w:rPr>
          <w:rFonts w:hint="eastAsia" w:ascii="宋体" w:hAnsi="宋体"/>
          <w:bCs/>
          <w:color w:val="000000" w:themeColor="text1"/>
          <w:szCs w:val="21"/>
          <w:highlight w:val="none"/>
          <w14:textFill>
            <w14:solidFill>
              <w14:schemeClr w14:val="tx1"/>
            </w14:solidFill>
          </w14:textFill>
        </w:rPr>
        <w:t>一个月内发生3次以上的，业主有权扣除当月三分之一以上质保金。</w:t>
      </w:r>
    </w:p>
    <w:p>
      <w:pPr>
        <w:widowControl/>
        <w:adjustRightInd w:val="0"/>
        <w:snapToGrid w:val="0"/>
        <w:spacing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（4）保洁服务人员有下列行为的，每检查发现一次扣除</w:t>
      </w:r>
      <w:r>
        <w:rPr>
          <w:rFonts w:hint="eastAsia" w:ascii="宋体" w:hAnsi="宋体"/>
          <w:bCs/>
          <w:color w:val="000000" w:themeColor="text1"/>
          <w:kern w:val="0"/>
          <w:szCs w:val="21"/>
          <w:highlight w:val="none"/>
          <w14:textFill>
            <w14:solidFill>
              <w14:schemeClr w14:val="tx1"/>
            </w14:solidFill>
          </w14:textFill>
        </w:rPr>
        <w:t>中标</w:t>
      </w:r>
      <w:r>
        <w:rPr>
          <w:rFonts w:hint="eastAsia" w:ascii="宋体" w:hAnsi="宋体"/>
          <w:color w:val="000000" w:themeColor="text1"/>
          <w:kern w:val="0"/>
          <w:szCs w:val="21"/>
          <w:highlight w:val="none"/>
          <w14:textFill>
            <w14:solidFill>
              <w14:schemeClr w14:val="tx1"/>
            </w14:solidFill>
          </w14:textFill>
        </w:rPr>
        <w:t>单位</w:t>
      </w:r>
      <w:r>
        <w:rPr>
          <w:rFonts w:hint="eastAsia" w:ascii="宋体" w:hAnsi="宋体"/>
          <w:bCs/>
          <w:color w:val="000000" w:themeColor="text1"/>
          <w:kern w:val="0"/>
          <w:szCs w:val="21"/>
          <w:highlight w:val="none"/>
          <w14:textFill>
            <w14:solidFill>
              <w14:schemeClr w14:val="tx1"/>
            </w14:solidFill>
          </w14:textFill>
        </w:rPr>
        <w:t>当月</w:t>
      </w:r>
      <w:r>
        <w:rPr>
          <w:rFonts w:hint="eastAsia" w:ascii="宋体" w:hAnsi="宋体"/>
          <w:color w:val="000000" w:themeColor="text1"/>
          <w:kern w:val="0"/>
          <w:szCs w:val="21"/>
          <w:highlight w:val="none"/>
          <w14:textFill>
            <w14:solidFill>
              <w14:schemeClr w14:val="tx1"/>
            </w14:solidFill>
          </w14:textFill>
        </w:rPr>
        <w:t>服务费1000-3000元。一个月内发生8次以上或连续两个月每月发生6次以上的，业主有权扣除当月质保金。</w:t>
      </w:r>
    </w:p>
    <w:p>
      <w:pPr>
        <w:widowControl/>
        <w:adjustRightInd w:val="0"/>
        <w:snapToGrid w:val="0"/>
        <w:spacing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①室外公共区域卫生保洁未达到招标文件规定标准的；</w:t>
      </w:r>
    </w:p>
    <w:p>
      <w:pPr>
        <w:widowControl/>
        <w:adjustRightInd w:val="0"/>
        <w:snapToGrid w:val="0"/>
        <w:spacing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②垃圾清运和卫生间保洁未达到招标文件规定标准的；</w:t>
      </w:r>
    </w:p>
    <w:p>
      <w:pPr>
        <w:widowControl/>
        <w:adjustRightInd w:val="0"/>
        <w:snapToGrid w:val="0"/>
        <w:spacing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③室内地面、玻璃、天面、直梯、扶梯、会议室等区域卫生未达到招标文件规定标准的；</w:t>
      </w:r>
    </w:p>
    <w:p>
      <w:pPr>
        <w:widowControl/>
        <w:adjustRightInd w:val="0"/>
        <w:snapToGrid w:val="0"/>
        <w:spacing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④</w:t>
      </w:r>
      <w:r>
        <w:rPr>
          <w:rFonts w:hint="eastAsia" w:ascii="宋体" w:hAnsi="宋体"/>
          <w:bCs/>
          <w:color w:val="000000" w:themeColor="text1"/>
          <w:kern w:val="0"/>
          <w:szCs w:val="21"/>
          <w:highlight w:val="none"/>
          <w14:textFill>
            <w14:solidFill>
              <w14:schemeClr w14:val="tx1"/>
            </w14:solidFill>
          </w14:textFill>
        </w:rPr>
        <w:t>工作时间不开对讲机，</w:t>
      </w:r>
      <w:r>
        <w:rPr>
          <w:rFonts w:hint="eastAsia" w:ascii="宋体" w:hAnsi="宋体"/>
          <w:color w:val="000000" w:themeColor="text1"/>
          <w:kern w:val="0"/>
          <w:szCs w:val="21"/>
          <w:highlight w:val="none"/>
          <w14:textFill>
            <w14:solidFill>
              <w14:schemeClr w14:val="tx1"/>
            </w14:solidFill>
          </w14:textFill>
        </w:rPr>
        <w:t>不落实值班制度，保洁人员呼叫响应不及时的；</w:t>
      </w:r>
    </w:p>
    <w:p>
      <w:pPr>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⑤不服从管理，与观众吵架、谩骂、侮辱观众，上班期间有穿拖鞋、不穿工作服、不带工作牌、迟到早退，脱岗、睡岗，工作散漫，粗心大意造成工作差错等行为的；</w:t>
      </w:r>
    </w:p>
    <w:p>
      <w:pPr>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⑥对管理区域卫生设施设备、卫生保洁不按要求检查、记录，并将工作范围内文字档案未及时整理归档的；</w:t>
      </w:r>
    </w:p>
    <w:p>
      <w:pPr>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⑦未按要求上报卫生间、公共区域设施设备存在问题的，拾遗不报的；</w:t>
      </w:r>
    </w:p>
    <w:p>
      <w:pPr>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⑧发现问题不及时处理、汇报，造成一定不良后果的</w:t>
      </w:r>
      <w:r>
        <w:rPr>
          <w:rFonts w:hint="eastAsia" w:ascii="宋体" w:hAnsi="宋体"/>
          <w:color w:val="000000" w:themeColor="text1"/>
          <w:szCs w:val="21"/>
          <w:highlight w:val="none"/>
          <w14:textFill>
            <w14:solidFill>
              <w14:schemeClr w14:val="tx1"/>
            </w14:solidFill>
          </w14:textFill>
        </w:rPr>
        <w:t>；</w:t>
      </w:r>
    </w:p>
    <w:p>
      <w:pPr>
        <w:adjustRightInd w:val="0"/>
        <w:snapToGrid w:val="0"/>
        <w:spacing w:line="400" w:lineRule="exact"/>
        <w:ind w:right="-109" w:rightChars="-52"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⑨无特殊原因不完成业主交待的任务的</w:t>
      </w:r>
      <w:r>
        <w:rPr>
          <w:rFonts w:hint="eastAsia" w:ascii="宋体" w:hAnsi="宋体"/>
          <w:color w:val="000000" w:themeColor="text1"/>
          <w:szCs w:val="21"/>
          <w:highlight w:val="none"/>
          <w14:textFill>
            <w14:solidFill>
              <w14:schemeClr w14:val="tx1"/>
            </w14:solidFill>
          </w14:textFill>
        </w:rPr>
        <w:t>。</w:t>
      </w:r>
    </w:p>
    <w:p>
      <w:pPr>
        <w:adjustRightInd w:val="0"/>
        <w:snapToGrid w:val="0"/>
        <w:spacing w:line="400" w:lineRule="exact"/>
        <w:ind w:right="-109" w:rightChars="-52"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（六）客服服务管理</w:t>
      </w:r>
    </w:p>
    <w:p>
      <w:pPr>
        <w:adjustRightInd w:val="0"/>
        <w:snapToGrid w:val="0"/>
        <w:spacing w:line="400" w:lineRule="exact"/>
        <w:ind w:right="-109" w:rightChars="-52"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1.服务范围：贵宾室、会议室、报告厅、党员政治生活活动室、发票亭、检票处、服务中心、广播室等场所。</w:t>
      </w:r>
    </w:p>
    <w:p>
      <w:pPr>
        <w:adjustRightInd w:val="0"/>
        <w:snapToGrid w:val="0"/>
        <w:spacing w:line="400" w:lineRule="exact"/>
        <w:ind w:right="-109" w:rightChars="-52"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2.工作内容：</w:t>
      </w:r>
    </w:p>
    <w:p>
      <w:pPr>
        <w:adjustRightInd w:val="0"/>
        <w:snapToGrid w:val="0"/>
        <w:spacing w:line="400" w:lineRule="exact"/>
        <w:ind w:right="-109" w:rightChars="-52" w:firstLine="420" w:firstLineChars="200"/>
        <w:rPr>
          <w:rFonts w:hint="eastAsia" w:ascii="宋体" w:hAnsi="宋体" w:cs="宋体"/>
          <w:bCs/>
          <w:color w:val="000000" w:themeColor="text1"/>
          <w:kern w:val="0"/>
          <w:sz w:val="21"/>
          <w:szCs w:val="21"/>
          <w:highlight w:val="none"/>
          <w14:textFill>
            <w14:solidFill>
              <w14:schemeClr w14:val="tx1"/>
            </w14:solidFill>
          </w14:textFill>
        </w:rPr>
      </w:pPr>
      <w:r>
        <w:rPr>
          <w:rFonts w:hint="eastAsia" w:ascii="宋体" w:hAnsi="宋体"/>
          <w:b/>
          <w:bCs/>
          <w:color w:val="000000" w:themeColor="text1"/>
          <w:szCs w:val="21"/>
          <w:highlight w:val="none"/>
          <w:lang w:eastAsia="zh-CN"/>
          <w14:textFill>
            <w14:solidFill>
              <w14:schemeClr w14:val="tx1"/>
            </w14:solidFill>
          </w14:textFill>
        </w:rPr>
        <w:t>（</w:t>
      </w:r>
      <w:r>
        <w:rPr>
          <w:rFonts w:hint="eastAsia" w:ascii="宋体" w:hAnsi="宋体"/>
          <w:b/>
          <w:bCs/>
          <w:color w:val="000000" w:themeColor="text1"/>
          <w:szCs w:val="21"/>
          <w:highlight w:val="none"/>
          <w:lang w:val="en-US" w:eastAsia="zh-CN"/>
          <w14:textFill>
            <w14:solidFill>
              <w14:schemeClr w14:val="tx1"/>
            </w14:solidFill>
          </w14:textFill>
        </w:rPr>
        <w:t>1</w:t>
      </w:r>
      <w:r>
        <w:rPr>
          <w:rFonts w:hint="eastAsia" w:ascii="宋体" w:hAnsi="宋体"/>
          <w:b/>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kern w:val="0"/>
          <w:sz w:val="21"/>
          <w:szCs w:val="21"/>
          <w:highlight w:val="none"/>
          <w14:textFill>
            <w14:solidFill>
              <w14:schemeClr w14:val="tx1"/>
            </w14:solidFill>
          </w14:textFill>
        </w:rPr>
        <w:t>客服主管</w:t>
      </w:r>
    </w:p>
    <w:p>
      <w:pPr>
        <w:adjustRightInd w:val="0"/>
        <w:snapToGrid w:val="0"/>
        <w:spacing w:line="400" w:lineRule="exact"/>
        <w:ind w:right="-109" w:rightChars="-52" w:firstLine="420" w:firstLineChars="200"/>
        <w:rPr>
          <w:rFonts w:hint="eastAsia" w:ascii="宋体" w:hAnsi="宋体" w:eastAsia="宋体"/>
          <w:b/>
          <w:bCs/>
          <w:color w:val="000000" w:themeColor="text1"/>
          <w:sz w:val="21"/>
          <w:szCs w:val="2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具有</w:t>
      </w:r>
      <w:r>
        <w:rPr>
          <w:rFonts w:hint="eastAsia"/>
          <w:color w:val="000000" w:themeColor="text1"/>
          <w:highlight w:val="none"/>
          <w:lang w:val="en-US" w:eastAsia="zh-CN"/>
          <w14:textFill>
            <w14:solidFill>
              <w14:schemeClr w14:val="tx1"/>
            </w14:solidFill>
          </w14:textFill>
        </w:rPr>
        <w:t>大学专科</w:t>
      </w:r>
      <w:r>
        <w:rPr>
          <w:rFonts w:hint="eastAsia"/>
          <w:color w:val="000000" w:themeColor="text1"/>
          <w:highlight w:val="none"/>
          <w14:textFill>
            <w14:solidFill>
              <w14:schemeClr w14:val="tx1"/>
            </w14:solidFill>
          </w14:textFill>
        </w:rPr>
        <w:t>或</w:t>
      </w:r>
      <w:r>
        <w:rPr>
          <w:rFonts w:hint="eastAsia"/>
          <w:color w:val="000000" w:themeColor="text1"/>
          <w:highlight w:val="none"/>
          <w:lang w:val="en-US" w:eastAsia="zh-CN"/>
          <w14:textFill>
            <w14:solidFill>
              <w14:schemeClr w14:val="tx1"/>
            </w14:solidFill>
          </w14:textFill>
        </w:rPr>
        <w:t>以上</w:t>
      </w:r>
      <w:r>
        <w:rPr>
          <w:rFonts w:hint="eastAsia"/>
          <w:color w:val="000000" w:themeColor="text1"/>
          <w:highlight w:val="none"/>
          <w14:textFill>
            <w14:solidFill>
              <w14:schemeClr w14:val="tx1"/>
            </w14:solidFill>
          </w14:textFill>
        </w:rPr>
        <w:t>学历</w:t>
      </w:r>
      <w:r>
        <w:rPr>
          <w:rFonts w:hint="eastAsia"/>
          <w:color w:val="000000" w:themeColor="text1"/>
          <w:highlight w:val="none"/>
          <w:lang w:eastAsia="zh-CN"/>
          <w14:textFill>
            <w14:solidFill>
              <w14:schemeClr w14:val="tx1"/>
            </w14:solidFill>
          </w14:textFill>
        </w:rPr>
        <w:t>，</w:t>
      </w:r>
      <w:r>
        <w:rPr>
          <w:rFonts w:hint="eastAsia" w:ascii="宋体" w:hAnsi="宋体" w:cs="宋体"/>
          <w:bCs/>
          <w:color w:val="000000" w:themeColor="text1"/>
          <w:kern w:val="0"/>
          <w:sz w:val="21"/>
          <w:szCs w:val="21"/>
          <w:highlight w:val="none"/>
          <w14:textFill>
            <w14:solidFill>
              <w14:schemeClr w14:val="tx1"/>
            </w14:solidFill>
          </w14:textFill>
        </w:rPr>
        <w:t>负责客服部管理及各项工作，协调客服人员开展会议、检票、咨询、票务及公共卫生健康安全服务工作，处置客服部工作中遇到的问题。完成业主各类展览、活动、比赛等全程保洁工作。</w:t>
      </w:r>
    </w:p>
    <w:p>
      <w:pPr>
        <w:adjustRightInd w:val="0"/>
        <w:snapToGrid w:val="0"/>
        <w:spacing w:line="400" w:lineRule="exact"/>
        <w:ind w:right="-109" w:rightChars="-52"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w:t>
      </w:r>
      <w:r>
        <w:rPr>
          <w:rFonts w:hint="eastAsia" w:ascii="宋体" w:hAnsi="宋体"/>
          <w:b/>
          <w:bCs/>
          <w:color w:val="000000" w:themeColor="text1"/>
          <w:szCs w:val="21"/>
          <w:highlight w:val="none"/>
          <w:lang w:val="en-US" w:eastAsia="zh-CN"/>
          <w14:textFill>
            <w14:solidFill>
              <w14:schemeClr w14:val="tx1"/>
            </w14:solidFill>
          </w14:textFill>
        </w:rPr>
        <w:t>2</w:t>
      </w:r>
      <w:r>
        <w:rPr>
          <w:rFonts w:hint="eastAsia" w:ascii="宋体" w:hAnsi="宋体"/>
          <w:b/>
          <w:bCs/>
          <w:color w:val="000000" w:themeColor="text1"/>
          <w:szCs w:val="21"/>
          <w:highlight w:val="none"/>
          <w14:textFill>
            <w14:solidFill>
              <w14:schemeClr w14:val="tx1"/>
            </w14:solidFill>
          </w14:textFill>
        </w:rPr>
        <w:t>）会议会务服务工作</w:t>
      </w:r>
    </w:p>
    <w:p>
      <w:pPr>
        <w:adjustRightInd w:val="0"/>
        <w:snapToGrid w:val="0"/>
        <w:spacing w:line="400" w:lineRule="exact"/>
        <w:ind w:right="-109" w:rightChars="-52"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①工作责任：负责贵宾室、会议室、党员政治生活活动室、学术报告厅等场所的会议服务工作，</w:t>
      </w:r>
      <w:r>
        <w:rPr>
          <w:rFonts w:hint="eastAsia" w:ascii="Cambria Math" w:hAnsi="Cambria Math" w:cs="Cambria Math"/>
          <w:color w:val="000000" w:themeColor="text1"/>
          <w:szCs w:val="21"/>
          <w:highlight w:val="none"/>
          <w14:textFill>
            <w14:solidFill>
              <w14:schemeClr w14:val="tx1"/>
            </w14:solidFill>
          </w14:textFill>
        </w:rPr>
        <w:t>完成业主交办的其他工作任务</w:t>
      </w:r>
      <w:r>
        <w:rPr>
          <w:rFonts w:hint="eastAsia" w:ascii="宋体" w:hAnsi="宋体"/>
          <w:color w:val="000000" w:themeColor="text1"/>
          <w:szCs w:val="21"/>
          <w:highlight w:val="none"/>
          <w14:textFill>
            <w14:solidFill>
              <w14:schemeClr w14:val="tx1"/>
            </w14:solidFill>
          </w14:textFill>
        </w:rPr>
        <w:t>。</w:t>
      </w:r>
    </w:p>
    <w:p>
      <w:pPr>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②仪容仪表：上岗时着装统一、规范，服饰整洁，修饰得体，佩戴工作证，情绪饱满，微笑服务。</w:t>
      </w:r>
    </w:p>
    <w:p>
      <w:pPr>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③行为举止：举止文明、规范，站姿、坐姿自然端正，遇到迎面走来的客户时应主动避让；引导客户行进时，走在观众前方适当位置，需要转弯时，先伸手示意观众。</w:t>
      </w:r>
    </w:p>
    <w:p>
      <w:pPr>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④服务态度热情周到，使用文明用语，讲普通话，回答问题准确、耐心，有问必答，不得与观众发生争执。</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⑤以上各项服务须接受业主相关部门的监督和管理。</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⑥会议室的卫生间需放置洗手液、纸巾方便参会人员使用。</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3</w:t>
      </w:r>
      <w:r>
        <w:rPr>
          <w:rFonts w:hint="eastAsia" w:ascii="宋体" w:hAnsi="宋体" w:cs="宋体"/>
          <w:b/>
          <w:bCs/>
          <w:color w:val="000000" w:themeColor="text1"/>
          <w:szCs w:val="21"/>
          <w:highlight w:val="none"/>
          <w14:textFill>
            <w14:solidFill>
              <w14:schemeClr w14:val="tx1"/>
            </w14:solidFill>
          </w14:textFill>
        </w:rPr>
        <w:t>）检票工作内容、标准及职责</w:t>
      </w:r>
    </w:p>
    <w:p>
      <w:pPr>
        <w:adjustRightInd w:val="0"/>
        <w:snapToGrid w:val="0"/>
        <w:spacing w:line="400" w:lineRule="exact"/>
        <w:ind w:firstLine="420" w:firstLineChars="200"/>
        <w:rPr>
          <w:rFonts w:ascii="宋体" w:hAnsi="宋体" w:cs="宋体"/>
          <w:color w:val="000000" w:themeColor="text1"/>
          <w:szCs w:val="21"/>
          <w:highlight w:val="none"/>
          <w:shd w:val="clear" w:color="auto" w:fill="FFFFFF"/>
          <w14:textFill>
            <w14:solidFill>
              <w14:schemeClr w14:val="tx1"/>
            </w14:solidFill>
          </w14:textFill>
        </w:rPr>
      </w:pPr>
      <w:r>
        <w:rPr>
          <w:rFonts w:hint="eastAsia" w:ascii="宋体" w:hAnsi="宋体" w:cs="宋体"/>
          <w:color w:val="000000" w:themeColor="text1"/>
          <w:szCs w:val="21"/>
          <w:highlight w:val="none"/>
          <w:shd w:val="clear" w:color="auto" w:fill="FFFFFF"/>
          <w14:textFill>
            <w14:solidFill>
              <w14:schemeClr w14:val="tx1"/>
            </w14:solidFill>
          </w14:textFill>
        </w:rPr>
        <w:t>①遵守各项工作制度,严格检票程序, 忠于职责，不玩忽职守，徇私舞弊。</w:t>
      </w:r>
    </w:p>
    <w:p>
      <w:pPr>
        <w:adjustRightInd w:val="0"/>
        <w:snapToGrid w:val="0"/>
        <w:spacing w:line="400" w:lineRule="exact"/>
        <w:ind w:firstLine="420" w:firstLineChars="200"/>
        <w:rPr>
          <w:rFonts w:ascii="宋体" w:hAnsi="宋体" w:cs="宋体"/>
          <w:color w:val="000000" w:themeColor="text1"/>
          <w:szCs w:val="21"/>
          <w:highlight w:val="none"/>
          <w:shd w:val="clear" w:color="auto" w:fill="FFFFFF"/>
          <w14:textFill>
            <w14:solidFill>
              <w14:schemeClr w14:val="tx1"/>
            </w14:solidFill>
          </w14:textFill>
        </w:rPr>
      </w:pPr>
      <w:r>
        <w:rPr>
          <w:rFonts w:hint="eastAsia" w:ascii="宋体" w:hAnsi="宋体" w:cs="宋体"/>
          <w:color w:val="000000" w:themeColor="text1"/>
          <w:szCs w:val="21"/>
          <w:highlight w:val="none"/>
          <w:shd w:val="clear" w:color="auto" w:fill="FFFFFF"/>
          <w14:textFill>
            <w14:solidFill>
              <w14:schemeClr w14:val="tx1"/>
            </w14:solidFill>
          </w14:textFill>
        </w:rPr>
        <w:t>②工作用品、物品摆放到位。  </w:t>
      </w:r>
    </w:p>
    <w:p>
      <w:pPr>
        <w:adjustRightInd w:val="0"/>
        <w:snapToGrid w:val="0"/>
        <w:spacing w:line="400" w:lineRule="exact"/>
        <w:ind w:firstLine="420" w:firstLineChars="200"/>
        <w:rPr>
          <w:rFonts w:ascii="宋体" w:hAnsi="宋体" w:cs="宋体"/>
          <w:color w:val="000000" w:themeColor="text1"/>
          <w:szCs w:val="21"/>
          <w:highlight w:val="none"/>
          <w:shd w:val="clear" w:color="auto" w:fill="FFFFFF"/>
          <w14:textFill>
            <w14:solidFill>
              <w14:schemeClr w14:val="tx1"/>
            </w14:solidFill>
          </w14:textFill>
        </w:rPr>
      </w:pPr>
      <w:r>
        <w:rPr>
          <w:rFonts w:hint="eastAsia" w:ascii="宋体" w:hAnsi="宋体" w:cs="宋体"/>
          <w:color w:val="000000" w:themeColor="text1"/>
          <w:szCs w:val="21"/>
          <w:highlight w:val="none"/>
          <w:shd w:val="clear" w:color="auto" w:fill="FFFFFF"/>
          <w14:textFill>
            <w14:solidFill>
              <w14:schemeClr w14:val="tx1"/>
            </w14:solidFill>
          </w14:textFill>
        </w:rPr>
        <w:t>③检票站立服务。保持正确的站姿，端庄自然、亲切、稳重。面对游客文雅、自如、端正、稳重、自然亲切。  </w:t>
      </w:r>
    </w:p>
    <w:p>
      <w:pPr>
        <w:adjustRightInd w:val="0"/>
        <w:snapToGrid w:val="0"/>
        <w:spacing w:line="400" w:lineRule="exact"/>
        <w:ind w:firstLine="420" w:firstLineChars="200"/>
        <w:rPr>
          <w:rFonts w:ascii="宋体" w:hAnsi="宋体" w:cs="宋体"/>
          <w:color w:val="000000" w:themeColor="text1"/>
          <w:szCs w:val="21"/>
          <w:highlight w:val="none"/>
          <w:shd w:val="clear" w:color="auto" w:fill="FFFFFF"/>
          <w14:textFill>
            <w14:solidFill>
              <w14:schemeClr w14:val="tx1"/>
            </w14:solidFill>
          </w14:textFill>
        </w:rPr>
      </w:pPr>
      <w:r>
        <w:rPr>
          <w:rFonts w:hint="eastAsia" w:ascii="宋体" w:hAnsi="宋体" w:cs="宋体"/>
          <w:color w:val="000000" w:themeColor="text1"/>
          <w:szCs w:val="21"/>
          <w:highlight w:val="none"/>
          <w:shd w:val="clear" w:color="auto" w:fill="FFFFFF"/>
          <w14:textFill>
            <w14:solidFill>
              <w14:schemeClr w14:val="tx1"/>
            </w14:solidFill>
          </w14:textFill>
        </w:rPr>
        <w:t>④服务使用礼貌用语，要来有迎语，去有送声，语言清晰准确，声音动听。要熟练使用礼貌用语十字（您好，谢谢，请，再见，对不起）。</w:t>
      </w:r>
    </w:p>
    <w:p>
      <w:pPr>
        <w:adjustRightInd w:val="0"/>
        <w:snapToGrid w:val="0"/>
        <w:spacing w:line="400" w:lineRule="exact"/>
        <w:ind w:firstLine="420" w:firstLineChars="200"/>
        <w:rPr>
          <w:rFonts w:ascii="宋体" w:hAnsi="宋体" w:cs="宋体"/>
          <w:color w:val="000000" w:themeColor="text1"/>
          <w:szCs w:val="21"/>
          <w:highlight w:val="none"/>
          <w:shd w:val="clear" w:color="auto" w:fill="FFFFFF"/>
          <w14:textFill>
            <w14:solidFill>
              <w14:schemeClr w14:val="tx1"/>
            </w14:solidFill>
          </w14:textFill>
        </w:rPr>
      </w:pPr>
      <w:r>
        <w:rPr>
          <w:rFonts w:hint="eastAsia" w:ascii="宋体" w:hAnsi="宋体" w:cs="宋体"/>
          <w:color w:val="000000" w:themeColor="text1"/>
          <w:szCs w:val="21"/>
          <w:highlight w:val="none"/>
          <w:shd w:val="clear" w:color="auto" w:fill="FFFFFF"/>
          <w14:textFill>
            <w14:solidFill>
              <w14:schemeClr w14:val="tx1"/>
            </w14:solidFill>
          </w14:textFill>
        </w:rPr>
        <w:t xml:space="preserve">⑤热情主动服务。客人到检票口时，要彬彬有礼，主动招呼，亲切问候，如：“您好，请问您几位？”等。 </w:t>
      </w:r>
    </w:p>
    <w:p>
      <w:pPr>
        <w:adjustRightInd w:val="0"/>
        <w:snapToGrid w:val="0"/>
        <w:spacing w:line="400" w:lineRule="exact"/>
        <w:ind w:firstLine="420" w:firstLineChars="200"/>
        <w:rPr>
          <w:rFonts w:ascii="宋体" w:hAnsi="宋体" w:cs="宋体"/>
          <w:color w:val="000000" w:themeColor="text1"/>
          <w:szCs w:val="21"/>
          <w:highlight w:val="none"/>
          <w:shd w:val="clear" w:color="auto" w:fill="FFFFFF"/>
          <w14:textFill>
            <w14:solidFill>
              <w14:schemeClr w14:val="tx1"/>
            </w14:solidFill>
          </w14:textFill>
        </w:rPr>
      </w:pPr>
      <w:r>
        <w:rPr>
          <w:rFonts w:hint="eastAsia" w:ascii="宋体" w:hAnsi="宋体" w:cs="宋体"/>
          <w:color w:val="000000" w:themeColor="text1"/>
          <w:szCs w:val="21"/>
          <w:highlight w:val="none"/>
          <w:shd w:val="clear" w:color="auto" w:fill="FFFFFF"/>
          <w14:textFill>
            <w14:solidFill>
              <w14:schemeClr w14:val="tx1"/>
            </w14:solidFill>
          </w14:textFill>
        </w:rPr>
        <w:t>⑥核验证件时，要双手接过客人递过来的证件，验后双手将证件还送给客人，并说：谢谢合作。</w:t>
      </w:r>
    </w:p>
    <w:p>
      <w:pPr>
        <w:adjustRightInd w:val="0"/>
        <w:snapToGrid w:val="0"/>
        <w:spacing w:line="400" w:lineRule="exact"/>
        <w:ind w:firstLine="420" w:firstLineChars="200"/>
        <w:rPr>
          <w:rFonts w:ascii="宋体" w:hAnsi="宋体" w:cs="宋体"/>
          <w:color w:val="000000" w:themeColor="text1"/>
          <w:szCs w:val="21"/>
          <w:highlight w:val="none"/>
          <w:shd w:val="clear" w:color="auto" w:fill="FFFFFF"/>
          <w14:textFill>
            <w14:solidFill>
              <w14:schemeClr w14:val="tx1"/>
            </w14:solidFill>
          </w14:textFill>
        </w:rPr>
      </w:pPr>
      <w:r>
        <w:rPr>
          <w:rFonts w:hint="eastAsia" w:ascii="宋体" w:hAnsi="宋体" w:cs="宋体"/>
          <w:color w:val="000000" w:themeColor="text1"/>
          <w:szCs w:val="21"/>
          <w:highlight w:val="none"/>
          <w:shd w:val="clear" w:color="auto" w:fill="FFFFFF"/>
          <w14:textFill>
            <w14:solidFill>
              <w14:schemeClr w14:val="tx1"/>
            </w14:solidFill>
          </w14:textFill>
        </w:rPr>
        <w:t xml:space="preserve">⑦在接待重要客人时，全体检票员要站立并向客人致意问候。 </w:t>
      </w:r>
    </w:p>
    <w:p>
      <w:pPr>
        <w:adjustRightInd w:val="0"/>
        <w:snapToGrid w:val="0"/>
        <w:spacing w:line="400" w:lineRule="exact"/>
        <w:ind w:firstLine="420" w:firstLineChars="200"/>
        <w:rPr>
          <w:rFonts w:ascii="宋体" w:hAnsi="宋体" w:cs="宋体"/>
          <w:color w:val="000000" w:themeColor="text1"/>
          <w:szCs w:val="21"/>
          <w:highlight w:val="none"/>
          <w:shd w:val="clear" w:color="auto" w:fill="FFFFFF"/>
          <w14:textFill>
            <w14:solidFill>
              <w14:schemeClr w14:val="tx1"/>
            </w14:solidFill>
          </w14:textFill>
        </w:rPr>
      </w:pPr>
      <w:r>
        <w:rPr>
          <w:rFonts w:hint="eastAsia" w:ascii="宋体" w:hAnsi="宋体" w:cs="宋体"/>
          <w:color w:val="000000" w:themeColor="text1"/>
          <w:szCs w:val="21"/>
          <w:highlight w:val="none"/>
          <w:shd w:val="clear" w:color="auto" w:fill="FFFFFF"/>
          <w14:textFill>
            <w14:solidFill>
              <w14:schemeClr w14:val="tx1"/>
            </w14:solidFill>
          </w14:textFill>
        </w:rPr>
        <w:t xml:space="preserve">⑧对客人提出的问询详细答复，做到百问不厌，用词贴切，简洁明了，口齿清楚。 </w:t>
      </w:r>
    </w:p>
    <w:p>
      <w:pPr>
        <w:adjustRightInd w:val="0"/>
        <w:snapToGrid w:val="0"/>
        <w:spacing w:line="400" w:lineRule="exact"/>
        <w:ind w:firstLine="420" w:firstLineChars="200"/>
        <w:rPr>
          <w:rFonts w:ascii="宋体" w:hAnsi="宋体" w:cs="宋体"/>
          <w:color w:val="000000" w:themeColor="text1"/>
          <w:szCs w:val="21"/>
          <w:highlight w:val="none"/>
          <w:shd w:val="clear" w:color="auto" w:fill="FFFFFF"/>
          <w14:textFill>
            <w14:solidFill>
              <w14:schemeClr w14:val="tx1"/>
            </w14:solidFill>
          </w14:textFill>
        </w:rPr>
      </w:pPr>
      <w:r>
        <w:rPr>
          <w:rFonts w:hint="eastAsia" w:ascii="宋体" w:hAnsi="宋体" w:cs="宋体"/>
          <w:color w:val="000000" w:themeColor="text1"/>
          <w:szCs w:val="21"/>
          <w:highlight w:val="none"/>
          <w:shd w:val="clear" w:color="auto" w:fill="FFFFFF"/>
          <w14:textFill>
            <w14:solidFill>
              <w14:schemeClr w14:val="tx1"/>
            </w14:solidFill>
          </w14:textFill>
        </w:rPr>
        <w:t>⑨对待特殊人群（老人、残疾人等）要主动提供必要的帮助。</w:t>
      </w:r>
    </w:p>
    <w:p>
      <w:pPr>
        <w:adjustRightInd w:val="0"/>
        <w:snapToGrid w:val="0"/>
        <w:spacing w:line="400" w:lineRule="exact"/>
        <w:ind w:firstLine="420" w:firstLineChars="200"/>
        <w:rPr>
          <w:rFonts w:ascii="宋体" w:hAnsi="宋体" w:cs="宋体"/>
          <w:color w:val="000000" w:themeColor="text1"/>
          <w:szCs w:val="21"/>
          <w:highlight w:val="none"/>
          <w:shd w:val="clear" w:color="auto" w:fill="FFFFFF"/>
          <w14:textFill>
            <w14:solidFill>
              <w14:schemeClr w14:val="tx1"/>
            </w14:solidFill>
          </w14:textFill>
        </w:rPr>
      </w:pPr>
      <w:r>
        <w:rPr>
          <w:rFonts w:hint="eastAsia" w:ascii="宋体" w:hAnsi="宋体" w:cs="宋体"/>
          <w:color w:val="000000" w:themeColor="text1"/>
          <w:szCs w:val="21"/>
          <w:highlight w:val="none"/>
          <w:shd w:val="clear" w:color="auto" w:fill="FFFFFF"/>
          <w14:textFill>
            <w14:solidFill>
              <w14:schemeClr w14:val="tx1"/>
            </w14:solidFill>
          </w14:textFill>
        </w:rPr>
        <w:t>⑩积极组织游客有秩序的通过，避免混乱现象的发生。</w:t>
      </w:r>
    </w:p>
    <w:p>
      <w:pPr>
        <w:adjustRightInd w:val="0"/>
        <w:snapToGrid w:val="0"/>
        <w:spacing w:line="400" w:lineRule="exact"/>
        <w:ind w:firstLine="420" w:firstLineChars="200"/>
        <w:rPr>
          <w:rFonts w:ascii="宋体" w:hAnsi="宋体" w:cs="宋体"/>
          <w:color w:val="000000" w:themeColor="text1"/>
          <w:szCs w:val="21"/>
          <w:highlight w:val="none"/>
          <w:shd w:val="clear" w:color="auto" w:fill="FFFFFF"/>
          <w14:textFill>
            <w14:solidFill>
              <w14:schemeClr w14:val="tx1"/>
            </w14:solidFill>
          </w14:textFill>
        </w:rPr>
      </w:pPr>
      <w:r>
        <w:rPr>
          <w:rFonts w:hint="eastAsia" w:ascii="宋体" w:hAnsi="宋体" w:cs="宋体"/>
          <w:color w:val="000000" w:themeColor="text1"/>
          <w:szCs w:val="21"/>
          <w:highlight w:val="none"/>
          <w:shd w:val="clear" w:color="auto" w:fill="FFFFFF"/>
          <w14:textFill>
            <w14:solidFill>
              <w14:schemeClr w14:val="tx1"/>
            </w14:solidFill>
          </w14:textFill>
        </w:rPr>
        <w:t>⑪对客人的意见和建议汇总分析上报主管领导。</w:t>
      </w:r>
    </w:p>
    <w:p>
      <w:pPr>
        <w:adjustRightInd w:val="0"/>
        <w:snapToGrid w:val="0"/>
        <w:spacing w:line="400" w:lineRule="exact"/>
        <w:ind w:firstLine="420" w:firstLineChars="200"/>
        <w:rPr>
          <w:rFonts w:ascii="宋体" w:hAnsi="宋体" w:cs="宋体"/>
          <w:color w:val="000000" w:themeColor="text1"/>
          <w:szCs w:val="21"/>
          <w:highlight w:val="none"/>
          <w:shd w:val="clear" w:color="auto" w:fill="FFFFFF"/>
          <w14:textFill>
            <w14:solidFill>
              <w14:schemeClr w14:val="tx1"/>
            </w14:solidFill>
          </w14:textFill>
        </w:rPr>
      </w:pPr>
      <w:r>
        <w:rPr>
          <w:rFonts w:hint="eastAsia" w:ascii="宋体" w:hAnsi="宋体" w:cs="宋体"/>
          <w:color w:val="000000" w:themeColor="text1"/>
          <w:szCs w:val="21"/>
          <w:highlight w:val="none"/>
          <w:shd w:val="clear" w:color="auto" w:fill="FFFFFF"/>
          <w14:textFill>
            <w14:solidFill>
              <w14:schemeClr w14:val="tx1"/>
            </w14:solidFill>
          </w14:textFill>
        </w:rPr>
        <w:t>⑫检票时要认真、细致。做到票数与游客人数相符，不得漏检或私自放无票人员进入。</w:t>
      </w:r>
    </w:p>
    <w:p>
      <w:pPr>
        <w:adjustRightInd w:val="0"/>
        <w:snapToGrid w:val="0"/>
        <w:spacing w:line="400" w:lineRule="exact"/>
        <w:ind w:firstLine="420" w:firstLineChars="200"/>
        <w:rPr>
          <w:rFonts w:ascii="宋体" w:hAnsi="宋体" w:cs="宋体"/>
          <w:color w:val="000000" w:themeColor="text1"/>
          <w:szCs w:val="21"/>
          <w:highlight w:val="none"/>
          <w:shd w:val="clear" w:color="auto" w:fill="FFFFFF"/>
          <w14:textFill>
            <w14:solidFill>
              <w14:schemeClr w14:val="tx1"/>
            </w14:solidFill>
          </w14:textFill>
        </w:rPr>
      </w:pPr>
      <w:r>
        <w:rPr>
          <w:rFonts w:hint="eastAsia" w:ascii="宋体" w:hAnsi="宋体" w:cs="宋体"/>
          <w:color w:val="000000" w:themeColor="text1"/>
          <w:szCs w:val="21"/>
          <w:highlight w:val="none"/>
          <w:shd w:val="clear" w:color="auto" w:fill="FFFFFF"/>
          <w14:textFill>
            <w14:solidFill>
              <w14:schemeClr w14:val="tx1"/>
            </w14:solidFill>
          </w14:textFill>
        </w:rPr>
        <w:t>⑬遵守业主方上下岗时间,不擅离职守。</w:t>
      </w:r>
    </w:p>
    <w:p>
      <w:pPr>
        <w:adjustRightInd w:val="0"/>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⑭谢绝不文明参观，衣冠不整者谢绝入场。</w:t>
      </w:r>
    </w:p>
    <w:p>
      <w:pPr>
        <w:adjustRightInd w:val="0"/>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⑮场馆内禁止吸烟。进馆参观请详细了解消防安全疏散路线图，听从场馆工作人员引导，保持场馆良好的参观秩序。</w:t>
      </w:r>
    </w:p>
    <w:p>
      <w:pPr>
        <w:adjustRightInd w:val="0"/>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⑯遵守场馆内相关安全规定，配合场馆安保人员工作，消除安全隐患。</w:t>
      </w:r>
    </w:p>
    <w:p>
      <w:pPr>
        <w:adjustRightInd w:val="0"/>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⑰禁止易燃易爆危险物品、宠物进入场馆。</w:t>
      </w:r>
    </w:p>
    <w:p>
      <w:pPr>
        <w:adjustRightInd w:val="0"/>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⑱</w:t>
      </w:r>
      <w:r>
        <w:rPr>
          <w:rFonts w:hint="eastAsia" w:ascii="Cambria Math" w:hAnsi="Cambria Math" w:cs="Cambria Math"/>
          <w:color w:val="000000" w:themeColor="text1"/>
          <w:szCs w:val="21"/>
          <w:highlight w:val="none"/>
          <w14:textFill>
            <w14:solidFill>
              <w14:schemeClr w14:val="tx1"/>
            </w14:solidFill>
          </w14:textFill>
        </w:rPr>
        <w:t>完成业主交办的其他工作任务</w:t>
      </w:r>
      <w:r>
        <w:rPr>
          <w:rFonts w:hint="eastAsia" w:ascii="宋体" w:hAnsi="宋体"/>
          <w:color w:val="000000" w:themeColor="text1"/>
          <w:szCs w:val="21"/>
          <w:highlight w:val="none"/>
          <w14:textFill>
            <w14:solidFill>
              <w14:schemeClr w14:val="tx1"/>
            </w14:solidFill>
          </w14:textFill>
        </w:rPr>
        <w:t>。</w:t>
      </w:r>
    </w:p>
    <w:p>
      <w:pPr>
        <w:spacing w:line="360" w:lineRule="auto"/>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val="en-US" w:eastAsia="zh-CN"/>
          <w14:textFill>
            <w14:solidFill>
              <w14:schemeClr w14:val="tx1"/>
            </w14:solidFill>
          </w14:textFill>
        </w:rPr>
        <w:t>4</w:t>
      </w:r>
      <w:r>
        <w:rPr>
          <w:rFonts w:hint="eastAsia" w:ascii="宋体" w:hAnsi="宋体" w:cs="宋体"/>
          <w:b/>
          <w:color w:val="000000" w:themeColor="text1"/>
          <w:szCs w:val="21"/>
          <w:highlight w:val="none"/>
          <w14:textFill>
            <w14:solidFill>
              <w14:schemeClr w14:val="tx1"/>
            </w14:solidFill>
          </w14:textFill>
        </w:rPr>
        <w:t>）咨询岗位工作内容、职责</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①岗位设在服务中心内。</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②熟悉馆预约制度、团体接待管理等制度。</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③主要工作内容：负责接游客咨询、投诉电话，回答游客咨询问题，记录游客投诉以及根据相关政策法规和馆规章制度解释工作（电话和现场），协助电子身份证认证工作等。</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④</w:t>
      </w:r>
      <w:r>
        <w:rPr>
          <w:rFonts w:hint="eastAsia" w:ascii="Cambria Math" w:hAnsi="Cambria Math" w:cs="Cambria Math"/>
          <w:color w:val="000000" w:themeColor="text1"/>
          <w:szCs w:val="21"/>
          <w:highlight w:val="none"/>
          <w14:textFill>
            <w14:solidFill>
              <w14:schemeClr w14:val="tx1"/>
            </w14:solidFill>
          </w14:textFill>
        </w:rPr>
        <w:t>完成业主交办的其他工作任务</w:t>
      </w:r>
      <w:r>
        <w:rPr>
          <w:rFonts w:hint="eastAsia" w:ascii="宋体" w:hAnsi="宋体"/>
          <w:color w:val="000000" w:themeColor="text1"/>
          <w:szCs w:val="21"/>
          <w:highlight w:val="none"/>
          <w14:textFill>
            <w14:solidFill>
              <w14:schemeClr w14:val="tx1"/>
            </w14:solidFill>
          </w14:textFill>
        </w:rPr>
        <w:t>。</w:t>
      </w:r>
    </w:p>
    <w:p>
      <w:pPr>
        <w:spacing w:line="360" w:lineRule="auto"/>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val="en-US" w:eastAsia="zh-CN"/>
          <w14:textFill>
            <w14:solidFill>
              <w14:schemeClr w14:val="tx1"/>
            </w14:solidFill>
          </w14:textFill>
        </w:rPr>
        <w:t>5</w:t>
      </w:r>
      <w:r>
        <w:rPr>
          <w:rFonts w:hint="eastAsia" w:ascii="宋体" w:hAnsi="宋体" w:cs="宋体"/>
          <w:b/>
          <w:color w:val="000000" w:themeColor="text1"/>
          <w:szCs w:val="21"/>
          <w:highlight w:val="none"/>
          <w14:textFill>
            <w14:solidFill>
              <w14:schemeClr w14:val="tx1"/>
            </w14:solidFill>
          </w14:textFill>
        </w:rPr>
        <w:t>）广播员工作内容、职责</w:t>
      </w:r>
    </w:p>
    <w:p>
      <w:pPr>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①负责开馆、闭馆、影院售票信息等日常广播。</w:t>
      </w:r>
    </w:p>
    <w:p>
      <w:pPr>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②负责用广播播放寻人启事、寻物启事以及紧急情况广播。</w:t>
      </w:r>
    </w:p>
    <w:p>
      <w:pPr>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③负责录制日常和紧急广播内容（内容需经馆方审核和批准）。</w:t>
      </w:r>
    </w:p>
    <w:p>
      <w:pPr>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④完成业主交办的其他工作任务。</w:t>
      </w:r>
    </w:p>
    <w:p>
      <w:pPr>
        <w:pStyle w:val="2"/>
        <w:ind w:firstLine="422"/>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五、维保项目需求</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一）根据广西科技馆实际情况以下项目必须由中标人和专业的维保公司签订维保合同，如中标人有相应维保资质能进行相关设备维保，必须提供相应的材料，并单独配备维保技术人员（不算入物业人员配置总数）：</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1.总配电房设备维保。</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2.消防系统维保。</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3.电梯（直梯和扶梯）维保。</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中央空调维保（包括整个中央空调系统：空调主机【离心机、螺杆机和辅助管道、设备等】、冷冻水系统【空调末端、风柜、冷冻水泵、补水箱和辅助管道、设备等】、冷却水系统【冷却水泵、冷却塔和辅助管道、设备等】）。</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5.四害消杀。</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（二）以下项目必须由专业公司、机构按照规定完成：</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1.每个月对四害进行消杀（污水井、雨水井、化粪池、沟渠等进行灭鼠、灭蚊、灭蟑螂、灭苍蝇）。</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2.生活垃圾日常清运、处理。</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3.每半年对化粪池清理。</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4.立体机械式停车位年检。</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5.每年对驾驶员安全培训。</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6.电梯（直梯和扶梯）年检。</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7.防雷系统年检。</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8.每年对配电房设备预防性试验。</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9.</w:t>
      </w:r>
      <w:r>
        <w:rPr>
          <w:rFonts w:hint="eastAsia" w:ascii="宋体" w:hAnsi="宋体" w:cs="宋体"/>
          <w:bCs/>
          <w:color w:val="000000" w:themeColor="text1"/>
          <w:szCs w:val="21"/>
          <w:highlight w:val="none"/>
          <w:lang w:eastAsia="zh-CN"/>
          <w14:textFill>
            <w14:solidFill>
              <w14:schemeClr w14:val="tx1"/>
            </w14:solidFill>
          </w14:textFill>
        </w:rPr>
        <w:t>室内空气质量检测</w:t>
      </w:r>
      <w:r>
        <w:rPr>
          <w:rFonts w:hint="eastAsia" w:ascii="宋体" w:hAnsi="宋体" w:cs="宋体"/>
          <w:bCs/>
          <w:color w:val="000000" w:themeColor="text1"/>
          <w:szCs w:val="21"/>
          <w:highlight w:val="none"/>
          <w14:textFill>
            <w14:solidFill>
              <w14:schemeClr w14:val="tx1"/>
            </w14:solidFill>
          </w14:textFill>
        </w:rPr>
        <w:t>（1年一次），并出具报告。</w:t>
      </w:r>
    </w:p>
    <w:p>
      <w:pPr>
        <w:pStyle w:val="2"/>
        <w:ind w:firstLine="420"/>
        <w:rPr>
          <w:rFonts w:hAnsi="宋体" w:cs="宋体"/>
          <w:b w:val="0"/>
          <w:bCs/>
          <w:color w:val="000000" w:themeColor="text1"/>
          <w:szCs w:val="21"/>
          <w:highlight w:val="none"/>
          <w14:textFill>
            <w14:solidFill>
              <w14:schemeClr w14:val="tx1"/>
            </w14:solidFill>
          </w14:textFill>
        </w:rPr>
      </w:pPr>
      <w:r>
        <w:rPr>
          <w:rFonts w:hint="eastAsia" w:hAnsi="宋体" w:cs="宋体"/>
          <w:b w:val="0"/>
          <w:bCs/>
          <w:color w:val="000000" w:themeColor="text1"/>
          <w:szCs w:val="21"/>
          <w:highlight w:val="none"/>
          <w14:textFill>
            <w14:solidFill>
              <w14:schemeClr w14:val="tx1"/>
            </w14:solidFill>
          </w14:textFill>
        </w:rPr>
        <w:t>（三）维保公司签定，业主方参与维保服务内容谈判，签订维保公司必须经过业主同意，否则业主方有权要求中标方更换维保公司。</w:t>
      </w:r>
    </w:p>
    <w:p>
      <w:pPr>
        <w:ind w:firstLine="420" w:firstLineChars="20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四）维保公司在日常维保中，必须按照维保合同约定时间上门处理隐患和故障，按时保质保量完成维修任务。如一个季度内存在2次不按照合同约定时间解决隐患和故障，不按质按量完成维修任务，推诿扯皮，业主方有权要求中标方更换维保公司。</w:t>
      </w:r>
    </w:p>
    <w:p>
      <w:pPr>
        <w:pStyle w:val="2"/>
        <w:ind w:firstLine="420"/>
        <w:rPr>
          <w:rFonts w:hAnsi="宋体" w:cs="宋体"/>
          <w:b w:val="0"/>
          <w:bCs/>
          <w:color w:val="000000" w:themeColor="text1"/>
          <w:szCs w:val="21"/>
          <w:highlight w:val="none"/>
          <w14:textFill>
            <w14:solidFill>
              <w14:schemeClr w14:val="tx1"/>
            </w14:solidFill>
          </w14:textFill>
        </w:rPr>
      </w:pPr>
      <w:r>
        <w:rPr>
          <w:rFonts w:hint="eastAsia" w:hAnsi="宋体" w:cs="宋体"/>
          <w:b w:val="0"/>
          <w:bCs/>
          <w:color w:val="000000" w:themeColor="text1"/>
          <w:szCs w:val="21"/>
          <w:highlight w:val="none"/>
          <w14:textFill>
            <w14:solidFill>
              <w14:schemeClr w14:val="tx1"/>
            </w14:solidFill>
          </w14:textFill>
        </w:rPr>
        <w:t>（五）所有维保项目维保公司必须保证维保设备的正常运行，维保公司按照国家、自治区、市相关规定进行维保，保证业主方正常使用设备。</w:t>
      </w:r>
    </w:p>
    <w:p>
      <w:pPr>
        <w:ind w:firstLine="420" w:firstLineChars="20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（六）不属于维保合同约定的更换配件、维修内容的，必须按照最优解决方案报业主方，取得业主方同意，实施维修工作。维修内容和时限必须按照约定完成。</w:t>
      </w:r>
    </w:p>
    <w:p>
      <w:pPr>
        <w:pStyle w:val="2"/>
        <w:ind w:firstLine="420"/>
        <w:rPr>
          <w:color w:val="000000" w:themeColor="text1"/>
          <w:highlight w:val="none"/>
          <w14:textFill>
            <w14:solidFill>
              <w14:schemeClr w14:val="tx1"/>
            </w14:solidFill>
          </w14:textFill>
        </w:rPr>
      </w:pPr>
      <w:r>
        <w:rPr>
          <w:rFonts w:hint="eastAsia" w:hAnsi="宋体" w:cs="宋体"/>
          <w:b w:val="0"/>
          <w:bCs/>
          <w:color w:val="000000" w:themeColor="text1"/>
          <w:szCs w:val="21"/>
          <w:highlight w:val="none"/>
          <w14:textFill>
            <w14:solidFill>
              <w14:schemeClr w14:val="tx1"/>
            </w14:solidFill>
          </w14:textFill>
        </w:rPr>
        <w:t>（七）所有维保设备年检必须取得年检合格证明。保证业主方正常使用设备。</w:t>
      </w:r>
    </w:p>
    <w:p>
      <w:pPr>
        <w:adjustRightInd w:val="0"/>
        <w:snapToGrid w:val="0"/>
        <w:spacing w:line="400" w:lineRule="exact"/>
        <w:ind w:firstLine="409" w:firstLineChars="195"/>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六、其他要求</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中标单位负责管理学术报告厅、会议室、接待室、党员政治生活活动室，并保证学术报告厅、会议室、接待室、党员政治生活活动室设备设施的安全完好使用。中标单位按业主要求派专人管理，包括使用、资产、保洁等各项管理会议厅钥匙由会议专管员负责专门保管和使用，必须爱护并妥善保管室内各类设备、设施，室内多媒体、音响、灯光等设备由专业人员操作，非专业人员不得操作，根据业主要求做好会议接待服务工作。</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（二）每年根据国家、自治区有关法律法规，对电梯、防雷系统、供配电系统、绝缘工具、仪器仪表、室内环境空气等进行年检或检测，保证各系统的正常运行使用，费用由中标单位承担。</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（三）物业管理服务标准</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1.中标单位应树立“业主至上，服务第一”的思想，为业主创造一个安全、宁静、整洁、优雅的工作环境；</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2.中标单位应为业主提供礼貌、热情、周到的服务，最大限度地满足业主的服务要求；</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3.中标单位应主动、积极地加强与业主的联系，多途径、多渠道征询和听取意见，不断改进工作；</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4.中标单位应大力推行创优质服务、优质管理的活动，并达到一定目标，使业主对营运服务的满意率达到98%以上，并负责使管理的物业保值、增值；</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5.中标单位应加强保密教育，严格遵守保密规定；</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6.中标单位应积极为业主提供其他特殊项目的服务。</w:t>
      </w:r>
    </w:p>
    <w:p>
      <w:pPr>
        <w:adjustRightInd w:val="0"/>
        <w:snapToGrid w:val="0"/>
        <w:spacing w:line="400" w:lineRule="exact"/>
        <w:ind w:firstLine="420"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（四）物业管理服务合同期限</w:t>
      </w:r>
    </w:p>
    <w:p>
      <w:pPr>
        <w:adjustRightInd w:val="0"/>
        <w:snapToGrid w:val="0"/>
        <w:spacing w:line="400" w:lineRule="exact"/>
        <w:ind w:firstLine="420"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本物业服务管理合同期限为</w:t>
      </w:r>
      <w:r>
        <w:rPr>
          <w:rFonts w:ascii="宋体" w:hAnsi="宋体"/>
          <w:b/>
          <w:bCs/>
          <w:color w:val="000000" w:themeColor="text1"/>
          <w:szCs w:val="21"/>
          <w:highlight w:val="none"/>
          <w14:textFill>
            <w14:solidFill>
              <w14:schemeClr w14:val="tx1"/>
            </w14:solidFill>
          </w14:textFill>
        </w:rPr>
        <w:t>2</w:t>
      </w:r>
      <w:r>
        <w:rPr>
          <w:rFonts w:hint="eastAsia" w:ascii="宋体" w:hAnsi="宋体"/>
          <w:b/>
          <w:bCs/>
          <w:color w:val="000000" w:themeColor="text1"/>
          <w:szCs w:val="21"/>
          <w:highlight w:val="none"/>
          <w14:textFill>
            <w14:solidFill>
              <w14:schemeClr w14:val="tx1"/>
            </w14:solidFill>
          </w14:textFill>
        </w:rPr>
        <w:t>年。</w:t>
      </w:r>
    </w:p>
    <w:p>
      <w:pPr>
        <w:adjustRightInd w:val="0"/>
        <w:snapToGrid w:val="0"/>
        <w:spacing w:line="4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（五）投标报价包含以下所列项目费用及物业管理所发生的一切费用的总和。</w:t>
      </w:r>
      <w:r>
        <w:rPr>
          <w:rFonts w:hint="eastAsia" w:ascii="宋体" w:hAnsi="宋体" w:cs="宋体"/>
          <w:bCs/>
          <w:color w:val="000000" w:themeColor="text1"/>
          <w:szCs w:val="21"/>
          <w:highlight w:val="none"/>
          <w14:textFill>
            <w14:solidFill>
              <w14:schemeClr w14:val="tx1"/>
            </w14:solidFill>
          </w14:textFill>
        </w:rPr>
        <w:t>本项目采购预算价为</w:t>
      </w:r>
      <w:r>
        <w:rPr>
          <w:rFonts w:hint="eastAsia" w:ascii="宋体" w:hAnsi="宋体" w:cs="宋体"/>
          <w:bCs/>
          <w:color w:val="000000" w:themeColor="text1"/>
          <w:szCs w:val="21"/>
          <w:highlight w:val="none"/>
          <w:lang w:val="en-US" w:eastAsia="zh-CN"/>
          <w14:textFill>
            <w14:solidFill>
              <w14:schemeClr w14:val="tx1"/>
            </w14:solidFill>
          </w14:textFill>
        </w:rPr>
        <w:t>1070</w:t>
      </w:r>
      <w:r>
        <w:rPr>
          <w:rFonts w:hint="eastAsia" w:ascii="宋体" w:hAnsi="宋体" w:cs="宋体"/>
          <w:bCs/>
          <w:color w:val="000000" w:themeColor="text1"/>
          <w:szCs w:val="21"/>
          <w:highlight w:val="none"/>
          <w14:textFill>
            <w14:solidFill>
              <w14:schemeClr w14:val="tx1"/>
            </w14:solidFill>
          </w14:textFill>
        </w:rPr>
        <w:t>万元（</w:t>
      </w:r>
      <w:r>
        <w:rPr>
          <w:rFonts w:hint="eastAsia" w:ascii="宋体" w:hAnsi="宋体" w:cs="宋体"/>
          <w:bCs/>
          <w:color w:val="000000" w:themeColor="text1"/>
          <w:szCs w:val="21"/>
          <w:highlight w:val="none"/>
          <w:lang w:val="en-US" w:eastAsia="zh-CN"/>
          <w14:textFill>
            <w14:solidFill>
              <w14:schemeClr w14:val="tx1"/>
            </w14:solidFill>
          </w14:textFill>
        </w:rPr>
        <w:t>2</w:t>
      </w:r>
      <w:r>
        <w:rPr>
          <w:rFonts w:hint="eastAsia" w:ascii="宋体" w:hAnsi="宋体" w:cs="宋体"/>
          <w:bCs/>
          <w:color w:val="000000" w:themeColor="text1"/>
          <w:szCs w:val="21"/>
          <w:highlight w:val="none"/>
          <w14:textFill>
            <w14:solidFill>
              <w14:schemeClr w14:val="tx1"/>
            </w14:solidFill>
          </w14:textFill>
        </w:rPr>
        <w:t>年），在投标报价时不能超过采购预算，报价必须包括或符合以下条款：</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1.包括物业服务人员工资应不低于本地最低工资标准，要按合同约定的工资标准按时足额发放工资，并接受业主方的检查和监督。</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2.包括按国家规定为所有物业服务人员购买社会保险。</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3.包括日常办公费、劳保费、服装费（每人每年冬夏各2套）。</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4.包括物业服务人员全年加班费和福利费。</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5.包括维保项目费用（包括五、维保项目需求所需的全部费用）。</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6.包括工具器材、清洁易耗品、消杀药品、生活垃圾清运、绿化垃圾清运等费用。</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7.包括物业公司管理费用和合理利润。</w:t>
      </w:r>
    </w:p>
    <w:p>
      <w:pPr>
        <w:spacing w:line="360" w:lineRule="auto"/>
        <w:ind w:firstLine="420" w:firstLineChars="200"/>
        <w:rPr>
          <w:color w:val="000000" w:themeColor="text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8.包括法定税费。</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（六）物业管理服务用房</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业主向中标单位提供必要的办公用房一间，中标单位无权出租、买卖和抵押。业主不提供从业人员食宿条件。</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（七）不属中标单位承担费用的设备零部件需要更换的，须由中标单位提供具体方案，由业主核定、采购。</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（八）投标单位必须完全应答招标文件所提出的要求，否则视为废标。</w:t>
      </w:r>
    </w:p>
    <w:p>
      <w:pPr>
        <w:spacing w:line="50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（九）</w:t>
      </w:r>
      <w:r>
        <w:rPr>
          <w:rFonts w:hint="eastAsia" w:ascii="宋体" w:hAnsi="宋体" w:eastAsia="宋体" w:cs="宋体"/>
          <w:bCs/>
          <w:color w:val="000000" w:themeColor="text1"/>
          <w:sz w:val="21"/>
          <w:szCs w:val="21"/>
          <w:highlight w:val="none"/>
          <w14:textFill>
            <w14:solidFill>
              <w14:schemeClr w14:val="tx1"/>
            </w14:solidFill>
          </w14:textFill>
        </w:rPr>
        <w:t>现场踏勘要求</w:t>
      </w:r>
    </w:p>
    <w:p>
      <w:pPr>
        <w:adjustRightInd w:val="0"/>
        <w:snapToGrid w:val="0"/>
        <w:spacing w:line="500" w:lineRule="exact"/>
        <w:ind w:firstLine="415" w:firstLineChars="19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本项目由投标人自愿前往统一踏勘。</w:t>
      </w:r>
    </w:p>
    <w:p>
      <w:pPr>
        <w:shd w:val="clear" w:color="auto" w:fill="auto"/>
        <w:adjustRightInd w:val="0"/>
        <w:snapToGrid w:val="0"/>
        <w:spacing w:line="500" w:lineRule="exact"/>
        <w:ind w:firstLine="415" w:firstLineChars="198"/>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统一踏勘时间：</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2024</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年</w:t>
      </w:r>
      <w:r>
        <w:rPr>
          <w:rFonts w:hint="eastAsia" w:ascii="宋体" w:hAnsi="宋体" w:cs="宋体"/>
          <w:color w:val="000000" w:themeColor="text1"/>
          <w:sz w:val="21"/>
          <w:szCs w:val="21"/>
          <w:highlight w:val="none"/>
          <w:shd w:val="clear" w:color="auto" w:fill="auto"/>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月</w:t>
      </w:r>
      <w:r>
        <w:rPr>
          <w:rFonts w:hint="eastAsia" w:ascii="宋体" w:hAnsi="宋体" w:cs="宋体"/>
          <w:color w:val="000000" w:themeColor="text1"/>
          <w:sz w:val="21"/>
          <w:szCs w:val="21"/>
          <w:highlight w:val="none"/>
          <w:shd w:val="clear" w:color="auto" w:fill="auto"/>
          <w:lang w:val="en-US" w:eastAsia="zh-CN"/>
          <w14:textFill>
            <w14:solidFill>
              <w14:schemeClr w14:val="tx1"/>
            </w14:solidFill>
          </w14:textFill>
        </w:rPr>
        <w:t>16</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日（</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09</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时</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分）；踏勘地点：</w:t>
      </w:r>
      <w:r>
        <w:rPr>
          <w:rFonts w:hint="eastAsia" w:ascii="宋体" w:hAnsi="宋体" w:cs="宋体"/>
          <w:color w:val="000000" w:themeColor="text1"/>
          <w:sz w:val="21"/>
          <w:szCs w:val="21"/>
          <w:highlight w:val="none"/>
          <w:shd w:val="clear" w:color="auto" w:fill="auto"/>
          <w:lang w:val="en-US" w:eastAsia="zh-CN"/>
          <w14:textFill>
            <w14:solidFill>
              <w14:schemeClr w14:val="tx1"/>
            </w14:solidFill>
          </w14:textFill>
        </w:rPr>
        <w:t>广西科技馆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；集合地点：</w:t>
      </w:r>
      <w:r>
        <w:rPr>
          <w:rFonts w:hint="eastAsia" w:ascii="宋体" w:hAnsi="宋体" w:cs="宋体"/>
          <w:color w:val="000000" w:themeColor="text1"/>
          <w:sz w:val="21"/>
          <w:szCs w:val="21"/>
          <w:highlight w:val="none"/>
          <w:shd w:val="clear" w:color="auto" w:fill="auto"/>
          <w:lang w:val="en-US" w:eastAsia="zh-CN"/>
          <w14:textFill>
            <w14:solidFill>
              <w14:schemeClr w14:val="tx1"/>
            </w14:solidFill>
          </w14:textFill>
        </w:rPr>
        <w:t>广西科技馆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w:t>
      </w:r>
    </w:p>
    <w:p>
      <w:pPr>
        <w:adjustRightInd w:val="0"/>
        <w:snapToGrid w:val="0"/>
        <w:spacing w:line="500" w:lineRule="exact"/>
        <w:ind w:firstLine="415" w:firstLineChars="198"/>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踏勘联系人及联系电话：</w:t>
      </w:r>
      <w:r>
        <w:rPr>
          <w:rFonts w:hint="eastAsia" w:ascii="宋体" w:hAnsi="宋体" w:cs="宋体"/>
          <w:color w:val="000000" w:themeColor="text1"/>
          <w:sz w:val="21"/>
          <w:szCs w:val="21"/>
          <w:highlight w:val="none"/>
          <w:lang w:val="en-US" w:eastAsia="zh-CN"/>
          <w14:textFill>
            <w14:solidFill>
              <w14:schemeClr w14:val="tx1"/>
            </w14:solidFill>
          </w14:textFill>
        </w:rPr>
        <w:t>杨扬，18978149214</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w:t>
      </w:r>
    </w:p>
    <w:p>
      <w:pPr>
        <w:adjustRightInd w:val="0"/>
        <w:snapToGrid w:val="0"/>
        <w:spacing w:line="500" w:lineRule="exact"/>
        <w:ind w:firstLine="415" w:firstLineChars="19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法定代表人或委托代理人均须携身份证复印件，非法定代表人参加的须另携带法定代表人授权委托书原件前往踏勘。</w:t>
      </w:r>
    </w:p>
    <w:p>
      <w:pPr>
        <w:spacing w:line="500" w:lineRule="exact"/>
        <w:ind w:firstLine="420" w:firstLineChars="200"/>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5.投标人承担自己踏勘现场发生的一切费用。</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（十）投标人根据招标文件和现场勘</w:t>
      </w:r>
      <w:r>
        <w:rPr>
          <w:rFonts w:hint="eastAsia" w:ascii="宋体" w:hAnsi="宋体"/>
          <w:color w:val="000000" w:themeColor="text1"/>
          <w:szCs w:val="21"/>
          <w:highlight w:val="none"/>
          <w:lang w:val="en-US" w:eastAsia="zh-CN"/>
          <w14:textFill>
            <w14:solidFill>
              <w14:schemeClr w14:val="tx1"/>
            </w14:solidFill>
          </w14:textFill>
        </w:rPr>
        <w:t>察</w:t>
      </w:r>
      <w:r>
        <w:rPr>
          <w:rFonts w:hint="eastAsia" w:ascii="宋体" w:hAnsi="宋体"/>
          <w:color w:val="000000" w:themeColor="text1"/>
          <w:szCs w:val="21"/>
          <w:highlight w:val="none"/>
          <w14:textFill>
            <w14:solidFill>
              <w14:schemeClr w14:val="tx1"/>
            </w14:solidFill>
          </w14:textFill>
        </w:rPr>
        <w:t>情况编制管理计划方案及服务承诺书，投标文件做出的管理计划方案及服务承诺书视为已完全理解招标文件和采购单位现场情况，在投标报价中已包含所有采购人需要维护保养以及物业管理的服务项目。采购人不再另外支付中标人在投标前未考虑到的不可预见风险因素而导致的其他增加的费用。管理计划方案及服务承诺书作为评标依据。</w:t>
      </w:r>
    </w:p>
    <w:p>
      <w:pPr>
        <w:spacing w:line="400" w:lineRule="exact"/>
        <w:ind w:firstLine="420" w:firstLineChars="200"/>
        <w:rPr>
          <w:color w:val="000000" w:themeColor="text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（十一）</w:t>
      </w:r>
      <w:r>
        <w:rPr>
          <w:rFonts w:hint="eastAsia" w:hAnsi="宋体"/>
          <w:b/>
          <w:bCs/>
          <w:color w:val="000000" w:themeColor="text1"/>
          <w:szCs w:val="21"/>
          <w:highlight w:val="none"/>
          <w14:textFill>
            <w14:solidFill>
              <w14:schemeClr w14:val="tx1"/>
            </w14:solidFill>
          </w14:textFill>
        </w:rPr>
        <w:t>付款方式：</w:t>
      </w:r>
      <w:r>
        <w:rPr>
          <w:rFonts w:hint="eastAsia" w:cs="宋体"/>
          <w:b/>
          <w:bCs/>
          <w:color w:val="000000" w:themeColor="text1"/>
          <w:szCs w:val="21"/>
          <w:highlight w:val="none"/>
          <w14:textFill>
            <w14:solidFill>
              <w14:schemeClr w14:val="tx1"/>
            </w14:solidFill>
          </w14:textFill>
        </w:rPr>
        <w:t>服务开始10个工作日内，采购人向中标人支付一年合同款的10%作为预付款；物业服务费按月支付（每月经采购单位书面验收合格后，向中标单位支付服务款，优先用预付款抵扣）</w:t>
      </w:r>
    </w:p>
    <w:p>
      <w:pPr>
        <w:adjustRightInd w:val="0"/>
        <w:snapToGrid w:val="0"/>
        <w:spacing w:line="400" w:lineRule="exact"/>
        <w:ind w:right="-109" w:rightChars="-52" w:firstLine="411"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七、服务保障措施(违规惩罚机制)</w:t>
      </w:r>
    </w:p>
    <w:p>
      <w:pPr>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一）中标单位不按招标文件规定执行，违反业主规章制度，拒不落实业主工作通知。每发生一起，扣除当月应支付物业服务费1000-5000元。由此造成严重后果或恶劣影响或一个月内发生2次以上的，馆方可以无条件立即终止服务合同。</w:t>
      </w:r>
    </w:p>
    <w:p>
      <w:pPr>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1.随意更换项目主管未提前通报业主方并征求业主意见的</w:t>
      </w:r>
    </w:p>
    <w:p>
      <w:pPr>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2.未按招标文件要求投入足够人员造成缺岗的</w:t>
      </w:r>
    </w:p>
    <w:p>
      <w:pPr>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.发生缺员现象后未在7个工作日内补齐的。</w:t>
      </w:r>
    </w:p>
    <w:p>
      <w:pPr>
        <w:tabs>
          <w:tab w:val="left" w:pos="885"/>
        </w:tabs>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4.未按招标文件对人员进行政审、体检、须持证上岗人员无证、持假证的</w:t>
      </w:r>
    </w:p>
    <w:p>
      <w:pPr>
        <w:tabs>
          <w:tab w:val="left" w:pos="885"/>
        </w:tabs>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5.违反安全条例、安全操作规程，造成人员伤亡事故或业主财产重大损失的</w:t>
      </w:r>
    </w:p>
    <w:p>
      <w:pPr>
        <w:tabs>
          <w:tab w:val="left" w:pos="885"/>
        </w:tabs>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6.携带违禁物品（武器、毒品、爆炸品、易燃品、强腐蚀性物品等）进科技馆的</w:t>
      </w:r>
    </w:p>
    <w:p>
      <w:pPr>
        <w:tabs>
          <w:tab w:val="left" w:pos="885"/>
        </w:tabs>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7.在场馆内进行违法乱纪行为、违反治安管理条例行为的</w:t>
      </w:r>
    </w:p>
    <w:p>
      <w:pPr>
        <w:tabs>
          <w:tab w:val="left" w:pos="885"/>
        </w:tabs>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8.私自配置业主钥匙、改装业主锁具的</w:t>
      </w:r>
    </w:p>
    <w:p>
      <w:pPr>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二）中标单位项目经理、主管不按招标文件规定执行，不履行经理、主管职责，违反业主规章制度的，每发生一起扣除当月应支付物业服务费1000-5000元，并责令中标公司严肃纪律、调整人员。1月内发生2次、业主有权无条件终止服务合同。</w:t>
      </w:r>
    </w:p>
    <w:p>
      <w:pPr>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1.私自带无关人员进入业主非公共开放部位的</w:t>
      </w:r>
    </w:p>
    <w:p>
      <w:pPr>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w:t>
      </w:r>
      <w:r>
        <w:rPr>
          <w:rFonts w:hint="eastAsia" w:ascii="宋体" w:hAnsi="宋体"/>
          <w:bCs/>
          <w:color w:val="000000" w:themeColor="text1"/>
          <w:szCs w:val="21"/>
          <w:highlight w:val="none"/>
          <w14:textFill>
            <w14:solidFill>
              <w14:schemeClr w14:val="tx1"/>
            </w14:solidFill>
          </w14:textFill>
        </w:rPr>
        <w:t>.在考勤、值班、检查、维修记录（包括书面和口头）弄虚作假，伪造的</w:t>
      </w:r>
    </w:p>
    <w:p>
      <w:pPr>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3</w:t>
      </w:r>
      <w:r>
        <w:rPr>
          <w:rFonts w:hint="eastAsia" w:ascii="宋体" w:hAnsi="宋体"/>
          <w:bCs/>
          <w:color w:val="000000" w:themeColor="text1"/>
          <w:szCs w:val="21"/>
          <w:highlight w:val="none"/>
          <w14:textFill>
            <w14:solidFill>
              <w14:schemeClr w14:val="tx1"/>
            </w14:solidFill>
          </w14:textFill>
        </w:rPr>
        <w:t>.对业主工作通知、投诉在3个工作日内不处理不上报的</w:t>
      </w:r>
    </w:p>
    <w:p>
      <w:pPr>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w:t>
      </w:r>
      <w:r>
        <w:rPr>
          <w:rFonts w:hint="eastAsia" w:ascii="宋体" w:hAnsi="宋体"/>
          <w:bCs/>
          <w:color w:val="000000" w:themeColor="text1"/>
          <w:szCs w:val="21"/>
          <w:highlight w:val="none"/>
          <w14:textFill>
            <w14:solidFill>
              <w14:schemeClr w14:val="tx1"/>
            </w14:solidFill>
          </w14:textFill>
        </w:rPr>
        <w:t>.利用工作之便索要、收受他人贿赂、贪污公款、谋取私利的</w:t>
      </w:r>
    </w:p>
    <w:p>
      <w:pPr>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5</w:t>
      </w:r>
      <w:r>
        <w:rPr>
          <w:rFonts w:hint="eastAsia" w:ascii="宋体" w:hAnsi="宋体"/>
          <w:bCs/>
          <w:color w:val="000000" w:themeColor="text1"/>
          <w:szCs w:val="21"/>
          <w:highlight w:val="none"/>
          <w14:textFill>
            <w14:solidFill>
              <w14:schemeClr w14:val="tx1"/>
            </w14:solidFill>
          </w14:textFill>
        </w:rPr>
        <w:t>.发现安全隐患不及时排查、报告的</w:t>
      </w:r>
    </w:p>
    <w:p>
      <w:pPr>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w:t>
      </w:r>
      <w:r>
        <w:rPr>
          <w:rFonts w:hint="eastAsia" w:ascii="宋体" w:hAnsi="宋体"/>
          <w:bCs/>
          <w:color w:val="000000" w:themeColor="text1"/>
          <w:szCs w:val="21"/>
          <w:highlight w:val="none"/>
          <w14:textFill>
            <w14:solidFill>
              <w14:schemeClr w14:val="tx1"/>
            </w14:solidFill>
          </w14:textFill>
        </w:rPr>
        <w:t>.白天班重复使用晚上24时以后的晚班值班人员的。</w:t>
      </w:r>
    </w:p>
    <w:p>
      <w:pPr>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7</w:t>
      </w:r>
      <w:r>
        <w:rPr>
          <w:rFonts w:hint="eastAsia" w:ascii="宋体" w:hAnsi="宋体"/>
          <w:bCs/>
          <w:color w:val="000000" w:themeColor="text1"/>
          <w:szCs w:val="21"/>
          <w:highlight w:val="none"/>
          <w14:textFill>
            <w14:solidFill>
              <w14:schemeClr w14:val="tx1"/>
            </w14:solidFill>
          </w14:textFill>
        </w:rPr>
        <w:t>.不接受不配合督查人员查岗的</w:t>
      </w:r>
    </w:p>
    <w:p>
      <w:pPr>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8</w:t>
      </w:r>
      <w:r>
        <w:rPr>
          <w:rFonts w:hint="eastAsia" w:ascii="宋体" w:hAnsi="宋体"/>
          <w:bCs/>
          <w:color w:val="000000" w:themeColor="text1"/>
          <w:szCs w:val="21"/>
          <w:highlight w:val="none"/>
          <w14:textFill>
            <w14:solidFill>
              <w14:schemeClr w14:val="tx1"/>
            </w14:solidFill>
          </w14:textFill>
        </w:rPr>
        <w:t>.主管以上领导手机不24小时开机的</w:t>
      </w:r>
    </w:p>
    <w:p>
      <w:pPr>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三）中标单位从业人员如发生以下违规现象，每发生一起，扣除当月应支付物业服务费1000-5000元，并责令中标公司严肃纪律、调整人员。中标单位整改不力，连续2个月内此类现象发生5起以上的，科技馆有权无条件终止服务合同。</w:t>
      </w:r>
    </w:p>
    <w:p>
      <w:pPr>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1.中标单位从业人员违反业主相关管理制度的。</w:t>
      </w:r>
    </w:p>
    <w:p>
      <w:pPr>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w:t>
      </w:r>
      <w:r>
        <w:rPr>
          <w:rFonts w:hint="eastAsia" w:ascii="宋体" w:hAnsi="宋体"/>
          <w:bCs/>
          <w:color w:val="000000" w:themeColor="text1"/>
          <w:szCs w:val="21"/>
          <w:highlight w:val="none"/>
          <w14:textFill>
            <w14:solidFill>
              <w14:schemeClr w14:val="tx1"/>
            </w14:solidFill>
          </w14:textFill>
        </w:rPr>
        <w:t>.迟到早退，脱岗、睡岗、酒后上岗的；工作散漫，粗心大意造成工作差错的；不穿工作服、不带工作牌；不按要求检查、记录的；</w:t>
      </w:r>
    </w:p>
    <w:p>
      <w:pPr>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3</w:t>
      </w:r>
      <w:r>
        <w:rPr>
          <w:rFonts w:hint="eastAsia" w:ascii="宋体" w:hAnsi="宋体"/>
          <w:bCs/>
          <w:color w:val="000000" w:themeColor="text1"/>
          <w:szCs w:val="21"/>
          <w:highlight w:val="none"/>
          <w14:textFill>
            <w14:solidFill>
              <w14:schemeClr w14:val="tx1"/>
            </w14:solidFill>
          </w14:textFill>
        </w:rPr>
        <w:t>.维修响应不及时的，消极怠工，态度不端正，造成工作被动，拖拉，不能及时完成任务的</w:t>
      </w:r>
    </w:p>
    <w:p>
      <w:pPr>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w:t>
      </w:r>
      <w:r>
        <w:rPr>
          <w:rFonts w:hint="eastAsia" w:ascii="宋体" w:hAnsi="宋体"/>
          <w:bCs/>
          <w:color w:val="000000" w:themeColor="text1"/>
          <w:szCs w:val="21"/>
          <w:highlight w:val="none"/>
          <w14:textFill>
            <w14:solidFill>
              <w14:schemeClr w14:val="tx1"/>
            </w14:solidFill>
          </w14:textFill>
        </w:rPr>
        <w:t>.顶撞观众，与观众发生言语、肢体冲突，被观众投诉的；工作时间吃喝、读书看报、打牌、听音乐、下棋、会客、玩手机等做与工作无关事情的；乱丢垃圾、乱写乱画，故意损坏科技馆财物的；在科技馆打架斗殴酗酒闹事的；</w:t>
      </w:r>
    </w:p>
    <w:p>
      <w:pPr>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5</w:t>
      </w:r>
      <w:r>
        <w:rPr>
          <w:rFonts w:hint="eastAsia" w:ascii="宋体" w:hAnsi="宋体"/>
          <w:bCs/>
          <w:color w:val="000000" w:themeColor="text1"/>
          <w:szCs w:val="21"/>
          <w:highlight w:val="none"/>
          <w14:textFill>
            <w14:solidFill>
              <w14:schemeClr w14:val="tx1"/>
            </w14:solidFill>
          </w14:textFill>
        </w:rPr>
        <w:t>.值班室、设备间、电井房等工作管辖区域或管辖设施设备脏乱差的；对管理区域内展品、设施设备不检查不登记心中无数的；</w:t>
      </w:r>
    </w:p>
    <w:p>
      <w:pPr>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w:t>
      </w:r>
      <w:r>
        <w:rPr>
          <w:rFonts w:hint="eastAsia" w:ascii="宋体" w:hAnsi="宋体"/>
          <w:bCs/>
          <w:color w:val="000000" w:themeColor="text1"/>
          <w:szCs w:val="21"/>
          <w:highlight w:val="none"/>
          <w14:textFill>
            <w14:solidFill>
              <w14:schemeClr w14:val="tx1"/>
            </w14:solidFill>
          </w14:textFill>
        </w:rPr>
        <w:t>.持对讲机人员工作时间不开对讲机的；不接受不配合督查人员查岗的；</w:t>
      </w:r>
    </w:p>
    <w:p>
      <w:pPr>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7</w:t>
      </w:r>
      <w:r>
        <w:rPr>
          <w:rFonts w:hint="eastAsia" w:ascii="宋体" w:hAnsi="宋体"/>
          <w:bCs/>
          <w:color w:val="000000" w:themeColor="text1"/>
          <w:szCs w:val="21"/>
          <w:highlight w:val="none"/>
          <w14:textFill>
            <w14:solidFill>
              <w14:schemeClr w14:val="tx1"/>
            </w14:solidFill>
          </w14:textFill>
        </w:rPr>
        <w:t>.对业主报修报检项目不按时限要求及时处理，将维修材料私拿私用的；</w:t>
      </w:r>
    </w:p>
    <w:p>
      <w:pPr>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8</w:t>
      </w:r>
      <w:r>
        <w:rPr>
          <w:rFonts w:hint="eastAsia" w:ascii="宋体" w:hAnsi="宋体"/>
          <w:bCs/>
          <w:color w:val="000000" w:themeColor="text1"/>
          <w:szCs w:val="21"/>
          <w:highlight w:val="none"/>
          <w14:textFill>
            <w14:solidFill>
              <w14:schemeClr w14:val="tx1"/>
            </w14:solidFill>
          </w14:textFill>
        </w:rPr>
        <w:t>.不按时间要求交接班的，当班时无工作和交接班记录的；工作范围内文字档案未及时整理归档的；</w:t>
      </w:r>
    </w:p>
    <w:p>
      <w:pPr>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9</w:t>
      </w:r>
      <w:r>
        <w:rPr>
          <w:rFonts w:hint="eastAsia" w:ascii="宋体" w:hAnsi="宋体"/>
          <w:bCs/>
          <w:color w:val="000000" w:themeColor="text1"/>
          <w:szCs w:val="21"/>
          <w:highlight w:val="none"/>
          <w14:textFill>
            <w14:solidFill>
              <w14:schemeClr w14:val="tx1"/>
            </w14:solidFill>
          </w14:textFill>
        </w:rPr>
        <w:t>.未按要求上报统计报表、检查维护维修计划的；个人资料不实，弄虚作假的；在禁烟区吸烟的；拾遗不报的；上班时间干私活的；</w:t>
      </w:r>
    </w:p>
    <w:p>
      <w:pPr>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10</w:t>
      </w:r>
      <w:r>
        <w:rPr>
          <w:rFonts w:hint="eastAsia" w:ascii="宋体" w:hAnsi="宋体"/>
          <w:bCs/>
          <w:color w:val="000000" w:themeColor="text1"/>
          <w:szCs w:val="21"/>
          <w:highlight w:val="none"/>
          <w14:textFill>
            <w14:solidFill>
              <w14:schemeClr w14:val="tx1"/>
            </w14:solidFill>
          </w14:textFill>
        </w:rPr>
        <w:t>.发现问题不及时处理汇报，造成不良后果的；无特殊原因不完成业主交待的任务的；</w:t>
      </w:r>
    </w:p>
    <w:p>
      <w:pPr>
        <w:adjustRightInd w:val="0"/>
        <w:snapToGrid w:val="0"/>
        <w:spacing w:line="400" w:lineRule="exact"/>
        <w:ind w:right="-109" w:rightChars="-52" w:firstLine="411"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八、中标人必须做出的响应</w:t>
      </w:r>
    </w:p>
    <w:p>
      <w:pPr>
        <w:adjustRightInd w:val="0"/>
        <w:snapToGrid w:val="0"/>
        <w:spacing w:line="400" w:lineRule="exact"/>
        <w:ind w:right="-109" w:rightChars="-52"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（一）一律按夏装、冬装款式统一工作服装（服装款式风格须报经业主确认同意）。各岗位人员须统一穿着工作制服并佩戴注明工作人员姓名、相片的工作证上岗。对此不作响应的均作无效标处理。</w:t>
      </w:r>
    </w:p>
    <w:p>
      <w:pPr>
        <w:adjustRightInd w:val="0"/>
        <w:snapToGrid w:val="0"/>
        <w:spacing w:line="400" w:lineRule="exact"/>
        <w:ind w:right="-109" w:rightChars="-52"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（二）投标人须承诺，履约过程中确保在岗人员人数符合上述要求，一旦发生离职、缺员现象，一个月内补齐，否则记为违约1次，每次扣罚投标人</w:t>
      </w:r>
      <w:r>
        <w:rPr>
          <w:rFonts w:hint="eastAsia" w:ascii="宋体" w:hAnsi="宋体"/>
          <w:bCs/>
          <w:color w:val="000000" w:themeColor="text1"/>
          <w:szCs w:val="21"/>
          <w:highlight w:val="none"/>
          <w14:textFill>
            <w14:solidFill>
              <w14:schemeClr w14:val="tx1"/>
            </w14:solidFill>
          </w14:textFill>
        </w:rPr>
        <w:t>当月</w:t>
      </w:r>
      <w:r>
        <w:rPr>
          <w:rFonts w:hint="eastAsia" w:ascii="宋体" w:hAnsi="宋体"/>
          <w:color w:val="000000" w:themeColor="text1"/>
          <w:szCs w:val="21"/>
          <w:highlight w:val="none"/>
          <w14:textFill>
            <w14:solidFill>
              <w14:schemeClr w14:val="tx1"/>
            </w14:solidFill>
          </w14:textFill>
        </w:rPr>
        <w:t>服务费1000-5000元。超过一个月仍无法补足人员或半年内2次出现此类现象即构成严重违约，业主有权单方面终止合同。从业人员的工资及每年应有的福利费、社保、奖金、加班费等由物业公司负责，工资水平应不低于南宁市最低工资标准，其中公共服务秩序管理人员月工资总额（不含单位应缴纳的社会保险部分）应高于同行业平均工资、设备管理人员月工资总额（不含单位应缴纳的社会保险部分）应高于同行业平均工资，保洁员月工资总额（不含单位应缴纳的社会保险部分）不得低于同行业工资、其它按国家相关规定执行；法定节假日、双休天及其他超出上班时间的加班，中标公司须按国家规定支付加班费，如有员工反映加班没有加班费，经核实确认的，业主有权从每月向中标公司支付的服务费中扣下相应的费用。加班顶班人员工资由投标人承担，在当月工资中兑现，不得拖欠。服务人员有缺员时，中标公司必须在一个月内补齐人员，此间应将以缺额人员的月工资总额除以21.75天为基数，按实际缺员天数计算，作为加班费发放给顶班人员。对此不作响应的均作无效标处理。</w:t>
      </w:r>
    </w:p>
    <w:p>
      <w:pPr>
        <w:adjustRightInd w:val="0"/>
        <w:snapToGrid w:val="0"/>
        <w:spacing w:line="400" w:lineRule="exact"/>
        <w:ind w:right="-109" w:rightChars="-52"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（三）中标公司必须按国家规定为</w:t>
      </w:r>
      <w:r>
        <w:rPr>
          <w:rFonts w:hint="eastAsia" w:ascii="宋体" w:hAnsi="宋体"/>
          <w:color w:val="000000" w:themeColor="text1"/>
          <w:szCs w:val="21"/>
          <w:highlight w:val="none"/>
          <w:lang w:eastAsia="zh-CN"/>
          <w14:textFill>
            <w14:solidFill>
              <w14:schemeClr w14:val="tx1"/>
            </w14:solidFill>
          </w14:textFill>
        </w:rPr>
        <w:t>本项目投入人员缴纳社会保险，</w:t>
      </w:r>
      <w:r>
        <w:rPr>
          <w:rFonts w:hint="eastAsia" w:ascii="宋体" w:hAnsi="宋体"/>
          <w:color w:val="000000" w:themeColor="text1"/>
          <w:szCs w:val="21"/>
          <w:highlight w:val="none"/>
          <w14:textFill>
            <w14:solidFill>
              <w14:schemeClr w14:val="tx1"/>
            </w14:solidFill>
          </w14:textFill>
        </w:rPr>
        <w:t>以上各项费用均由中标公司承担，业主不再支付相关需要费用。对此不作响应的均作无效标处理。</w:t>
      </w:r>
    </w:p>
    <w:p>
      <w:pPr>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w:t>
      </w:r>
      <w:r>
        <w:rPr>
          <w:rFonts w:hint="eastAsia" w:ascii="宋体" w:hAnsi="宋体"/>
          <w:bCs/>
          <w:color w:val="000000" w:themeColor="text1"/>
          <w:szCs w:val="21"/>
          <w:highlight w:val="none"/>
          <w14:textFill>
            <w14:solidFill>
              <w14:schemeClr w14:val="tx1"/>
            </w14:solidFill>
          </w14:textFill>
        </w:rPr>
        <w:t>业主与服务人员不发生任何劳动和雇佣关系，服务人员由中标公司自行管理，并遵守国家相关劳动法律法规，</w:t>
      </w:r>
      <w:r>
        <w:rPr>
          <w:rFonts w:hint="eastAsia" w:ascii="宋体" w:hAnsi="宋体"/>
          <w:color w:val="000000" w:themeColor="text1"/>
          <w:szCs w:val="21"/>
          <w:highlight w:val="none"/>
          <w14:textFill>
            <w14:solidFill>
              <w14:schemeClr w14:val="tx1"/>
            </w14:solidFill>
          </w14:textFill>
        </w:rPr>
        <w:t>涉及劳务纠纷和劳动事故全部由投标人承担责任。</w:t>
      </w:r>
      <w:r>
        <w:rPr>
          <w:rFonts w:hint="eastAsia" w:ascii="宋体" w:hAnsi="宋体"/>
          <w:bCs/>
          <w:color w:val="000000" w:themeColor="text1"/>
          <w:szCs w:val="21"/>
          <w:highlight w:val="none"/>
          <w14:textFill>
            <w14:solidFill>
              <w14:schemeClr w14:val="tx1"/>
            </w14:solidFill>
          </w14:textFill>
        </w:rPr>
        <w:t>中标公司和服务人员应遵守安全操作规章制度，若发生人身伤害、伤亡等事故，由中标公司自负，与业主无关（中标公司须有</w:t>
      </w:r>
      <w:r>
        <w:rPr>
          <w:rFonts w:hint="eastAsia" w:ascii="宋体" w:hAnsi="宋体"/>
          <w:color w:val="000000" w:themeColor="text1"/>
          <w:szCs w:val="21"/>
          <w:highlight w:val="none"/>
          <w14:textFill>
            <w14:solidFill>
              <w14:schemeClr w14:val="tx1"/>
            </w14:solidFill>
          </w14:textFill>
        </w:rPr>
        <w:t>书面承诺</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投标人投标时，必须对所有人员均投保社会保险和意外伤害险进行书面承诺。</w:t>
      </w:r>
      <w:r>
        <w:rPr>
          <w:rFonts w:hint="eastAsia" w:ascii="宋体" w:hAnsi="宋体"/>
          <w:bCs/>
          <w:color w:val="000000" w:themeColor="text1"/>
          <w:szCs w:val="21"/>
          <w:highlight w:val="none"/>
          <w14:textFill>
            <w14:solidFill>
              <w14:schemeClr w14:val="tx1"/>
            </w14:solidFill>
          </w14:textFill>
        </w:rPr>
        <w:t>对此不作响应的均作无效标处理。</w:t>
      </w:r>
    </w:p>
    <w:p>
      <w:pPr>
        <w:adjustRightInd w:val="0"/>
        <w:snapToGrid w:val="0"/>
        <w:spacing w:line="400" w:lineRule="exact"/>
        <w:ind w:right="-109" w:rightChars="-52"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（五）</w:t>
      </w:r>
      <w:r>
        <w:rPr>
          <w:rFonts w:hint="eastAsia" w:ascii="宋体" w:hAnsi="宋体"/>
          <w:color w:val="000000" w:themeColor="text1"/>
          <w:szCs w:val="21"/>
          <w:highlight w:val="none"/>
          <w14:textFill>
            <w14:solidFill>
              <w14:schemeClr w14:val="tx1"/>
            </w14:solidFill>
          </w14:textFill>
        </w:rPr>
        <w:t>中标公司必须对本招标文件的“</w:t>
      </w:r>
      <w:r>
        <w:rPr>
          <w:rFonts w:hint="eastAsia" w:ascii="宋体" w:hAnsi="宋体"/>
          <w:bCs/>
          <w:color w:val="000000" w:themeColor="text1"/>
          <w:szCs w:val="21"/>
          <w:highlight w:val="none"/>
          <w14:textFill>
            <w14:solidFill>
              <w14:schemeClr w14:val="tx1"/>
            </w14:solidFill>
          </w14:textFill>
        </w:rPr>
        <w:t>服务保障措施(违规惩罚机制)</w:t>
      </w:r>
      <w:r>
        <w:rPr>
          <w:rFonts w:hint="eastAsia" w:ascii="宋体" w:hAnsi="宋体"/>
          <w:color w:val="000000" w:themeColor="text1"/>
          <w:szCs w:val="21"/>
          <w:highlight w:val="none"/>
          <w14:textFill>
            <w14:solidFill>
              <w14:schemeClr w14:val="tx1"/>
            </w14:solidFill>
          </w14:textFill>
        </w:rPr>
        <w:t>”内容作响应。合同期内因中标人不按规定、规范和要求进行工作，造成发生一起重大工作失误、事故，造成严重后果的，业主有权无条件终止服务合同，造成业主或第三方损失的，业主有权追偿。</w:t>
      </w:r>
      <w:r>
        <w:rPr>
          <w:rFonts w:hint="eastAsia" w:ascii="宋体" w:hAnsi="宋体"/>
          <w:bCs/>
          <w:color w:val="000000" w:themeColor="text1"/>
          <w:szCs w:val="21"/>
          <w:highlight w:val="none"/>
          <w14:textFill>
            <w14:solidFill>
              <w14:schemeClr w14:val="tx1"/>
            </w14:solidFill>
          </w14:textFill>
        </w:rPr>
        <w:t>对此不作响应的均作无效标处理。</w:t>
      </w:r>
    </w:p>
    <w:p>
      <w:pPr>
        <w:adjustRightInd w:val="0"/>
        <w:snapToGrid w:val="0"/>
        <w:spacing w:line="400" w:lineRule="exact"/>
        <w:ind w:right="-109" w:rightChars="-52" w:firstLine="420" w:firstLineChars="200"/>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（六）</w:t>
      </w:r>
      <w:r>
        <w:rPr>
          <w:rFonts w:hint="eastAsia" w:ascii="宋体" w:hAnsi="宋体"/>
          <w:color w:val="000000" w:themeColor="text1"/>
          <w:szCs w:val="21"/>
          <w:highlight w:val="none"/>
          <w14:textFill>
            <w14:solidFill>
              <w14:schemeClr w14:val="tx1"/>
            </w14:solidFill>
          </w14:textFill>
        </w:rPr>
        <w:t>以上各项服务须接受业主相关部门的管理</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本次招标所有服务岗位的所需人员，中标方可优先接管原相应岗位人员，</w:t>
      </w:r>
      <w:r>
        <w:rPr>
          <w:rFonts w:hint="eastAsia" w:ascii="宋体" w:hAnsi="宋体"/>
          <w:bCs/>
          <w:color w:val="000000" w:themeColor="text1"/>
          <w:szCs w:val="21"/>
          <w:highlight w:val="none"/>
          <w14:textFill>
            <w14:solidFill>
              <w14:schemeClr w14:val="tx1"/>
            </w14:solidFill>
          </w14:textFill>
        </w:rPr>
        <w:t>调整与辞退主要技术岗位人员须经过业主的审核与批准</w:t>
      </w:r>
      <w:r>
        <w:rPr>
          <w:rFonts w:hint="eastAsia" w:ascii="宋体" w:hAnsi="宋体"/>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对此不作响应的均作无效标处理。</w:t>
      </w:r>
    </w:p>
    <w:p>
      <w:pPr>
        <w:adjustRightInd w:val="0"/>
        <w:snapToGrid w:val="0"/>
        <w:spacing w:line="400" w:lineRule="exact"/>
        <w:ind w:right="-109" w:rightChars="-52"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（七）</w:t>
      </w:r>
      <w:r>
        <w:rPr>
          <w:rFonts w:hint="eastAsia" w:ascii="宋体" w:hAnsi="宋体"/>
          <w:color w:val="000000" w:themeColor="text1"/>
          <w:szCs w:val="21"/>
          <w:highlight w:val="none"/>
          <w14:textFill>
            <w14:solidFill>
              <w14:schemeClr w14:val="tx1"/>
            </w14:solidFill>
          </w14:textFill>
        </w:rPr>
        <w:t>投标人需具有在国内场馆相应的公共场所管理经验。</w:t>
      </w:r>
    </w:p>
    <w:p>
      <w:pPr>
        <w:adjustRightInd w:val="0"/>
        <w:snapToGrid w:val="0"/>
        <w:spacing w:line="400" w:lineRule="exact"/>
        <w:ind w:right="-109" w:rightChars="-52"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（八）</w:t>
      </w:r>
      <w:r>
        <w:rPr>
          <w:rFonts w:hint="eastAsia" w:ascii="宋体" w:hAnsi="宋体"/>
          <w:color w:val="000000" w:themeColor="text1"/>
          <w:szCs w:val="21"/>
          <w:highlight w:val="none"/>
          <w14:textFill>
            <w14:solidFill>
              <w14:schemeClr w14:val="tx1"/>
            </w14:solidFill>
          </w14:textFill>
        </w:rPr>
        <w:t>不接受联合体投标、不接受分公司形式投标及管理。中标单位中标后不能将其中任何一项服务转包给第三方管理，不得擅自占用所辖物业的建筑房屋、设施设备或改变其使用功能； 对此不作响应的均作无效标处理。</w:t>
      </w:r>
    </w:p>
    <w:p>
      <w:pPr>
        <w:adjustRightInd w:val="0"/>
        <w:snapToGrid w:val="0"/>
        <w:spacing w:line="400" w:lineRule="exact"/>
        <w:ind w:firstLine="420" w:firstLineChars="20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（九）</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"http://wenwen.soso.com/z/Search.e?sp=S%E6%8A%95%E6%A0%87&amp;ch=w.search.yjjlink&amp;cid=w.search.yjjlink" \t "_blank" </w:instrText>
      </w:r>
      <w:r>
        <w:rPr>
          <w:color w:val="000000" w:themeColor="text1"/>
          <w:highlight w:val="none"/>
          <w14:textFill>
            <w14:solidFill>
              <w14:schemeClr w14:val="tx1"/>
            </w14:solidFill>
          </w14:textFill>
        </w:rPr>
        <w:fldChar w:fldCharType="separate"/>
      </w:r>
      <w:r>
        <w:rPr>
          <w:rFonts w:hint="eastAsia" w:ascii="宋体" w:hAnsi="宋体"/>
          <w:color w:val="000000" w:themeColor="text1"/>
          <w:szCs w:val="21"/>
          <w:highlight w:val="none"/>
          <w14:textFill>
            <w14:solidFill>
              <w14:schemeClr w14:val="tx1"/>
            </w14:solidFill>
          </w14:textFill>
        </w:rPr>
        <w:t>投标</w:t>
      </w:r>
      <w:r>
        <w:rPr>
          <w:rFonts w:hint="eastAsia" w:ascii="宋体" w:hAnsi="宋体"/>
          <w:color w:val="000000" w:themeColor="text1"/>
          <w:szCs w:val="21"/>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单位要求于馆内长期备有一定数量的常用易损零配件（熔断丝、插座、插头、空气开关、漏电开关、电源插座、各种灯具、灯头、灯座、电池、水龙头、∮50（含）以下水管阀门和水管件、门窗五金件、挂锁、防锈漆、润滑油脂、常用胶水等），以满足一般性故障的抢修更换需求。</w:t>
      </w:r>
    </w:p>
    <w:p>
      <w:pPr>
        <w:widowControl/>
        <w:adjustRightInd w:val="0"/>
        <w:snapToGrid w:val="0"/>
        <w:spacing w:line="440" w:lineRule="exact"/>
        <w:ind w:firstLine="420" w:firstLineChars="200"/>
        <w:jc w:val="left"/>
        <w:rPr>
          <w:rFonts w:cs="宋体"/>
          <w:b/>
          <w:i/>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七、本项目采购预算：</w:t>
      </w:r>
      <w:r>
        <w:rPr>
          <w:rFonts w:hint="eastAsia" w:ascii="宋体" w:hAnsi="宋体" w:cs="宋体"/>
          <w:b/>
          <w:color w:val="000000" w:themeColor="text1"/>
          <w:kern w:val="0"/>
          <w:szCs w:val="21"/>
          <w:highlight w:val="none"/>
          <w:lang w:val="en-US" w:eastAsia="zh-CN"/>
          <w14:textFill>
            <w14:solidFill>
              <w14:schemeClr w14:val="tx1"/>
            </w14:solidFill>
          </w14:textFill>
        </w:rPr>
        <w:t>1070</w:t>
      </w:r>
      <w:r>
        <w:rPr>
          <w:rFonts w:hint="eastAsia" w:ascii="宋体" w:hAnsi="宋体" w:eastAsia="宋体" w:cs="宋体"/>
          <w:b/>
          <w:color w:val="000000" w:themeColor="text1"/>
          <w:kern w:val="0"/>
          <w:szCs w:val="21"/>
          <w:highlight w:val="none"/>
          <w14:textFill>
            <w14:solidFill>
              <w14:schemeClr w14:val="tx1"/>
            </w14:solidFill>
          </w14:textFill>
        </w:rPr>
        <w:t>万元</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w:t>
      </w:r>
      <w:r>
        <w:rPr>
          <w:rFonts w:hint="eastAsia" w:ascii="宋体" w:hAnsi="宋体" w:cs="宋体"/>
          <w:b/>
          <w:color w:val="000000" w:themeColor="text1"/>
          <w:kern w:val="0"/>
          <w:szCs w:val="21"/>
          <w:highlight w:val="none"/>
          <w:lang w:val="en-US" w:eastAsia="zh-CN"/>
          <w14:textFill>
            <w14:solidFill>
              <w14:schemeClr w14:val="tx1"/>
            </w14:solidFill>
          </w14:textFill>
        </w:rPr>
        <w:t>2年</w:t>
      </w:r>
      <w:r>
        <w:rPr>
          <w:rFonts w:hint="eastAsia" w:ascii="宋体" w:hAnsi="宋体" w:eastAsia="宋体" w:cs="宋体"/>
          <w:b/>
          <w:color w:val="000000" w:themeColor="text1"/>
          <w:kern w:val="0"/>
          <w:szCs w:val="21"/>
          <w:highlight w:val="none"/>
          <w14:textFill>
            <w14:solidFill>
              <w14:schemeClr w14:val="tx1"/>
            </w14:solidFill>
          </w14:textFill>
        </w:rPr>
        <w:t>。</w:t>
      </w:r>
    </w:p>
    <w:p>
      <w:pPr>
        <w:spacing w:line="460" w:lineRule="exact"/>
        <w:ind w:firstLine="420" w:firstLineChars="200"/>
        <w:jc w:val="left"/>
        <w:rPr>
          <w:color w:val="000000" w:themeColor="text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八、本项目采购标的对应的中小企业划分标准所属行业为物业管理行业。</w:t>
      </w:r>
    </w:p>
    <w:p>
      <w:pPr>
        <w:rPr>
          <w:color w:val="000000" w:themeColor="text1"/>
          <w:highlight w:val="none"/>
          <w14:textFill>
            <w14:solidFill>
              <w14:schemeClr w14:val="tx1"/>
            </w14:solidFill>
          </w14:textFill>
        </w:rPr>
      </w:pPr>
    </w:p>
    <w:p>
      <w:pPr>
        <w:autoSpaceDE w:val="0"/>
        <w:autoSpaceDN w:val="0"/>
        <w:adjustRightInd w:val="0"/>
        <w:spacing w:line="400" w:lineRule="exact"/>
        <w:ind w:firstLine="420" w:firstLineChars="200"/>
        <w:rPr>
          <w:rFonts w:hint="eastAsia" w:ascii="宋体" w:hAnsi="宋体" w:cs="Courier New"/>
          <w:b/>
          <w:color w:val="000000" w:themeColor="text1"/>
          <w:szCs w:val="21"/>
          <w:highlight w:val="none"/>
          <w14:textFill>
            <w14:solidFill>
              <w14:schemeClr w14:val="tx1"/>
            </w14:solidFill>
          </w14:textFill>
        </w:rPr>
      </w:pPr>
    </w:p>
    <w:p>
      <w:pPr>
        <w:pStyle w:val="3"/>
        <w:jc w:val="center"/>
        <w:rPr>
          <w:rFonts w:hint="eastAsia"/>
          <w:color w:val="000000" w:themeColor="text1"/>
          <w:highlight w:val="none"/>
          <w14:textFill>
            <w14:solidFill>
              <w14:schemeClr w14:val="tx1"/>
            </w14:solidFill>
          </w14:textFill>
        </w:rPr>
      </w:pPr>
      <w:bookmarkStart w:id="10" w:name="_Toc1999517464"/>
    </w:p>
    <w:p>
      <w:pPr>
        <w:pStyle w:val="3"/>
        <w:jc w:val="center"/>
        <w:rPr>
          <w:rFonts w:hint="eastAsia"/>
          <w:color w:val="000000" w:themeColor="text1"/>
          <w:highlight w:val="none"/>
          <w14:textFill>
            <w14:solidFill>
              <w14:schemeClr w14:val="tx1"/>
            </w14:solidFill>
          </w14:textFill>
        </w:rPr>
      </w:pPr>
    </w:p>
    <w:p>
      <w:pPr>
        <w:pStyle w:val="3"/>
        <w:jc w:val="cente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36"/>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36"/>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36"/>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36"/>
        <w:rPr>
          <w:rFonts w:hint="eastAsia"/>
          <w:color w:val="000000" w:themeColor="text1"/>
          <w:highlight w:val="none"/>
          <w14:textFill>
            <w14:solidFill>
              <w14:schemeClr w14:val="tx1"/>
            </w14:solidFill>
          </w14:textFill>
        </w:rPr>
      </w:pPr>
    </w:p>
    <w:p>
      <w:pPr>
        <w:pStyle w:val="3"/>
        <w:jc w:val="both"/>
        <w:rPr>
          <w:rFonts w:hint="eastAsia"/>
          <w:color w:val="000000" w:themeColor="text1"/>
          <w:highlight w:val="none"/>
          <w14:textFill>
            <w14:solidFill>
              <w14:schemeClr w14:val="tx1"/>
            </w14:solidFill>
          </w14:textFill>
        </w:rPr>
      </w:pPr>
    </w:p>
    <w:p>
      <w:pPr>
        <w:pStyle w:val="3"/>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第三章  投标人须知</w:t>
      </w:r>
      <w:bookmarkEnd w:id="10"/>
    </w:p>
    <w:p>
      <w:pPr>
        <w:snapToGrid w:val="0"/>
        <w:jc w:val="center"/>
        <w:rPr>
          <w:rFonts w:hint="eastAsia" w:ascii="黑体" w:hAnsi="宋体" w:eastAsia="黑体"/>
          <w:color w:val="000000" w:themeColor="text1"/>
          <w:sz w:val="32"/>
          <w:szCs w:val="32"/>
          <w:highlight w:val="none"/>
          <w14:textFill>
            <w14:solidFill>
              <w14:schemeClr w14:val="tx1"/>
            </w14:solidFill>
          </w14:textFill>
        </w:rPr>
      </w:pPr>
    </w:p>
    <w:p>
      <w:pPr>
        <w:snapToGrid w:val="0"/>
        <w:jc w:val="center"/>
        <w:rPr>
          <w:rFonts w:hint="eastAsia" w:ascii="黑体" w:hAnsi="宋体" w:eastAsia="黑体"/>
          <w:color w:val="000000" w:themeColor="text1"/>
          <w:sz w:val="32"/>
          <w:szCs w:val="32"/>
          <w:highlight w:val="none"/>
          <w14:textFill>
            <w14:solidFill>
              <w14:schemeClr w14:val="tx1"/>
            </w14:solidFill>
          </w14:textFill>
        </w:rPr>
      </w:pPr>
    </w:p>
    <w:p>
      <w:pPr>
        <w:pageBreakBefore/>
        <w:snapToGrid w:val="0"/>
        <w:jc w:val="center"/>
        <w:rPr>
          <w:rFonts w:hint="eastAsia" w:ascii="仿宋_GB2312" w:hAnsi="宋体" w:eastAsia="仿宋_GB2312"/>
          <w:b/>
          <w:color w:val="000000" w:themeColor="text1"/>
          <w:szCs w:val="21"/>
          <w:highlight w:val="none"/>
          <w14:textFill>
            <w14:solidFill>
              <w14:schemeClr w14:val="tx1"/>
            </w14:solidFill>
          </w14:textFill>
        </w:rPr>
      </w:pPr>
      <w:r>
        <w:rPr>
          <w:rFonts w:hint="eastAsia" w:ascii="仿宋_GB2312" w:hAnsi="宋体" w:eastAsia="仿宋_GB2312"/>
          <w:b/>
          <w:color w:val="000000" w:themeColor="text1"/>
          <w:sz w:val="32"/>
          <w:szCs w:val="32"/>
          <w:highlight w:val="none"/>
          <w14:textFill>
            <w14:solidFill>
              <w14:schemeClr w14:val="tx1"/>
            </w14:solidFill>
          </w14:textFill>
        </w:rPr>
        <w:t>投标</w:t>
      </w:r>
      <w:bookmarkStart w:id="11" w:name="_Toc254970667"/>
      <w:bookmarkStart w:id="12" w:name="_Toc254970526"/>
      <w:r>
        <w:rPr>
          <w:rFonts w:hint="eastAsia" w:ascii="仿宋_GB2312" w:hAnsi="宋体" w:eastAsia="仿宋_GB2312"/>
          <w:b/>
          <w:color w:val="000000" w:themeColor="text1"/>
          <w:sz w:val="32"/>
          <w:szCs w:val="32"/>
          <w:highlight w:val="none"/>
          <w14:textFill>
            <w14:solidFill>
              <w14:schemeClr w14:val="tx1"/>
            </w14:solidFill>
          </w14:textFill>
        </w:rPr>
        <w:t>人须知及前附表</w:t>
      </w:r>
      <w:bookmarkEnd w:id="11"/>
      <w:bookmarkEnd w:id="12"/>
    </w:p>
    <w:tbl>
      <w:tblPr>
        <w:tblStyle w:val="54"/>
        <w:tblW w:w="974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90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9099" w:type="dxa"/>
            <w:tcBorders>
              <w:top w:val="single" w:color="auto" w:sz="4" w:space="0"/>
              <w:left w:val="single" w:color="auto" w:sz="4" w:space="0"/>
              <w:bottom w:val="single" w:color="auto" w:sz="4" w:space="0"/>
              <w:right w:val="single" w:color="auto" w:sz="4" w:space="0"/>
            </w:tcBorders>
            <w:vAlign w:val="center"/>
          </w:tcPr>
          <w:p>
            <w:pPr>
              <w:spacing w:line="400" w:lineRule="exact"/>
              <w:ind w:right="-109" w:rightChars="-52"/>
              <w:jc w:val="left"/>
              <w:rPr>
                <w:rFonts w:hint="eastAsia" w:ascii="宋体" w:hAnsi="宋体"/>
                <w:b/>
                <w:color w:val="000000" w:themeColor="text1"/>
                <w:szCs w:val="21"/>
                <w:highlight w:val="none"/>
                <w:lang w:val="e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r>
              <w:rPr>
                <w:rFonts w:ascii="宋体" w:hAnsi="宋体"/>
                <w:color w:val="000000" w:themeColor="text1"/>
                <w:szCs w:val="21"/>
                <w:highlight w:val="none"/>
                <w:lang w:val="en"/>
                <w14:textFill>
                  <w14:solidFill>
                    <w14:schemeClr w14:val="tx1"/>
                  </w14:solidFill>
                </w14:textFill>
              </w:rPr>
              <w:t>广西壮族自治区科学技术馆2025-2026年度物业服务采购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投标保证金：详见本项目公开招标公告。</w:t>
            </w:r>
          </w:p>
          <w:p>
            <w:pPr>
              <w:snapToGrid w:val="0"/>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实际交纳的保证金按上述要求，否则视为未交纳保证金</w:t>
            </w:r>
            <w:r>
              <w:rPr>
                <w:rFonts w:hint="eastAsia" w:ascii="宋体" w:hAnsi="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4</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现场踏勘：详见采购需求。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演示时间及地点：</w:t>
            </w:r>
            <w:r>
              <w:rPr>
                <w:rFonts w:hint="eastAsia" w:ascii="宋体" w:hAnsi="宋体"/>
                <w:color w:val="000000" w:themeColor="text1"/>
                <w:szCs w:val="21"/>
                <w:highlight w:val="none"/>
                <w:u w:val="single"/>
                <w14:textFill>
                  <w14:solidFill>
                    <w14:schemeClr w14:val="tx1"/>
                  </w14:solidFill>
                </w14:textFill>
              </w:rPr>
              <w:t>无</w:t>
            </w:r>
            <w:r>
              <w:rPr>
                <w:rFonts w:hint="eastAsia" w:ascii="宋体" w:hAnsi="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答疑、澄清：投标人如认为招标文件表述不清晰、</w:t>
            </w:r>
            <w:r>
              <w:rPr>
                <w:rFonts w:hint="eastAsia" w:ascii="宋体" w:hAnsi="宋体"/>
                <w:bCs/>
                <w:color w:val="000000" w:themeColor="text1"/>
                <w:szCs w:val="21"/>
                <w:highlight w:val="none"/>
                <w14:textFill>
                  <w14:solidFill>
                    <w14:schemeClr w14:val="tx1"/>
                  </w14:solidFill>
                </w14:textFill>
              </w:rPr>
              <w:t>有误或有不合理要求的</w:t>
            </w:r>
            <w:r>
              <w:rPr>
                <w:rFonts w:hint="eastAsia" w:ascii="宋体" w:hAnsi="宋体"/>
                <w:color w:val="000000" w:themeColor="text1"/>
                <w:szCs w:val="21"/>
                <w:highlight w:val="none"/>
                <w14:textFill>
                  <w14:solidFill>
                    <w14:schemeClr w14:val="tx1"/>
                  </w14:solidFill>
                </w14:textFill>
              </w:rPr>
              <w:t>，以书面形式要求采购人或者本中心作出书面答疑、澄清；</w:t>
            </w:r>
          </w:p>
          <w:p>
            <w:pPr>
              <w:snapToGrid w:val="0"/>
              <w:spacing w:line="32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询问、质疑：投标人如认为招标文件存在歧视性、排他性或者其他违法内容的，按投标人须知“一、总则（九）询问、质疑和投诉”中的要求向采购人或者本中心提出书面询问、质疑。</w:t>
            </w:r>
          </w:p>
          <w:p>
            <w:pPr>
              <w:snapToGrid w:val="0"/>
              <w:spacing w:line="32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答疑、澄清内容是招标文件的组成部份，本中心将以书面形式送达所有已报名的投标人；本中心可以视采购具体情况，延长招标文件或者资格预审文件提供期限，并在财政部门指定的政府采购信息发布媒体及本中心网站上发布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napToGrid w:val="0"/>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投标文件形式：</w:t>
            </w:r>
            <w:r>
              <w:rPr>
                <w:rFonts w:hint="eastAsia" w:ascii="宋体" w:hAnsi="宋体"/>
                <w:snapToGrid w:val="0"/>
                <w:color w:val="000000" w:themeColor="text1"/>
                <w:szCs w:val="21"/>
                <w:highlight w:val="none"/>
                <w14:textFill>
                  <w14:solidFill>
                    <w14:schemeClr w14:val="tx1"/>
                  </w14:solidFill>
                </w14:textFill>
              </w:rPr>
              <w:t>投标供应商应准备电子投标文件。</w:t>
            </w:r>
          </w:p>
          <w:p>
            <w:pPr>
              <w:autoSpaceDE w:val="0"/>
              <w:autoSpaceDN w:val="0"/>
              <w:snapToGrid w:val="0"/>
              <w:spacing w:line="360" w:lineRule="exact"/>
              <w:textAlignment w:val="bottom"/>
              <w:rPr>
                <w:rFonts w:hint="eastAsia" w:ascii="宋体" w:hAnsi="宋体"/>
                <w:color w:val="000000" w:themeColor="text1"/>
                <w:szCs w:val="21"/>
                <w:highlight w:val="none"/>
                <w14:textFill>
                  <w14:solidFill>
                    <w14:schemeClr w14:val="tx1"/>
                  </w14:solidFill>
                </w14:textFill>
              </w:rPr>
            </w:pPr>
            <w:r>
              <w:rPr>
                <w:rFonts w:hint="eastAsia" w:ascii="宋体" w:hAnsi="宋体"/>
                <w:snapToGrid w:val="0"/>
                <w:color w:val="000000" w:themeColor="text1"/>
                <w:szCs w:val="21"/>
                <w:highlight w:val="none"/>
                <w14:textFill>
                  <w14:solidFill>
                    <w14:schemeClr w14:val="tx1"/>
                  </w14:solidFill>
                </w14:textFill>
              </w:rPr>
              <w:t>电子投标文件是指通过“广西政府采购云平台</w:t>
            </w:r>
            <w:r>
              <w:rPr>
                <w:rFonts w:ascii="宋体" w:hAnsi="宋体"/>
                <w:color w:val="000000" w:themeColor="text1"/>
                <w:szCs w:val="21"/>
                <w:highlight w:val="none"/>
                <w14:textFill>
                  <w14:solidFill>
                    <w14:schemeClr w14:val="tx1"/>
                  </w14:solidFill>
                </w14:textFill>
              </w:rPr>
              <w:t>电子投标</w:t>
            </w:r>
            <w:r>
              <w:rPr>
                <w:rFonts w:hint="eastAsia" w:ascii="宋体" w:hAnsi="宋体"/>
                <w:snapToGrid w:val="0"/>
                <w:color w:val="000000" w:themeColor="text1"/>
                <w:szCs w:val="21"/>
                <w:highlight w:val="none"/>
                <w14:textFill>
                  <w14:solidFill>
                    <w14:schemeClr w14:val="tx1"/>
                  </w14:solidFill>
                </w14:textFill>
              </w:rPr>
              <w:t>客户端”完成投标文件编制后生成并加密的数据电文形式的电子加密投标文件。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color w:val="000000" w:themeColor="text1"/>
                <w:szCs w:val="21"/>
                <w:highlight w:val="none"/>
                <w14:textFill>
                  <w14:solidFill>
                    <w14:schemeClr w14:val="tx1"/>
                  </w14:solidFill>
                </w14:textFill>
              </w:rPr>
            </w:pPr>
            <w:r>
              <w:rPr>
                <w:rFonts w:hint="eastAsia" w:ascii="宋体" w:hAnsi="宋体"/>
                <w:snapToGrid w:val="0"/>
                <w:color w:val="000000" w:themeColor="text1"/>
                <w:szCs w:val="21"/>
                <w:highlight w:val="none"/>
                <w14:textFill>
                  <w14:solidFill>
                    <w14:schemeClr w14:val="tx1"/>
                  </w14:solidFill>
                </w14:textFill>
              </w:rPr>
              <w:t>投标文件的编制：供应商应先安装“广西政府采购云平台</w:t>
            </w:r>
            <w:r>
              <w:rPr>
                <w:rFonts w:ascii="宋体" w:hAnsi="宋体"/>
                <w:color w:val="000000" w:themeColor="text1"/>
                <w:szCs w:val="21"/>
                <w:highlight w:val="none"/>
                <w14:textFill>
                  <w14:solidFill>
                    <w14:schemeClr w14:val="tx1"/>
                  </w14:solidFill>
                </w14:textFill>
              </w:rPr>
              <w:t>电子投标</w:t>
            </w:r>
            <w:r>
              <w:rPr>
                <w:rFonts w:hint="eastAsia" w:ascii="宋体" w:hAnsi="宋体"/>
                <w:snapToGrid w:val="0"/>
                <w:color w:val="000000" w:themeColor="text1"/>
                <w:szCs w:val="21"/>
                <w:highlight w:val="none"/>
                <w14:textFill>
                  <w14:solidFill>
                    <w14:schemeClr w14:val="tx1"/>
                  </w14:solidFill>
                </w14:textFill>
              </w:rPr>
              <w:t>客户端”，并按照本招标文件和“广西政府采购云平台”的要求，通过“广西政府采购云平台</w:t>
            </w:r>
            <w:r>
              <w:rPr>
                <w:rFonts w:ascii="宋体" w:hAnsi="宋体"/>
                <w:color w:val="000000" w:themeColor="text1"/>
                <w:szCs w:val="21"/>
                <w:highlight w:val="none"/>
                <w14:textFill>
                  <w14:solidFill>
                    <w14:schemeClr w14:val="tx1"/>
                  </w14:solidFill>
                </w14:textFill>
              </w:rPr>
              <w:t>电子投标</w:t>
            </w:r>
            <w:r>
              <w:rPr>
                <w:rFonts w:hint="eastAsia" w:ascii="宋体" w:hAnsi="宋体"/>
                <w:snapToGrid w:val="0"/>
                <w:color w:val="000000" w:themeColor="text1"/>
                <w:szCs w:val="21"/>
                <w:highlight w:val="none"/>
                <w14:textFill>
                  <w14:solidFill>
                    <w14:schemeClr w14:val="tx1"/>
                  </w14:solidFill>
                </w14:textFill>
              </w:rPr>
              <w:t>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snapToGrid w:val="0"/>
                <w:color w:val="000000" w:themeColor="text1"/>
                <w:szCs w:val="21"/>
                <w:highlight w:val="none"/>
                <w14:textFill>
                  <w14:solidFill>
                    <w14:schemeClr w14:val="tx1"/>
                  </w14:solidFill>
                </w14:textFill>
              </w:rPr>
            </w:pPr>
            <w:r>
              <w:rPr>
                <w:rFonts w:hint="eastAsia" w:ascii="宋体" w:hAnsi="宋体"/>
                <w:snapToGrid w:val="0"/>
                <w:color w:val="000000" w:themeColor="text1"/>
                <w:szCs w:val="21"/>
                <w:highlight w:val="none"/>
                <w14:textFill>
                  <w14:solidFill>
                    <w14:schemeClr w14:val="tx1"/>
                  </w14:solidFill>
                </w14:textFill>
              </w:rPr>
              <w:t>投标文件的盖章：投标文件中所涉及的加盖公章均采用CA电子签章。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snapToGrid w:val="0"/>
                <w:color w:val="000000" w:themeColor="text1"/>
                <w:szCs w:val="21"/>
                <w:highlight w:val="none"/>
                <w14:textFill>
                  <w14:solidFill>
                    <w14:schemeClr w14:val="tx1"/>
                  </w14:solidFill>
                </w14:textFill>
              </w:rPr>
            </w:pPr>
            <w:r>
              <w:rPr>
                <w:rFonts w:hint="eastAsia" w:ascii="宋体" w:hAnsi="宋体"/>
                <w:snapToGrid w:val="0"/>
                <w:color w:val="000000" w:themeColor="text1"/>
                <w:szCs w:val="21"/>
                <w:highlight w:val="none"/>
                <w14:textFill>
                  <w14:solidFill>
                    <w14:schemeClr w14:val="tx1"/>
                  </w14:solidFill>
                </w14:textFill>
              </w:rPr>
              <w:t>法定代表人或其授权代表签字或盖章：本招标文件所涉及的法定代表人或其授权代表签字或盖章的内容，如果投标单位没有法定代表人电子签章，涉及到法定代表人或其授权代表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snapToGrid w:val="0"/>
                <w:color w:val="000000" w:themeColor="text1"/>
                <w:szCs w:val="21"/>
                <w:highlight w:val="none"/>
                <w14:textFill>
                  <w14:solidFill>
                    <w14:schemeClr w14:val="tx1"/>
                  </w14:solidFill>
                </w14:textFill>
              </w:rPr>
            </w:pPr>
            <w:r>
              <w:rPr>
                <w:rFonts w:hint="eastAsia" w:ascii="宋体" w:hAnsi="宋体"/>
                <w:snapToGrid w:val="0"/>
                <w:color w:val="000000" w:themeColor="text1"/>
                <w:szCs w:val="21"/>
                <w:highlight w:val="none"/>
                <w14:textFill>
                  <w14:solidFill>
                    <w14:schemeClr w14:val="tx1"/>
                  </w14:solidFill>
                </w14:textFill>
              </w:rPr>
              <w:t>投标文件份数：电子加密投标文件在线上传提交一份。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napToGrid w:val="0"/>
                <w:color w:val="000000" w:themeColor="text1"/>
                <w:szCs w:val="21"/>
                <w:highlight w:val="none"/>
                <w14:textFill>
                  <w14:solidFill>
                    <w14:schemeClr w14:val="tx1"/>
                  </w14:solidFill>
                </w14:textFill>
              </w:rPr>
            </w:pPr>
            <w:r>
              <w:rPr>
                <w:rFonts w:hint="eastAsia" w:ascii="宋体" w:hAnsi="宋体"/>
                <w:snapToGrid w:val="0"/>
                <w:color w:val="000000" w:themeColor="text1"/>
                <w:szCs w:val="21"/>
                <w:highlight w:val="none"/>
                <w14:textFill>
                  <w14:solidFill>
                    <w14:schemeClr w14:val="tx1"/>
                  </w14:solidFill>
                </w14:textFill>
              </w:rPr>
              <w:t>投标文件的上传和提交：本项目通过“广西政府采购云平台（https://www.gcy.zfcg.gxzf.gov.cn/</w:t>
            </w:r>
            <w:r>
              <w:rPr>
                <w:rFonts w:ascii="宋体" w:hAnsi="宋体"/>
                <w:snapToGrid w:val="0"/>
                <w:color w:val="000000" w:themeColor="text1"/>
                <w:szCs w:val="21"/>
                <w:highlight w:val="none"/>
                <w14:textFill>
                  <w14:solidFill>
                    <w14:schemeClr w14:val="tx1"/>
                  </w14:solidFill>
                </w14:textFill>
              </w:rPr>
              <w:t>）”实行在线投标响应（电子投标），投标供应商应当在投标截止时间前，将生成的“电子加密投标文件”上传提交至“</w:t>
            </w:r>
            <w:r>
              <w:rPr>
                <w:rFonts w:hint="eastAsia" w:ascii="宋体" w:hAnsi="宋体"/>
                <w:snapToGrid w:val="0"/>
                <w:color w:val="000000" w:themeColor="text1"/>
                <w:szCs w:val="21"/>
                <w:highlight w:val="none"/>
                <w14:textFill>
                  <w14:solidFill>
                    <w14:schemeClr w14:val="tx1"/>
                  </w14:solidFill>
                </w14:textFill>
              </w:rPr>
              <w:t>广西政府采购云平台</w:t>
            </w:r>
            <w:r>
              <w:rPr>
                <w:rFonts w:ascii="宋体" w:hAnsi="宋体"/>
                <w:snapToGrid w:val="0"/>
                <w:color w:val="000000" w:themeColor="text1"/>
                <w:szCs w:val="21"/>
                <w:highlight w:val="none"/>
                <w14:textFill>
                  <w14:solidFill>
                    <w14:schemeClr w14:val="tx1"/>
                  </w14:solidFill>
                </w14:textFill>
              </w:rPr>
              <w:t>”。</w:t>
            </w:r>
          </w:p>
          <w:p>
            <w:pPr>
              <w:spacing w:line="300" w:lineRule="exact"/>
              <w:rPr>
                <w:rFonts w:ascii="宋体" w:hAnsi="宋体"/>
                <w:snapToGrid w:val="0"/>
                <w:color w:val="000000" w:themeColor="text1"/>
                <w:szCs w:val="21"/>
                <w:highlight w:val="none"/>
                <w14:textFill>
                  <w14:solidFill>
                    <w14:schemeClr w14:val="tx1"/>
                  </w14:solidFill>
                </w14:textFill>
              </w:rPr>
            </w:pPr>
            <w:r>
              <w:rPr>
                <w:rFonts w:hint="eastAsia" w:ascii="宋体" w:hAnsi="宋体"/>
                <w:snapToGrid w:val="0"/>
                <w:color w:val="000000" w:themeColor="text1"/>
                <w:szCs w:val="21"/>
                <w:highlight w:val="none"/>
                <w14:textFill>
                  <w14:solidFill>
                    <w14:schemeClr w14:val="tx1"/>
                  </w14:solidFill>
                </w14:textFill>
              </w:rPr>
              <w:t>“电子加密投标文件”的上传、提交：</w:t>
            </w:r>
          </w:p>
          <w:p>
            <w:pPr>
              <w:spacing w:line="300" w:lineRule="exact"/>
              <w:rPr>
                <w:rFonts w:ascii="宋体" w:hAnsi="宋体"/>
                <w:snapToGrid w:val="0"/>
                <w:color w:val="000000" w:themeColor="text1"/>
                <w:szCs w:val="21"/>
                <w:highlight w:val="none"/>
                <w14:textFill>
                  <w14:solidFill>
                    <w14:schemeClr w14:val="tx1"/>
                  </w14:solidFill>
                </w14:textFill>
              </w:rPr>
            </w:pPr>
            <w:r>
              <w:rPr>
                <w:rFonts w:hint="eastAsia" w:ascii="宋体" w:hAnsi="宋体"/>
                <w:snapToGrid w:val="0"/>
                <w:color w:val="000000" w:themeColor="text1"/>
                <w:szCs w:val="21"/>
                <w:highlight w:val="none"/>
                <w14:textFill>
                  <w14:solidFill>
                    <w14:schemeClr w14:val="tx1"/>
                  </w14:solidFill>
                </w14:textFill>
              </w:rPr>
              <w:t>a.投标供应商应在投标截止时间前将“电子加密投标文件”成功上传提交至“广西政府采购云平台”，否则投标无效。</w:t>
            </w:r>
          </w:p>
          <w:p>
            <w:pPr>
              <w:spacing w:line="300" w:lineRule="exact"/>
              <w:rPr>
                <w:rFonts w:hint="eastAsia" w:ascii="宋体" w:hAnsi="宋体"/>
                <w:snapToGrid w:val="0"/>
                <w:color w:val="000000" w:themeColor="text1"/>
                <w:szCs w:val="21"/>
                <w:highlight w:val="none"/>
                <w14:textFill>
                  <w14:solidFill>
                    <w14:schemeClr w14:val="tx1"/>
                  </w14:solidFill>
                </w14:textFill>
              </w:rPr>
            </w:pPr>
            <w:r>
              <w:rPr>
                <w:rFonts w:hint="eastAsia" w:ascii="宋体" w:hAnsi="宋体"/>
                <w:snapToGrid w:val="0"/>
                <w:color w:val="000000" w:themeColor="text1"/>
                <w:szCs w:val="21"/>
                <w:highlight w:val="none"/>
                <w14:textFill>
                  <w14:solidFill>
                    <w14:schemeClr w14:val="tx1"/>
                  </w14:solidFill>
                </w14:textFill>
              </w:rPr>
              <w:t>b.“电子加密投标文件”成功上传提交后，供应商可自行打印投标文件接收回执。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snapToGrid w:val="0"/>
                <w:color w:val="000000" w:themeColor="text1"/>
                <w:szCs w:val="21"/>
                <w:highlight w:val="none"/>
                <w14:textFill>
                  <w14:solidFill>
                    <w14:schemeClr w14:val="tx1"/>
                  </w14:solidFill>
                </w14:textFill>
              </w:rPr>
            </w:pPr>
            <w:r>
              <w:rPr>
                <w:rFonts w:hint="eastAsia" w:ascii="宋体" w:hAnsi="宋体"/>
                <w:snapToGrid w:val="0"/>
                <w:color w:val="000000" w:themeColor="text1"/>
                <w:szCs w:val="21"/>
                <w:highlight w:val="none"/>
                <w14:textFill>
                  <w14:solidFill>
                    <w14:schemeClr w14:val="tx1"/>
                  </w14:solidFill>
                </w14:textFill>
              </w:rPr>
              <w:t>电子加密投标文件的解密：</w:t>
            </w:r>
          </w:p>
          <w:p>
            <w:pPr>
              <w:spacing w:line="300" w:lineRule="exact"/>
              <w:rPr>
                <w:rFonts w:hint="eastAsia" w:ascii="宋体" w:hAnsi="宋体"/>
                <w:snapToGrid w:val="0"/>
                <w:color w:val="000000" w:themeColor="text1"/>
                <w:szCs w:val="21"/>
                <w:highlight w:val="none"/>
                <w14:textFill>
                  <w14:solidFill>
                    <w14:schemeClr w14:val="tx1"/>
                  </w14:solidFill>
                </w14:textFill>
              </w:rPr>
            </w:pPr>
            <w:r>
              <w:rPr>
                <w:rFonts w:hint="eastAsia" w:ascii="宋体" w:hAnsi="宋体"/>
                <w:snapToGrid w:val="0"/>
                <w:color w:val="000000" w:themeColor="text1"/>
                <w:szCs w:val="21"/>
                <w:highlight w:val="none"/>
                <w14:textFill>
                  <w14:solidFill>
                    <w14:schemeClr w14:val="tx1"/>
                  </w14:solidFill>
                </w14:textFill>
              </w:rPr>
              <w:t>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投标截止时间及地点：</w:t>
            </w:r>
            <w:r>
              <w:rPr>
                <w:rFonts w:hint="eastAsia" w:ascii="宋体" w:hAnsi="宋体"/>
                <w:b/>
                <w:color w:val="000000" w:themeColor="text1"/>
                <w:szCs w:val="21"/>
                <w:highlight w:val="none"/>
                <w:u w:val="single"/>
                <w14:textFill>
                  <w14:solidFill>
                    <w14:schemeClr w14:val="tx1"/>
                  </w14:solidFill>
                </w14:textFill>
              </w:rPr>
              <w:t>2024</w:t>
            </w:r>
            <w:r>
              <w:rPr>
                <w:rFonts w:ascii="宋体" w:hAnsi="宋体"/>
                <w:b/>
                <w:color w:val="000000" w:themeColor="text1"/>
                <w:szCs w:val="21"/>
                <w:highlight w:val="none"/>
                <w:u w:val="single"/>
                <w:lang w:val="en"/>
                <w14:textFill>
                  <w14:solidFill>
                    <w14:schemeClr w14:val="tx1"/>
                  </w14:solidFill>
                </w14:textFill>
              </w:rPr>
              <w:t>年</w:t>
            </w:r>
            <w:r>
              <w:rPr>
                <w:rFonts w:hint="eastAsia" w:ascii="宋体" w:hAnsi="宋体"/>
                <w:b/>
                <w:color w:val="000000" w:themeColor="text1"/>
                <w:szCs w:val="21"/>
                <w:highlight w:val="none"/>
                <w:u w:val="single"/>
                <w:lang w:val="en-US" w:eastAsia="zh-CN"/>
                <w14:textFill>
                  <w14:solidFill>
                    <w14:schemeClr w14:val="tx1"/>
                  </w14:solidFill>
                </w14:textFill>
              </w:rPr>
              <w:t>12</w:t>
            </w:r>
            <w:r>
              <w:rPr>
                <w:rFonts w:ascii="宋体" w:hAnsi="宋体"/>
                <w:b/>
                <w:color w:val="000000" w:themeColor="text1"/>
                <w:szCs w:val="21"/>
                <w:highlight w:val="none"/>
                <w:u w:val="single"/>
                <w:lang w:val="en"/>
                <w14:textFill>
                  <w14:solidFill>
                    <w14:schemeClr w14:val="tx1"/>
                  </w14:solidFill>
                </w14:textFill>
              </w:rPr>
              <w:t>月</w:t>
            </w:r>
            <w:r>
              <w:rPr>
                <w:rFonts w:hint="eastAsia" w:ascii="宋体" w:hAnsi="宋体"/>
                <w:b/>
                <w:color w:val="000000" w:themeColor="text1"/>
                <w:szCs w:val="21"/>
                <w:highlight w:val="none"/>
                <w:u w:val="single"/>
                <w:lang w:val="en-US" w:eastAsia="zh-CN"/>
                <w14:textFill>
                  <w14:solidFill>
                    <w14:schemeClr w14:val="tx1"/>
                  </w14:solidFill>
                </w14:textFill>
              </w:rPr>
              <w:t>23</w:t>
            </w:r>
            <w:r>
              <w:rPr>
                <w:rFonts w:ascii="宋体" w:hAnsi="宋体"/>
                <w:b/>
                <w:color w:val="000000" w:themeColor="text1"/>
                <w:szCs w:val="21"/>
                <w:highlight w:val="none"/>
                <w:u w:val="single"/>
                <w:lang w:val="en"/>
                <w14:textFill>
                  <w14:solidFill>
                    <w14:schemeClr w14:val="tx1"/>
                  </w14:solidFill>
                </w14:textFill>
              </w:rPr>
              <w:t>日</w:t>
            </w:r>
            <w:r>
              <w:rPr>
                <w:rFonts w:hint="eastAsia" w:ascii="宋体" w:hAnsi="宋体"/>
                <w:b/>
                <w:color w:val="000000" w:themeColor="text1"/>
                <w:szCs w:val="21"/>
                <w:highlight w:val="none"/>
                <w14:textFill>
                  <w14:solidFill>
                    <w14:schemeClr w14:val="tx1"/>
                  </w14:solidFill>
                </w14:textFill>
              </w:rPr>
              <w:t>上午10时整，</w:t>
            </w:r>
            <w:r>
              <w:rPr>
                <w:rFonts w:hint="eastAsia" w:ascii="宋体" w:hAnsi="宋体"/>
                <w:b/>
                <w:color w:val="000000" w:themeColor="text1"/>
                <w:szCs w:val="21"/>
                <w:highlight w:val="none"/>
                <w:u w:val="single"/>
                <w14:textFill>
                  <w14:solidFill>
                    <w14:schemeClr w14:val="tx1"/>
                  </w14:solidFill>
                </w14:textFill>
              </w:rPr>
              <w:t>南宁市星湖路22号</w:t>
            </w:r>
            <w:r>
              <w:rPr>
                <w:rFonts w:hint="eastAsia" w:ascii="宋体" w:hAnsi="宋体" w:cs="Arial"/>
                <w:b/>
                <w:color w:val="000000" w:themeColor="text1"/>
                <w:szCs w:val="21"/>
                <w:highlight w:val="none"/>
                <w:u w:val="single"/>
                <w14:textFill>
                  <w14:solidFill>
                    <w14:schemeClr w14:val="tx1"/>
                  </w14:solidFill>
                </w14:textFill>
              </w:rPr>
              <w:t>广西壮族自治区政府采购中心开标室</w:t>
            </w:r>
            <w:r>
              <w:rPr>
                <w:rFonts w:hint="eastAsia" w:ascii="宋体" w:hAnsi="宋体"/>
                <w:b/>
                <w:color w:val="000000" w:themeColor="text1"/>
                <w:szCs w:val="21"/>
                <w:highlight w:val="none"/>
                <w:u w:val="singl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本项目采用在线开评标方式，投标供应商无须前往开标现场</w:t>
            </w:r>
            <w:r>
              <w:rPr>
                <w:rFonts w:hint="eastAsia" w:ascii="宋体" w:hAnsi="宋体"/>
                <w:b/>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开标时间及地点：</w:t>
            </w:r>
            <w:r>
              <w:rPr>
                <w:rFonts w:hint="eastAsia" w:ascii="宋体" w:hAnsi="宋体"/>
                <w:b/>
                <w:color w:val="000000" w:themeColor="text1"/>
                <w:szCs w:val="21"/>
                <w:highlight w:val="none"/>
                <w:u w:val="single"/>
                <w14:textFill>
                  <w14:solidFill>
                    <w14:schemeClr w14:val="tx1"/>
                  </w14:solidFill>
                </w14:textFill>
              </w:rPr>
              <w:t>2024</w:t>
            </w:r>
            <w:r>
              <w:rPr>
                <w:rFonts w:ascii="宋体" w:hAnsi="宋体"/>
                <w:b/>
                <w:color w:val="000000" w:themeColor="text1"/>
                <w:szCs w:val="21"/>
                <w:highlight w:val="none"/>
                <w:u w:val="single"/>
                <w:lang w:val="en"/>
                <w14:textFill>
                  <w14:solidFill>
                    <w14:schemeClr w14:val="tx1"/>
                  </w14:solidFill>
                </w14:textFill>
              </w:rPr>
              <w:t>年</w:t>
            </w:r>
            <w:r>
              <w:rPr>
                <w:rFonts w:hint="eastAsia" w:ascii="宋体" w:hAnsi="宋体"/>
                <w:b/>
                <w:color w:val="000000" w:themeColor="text1"/>
                <w:szCs w:val="21"/>
                <w:highlight w:val="none"/>
                <w:u w:val="single"/>
                <w:lang w:val="en-US" w:eastAsia="zh-CN"/>
                <w14:textFill>
                  <w14:solidFill>
                    <w14:schemeClr w14:val="tx1"/>
                  </w14:solidFill>
                </w14:textFill>
              </w:rPr>
              <w:t>12</w:t>
            </w:r>
            <w:r>
              <w:rPr>
                <w:rFonts w:ascii="宋体" w:hAnsi="宋体"/>
                <w:b/>
                <w:color w:val="000000" w:themeColor="text1"/>
                <w:szCs w:val="21"/>
                <w:highlight w:val="none"/>
                <w:u w:val="single"/>
                <w:lang w:val="en"/>
                <w14:textFill>
                  <w14:solidFill>
                    <w14:schemeClr w14:val="tx1"/>
                  </w14:solidFill>
                </w14:textFill>
              </w:rPr>
              <w:t>月</w:t>
            </w:r>
            <w:r>
              <w:rPr>
                <w:rFonts w:hint="eastAsia" w:ascii="宋体" w:hAnsi="宋体"/>
                <w:b/>
                <w:color w:val="000000" w:themeColor="text1"/>
                <w:szCs w:val="21"/>
                <w:highlight w:val="none"/>
                <w:u w:val="single"/>
                <w:lang w:val="en-US" w:eastAsia="zh-CN"/>
                <w14:textFill>
                  <w14:solidFill>
                    <w14:schemeClr w14:val="tx1"/>
                  </w14:solidFill>
                </w14:textFill>
              </w:rPr>
              <w:t>23</w:t>
            </w:r>
            <w:r>
              <w:rPr>
                <w:rFonts w:ascii="宋体" w:hAnsi="宋体"/>
                <w:b/>
                <w:color w:val="000000" w:themeColor="text1"/>
                <w:szCs w:val="21"/>
                <w:highlight w:val="none"/>
                <w:u w:val="single"/>
                <w:lang w:val="en"/>
                <w14:textFill>
                  <w14:solidFill>
                    <w14:schemeClr w14:val="tx1"/>
                  </w14:solidFill>
                </w14:textFill>
              </w:rPr>
              <w:t>日</w:t>
            </w:r>
            <w:r>
              <w:rPr>
                <w:rFonts w:hint="eastAsia" w:ascii="宋体" w:hAnsi="宋体"/>
                <w:b/>
                <w:color w:val="000000" w:themeColor="text1"/>
                <w:szCs w:val="21"/>
                <w:highlight w:val="none"/>
                <w14:textFill>
                  <w14:solidFill>
                    <w14:schemeClr w14:val="tx1"/>
                  </w14:solidFill>
                </w14:textFill>
              </w:rPr>
              <w:t>上午10时整，</w:t>
            </w:r>
            <w:r>
              <w:rPr>
                <w:rFonts w:hint="eastAsia" w:ascii="宋体" w:hAnsi="宋体"/>
                <w:b/>
                <w:color w:val="000000" w:themeColor="text1"/>
                <w:szCs w:val="21"/>
                <w:highlight w:val="none"/>
                <w:u w:val="single"/>
                <w14:textFill>
                  <w14:solidFill>
                    <w14:schemeClr w14:val="tx1"/>
                  </w14:solidFill>
                </w14:textFill>
              </w:rPr>
              <w:t>南宁市星湖路22号</w:t>
            </w:r>
            <w:r>
              <w:rPr>
                <w:rFonts w:hint="eastAsia" w:ascii="宋体" w:hAnsi="宋体" w:cs="Arial"/>
                <w:b/>
                <w:color w:val="000000" w:themeColor="text1"/>
                <w:szCs w:val="21"/>
                <w:highlight w:val="none"/>
                <w:u w:val="single"/>
                <w14:textFill>
                  <w14:solidFill>
                    <w14:schemeClr w14:val="tx1"/>
                  </w14:solidFill>
                </w14:textFill>
              </w:rPr>
              <w:t>广西壮族自治区政府采购中心开标室</w:t>
            </w:r>
            <w:r>
              <w:rPr>
                <w:rFonts w:hint="eastAsia" w:ascii="宋体" w:hAnsi="宋体"/>
                <w:b/>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本项目采用在线开评标方式，投标供应商无须前往开标现场</w:t>
            </w:r>
            <w:r>
              <w:rPr>
                <w:rFonts w:hint="eastAsia" w:ascii="宋体" w:hAnsi="宋体"/>
                <w:b/>
                <w:color w:val="000000" w:themeColor="text1"/>
                <w:szCs w:val="21"/>
                <w:highlight w:val="none"/>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w:t>
            </w:r>
          </w:p>
        </w:tc>
        <w:tc>
          <w:tcPr>
            <w:tcW w:w="90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评标方法及评定标准：综合评分法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w:t>
            </w:r>
          </w:p>
        </w:tc>
        <w:tc>
          <w:tcPr>
            <w:tcW w:w="90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textAlignment w:val="bottom"/>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中标公告及中标通知书：本中心在采购人依法确认中标人后二个工作日内发布中标公告和中标通知书，中标公告发布于上述媒体</w:t>
            </w:r>
            <w:r>
              <w:rPr>
                <w:rFonts w:hint="eastAsia" w:ascii="宋体" w:hAnsi="宋体" w:cs="Courier New"/>
                <w:color w:val="000000" w:themeColor="text1"/>
                <w:szCs w:val="21"/>
                <w:highlight w:val="none"/>
                <w14:textFill>
                  <w14:solidFill>
                    <w14:schemeClr w14:val="tx1"/>
                  </w14:solidFill>
                </w14:textFill>
              </w:rPr>
              <w:t>（详细见公告中公布的网站）</w:t>
            </w:r>
            <w:r>
              <w:rPr>
                <w:rFonts w:hint="eastAsia" w:ascii="宋体" w:hAnsi="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w:t>
            </w:r>
          </w:p>
        </w:tc>
        <w:tc>
          <w:tcPr>
            <w:tcW w:w="90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20" w:lineRule="exact"/>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采购资金来源：财政性资金。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w:t>
            </w:r>
          </w:p>
        </w:tc>
        <w:tc>
          <w:tcPr>
            <w:tcW w:w="909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付款方式：</w:t>
            </w:r>
            <w:r>
              <w:rPr>
                <w:rFonts w:hint="eastAsia" w:ascii="宋体" w:hAnsi="宋体" w:cs="宋体"/>
                <w:color w:val="000000" w:themeColor="text1"/>
                <w:kern w:val="0"/>
                <w:szCs w:val="21"/>
                <w:highlight w:val="none"/>
                <w14:textFill>
                  <w14:solidFill>
                    <w14:schemeClr w14:val="tx1"/>
                  </w14:solidFill>
                </w14:textFill>
              </w:rPr>
              <w:t>见招标项目采购需求。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投标文件有效期：</w:t>
            </w:r>
            <w:r>
              <w:rPr>
                <w:rFonts w:hint="eastAsia" w:ascii="宋体" w:hAnsi="宋体" w:cs="Arial"/>
                <w:color w:val="000000" w:themeColor="text1"/>
                <w:szCs w:val="21"/>
                <w:highlight w:val="none"/>
                <w:u w:val="single"/>
                <w14:textFill>
                  <w14:solidFill>
                    <w14:schemeClr w14:val="tx1"/>
                  </w14:solidFill>
                </w14:textFill>
              </w:rPr>
              <w:t xml:space="preserve"> 六十日。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本招标文件解释权属广西壮族自治区政府采购中心。</w:t>
            </w:r>
          </w:p>
        </w:tc>
      </w:tr>
    </w:tbl>
    <w:p>
      <w:pPr>
        <w:pStyle w:val="30"/>
        <w:pageBreakBefore/>
        <w:snapToGrid w:val="0"/>
        <w:spacing w:before="120" w:after="120" w:line="360" w:lineRule="exact"/>
        <w:jc w:val="center"/>
        <w:rPr>
          <w:rFonts w:hint="eastAsia" w:hAnsi="宋体"/>
          <w:b/>
          <w:color w:val="000000" w:themeColor="text1"/>
          <w:highlight w:val="none"/>
          <w14:textFill>
            <w14:solidFill>
              <w14:schemeClr w14:val="tx1"/>
            </w14:solidFill>
          </w14:textFill>
        </w:rPr>
      </w:pPr>
      <w:r>
        <w:rPr>
          <w:rFonts w:hint="eastAsia" w:ascii="仿宋_GB2312" w:hAnsi="宋体" w:eastAsia="仿宋_GB2312"/>
          <w:b/>
          <w:color w:val="000000" w:themeColor="text1"/>
          <w:sz w:val="32"/>
          <w:szCs w:val="32"/>
          <w:highlight w:val="none"/>
          <w14:textFill>
            <w14:solidFill>
              <w14:schemeClr w14:val="tx1"/>
            </w14:solidFill>
          </w14:textFill>
        </w:rPr>
        <w:t>投标人须知</w:t>
      </w:r>
    </w:p>
    <w:p>
      <w:pPr>
        <w:pStyle w:val="30"/>
        <w:adjustRightInd w:val="0"/>
        <w:snapToGrid w:val="0"/>
        <w:spacing w:line="400" w:lineRule="exact"/>
        <w:rPr>
          <w:rFonts w:hint="eastAsia"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一、总  则</w:t>
      </w:r>
    </w:p>
    <w:p>
      <w:pPr>
        <w:adjustRightInd w:val="0"/>
        <w:snapToGrid w:val="0"/>
        <w:spacing w:line="400" w:lineRule="exact"/>
        <w:ind w:firstLine="420" w:firstLineChars="200"/>
        <w:rPr>
          <w:rFonts w:hint="eastAsia" w:ascii="宋体" w:hAnsi="宋体"/>
          <w:b/>
          <w:color w:val="000000" w:themeColor="text1"/>
          <w:szCs w:val="21"/>
          <w:highlight w:val="none"/>
          <w14:textFill>
            <w14:solidFill>
              <w14:schemeClr w14:val="tx1"/>
            </w14:solidFill>
          </w14:textFill>
        </w:rPr>
      </w:pPr>
      <w:bookmarkStart w:id="13" w:name="_Toc254970668"/>
      <w:bookmarkStart w:id="14" w:name="_Toc254970527"/>
      <w:r>
        <w:rPr>
          <w:rFonts w:hint="eastAsia" w:ascii="宋体" w:hAnsi="宋体"/>
          <w:b/>
          <w:color w:val="000000" w:themeColor="text1"/>
          <w:szCs w:val="21"/>
          <w:highlight w:val="none"/>
          <w14:textFill>
            <w14:solidFill>
              <w14:schemeClr w14:val="tx1"/>
            </w14:solidFill>
          </w14:textFill>
        </w:rPr>
        <w:t>（一） 适用范围</w:t>
      </w:r>
      <w:bookmarkEnd w:id="13"/>
      <w:bookmarkEnd w:id="14"/>
    </w:p>
    <w:p>
      <w:pPr>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本招标文件适用于</w:t>
      </w:r>
      <w:r>
        <w:rPr>
          <w:rFonts w:hint="eastAsia" w:ascii="宋体" w:hAnsi="宋体"/>
          <w:bCs/>
          <w:color w:val="000000" w:themeColor="text1"/>
          <w:szCs w:val="21"/>
          <w:highlight w:val="none"/>
          <w14:textFill>
            <w14:solidFill>
              <w14:schemeClr w14:val="tx1"/>
            </w14:solidFill>
          </w14:textFill>
        </w:rPr>
        <w:t>本</w:t>
      </w:r>
      <w:r>
        <w:rPr>
          <w:rFonts w:hint="eastAsia" w:ascii="宋体" w:hAnsi="宋体"/>
          <w:color w:val="000000" w:themeColor="text1"/>
          <w:szCs w:val="21"/>
          <w:highlight w:val="none"/>
          <w14:textFill>
            <w14:solidFill>
              <w14:schemeClr w14:val="tx1"/>
            </w14:solidFill>
          </w14:textFill>
        </w:rPr>
        <w:t>项目的招标、投标、评标、定标、验收、合同履约、付款等行为（法律、法规另有规定的，从其规定）。</w:t>
      </w:r>
    </w:p>
    <w:p>
      <w:pPr>
        <w:adjustRightInd w:val="0"/>
        <w:snapToGrid w:val="0"/>
        <w:spacing w:line="400" w:lineRule="exact"/>
        <w:ind w:firstLine="420" w:firstLineChars="200"/>
        <w:rPr>
          <w:rFonts w:ascii="宋体" w:hAnsi="宋体"/>
          <w:b/>
          <w:color w:val="000000" w:themeColor="text1"/>
          <w:szCs w:val="21"/>
          <w:highlight w:val="none"/>
          <w14:textFill>
            <w14:solidFill>
              <w14:schemeClr w14:val="tx1"/>
            </w14:solidFill>
          </w14:textFill>
        </w:rPr>
      </w:pPr>
      <w:bookmarkStart w:id="15" w:name="_Toc254970669"/>
      <w:bookmarkStart w:id="16" w:name="_Toc254970528"/>
      <w:bookmarkStart w:id="17" w:name="_Toc254970548"/>
      <w:bookmarkStart w:id="18" w:name="_Toc254970689"/>
      <w:r>
        <w:rPr>
          <w:rFonts w:hint="eastAsia" w:ascii="宋体" w:hAnsi="宋体"/>
          <w:b/>
          <w:color w:val="000000" w:themeColor="text1"/>
          <w:szCs w:val="21"/>
          <w:highlight w:val="none"/>
          <w14:textFill>
            <w14:solidFill>
              <w14:schemeClr w14:val="tx1"/>
            </w14:solidFill>
          </w14:textFill>
        </w:rPr>
        <w:t>（二）定义</w:t>
      </w:r>
      <w:bookmarkEnd w:id="15"/>
      <w:bookmarkEnd w:id="16"/>
    </w:p>
    <w:p>
      <w:pPr>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bookmarkStart w:id="19" w:name="_Toc254970670"/>
      <w:bookmarkStart w:id="20" w:name="_Toc254970529"/>
      <w:r>
        <w:rPr>
          <w:rFonts w:hint="eastAsia" w:ascii="宋体" w:hAnsi="宋体"/>
          <w:color w:val="000000" w:themeColor="text1"/>
          <w:szCs w:val="21"/>
          <w:highlight w:val="none"/>
          <w14:textFill>
            <w14:solidFill>
              <w14:schemeClr w14:val="tx1"/>
            </w14:solidFill>
          </w14:textFill>
        </w:rPr>
        <w:t>1.“采购人”系指组织本次招标的采购单位。</w:t>
      </w:r>
    </w:p>
    <w:p>
      <w:pPr>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2.“采购代理机构”系指广西壮族自治区政府采购中心（以下简称“本中心）。</w:t>
      </w:r>
    </w:p>
    <w:p>
      <w:pPr>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3.“投标人”系指响应招标、参加投标竞争的法人、其他组织或者自然人。</w:t>
      </w:r>
    </w:p>
    <w:p>
      <w:pPr>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4.“产品”系指供方按招标文件规定，须向采购人提供的一切设备、保险、税金、备品备件、工具、手册及其它有关技术资料和材料。</w:t>
      </w:r>
    </w:p>
    <w:p>
      <w:pPr>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5.“服务”系指招标文件规定投标人须承担的安装、调试、技术协助、校准、培训、技术指导以及其他类似的义务。</w:t>
      </w:r>
    </w:p>
    <w:p>
      <w:pPr>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6.“项目”系指投标人按招标文件规定向采购人提供的产品和服务。</w:t>
      </w:r>
    </w:p>
    <w:p>
      <w:pPr>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7.“书面形式”包括信函、传真、电报等。</w:t>
      </w:r>
    </w:p>
    <w:p>
      <w:pPr>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8.“▲”系指实质性要求条款。</w:t>
      </w:r>
    </w:p>
    <w:p>
      <w:pPr>
        <w:adjustRightInd w:val="0"/>
        <w:snapToGrid w:val="0"/>
        <w:spacing w:line="400" w:lineRule="exact"/>
        <w:ind w:firstLine="420"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（三）招标方式</w:t>
      </w:r>
      <w:bookmarkEnd w:id="19"/>
      <w:bookmarkEnd w:id="20"/>
    </w:p>
    <w:p>
      <w:pPr>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公开招标方式。</w:t>
      </w:r>
    </w:p>
    <w:p>
      <w:pPr>
        <w:adjustRightInd w:val="0"/>
        <w:snapToGrid w:val="0"/>
        <w:spacing w:line="400" w:lineRule="exact"/>
        <w:ind w:firstLine="420" w:firstLineChars="200"/>
        <w:rPr>
          <w:rFonts w:hint="eastAsia" w:ascii="宋体" w:hAnsi="宋体"/>
          <w:b/>
          <w:color w:val="000000" w:themeColor="text1"/>
          <w:szCs w:val="21"/>
          <w:highlight w:val="none"/>
          <w14:textFill>
            <w14:solidFill>
              <w14:schemeClr w14:val="tx1"/>
            </w14:solidFill>
          </w14:textFill>
        </w:rPr>
      </w:pPr>
      <w:bookmarkStart w:id="21" w:name="_Toc254970530"/>
      <w:bookmarkStart w:id="22" w:name="_Toc254970671"/>
      <w:r>
        <w:rPr>
          <w:rFonts w:hint="eastAsia" w:ascii="宋体" w:hAnsi="宋体"/>
          <w:b/>
          <w:color w:val="000000" w:themeColor="text1"/>
          <w:szCs w:val="21"/>
          <w:highlight w:val="none"/>
          <w14:textFill>
            <w14:solidFill>
              <w14:schemeClr w14:val="tx1"/>
            </w14:solidFill>
          </w14:textFill>
        </w:rPr>
        <w:t>（四）投标委托</w:t>
      </w:r>
      <w:bookmarkEnd w:id="21"/>
      <w:bookmarkEnd w:id="22"/>
    </w:p>
    <w:p>
      <w:pPr>
        <w:pStyle w:val="23"/>
        <w:adjustRightInd w:val="0"/>
        <w:snapToGrid w:val="0"/>
        <w:spacing w:line="400" w:lineRule="exact"/>
        <w:ind w:firstLine="420" w:firstLineChars="200"/>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如投标人代表不是法定代表人(负责人)，须有法定代表人(负责人)出具的授权委托书，格式见第六章《投标文件格式》）。</w:t>
      </w:r>
    </w:p>
    <w:p>
      <w:pPr>
        <w:adjustRightInd w:val="0"/>
        <w:snapToGrid w:val="0"/>
        <w:spacing w:line="400" w:lineRule="exact"/>
        <w:ind w:firstLine="420" w:firstLineChars="200"/>
        <w:rPr>
          <w:rFonts w:hint="eastAsia" w:ascii="宋体" w:hAnsi="宋体"/>
          <w:b/>
          <w:color w:val="000000" w:themeColor="text1"/>
          <w:szCs w:val="21"/>
          <w:highlight w:val="none"/>
          <w14:textFill>
            <w14:solidFill>
              <w14:schemeClr w14:val="tx1"/>
            </w14:solidFill>
          </w14:textFill>
        </w:rPr>
      </w:pPr>
      <w:bookmarkStart w:id="23" w:name="_Toc254970672"/>
      <w:bookmarkStart w:id="24" w:name="_Toc254970531"/>
      <w:r>
        <w:rPr>
          <w:rFonts w:hint="eastAsia" w:ascii="宋体" w:hAnsi="宋体"/>
          <w:b/>
          <w:color w:val="000000" w:themeColor="text1"/>
          <w:szCs w:val="21"/>
          <w:highlight w:val="none"/>
          <w14:textFill>
            <w14:solidFill>
              <w14:schemeClr w14:val="tx1"/>
            </w14:solidFill>
          </w14:textFill>
        </w:rPr>
        <w:t>（五）投标费用</w:t>
      </w:r>
      <w:bookmarkEnd w:id="23"/>
      <w:bookmarkEnd w:id="24"/>
    </w:p>
    <w:p>
      <w:pPr>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投标人均应自行承担所有与投标有关的全部费用（招标文件有相关的规定除外）。</w:t>
      </w:r>
    </w:p>
    <w:p>
      <w:pPr>
        <w:adjustRightInd w:val="0"/>
        <w:snapToGrid w:val="0"/>
        <w:spacing w:line="400" w:lineRule="exact"/>
        <w:ind w:firstLine="420"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（六）联合体投标</w:t>
      </w:r>
    </w:p>
    <w:p>
      <w:pPr>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u w:val="single"/>
          <w14:textFill>
            <w14:solidFill>
              <w14:schemeClr w14:val="tx1"/>
            </w14:solidFill>
          </w14:textFill>
        </w:rPr>
        <w:t>本项目不接受联合体投标</w:t>
      </w:r>
    </w:p>
    <w:p>
      <w:pPr>
        <w:adjustRightInd w:val="0"/>
        <w:snapToGrid w:val="0"/>
        <w:spacing w:line="400" w:lineRule="exact"/>
        <w:ind w:firstLine="420" w:firstLineChars="200"/>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（七）转包与分包     </w:t>
      </w:r>
      <w:r>
        <w:rPr>
          <w:rFonts w:hint="eastAsia" w:ascii="宋体" w:hAnsi="宋体" w:cs="宋体"/>
          <w:b/>
          <w:color w:val="000000" w:themeColor="text1"/>
          <w:kern w:val="0"/>
          <w:szCs w:val="21"/>
          <w:highlight w:val="none"/>
          <w14:textFill>
            <w14:solidFill>
              <w14:schemeClr w14:val="tx1"/>
            </w14:solidFill>
          </w14:textFill>
        </w:rPr>
        <w:t xml:space="preserve">        </w:t>
      </w:r>
    </w:p>
    <w:p>
      <w:pPr>
        <w:adjustRightInd w:val="0"/>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1.本项目不允许转包。</w:t>
      </w:r>
    </w:p>
    <w:p>
      <w:pPr>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2.本项目不可以分包。</w:t>
      </w:r>
    </w:p>
    <w:p>
      <w:pPr>
        <w:adjustRightInd w:val="0"/>
        <w:snapToGrid w:val="0"/>
        <w:spacing w:line="400" w:lineRule="exact"/>
        <w:ind w:firstLine="420" w:firstLineChars="200"/>
        <w:rPr>
          <w:rFonts w:hint="eastAsia" w:ascii="宋体" w:hAnsi="宋体"/>
          <w:b/>
          <w:color w:val="000000" w:themeColor="text1"/>
          <w:szCs w:val="21"/>
          <w:highlight w:val="none"/>
          <w14:textFill>
            <w14:solidFill>
              <w14:schemeClr w14:val="tx1"/>
            </w14:solidFill>
          </w14:textFill>
        </w:rPr>
      </w:pPr>
      <w:bookmarkStart w:id="25" w:name="_Toc254970673"/>
      <w:bookmarkStart w:id="26" w:name="_Toc254970532"/>
      <w:r>
        <w:rPr>
          <w:rFonts w:hint="eastAsia" w:ascii="宋体" w:hAnsi="宋体"/>
          <w:b/>
          <w:color w:val="000000" w:themeColor="text1"/>
          <w:szCs w:val="21"/>
          <w:highlight w:val="none"/>
          <w14:textFill>
            <w14:solidFill>
              <w14:schemeClr w14:val="tx1"/>
            </w14:solidFill>
          </w14:textFill>
        </w:rPr>
        <w:t>（八）特别说明：</w:t>
      </w:r>
      <w:bookmarkEnd w:id="25"/>
      <w:bookmarkEnd w:id="26"/>
    </w:p>
    <w:p>
      <w:pPr>
        <w:pStyle w:val="30"/>
        <w:adjustRightInd w:val="0"/>
        <w:snapToGrid w:val="0"/>
        <w:spacing w:line="400" w:lineRule="exact"/>
        <w:ind w:left="2" w:leftChars="1" w:firstLine="420" w:firstLineChars="200"/>
        <w:rPr>
          <w:rFonts w:hAnsi="宋体" w:cs="Times New Roman"/>
          <w:color w:val="000000" w:themeColor="text1"/>
          <w:highlight w:val="none"/>
          <w14:textFill>
            <w14:solidFill>
              <w14:schemeClr w14:val="tx1"/>
            </w14:solidFill>
          </w14:textFill>
        </w:rPr>
      </w:pPr>
      <w:r>
        <w:rPr>
          <w:rFonts w:hint="eastAsia" w:hAnsi="宋体" w:cs="Times New Roman"/>
          <w:color w:val="000000" w:themeColor="text1"/>
          <w:highlight w:val="none"/>
          <w14:textFill>
            <w14:solidFill>
              <w14:schemeClr w14:val="tx1"/>
            </w14:solidFill>
          </w14:textFill>
        </w:rPr>
        <w:t>▲1.单位负责人为同一人或者存在直接控股、管理关系的不同供应商，不得参加同一合同项下的政府采购活动。</w:t>
      </w:r>
    </w:p>
    <w:p>
      <w:pPr>
        <w:adjustRightInd w:val="0"/>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p>
      <w:pPr>
        <w:pStyle w:val="30"/>
        <w:adjustRightInd w:val="0"/>
        <w:snapToGrid w:val="0"/>
        <w:spacing w:line="400" w:lineRule="exact"/>
        <w:ind w:left="2" w:leftChars="1" w:firstLine="420" w:firstLineChars="200"/>
        <w:rPr>
          <w:rFonts w:hint="eastAsia" w:hAnsi="宋体" w:cs="Times New Roman"/>
          <w:color w:val="000000" w:themeColor="text1"/>
          <w:highlight w:val="none"/>
          <w14:textFill>
            <w14:solidFill>
              <w14:schemeClr w14:val="tx1"/>
            </w14:solidFill>
          </w14:textFill>
        </w:rPr>
      </w:pPr>
      <w:r>
        <w:rPr>
          <w:rFonts w:hint="eastAsia" w:hAnsi="宋体" w:cs="Times New Roman"/>
          <w:color w:val="000000" w:themeColor="text1"/>
          <w:highlight w:val="none"/>
          <w14:textFill>
            <w14:solidFill>
              <w14:schemeClr w14:val="tx1"/>
            </w14:solidFill>
          </w14:textFill>
        </w:rPr>
        <w:t>非单一产品采购项目中，多家投标人提供的招标文件中载明的核心产品品牌相同的，视为提供相同品牌产品。</w:t>
      </w:r>
    </w:p>
    <w:p>
      <w:pPr>
        <w:pStyle w:val="30"/>
        <w:adjustRightInd w:val="0"/>
        <w:snapToGrid w:val="0"/>
        <w:spacing w:line="400" w:lineRule="exact"/>
        <w:ind w:left="2" w:leftChars="1" w:firstLine="420" w:firstLineChars="200"/>
        <w:rPr>
          <w:rFonts w:hint="eastAsia" w:hAnsi="宋体" w:cs="Times New Roman"/>
          <w:color w:val="000000" w:themeColor="text1"/>
          <w:highlight w:val="none"/>
          <w14:textFill>
            <w14:solidFill>
              <w14:schemeClr w14:val="tx1"/>
            </w14:solidFill>
          </w14:textFill>
        </w:rPr>
      </w:pPr>
      <w:r>
        <w:rPr>
          <w:rFonts w:hint="eastAsia" w:hAnsi="宋体" w:cs="Times New Roman"/>
          <w:color w:val="000000" w:themeColor="text1"/>
          <w:highlight w:val="none"/>
          <w14:textFill>
            <w14:solidFill>
              <w14:schemeClr w14:val="tx1"/>
            </w14:solidFill>
          </w14:textFill>
        </w:rPr>
        <w:t>▲3.投标人投标所使用的资格、信誉、荣誉、业绩与企业认证必须为本法人所拥有。</w:t>
      </w:r>
    </w:p>
    <w:p>
      <w:pPr>
        <w:pStyle w:val="30"/>
        <w:adjustRightInd w:val="0"/>
        <w:snapToGrid w:val="0"/>
        <w:spacing w:line="400" w:lineRule="exact"/>
        <w:ind w:left="2" w:leftChars="1" w:firstLine="420" w:firstLineChars="200"/>
        <w:rPr>
          <w:rFonts w:hint="eastAsia" w:hAnsi="宋体" w:cs="Times New Roman"/>
          <w:color w:val="000000" w:themeColor="text1"/>
          <w:highlight w:val="none"/>
          <w14:textFill>
            <w14:solidFill>
              <w14:schemeClr w14:val="tx1"/>
            </w14:solidFill>
          </w14:textFill>
        </w:rPr>
      </w:pPr>
      <w:r>
        <w:rPr>
          <w:rFonts w:hint="eastAsia" w:hAnsi="宋体" w:cs="Times New Roman"/>
          <w:color w:val="000000" w:themeColor="text1"/>
          <w:highlight w:val="none"/>
          <w14:textFill>
            <w14:solidFill>
              <w14:schemeClr w14:val="tx1"/>
            </w14:solidFill>
          </w14:textFill>
        </w:rPr>
        <w:t>▲4.投标人应仔细阅读招标文件的所有内容，按照招标文件的要求提交投标文件，并对所提供的全部资料的真实性承担法律责任。</w:t>
      </w:r>
    </w:p>
    <w:p>
      <w:pPr>
        <w:pStyle w:val="30"/>
        <w:adjustRightInd w:val="0"/>
        <w:snapToGrid w:val="0"/>
        <w:spacing w:line="400" w:lineRule="exact"/>
        <w:ind w:left="2" w:leftChars="1" w:firstLine="420" w:firstLineChars="200"/>
        <w:rPr>
          <w:rFonts w:hint="eastAsia" w:hAnsi="宋体" w:cs="Times New Roman"/>
          <w:color w:val="000000" w:themeColor="text1"/>
          <w:highlight w:val="none"/>
          <w14:textFill>
            <w14:solidFill>
              <w14:schemeClr w14:val="tx1"/>
            </w14:solidFill>
          </w14:textFill>
        </w:rPr>
      </w:pPr>
      <w:r>
        <w:rPr>
          <w:rFonts w:hint="eastAsia" w:hAnsi="宋体" w:cs="Times New Roman"/>
          <w:color w:val="000000" w:themeColor="text1"/>
          <w:highlight w:val="none"/>
          <w14:textFill>
            <w14:solidFill>
              <w14:schemeClr w14:val="tx1"/>
            </w14:solidFill>
          </w14:textFill>
        </w:rPr>
        <w:t>▲5.投标人在投标活动中提供任何虚假材料、互相串通投标，其投标无效，并报监管部门查处。</w:t>
      </w:r>
    </w:p>
    <w:p>
      <w:pPr>
        <w:adjustRightInd w:val="0"/>
        <w:snapToGrid w:val="0"/>
        <w:spacing w:line="400" w:lineRule="exact"/>
        <w:ind w:firstLine="420" w:firstLineChars="200"/>
        <w:rPr>
          <w:rFonts w:hint="eastAsia" w:ascii="宋体" w:hAnsi="宋体"/>
          <w:b/>
          <w:color w:val="000000" w:themeColor="text1"/>
          <w:szCs w:val="21"/>
          <w:highlight w:val="none"/>
          <w14:textFill>
            <w14:solidFill>
              <w14:schemeClr w14:val="tx1"/>
            </w14:solidFill>
          </w14:textFill>
        </w:rPr>
      </w:pPr>
      <w:bookmarkStart w:id="27" w:name="_Toc254970674"/>
      <w:bookmarkStart w:id="28" w:name="_Toc254970533"/>
      <w:r>
        <w:rPr>
          <w:rFonts w:hint="eastAsia" w:ascii="宋体" w:hAnsi="宋体"/>
          <w:b/>
          <w:color w:val="000000" w:themeColor="text1"/>
          <w:szCs w:val="21"/>
          <w:highlight w:val="none"/>
          <w14:textFill>
            <w14:solidFill>
              <w14:schemeClr w14:val="tx1"/>
            </w14:solidFill>
          </w14:textFill>
        </w:rPr>
        <w:t>（九）</w:t>
      </w:r>
      <w:bookmarkEnd w:id="27"/>
      <w:bookmarkEnd w:id="28"/>
      <w:r>
        <w:rPr>
          <w:rFonts w:hint="eastAsia" w:ascii="宋体" w:hAnsi="宋体"/>
          <w:b/>
          <w:color w:val="000000" w:themeColor="text1"/>
          <w:szCs w:val="21"/>
          <w:highlight w:val="none"/>
          <w14:textFill>
            <w14:solidFill>
              <w14:schemeClr w14:val="tx1"/>
            </w14:solidFill>
          </w14:textFill>
        </w:rPr>
        <w:t>询问、质疑和投诉</w:t>
      </w:r>
    </w:p>
    <w:p>
      <w:pPr>
        <w:pStyle w:val="30"/>
        <w:adjustRightInd w:val="0"/>
        <w:snapToGrid w:val="0"/>
        <w:spacing w:line="400" w:lineRule="exact"/>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1.投标人对政府采购活动事项有疑问的，可以向采购人、本中心提出询问。</w:t>
      </w:r>
    </w:p>
    <w:p>
      <w:pPr>
        <w:pStyle w:val="30"/>
        <w:adjustRightInd w:val="0"/>
        <w:snapToGrid w:val="0"/>
        <w:spacing w:line="400" w:lineRule="exact"/>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2.投标人认为招标文件、招标过程或中标结果使自己的合法权益受到损害的，应当在知道或者应知其权益受到损害之日起7个工作日内，以书面形式向采购人、本中心提出质疑。具体计算时间如下：</w:t>
      </w:r>
    </w:p>
    <w:p>
      <w:pPr>
        <w:pStyle w:val="30"/>
        <w:adjustRightInd w:val="0"/>
        <w:snapToGrid w:val="0"/>
        <w:spacing w:line="400" w:lineRule="exact"/>
        <w:ind w:firstLine="308" w:firstLineChars="147"/>
        <w:rPr>
          <w:rFonts w:hint="eastAsia" w:hAnsi="宋体"/>
          <w:bCs/>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（1）对可以质疑的招标采购文件提出质疑的，为收到采购文件之日；</w:t>
      </w:r>
    </w:p>
    <w:p>
      <w:pPr>
        <w:widowControl/>
        <w:adjustRightInd w:val="0"/>
        <w:snapToGrid w:val="0"/>
        <w:spacing w:line="400" w:lineRule="exact"/>
        <w:jc w:val="left"/>
        <w:rPr>
          <w:rFonts w:hint="eastAsia" w:ascii="宋体" w:hAnsi="宋体" w:cs="Courier New"/>
          <w:b/>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 xml:space="preserve">　 </w:t>
      </w:r>
      <w:r>
        <w:rPr>
          <w:rFonts w:hint="eastAsia" w:ascii="宋体" w:hAnsi="宋体" w:cs="Courier New"/>
          <w:b/>
          <w:color w:val="000000" w:themeColor="text1"/>
          <w:szCs w:val="21"/>
          <w:highlight w:val="none"/>
          <w14:textFill>
            <w14:solidFill>
              <w14:schemeClr w14:val="tx1"/>
            </w14:solidFill>
          </w14:textFill>
        </w:rPr>
        <w:t>（2）对招标采购过程提出质疑的，为各采购程序环节结束之日；</w:t>
      </w:r>
    </w:p>
    <w:p>
      <w:pPr>
        <w:widowControl/>
        <w:adjustRightInd w:val="0"/>
        <w:snapToGrid w:val="0"/>
        <w:spacing w:line="400" w:lineRule="exact"/>
        <w:ind w:firstLine="102" w:firstLineChars="49"/>
        <w:jc w:val="left"/>
        <w:rPr>
          <w:rFonts w:hint="eastAsia" w:ascii="宋体" w:hAnsi="宋体" w:cs="Courier New"/>
          <w:b/>
          <w:color w:val="000000" w:themeColor="text1"/>
          <w:szCs w:val="21"/>
          <w:highlight w:val="none"/>
          <w14:textFill>
            <w14:solidFill>
              <w14:schemeClr w14:val="tx1"/>
            </w14:solidFill>
          </w14:textFill>
        </w:rPr>
      </w:pPr>
      <w:r>
        <w:rPr>
          <w:rFonts w:hint="eastAsia" w:ascii="宋体" w:hAnsi="宋体" w:cs="Courier New"/>
          <w:b/>
          <w:color w:val="000000" w:themeColor="text1"/>
          <w:szCs w:val="21"/>
          <w:highlight w:val="none"/>
          <w14:textFill>
            <w14:solidFill>
              <w14:schemeClr w14:val="tx1"/>
            </w14:solidFill>
          </w14:textFill>
        </w:rPr>
        <w:t xml:space="preserve">  （3）对中标结果提出质疑的，为中标结果公告期限届满之日。投标人对采购人或者本中心的质疑答复不满意或者采购人、本中心未在规定时间内作出答复的，可以在答复期满后15个工作日内向同级采购监管部门投诉。</w:t>
      </w:r>
    </w:p>
    <w:p>
      <w:pPr>
        <w:pStyle w:val="30"/>
        <w:adjustRightInd w:val="0"/>
        <w:snapToGrid w:val="0"/>
        <w:spacing w:line="400" w:lineRule="exact"/>
        <w:ind w:firstLine="420" w:firstLineChars="200"/>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pPr>
        <w:pStyle w:val="30"/>
        <w:adjustRightInd w:val="0"/>
        <w:snapToGrid w:val="0"/>
        <w:spacing w:line="400" w:lineRule="exact"/>
        <w:ind w:firstLine="735" w:firstLineChars="350"/>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①质疑联系部门及电话为：广西壮族自治区政府采购中心</w:t>
      </w:r>
      <w:r>
        <w:rPr>
          <w:rFonts w:hint="eastAsia" w:hAnsi="宋体"/>
          <w:bCs/>
          <w:color w:val="000000" w:themeColor="text1"/>
          <w:highlight w:val="none"/>
          <w:lang w:eastAsia="zh-CN"/>
          <w14:textFill>
            <w14:solidFill>
              <w14:schemeClr w14:val="tx1"/>
            </w14:solidFill>
          </w14:textFill>
        </w:rPr>
        <w:t>内审科</w:t>
      </w:r>
      <w:r>
        <w:rPr>
          <w:rFonts w:hint="eastAsia" w:hAnsi="宋体"/>
          <w:bCs/>
          <w:color w:val="000000" w:themeColor="text1"/>
          <w:highlight w:val="none"/>
          <w14:textFill>
            <w14:solidFill>
              <w14:schemeClr w14:val="tx1"/>
            </w14:solidFill>
          </w14:textFill>
        </w:rPr>
        <w:t xml:space="preserve">      0771-8600453</w:t>
      </w:r>
    </w:p>
    <w:p>
      <w:pPr>
        <w:pStyle w:val="30"/>
        <w:adjustRightInd w:val="0"/>
        <w:snapToGrid w:val="0"/>
        <w:spacing w:line="400" w:lineRule="exact"/>
        <w:ind w:left="200" w:firstLine="420"/>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 xml:space="preserve"> ②投诉联系部门及电话为：广西壮族自治区政府采购监督管理处      0771-5331810</w:t>
      </w:r>
    </w:p>
    <w:p>
      <w:pPr>
        <w:pStyle w:val="30"/>
        <w:adjustRightInd w:val="0"/>
        <w:snapToGrid w:val="0"/>
        <w:spacing w:line="400" w:lineRule="exact"/>
        <w:rPr>
          <w:rFonts w:hint="eastAsia" w:hAnsi="宋体"/>
          <w:b/>
          <w:color w:val="000000" w:themeColor="text1"/>
          <w:highlight w:val="none"/>
          <w14:textFill>
            <w14:solidFill>
              <w14:schemeClr w14:val="tx1"/>
            </w14:solidFill>
          </w14:textFill>
        </w:rPr>
      </w:pPr>
      <w:bookmarkStart w:id="29" w:name="_Toc254970675"/>
      <w:bookmarkStart w:id="30" w:name="_Toc254970534"/>
      <w:r>
        <w:rPr>
          <w:rFonts w:hint="eastAsia" w:hAnsi="宋体"/>
          <w:b/>
          <w:color w:val="000000" w:themeColor="text1"/>
          <w:highlight w:val="none"/>
          <w14:textFill>
            <w14:solidFill>
              <w14:schemeClr w14:val="tx1"/>
            </w14:solidFill>
          </w14:textFill>
        </w:rPr>
        <w:t>二、招标文件</w:t>
      </w:r>
      <w:bookmarkEnd w:id="29"/>
      <w:bookmarkEnd w:id="30"/>
    </w:p>
    <w:p>
      <w:pPr>
        <w:adjustRightInd w:val="0"/>
        <w:snapToGrid w:val="0"/>
        <w:spacing w:line="400" w:lineRule="exact"/>
        <w:ind w:firstLine="420"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（一）招标文件的构成。</w:t>
      </w:r>
    </w:p>
    <w:p>
      <w:pPr>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1.公开招标公告；</w:t>
      </w:r>
    </w:p>
    <w:p>
      <w:pPr>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2.招标项目采购需求</w:t>
      </w:r>
    </w:p>
    <w:p>
      <w:pPr>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3.投标人须知；</w:t>
      </w:r>
    </w:p>
    <w:p>
      <w:pPr>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4.评标办法及评分标准；</w:t>
      </w:r>
    </w:p>
    <w:p>
      <w:pPr>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5.政府采购合同主要条款；</w:t>
      </w:r>
    </w:p>
    <w:p>
      <w:pPr>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6.投标文件格式。</w:t>
      </w:r>
    </w:p>
    <w:p>
      <w:pPr>
        <w:adjustRightInd w:val="0"/>
        <w:snapToGrid w:val="0"/>
        <w:spacing w:line="400" w:lineRule="exact"/>
        <w:ind w:firstLine="420"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（二）投标人的风险</w:t>
      </w:r>
    </w:p>
    <w:p>
      <w:pPr>
        <w:tabs>
          <w:tab w:val="left" w:pos="180"/>
          <w:tab w:val="left" w:pos="1620"/>
        </w:tabs>
        <w:adjustRightInd w:val="0"/>
        <w:snapToGrid w:val="0"/>
        <w:spacing w:line="400" w:lineRule="exact"/>
        <w:ind w:firstLine="420" w:firstLineChars="200"/>
        <w:rPr>
          <w:rFonts w:hint="eastAsia"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p>
    <w:p>
      <w:pPr>
        <w:tabs>
          <w:tab w:val="left" w:pos="180"/>
          <w:tab w:val="left" w:pos="1620"/>
        </w:tabs>
        <w:adjustRightInd w:val="0"/>
        <w:snapToGrid w:val="0"/>
        <w:spacing w:line="400" w:lineRule="exact"/>
        <w:ind w:firstLine="420" w:firstLineChars="200"/>
        <w:rPr>
          <w:rFonts w:hint="eastAsia"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 xml:space="preserve">2.对招标文件提出的实质性要求和条件作出明确响应是指投标人必须对招标文件中涉及招标项目的价格、采购服务的服务要求及其它要求、合同主要条款等内容作出明确响应。 </w:t>
      </w:r>
    </w:p>
    <w:p>
      <w:pPr>
        <w:adjustRightInd w:val="0"/>
        <w:snapToGrid w:val="0"/>
        <w:spacing w:line="400" w:lineRule="exact"/>
        <w:ind w:firstLine="420"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（三）招标文件的澄清与修改 </w:t>
      </w:r>
    </w:p>
    <w:p>
      <w:pPr>
        <w:pStyle w:val="30"/>
        <w:adjustRightInd w:val="0"/>
        <w:snapToGrid w:val="0"/>
        <w:spacing w:line="400" w:lineRule="exact"/>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w:t>
      </w:r>
      <w:r>
        <w:rPr>
          <w:rFonts w:hint="eastAsia" w:hAnsi="宋体"/>
          <w:bCs/>
          <w:color w:val="000000" w:themeColor="text1"/>
          <w:highlight w:val="none"/>
          <w14:textFill>
            <w14:solidFill>
              <w14:schemeClr w14:val="tx1"/>
            </w14:solidFill>
          </w14:textFill>
        </w:rPr>
        <w:t>投标人应认真阅读本招标文件，发现其中有误或有不合理要求的，投标人</w:t>
      </w:r>
      <w:r>
        <w:rPr>
          <w:rFonts w:hint="eastAsia" w:hAnsi="宋体"/>
          <w:b/>
          <w:bCs/>
          <w:color w:val="000000" w:themeColor="text1"/>
          <w:highlight w:val="none"/>
          <w14:textFill>
            <w14:solidFill>
              <w14:schemeClr w14:val="tx1"/>
            </w14:solidFill>
          </w14:textFill>
        </w:rPr>
        <w:t>应当</w:t>
      </w:r>
      <w:r>
        <w:rPr>
          <w:rFonts w:hint="eastAsia" w:hAnsi="宋体"/>
          <w:bCs/>
          <w:color w:val="000000" w:themeColor="text1"/>
          <w:highlight w:val="none"/>
          <w14:textFill>
            <w14:solidFill>
              <w14:schemeClr w14:val="tx1"/>
            </w14:solidFill>
          </w14:textFill>
        </w:rPr>
        <w:t>在</w:t>
      </w:r>
      <w:r>
        <w:rPr>
          <w:rFonts w:hint="eastAsia" w:hAnsi="宋体"/>
          <w:bCs/>
          <w:color w:val="000000" w:themeColor="text1"/>
          <w:highlight w:val="none"/>
          <w:u w:val="single"/>
          <w14:textFill>
            <w14:solidFill>
              <w14:schemeClr w14:val="tx1"/>
            </w14:solidFill>
          </w14:textFill>
        </w:rPr>
        <w:t>“采购文件：第三章 《投标人须知及前附表》序号6”规定的时间</w:t>
      </w:r>
      <w:r>
        <w:rPr>
          <w:rFonts w:hint="eastAsia" w:hAnsi="宋体"/>
          <w:bCs/>
          <w:color w:val="000000" w:themeColor="text1"/>
          <w:highlight w:val="none"/>
          <w14:textFill>
            <w14:solidFill>
              <w14:schemeClr w14:val="tx1"/>
            </w14:solidFill>
          </w14:textFill>
        </w:rPr>
        <w:t>前以书面形式要求采购人或者本中心</w:t>
      </w:r>
      <w:r>
        <w:rPr>
          <w:rFonts w:hint="eastAsia" w:hAnsi="宋体"/>
          <w:color w:val="000000" w:themeColor="text1"/>
          <w:highlight w:val="none"/>
          <w14:textFill>
            <w14:solidFill>
              <w14:schemeClr w14:val="tx1"/>
            </w14:solidFill>
          </w14:textFill>
        </w:rPr>
        <w:t>答疑、澄清</w:t>
      </w:r>
      <w:r>
        <w:rPr>
          <w:rFonts w:hint="eastAsia" w:hAnsi="宋体"/>
          <w:bCs/>
          <w:color w:val="000000" w:themeColor="text1"/>
          <w:highlight w:val="none"/>
          <w14:textFill>
            <w14:solidFill>
              <w14:schemeClr w14:val="tx1"/>
            </w14:solidFill>
          </w14:textFill>
        </w:rPr>
        <w:t>。本中心对已发出的招标文件进行必要澄清或者修改</w:t>
      </w:r>
      <w:r>
        <w:rPr>
          <w:rFonts w:hint="eastAsia" w:hAnsi="宋体"/>
          <w:b/>
          <w:bCs/>
          <w:color w:val="000000" w:themeColor="text1"/>
          <w:highlight w:val="none"/>
          <w14:textFill>
            <w14:solidFill>
              <w14:schemeClr w14:val="tx1"/>
            </w14:solidFill>
          </w14:textFill>
        </w:rPr>
        <w:t>可能影响投标文件编制的</w:t>
      </w:r>
      <w:r>
        <w:rPr>
          <w:rFonts w:hint="eastAsia" w:hAnsi="宋体"/>
          <w:bCs/>
          <w:color w:val="000000" w:themeColor="text1"/>
          <w:highlight w:val="none"/>
          <w14:textFill>
            <w14:solidFill>
              <w14:schemeClr w14:val="tx1"/>
            </w14:solidFill>
          </w14:textFill>
        </w:rPr>
        <w:t>，应当在招标文件要求提交投标文件截止时间十五日前，在财政部门指定的政府采购信息发布媒体及本中心网站上发布更正公告，并以书面形式通知所有招标文件收受人。该澄清或者修改的内容为招标文件的组成部分</w:t>
      </w:r>
      <w:r>
        <w:rPr>
          <w:rFonts w:hint="eastAsia" w:hAnsi="宋体"/>
          <w:color w:val="000000" w:themeColor="text1"/>
          <w:highlight w:val="none"/>
          <w14:textFill>
            <w14:solidFill>
              <w14:schemeClr w14:val="tx1"/>
            </w14:solidFill>
          </w14:textFill>
        </w:rPr>
        <w:t>。</w:t>
      </w:r>
    </w:p>
    <w:p>
      <w:pPr>
        <w:pStyle w:val="30"/>
        <w:adjustRightInd w:val="0"/>
        <w:snapToGrid w:val="0"/>
        <w:spacing w:line="400" w:lineRule="exact"/>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2.本中心必须以书面形式答复投标人要求澄清的问题，并将不包含问题来源的答复书面通知所有购买招标文件的投标人；除书面答复以外的其他澄清方式及澄清内容均无效。</w:t>
      </w:r>
    </w:p>
    <w:p>
      <w:pPr>
        <w:pStyle w:val="30"/>
        <w:adjustRightInd w:val="0"/>
        <w:snapToGrid w:val="0"/>
        <w:spacing w:line="400" w:lineRule="exact"/>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3.招标文件的答疑、澄清、修改、补充的内容为招标文件的组成部分。当招标文件与招标文件的答疑、澄清、修改、补充通知就同一内容的表述不一致时，以最后发出的书面文件为准。</w:t>
      </w:r>
    </w:p>
    <w:p>
      <w:pPr>
        <w:pStyle w:val="30"/>
        <w:adjustRightInd w:val="0"/>
        <w:snapToGrid w:val="0"/>
        <w:spacing w:line="400" w:lineRule="exact"/>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4.招标文件的答疑、澄清、修改、补充都应该通过本中心以法定形式发布，采购人非通过本机构，不得擅自答疑、澄清、修改、补充招标文件。</w:t>
      </w:r>
    </w:p>
    <w:p>
      <w:pPr>
        <w:pStyle w:val="30"/>
        <w:adjustRightInd w:val="0"/>
        <w:snapToGrid w:val="0"/>
        <w:spacing w:line="400" w:lineRule="exact"/>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5.本中心可以视采购具体情况，延长招标文件或者资格预审文件提供期限，并在财政部门指定的政府采购信息发布媒体及本中心网站上发布公告。</w:t>
      </w:r>
    </w:p>
    <w:p>
      <w:pPr>
        <w:pStyle w:val="30"/>
        <w:adjustRightInd w:val="0"/>
        <w:snapToGrid w:val="0"/>
        <w:spacing w:line="400" w:lineRule="exact"/>
        <w:rPr>
          <w:rFonts w:hint="eastAsia" w:hAnsi="宋体"/>
          <w:b/>
          <w:color w:val="000000" w:themeColor="text1"/>
          <w:highlight w:val="none"/>
          <w14:textFill>
            <w14:solidFill>
              <w14:schemeClr w14:val="tx1"/>
            </w14:solidFill>
          </w14:textFill>
        </w:rPr>
      </w:pPr>
      <w:bookmarkStart w:id="31" w:name="_Toc254970535"/>
      <w:bookmarkStart w:id="32" w:name="_Toc254970676"/>
      <w:r>
        <w:rPr>
          <w:rFonts w:hint="eastAsia" w:hAnsi="宋体"/>
          <w:b/>
          <w:color w:val="000000" w:themeColor="text1"/>
          <w:highlight w:val="none"/>
          <w14:textFill>
            <w14:solidFill>
              <w14:schemeClr w14:val="tx1"/>
            </w14:solidFill>
          </w14:textFill>
        </w:rPr>
        <w:t>三、投标文件的编制</w:t>
      </w:r>
      <w:bookmarkEnd w:id="31"/>
      <w:bookmarkEnd w:id="32"/>
    </w:p>
    <w:p>
      <w:pPr>
        <w:adjustRightInd w:val="0"/>
        <w:snapToGrid w:val="0"/>
        <w:spacing w:line="400" w:lineRule="exact"/>
        <w:ind w:firstLine="420" w:firstLineChars="200"/>
        <w:rPr>
          <w:rFonts w:hint="eastAsia" w:ascii="宋体" w:hAnsi="宋体"/>
          <w:b/>
          <w:color w:val="000000" w:themeColor="text1"/>
          <w:szCs w:val="21"/>
          <w:highlight w:val="none"/>
          <w14:textFill>
            <w14:solidFill>
              <w14:schemeClr w14:val="tx1"/>
            </w14:solidFill>
          </w14:textFill>
        </w:rPr>
      </w:pPr>
      <w:bookmarkStart w:id="33" w:name="_Toc254970536"/>
      <w:bookmarkStart w:id="34" w:name="_Toc254970677"/>
      <w:r>
        <w:rPr>
          <w:rFonts w:hint="eastAsia" w:ascii="宋体" w:hAnsi="宋体"/>
          <w:b/>
          <w:color w:val="000000" w:themeColor="text1"/>
          <w:szCs w:val="21"/>
          <w:highlight w:val="none"/>
          <w14:textFill>
            <w14:solidFill>
              <w14:schemeClr w14:val="tx1"/>
            </w14:solidFill>
          </w14:textFill>
        </w:rPr>
        <w:t>（一）投标文件的组成</w:t>
      </w:r>
      <w:bookmarkEnd w:id="33"/>
      <w:bookmarkEnd w:id="34"/>
    </w:p>
    <w:p>
      <w:pPr>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投标文件由资格文件、商务技术文件、报价文件</w:t>
      </w:r>
      <w:r>
        <w:rPr>
          <w:rFonts w:hint="eastAsia" w:ascii="宋体" w:hAnsi="宋体"/>
          <w:b/>
          <w:color w:val="000000" w:themeColor="text1"/>
          <w:szCs w:val="21"/>
          <w:highlight w:val="none"/>
          <w14:textFill>
            <w14:solidFill>
              <w14:schemeClr w14:val="tx1"/>
            </w14:solidFill>
          </w14:textFill>
        </w:rPr>
        <w:t>三部份</w:t>
      </w:r>
      <w:r>
        <w:rPr>
          <w:rFonts w:hint="eastAsia" w:ascii="宋体" w:hAnsi="宋体"/>
          <w:color w:val="000000" w:themeColor="text1"/>
          <w:szCs w:val="21"/>
          <w:highlight w:val="none"/>
          <w14:textFill>
            <w14:solidFill>
              <w14:schemeClr w14:val="tx1"/>
            </w14:solidFill>
          </w14:textFill>
        </w:rPr>
        <w:t>组成。</w:t>
      </w:r>
    </w:p>
    <w:p>
      <w:pPr>
        <w:adjustRightInd w:val="0"/>
        <w:snapToGrid w:val="0"/>
        <w:spacing w:line="400" w:lineRule="exact"/>
        <w:ind w:firstLine="411" w:firstLineChars="196"/>
        <w:jc w:val="lef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1.资格文件：</w:t>
      </w:r>
    </w:p>
    <w:p>
      <w:pPr>
        <w:adjustRightInd w:val="0"/>
        <w:snapToGrid w:val="0"/>
        <w:spacing w:line="400" w:lineRule="exact"/>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（1）有效</w:t>
      </w:r>
      <w:r>
        <w:rPr>
          <w:rFonts w:hint="eastAsia" w:ascii="宋体" w:hAnsi="宋体"/>
          <w:color w:val="000000" w:themeColor="text1"/>
          <w:szCs w:val="21"/>
          <w:highlight w:val="none"/>
          <w14:textFill>
            <w14:solidFill>
              <w14:schemeClr w14:val="tx1"/>
            </w14:solidFill>
          </w14:textFill>
        </w:rPr>
        <w:t>的营业执照等证明文件；</w:t>
      </w:r>
    </w:p>
    <w:p>
      <w:pPr>
        <w:pStyle w:val="30"/>
        <w:adjustRightInd w:val="0"/>
        <w:snapToGrid w:val="0"/>
        <w:spacing w:line="400" w:lineRule="exact"/>
        <w:ind w:firstLine="525" w:firstLineChars="250"/>
        <w:rPr>
          <w:rFonts w:hint="eastAsia" w:hAnsi="宋体"/>
          <w:b/>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①投标人有效的营业执照等证明文件扫描件或其他电子文件，同时要加盖单位公章</w:t>
      </w:r>
      <w:r>
        <w:rPr>
          <w:rFonts w:hint="eastAsia" w:hAnsi="宋体"/>
          <w:b/>
          <w:color w:val="000000" w:themeColor="text1"/>
          <w:highlight w:val="none"/>
          <w14:textFill>
            <w14:solidFill>
              <w14:schemeClr w14:val="tx1"/>
            </w14:solidFill>
          </w14:textFill>
        </w:rPr>
        <w:t>（必须提供）</w:t>
      </w:r>
      <w:r>
        <w:rPr>
          <w:rFonts w:hint="eastAsia" w:hAnsi="宋体"/>
          <w:color w:val="000000" w:themeColor="text1"/>
          <w:highlight w:val="none"/>
          <w14:textFill>
            <w14:solidFill>
              <w14:schemeClr w14:val="tx1"/>
            </w14:solidFill>
          </w14:textFill>
        </w:rPr>
        <w:t>；</w:t>
      </w:r>
    </w:p>
    <w:p>
      <w:pPr>
        <w:pStyle w:val="30"/>
        <w:adjustRightInd w:val="0"/>
        <w:snapToGrid w:val="0"/>
        <w:spacing w:line="400" w:lineRule="exact"/>
        <w:ind w:firstLine="525" w:firstLineChars="250"/>
        <w:rPr>
          <w:rFonts w:hint="eastAsia" w:hAnsi="宋体"/>
          <w:b/>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②对于有经营资质要求的，投标人必须提供有效的经营资质证书副本内页扫描件或其他电子文件，同时要加盖单位公章。</w:t>
      </w:r>
    </w:p>
    <w:p>
      <w:pPr>
        <w:adjustRightInd w:val="0"/>
        <w:snapToGrid w:val="0"/>
        <w:spacing w:line="400" w:lineRule="exact"/>
        <w:ind w:firstLine="411" w:firstLineChars="196"/>
        <w:jc w:val="left"/>
        <w:rPr>
          <w:rFonts w:ascii="宋体" w:hAnsi="宋体"/>
          <w:b/>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参加政府采购活动前三年内在经营活动中没有</w:t>
      </w:r>
      <w:r>
        <w:rPr>
          <w:rFonts w:hint="eastAsia" w:ascii="宋体" w:hAnsi="宋体" w:cs="宋体"/>
          <w:b/>
          <w:color w:val="000000" w:themeColor="text1"/>
          <w:kern w:val="0"/>
          <w:szCs w:val="21"/>
          <w:highlight w:val="none"/>
          <w14:textFill>
            <w14:solidFill>
              <w14:schemeClr w14:val="tx1"/>
            </w14:solidFill>
          </w14:textFill>
        </w:rPr>
        <w:t>重大违法记录的书面声明</w:t>
      </w:r>
      <w:r>
        <w:rPr>
          <w:rFonts w:hint="eastAsia" w:ascii="宋体" w:hAnsi="宋体"/>
          <w:b/>
          <w:color w:val="000000" w:themeColor="text1"/>
          <w:szCs w:val="21"/>
          <w:highlight w:val="none"/>
          <w14:textFill>
            <w14:solidFill>
              <w14:schemeClr w14:val="tx1"/>
            </w14:solidFill>
          </w14:textFill>
        </w:rPr>
        <w:t>和信用记录查询方法；</w:t>
      </w:r>
    </w:p>
    <w:p>
      <w:pPr>
        <w:adjustRightInd w:val="0"/>
        <w:snapToGrid w:val="0"/>
        <w:spacing w:line="400" w:lineRule="exact"/>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w:t>
      </w:r>
      <w:r>
        <w:rPr>
          <w:rFonts w:hint="eastAsia" w:ascii="宋体" w:hAnsi="宋体" w:cs="宋体"/>
          <w:color w:val="000000" w:themeColor="text1"/>
          <w:kern w:val="0"/>
          <w:szCs w:val="21"/>
          <w:highlight w:val="none"/>
          <w14:textFill>
            <w14:solidFill>
              <w14:schemeClr w14:val="tx1"/>
            </w14:solidFill>
          </w14:textFill>
        </w:rPr>
        <w:t>参加政府采购活动前三年内在经营活动中没有</w:t>
      </w:r>
      <w:r>
        <w:rPr>
          <w:rFonts w:hint="eastAsia" w:ascii="宋体" w:hAnsi="宋体" w:cs="宋体"/>
          <w:b/>
          <w:color w:val="000000" w:themeColor="text1"/>
          <w:kern w:val="0"/>
          <w:szCs w:val="21"/>
          <w:highlight w:val="none"/>
          <w14:textFill>
            <w14:solidFill>
              <w14:schemeClr w14:val="tx1"/>
            </w14:solidFill>
          </w14:textFill>
        </w:rPr>
        <w:t>重大违法记录的书面声明</w:t>
      </w:r>
      <w:r>
        <w:rPr>
          <w:rFonts w:hint="eastAsia" w:ascii="宋体" w:hAnsi="宋体"/>
          <w:color w:val="000000" w:themeColor="text1"/>
          <w:szCs w:val="21"/>
          <w:highlight w:val="none"/>
          <w14:textFill>
            <w14:solidFill>
              <w14:schemeClr w14:val="tx1"/>
            </w14:solidFill>
          </w14:textFill>
        </w:rPr>
        <w:t>（格式自拟，必须提供）；</w:t>
      </w:r>
    </w:p>
    <w:p>
      <w:pPr>
        <w:adjustRightInd w:val="0"/>
        <w:snapToGrid w:val="0"/>
        <w:spacing w:line="400" w:lineRule="exact"/>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②供应商可在“信用中国”网站（www.creditchina.gov.cn）、中国政府采购网（www.ccgp.gov.cn）查询相关供应商主体信用记录。</w:t>
      </w:r>
    </w:p>
    <w:p>
      <w:pPr>
        <w:adjustRightInd w:val="0"/>
        <w:snapToGrid w:val="0"/>
        <w:spacing w:line="400" w:lineRule="exact"/>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“信用中国”网站查询方法：投标人在本项目投标截止时间前10日内,进入投标人基本信息页面，点击“下载信用报告”后点击“下载”。</w:t>
      </w:r>
    </w:p>
    <w:p>
      <w:pPr>
        <w:adjustRightInd w:val="0"/>
        <w:snapToGrid w:val="0"/>
        <w:spacing w:line="400" w:lineRule="exact"/>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adjustRightInd w:val="0"/>
        <w:snapToGrid w:val="0"/>
        <w:spacing w:line="400" w:lineRule="exact"/>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adjustRightInd w:val="0"/>
        <w:snapToGrid w:val="0"/>
        <w:spacing w:line="400" w:lineRule="exact"/>
        <w:ind w:firstLine="411" w:firstLineChars="196"/>
        <w:jc w:val="lef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2.商务技术文件：</w:t>
      </w:r>
    </w:p>
    <w:p>
      <w:pPr>
        <w:adjustRightInd w:val="0"/>
        <w:snapToGrid w:val="0"/>
        <w:spacing w:line="400" w:lineRule="exact"/>
        <w:ind w:firstLine="411" w:firstLineChars="196"/>
        <w:jc w:val="lef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2.1商务文件：</w:t>
      </w:r>
    </w:p>
    <w:p>
      <w:pPr>
        <w:adjustRightInd w:val="0"/>
        <w:snapToGrid w:val="0"/>
        <w:spacing w:line="400" w:lineRule="exact"/>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投标保证金的相关证明扫描件或其他电子文件</w:t>
      </w:r>
      <w:r>
        <w:rPr>
          <w:rFonts w:hint="eastAsia" w:ascii="宋体" w:hAnsi="宋体"/>
          <w:b/>
          <w:color w:val="000000" w:themeColor="text1"/>
          <w:szCs w:val="21"/>
          <w:highlight w:val="none"/>
          <w14:textFill>
            <w14:solidFill>
              <w14:schemeClr w14:val="tx1"/>
            </w14:solidFill>
          </w14:textFill>
        </w:rPr>
        <w:t>（必须提供）</w:t>
      </w:r>
      <w:r>
        <w:rPr>
          <w:rFonts w:hint="eastAsia" w:ascii="宋体" w:hAnsi="宋体"/>
          <w:color w:val="000000" w:themeColor="text1"/>
          <w:szCs w:val="21"/>
          <w:highlight w:val="none"/>
          <w14:textFill>
            <w14:solidFill>
              <w14:schemeClr w14:val="tx1"/>
            </w14:solidFill>
          </w14:textFill>
        </w:rPr>
        <w:t>；</w:t>
      </w:r>
    </w:p>
    <w:p>
      <w:pPr>
        <w:adjustRightInd w:val="0"/>
        <w:snapToGrid w:val="0"/>
        <w:spacing w:line="400" w:lineRule="exact"/>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（2）投</w:t>
      </w:r>
      <w:r>
        <w:rPr>
          <w:rFonts w:hint="eastAsia" w:ascii="宋体" w:hAnsi="宋体"/>
          <w:color w:val="000000" w:themeColor="text1"/>
          <w:szCs w:val="21"/>
          <w:highlight w:val="none"/>
          <w14:textFill>
            <w14:solidFill>
              <w14:schemeClr w14:val="tx1"/>
            </w14:solidFill>
          </w14:textFill>
        </w:rPr>
        <w:t>标声明书 (格式见第六章)</w:t>
      </w:r>
      <w:r>
        <w:rPr>
          <w:rFonts w:hint="eastAsia" w:ascii="宋体" w:hAnsi="宋体"/>
          <w:b/>
          <w:color w:val="000000" w:themeColor="text1"/>
          <w:szCs w:val="21"/>
          <w:highlight w:val="none"/>
          <w14:textFill>
            <w14:solidFill>
              <w14:schemeClr w14:val="tx1"/>
            </w14:solidFill>
          </w14:textFill>
        </w:rPr>
        <w:t>（必须提供）</w:t>
      </w:r>
      <w:r>
        <w:rPr>
          <w:rFonts w:hint="eastAsia" w:ascii="宋体" w:hAnsi="宋体"/>
          <w:color w:val="000000" w:themeColor="text1"/>
          <w:szCs w:val="21"/>
          <w:highlight w:val="none"/>
          <w14:textFill>
            <w14:solidFill>
              <w14:schemeClr w14:val="tx1"/>
            </w14:solidFill>
          </w14:textFill>
        </w:rPr>
        <w:t>；</w:t>
      </w:r>
    </w:p>
    <w:p>
      <w:pPr>
        <w:adjustRightInd w:val="0"/>
        <w:snapToGrid w:val="0"/>
        <w:spacing w:line="400" w:lineRule="exact"/>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法定代表人授权委托书和委托代理人身份证扫描件或其他电子文件（格式见第六章)</w:t>
      </w:r>
      <w:r>
        <w:rPr>
          <w:rFonts w:hint="eastAsia" w:ascii="宋体" w:hAnsi="宋体"/>
          <w:b/>
          <w:color w:val="000000" w:themeColor="text1"/>
          <w:szCs w:val="21"/>
          <w:highlight w:val="none"/>
          <w14:textFill>
            <w14:solidFill>
              <w14:schemeClr w14:val="tx1"/>
            </w14:solidFill>
          </w14:textFill>
        </w:rPr>
        <w:t>（必须提供）</w:t>
      </w:r>
      <w:r>
        <w:rPr>
          <w:rFonts w:hint="eastAsia" w:ascii="宋体" w:hAnsi="宋体"/>
          <w:color w:val="000000" w:themeColor="text1"/>
          <w:szCs w:val="21"/>
          <w:highlight w:val="none"/>
          <w14:textFill>
            <w14:solidFill>
              <w14:schemeClr w14:val="tx1"/>
            </w14:solidFill>
          </w14:textFill>
        </w:rPr>
        <w:t>；联合体投标时还必须提供《联合投标协议书》、《联合投标授权委托书》（格式见第六章)；当法定代表人参加投标时，</w:t>
      </w:r>
      <w:r>
        <w:rPr>
          <w:rFonts w:hint="eastAsia" w:ascii="宋体" w:hAnsi="宋体" w:cs="宋体"/>
          <w:color w:val="000000" w:themeColor="text1"/>
          <w:kern w:val="0"/>
          <w:szCs w:val="21"/>
          <w:highlight w:val="none"/>
          <w14:textFill>
            <w14:solidFill>
              <w14:schemeClr w14:val="tx1"/>
            </w14:solidFill>
          </w14:textFill>
        </w:rPr>
        <w:t>仅需提供法定代表人的身份证扫描件或其他电子文件</w:t>
      </w:r>
      <w:r>
        <w:rPr>
          <w:rFonts w:hint="eastAsia" w:ascii="宋体" w:hAnsi="宋体"/>
          <w:color w:val="000000" w:themeColor="text1"/>
          <w:szCs w:val="21"/>
          <w:highlight w:val="none"/>
          <w14:textFill>
            <w14:solidFill>
              <w14:schemeClr w14:val="tx1"/>
            </w14:solidFill>
          </w14:textFill>
        </w:rPr>
        <w:t>；</w:t>
      </w:r>
    </w:p>
    <w:p>
      <w:pPr>
        <w:adjustRightInd w:val="0"/>
        <w:snapToGrid w:val="0"/>
        <w:spacing w:line="400" w:lineRule="exact"/>
        <w:ind w:firstLine="411" w:firstLineChars="196"/>
        <w:jc w:val="left"/>
        <w:rPr>
          <w:rFonts w:hint="eastAsia" w:ascii="宋体" w:hAnsi="宋体"/>
          <w:b/>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（4）</w:t>
      </w:r>
      <w:r>
        <w:rPr>
          <w:rFonts w:hint="eastAsia" w:ascii="宋体" w:hAnsi="宋体"/>
          <w:b/>
          <w:color w:val="000000" w:themeColor="text1"/>
          <w:szCs w:val="21"/>
          <w:highlight w:val="none"/>
          <w14:textFill>
            <w14:solidFill>
              <w14:schemeClr w14:val="tx1"/>
            </w14:solidFill>
          </w14:textFill>
        </w:rPr>
        <w:t>投标截止之日前半年内投标人连续三个月</w:t>
      </w:r>
      <w:r>
        <w:rPr>
          <w:rFonts w:hint="eastAsia" w:ascii="宋体" w:hAnsi="宋体"/>
          <w:color w:val="000000" w:themeColor="text1"/>
          <w:szCs w:val="21"/>
          <w:highlight w:val="none"/>
          <w14:textFill>
            <w14:solidFill>
              <w14:schemeClr w14:val="tx1"/>
            </w14:solidFill>
          </w14:textFill>
        </w:rPr>
        <w:t>依法纳税的依法缴纳税费或依法免缴税费的证明</w:t>
      </w:r>
      <w:r>
        <w:rPr>
          <w:rFonts w:hint="eastAsia" w:ascii="宋体" w:hAnsi="宋体"/>
          <w:b/>
          <w:color w:val="000000" w:themeColor="text1"/>
          <w:szCs w:val="21"/>
          <w:highlight w:val="none"/>
          <w14:textFill>
            <w14:solidFill>
              <w14:schemeClr w14:val="tx1"/>
            </w14:solidFill>
          </w14:textFill>
        </w:rPr>
        <w:t>（扫描件或其他电子文件，格式自拟）（必须提供）；</w:t>
      </w:r>
      <w:r>
        <w:rPr>
          <w:rFonts w:hint="eastAsia" w:ascii="宋体" w:hAnsi="宋体"/>
          <w:color w:val="000000" w:themeColor="text1"/>
          <w:szCs w:val="21"/>
          <w:highlight w:val="none"/>
          <w14:textFill>
            <w14:solidFill>
              <w14:schemeClr w14:val="tx1"/>
            </w14:solidFill>
          </w14:textFill>
        </w:rPr>
        <w:t>无纳税记录的，应提供由投标人所在地主管国税或地税部门出具的《依法纳税或依法免税证明》（格式自拟，扫描件或其他电子文件）</w:t>
      </w:r>
      <w:r>
        <w:rPr>
          <w:rFonts w:hint="eastAsia" w:ascii="宋体" w:hAnsi="宋体"/>
          <w:b/>
          <w:color w:val="000000" w:themeColor="text1"/>
          <w:szCs w:val="21"/>
          <w:highlight w:val="none"/>
          <w14:textFill>
            <w14:solidFill>
              <w14:schemeClr w14:val="tx1"/>
            </w14:solidFill>
          </w14:textFill>
        </w:rPr>
        <w:t>。</w:t>
      </w:r>
    </w:p>
    <w:p>
      <w:pPr>
        <w:adjustRightInd w:val="0"/>
        <w:snapToGrid w:val="0"/>
        <w:spacing w:line="400" w:lineRule="exact"/>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（5）投</w:t>
      </w:r>
      <w:r>
        <w:rPr>
          <w:rFonts w:hint="eastAsia" w:ascii="宋体" w:hAnsi="宋体"/>
          <w:color w:val="000000" w:themeColor="text1"/>
          <w:szCs w:val="21"/>
          <w:highlight w:val="none"/>
          <w14:textFill>
            <w14:solidFill>
              <w14:schemeClr w14:val="tx1"/>
            </w14:solidFill>
          </w14:textFill>
        </w:rPr>
        <w:t>标截止之日前半年内投标人连续三个月的依法缴纳社保费的缴费凭证（</w:t>
      </w:r>
      <w:r>
        <w:rPr>
          <w:rFonts w:hint="eastAsia" w:ascii="宋体" w:hAnsi="宋体"/>
          <w:b/>
          <w:color w:val="000000" w:themeColor="text1"/>
          <w:szCs w:val="21"/>
          <w:highlight w:val="none"/>
          <w14:textFill>
            <w14:solidFill>
              <w14:schemeClr w14:val="tx1"/>
            </w14:solidFill>
          </w14:textFill>
        </w:rPr>
        <w:t>扫描件或其他电子文件，必须提供）；</w:t>
      </w:r>
      <w:r>
        <w:rPr>
          <w:rFonts w:hint="eastAsia" w:ascii="宋体" w:hAnsi="宋体"/>
          <w:color w:val="000000" w:themeColor="text1"/>
          <w:szCs w:val="21"/>
          <w:highlight w:val="none"/>
          <w14:textFill>
            <w14:solidFill>
              <w14:schemeClr w14:val="tx1"/>
            </w14:solidFill>
          </w14:textFill>
        </w:rPr>
        <w:t>无缴费记录的，应提供由投标人所在地社保部门出具的《依法缴纳或依法免缴社保费证明》（格式自拟，扫描件或其他电子文件）。</w:t>
      </w:r>
    </w:p>
    <w:p>
      <w:pPr>
        <w:adjustRightInd w:val="0"/>
        <w:snapToGrid w:val="0"/>
        <w:spacing w:line="400" w:lineRule="exact"/>
        <w:jc w:val="lef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（6）财</w:t>
      </w:r>
      <w:r>
        <w:rPr>
          <w:rFonts w:hint="eastAsia" w:ascii="宋体" w:hAnsi="宋体"/>
          <w:color w:val="000000" w:themeColor="text1"/>
          <w:szCs w:val="21"/>
          <w:highlight w:val="none"/>
          <w14:textFill>
            <w14:solidFill>
              <w14:schemeClr w14:val="tx1"/>
            </w14:solidFill>
          </w14:textFill>
        </w:rPr>
        <w:t>务状况报告</w:t>
      </w:r>
      <w:r>
        <w:rPr>
          <w:rFonts w:hint="eastAsia" w:ascii="宋体" w:hAnsi="宋体"/>
          <w:b/>
          <w:color w:val="000000" w:themeColor="text1"/>
          <w:szCs w:val="21"/>
          <w:highlight w:val="none"/>
          <w14:textFill>
            <w14:solidFill>
              <w14:schemeClr w14:val="tx1"/>
            </w14:solidFill>
          </w14:textFill>
        </w:rPr>
        <w:t>（格式自拟,必须提供）；</w:t>
      </w:r>
    </w:p>
    <w:p>
      <w:pPr>
        <w:adjustRightInd w:val="0"/>
        <w:snapToGrid w:val="0"/>
        <w:spacing w:line="400" w:lineRule="exact"/>
        <w:ind w:firstLine="411" w:firstLineChars="196"/>
        <w:jc w:val="left"/>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（7）</w:t>
      </w:r>
      <w:r>
        <w:rPr>
          <w:rFonts w:hint="eastAsia" w:ascii="宋体" w:hAnsi="宋体"/>
          <w:bCs/>
          <w:color w:val="000000" w:themeColor="text1"/>
          <w:szCs w:val="21"/>
          <w:highlight w:val="none"/>
          <w14:textFill>
            <w14:solidFill>
              <w14:schemeClr w14:val="tx1"/>
            </w14:solidFill>
          </w14:textFill>
        </w:rPr>
        <w:t>具</w:t>
      </w:r>
      <w:r>
        <w:rPr>
          <w:rFonts w:hint="eastAsia" w:ascii="宋体" w:hAnsi="宋体"/>
          <w:color w:val="000000" w:themeColor="text1"/>
          <w:szCs w:val="21"/>
          <w:highlight w:val="none"/>
          <w14:textFill>
            <w14:solidFill>
              <w14:schemeClr w14:val="tx1"/>
            </w14:solidFill>
          </w14:textFill>
        </w:rPr>
        <w:t>备履行合同所必需的设备和专业技术能力的证明材料</w:t>
      </w:r>
      <w:r>
        <w:rPr>
          <w:rFonts w:hint="eastAsia" w:ascii="宋体" w:hAnsi="宋体"/>
          <w:b/>
          <w:color w:val="000000" w:themeColor="text1"/>
          <w:szCs w:val="21"/>
          <w:highlight w:val="none"/>
          <w14:textFill>
            <w14:solidFill>
              <w14:schemeClr w14:val="tx1"/>
            </w14:solidFill>
          </w14:textFill>
        </w:rPr>
        <w:t>（格式自拟,必须提供）</w:t>
      </w:r>
      <w:r>
        <w:rPr>
          <w:rFonts w:hint="eastAsia" w:ascii="宋体" w:hAnsi="宋体" w:cs="宋体"/>
          <w:b/>
          <w:color w:val="000000" w:themeColor="text1"/>
          <w:kern w:val="0"/>
          <w:szCs w:val="21"/>
          <w:highlight w:val="none"/>
          <w14:textFill>
            <w14:solidFill>
              <w14:schemeClr w14:val="tx1"/>
            </w14:solidFill>
          </w14:textFill>
        </w:rPr>
        <w:t>；</w:t>
      </w:r>
    </w:p>
    <w:p>
      <w:pPr>
        <w:adjustRightInd w:val="0"/>
        <w:snapToGrid w:val="0"/>
        <w:spacing w:line="400" w:lineRule="exact"/>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（8）税务登记证扫描件（如有）；</w:t>
      </w:r>
    </w:p>
    <w:p>
      <w:pPr>
        <w:adjustRightInd w:val="0"/>
        <w:snapToGrid w:val="0"/>
        <w:spacing w:line="400" w:lineRule="exact"/>
        <w:ind w:firstLine="411" w:firstLineChars="196"/>
        <w:jc w:val="left"/>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（9）商务响应表（格式见第六章）</w:t>
      </w:r>
      <w:r>
        <w:rPr>
          <w:rFonts w:hint="eastAsia" w:ascii="宋体" w:hAnsi="宋体"/>
          <w:b/>
          <w:color w:val="000000" w:themeColor="text1"/>
          <w:szCs w:val="21"/>
          <w:highlight w:val="none"/>
          <w14:textFill>
            <w14:solidFill>
              <w14:schemeClr w14:val="tx1"/>
            </w14:solidFill>
          </w14:textFill>
        </w:rPr>
        <w:t>（必须提供）；</w:t>
      </w:r>
    </w:p>
    <w:p>
      <w:pPr>
        <w:adjustRightInd w:val="0"/>
        <w:snapToGrid w:val="0"/>
        <w:spacing w:line="400" w:lineRule="exact"/>
        <w:ind w:firstLine="411" w:firstLineChars="196"/>
        <w:jc w:val="left"/>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（10）招标项目采购需求中要求必须提供的材料等；</w:t>
      </w:r>
    </w:p>
    <w:p>
      <w:pPr>
        <w:adjustRightInd w:val="0"/>
        <w:snapToGrid w:val="0"/>
        <w:spacing w:line="400" w:lineRule="exact"/>
        <w:ind w:firstLine="411" w:firstLineChars="196"/>
        <w:jc w:val="left"/>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（11）具备法律、行政法规规定的其他条件的证明材料</w:t>
      </w:r>
      <w:r>
        <w:rPr>
          <w:rFonts w:hint="eastAsia" w:ascii="宋体" w:hAnsi="宋体"/>
          <w:b/>
          <w:color w:val="000000" w:themeColor="text1"/>
          <w:szCs w:val="21"/>
          <w:highlight w:val="none"/>
          <w14:textFill>
            <w14:solidFill>
              <w14:schemeClr w14:val="tx1"/>
            </w14:solidFill>
          </w14:textFill>
        </w:rPr>
        <w:t>(如有规定,则必须提供)。</w:t>
      </w:r>
    </w:p>
    <w:p>
      <w:pPr>
        <w:adjustRightInd w:val="0"/>
        <w:snapToGrid w:val="0"/>
        <w:spacing w:line="400" w:lineRule="exact"/>
        <w:ind w:firstLine="411" w:firstLineChars="196"/>
        <w:jc w:val="left"/>
        <w:rPr>
          <w:rFonts w:hint="eastAsia" w:ascii="宋体" w:hAnsi="宋体"/>
          <w:b/>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 xml:space="preserve">可作为投标人资信评分的资质证明材料（可选）  </w:t>
      </w:r>
    </w:p>
    <w:p>
      <w:pPr>
        <w:adjustRightInd w:val="0"/>
        <w:snapToGrid w:val="0"/>
        <w:spacing w:line="400" w:lineRule="exact"/>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（12）类似案例成功的业绩（投标人同类项目实施情况一览表、合同扫描件、用户验收报告、用户评价）；</w:t>
      </w:r>
    </w:p>
    <w:p>
      <w:pPr>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（13）其他特殊资质证书（如本地化服务能力等）；</w:t>
      </w:r>
    </w:p>
    <w:p>
      <w:pPr>
        <w:adjustRightInd w:val="0"/>
        <w:snapToGrid w:val="0"/>
        <w:spacing w:line="400" w:lineRule="exact"/>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（14）投标人</w:t>
      </w:r>
      <w:r>
        <w:rPr>
          <w:rFonts w:hint="eastAsia" w:ascii="宋体" w:hAnsi="宋体"/>
          <w:color w:val="000000" w:themeColor="text1"/>
          <w:szCs w:val="21"/>
          <w:highlight w:val="none"/>
          <w14:textFill>
            <w14:solidFill>
              <w14:schemeClr w14:val="tx1"/>
            </w14:solidFill>
          </w14:textFill>
        </w:rPr>
        <w:t>质量管理和质量保证体系等方面的认证证书；</w:t>
      </w:r>
    </w:p>
    <w:p>
      <w:pPr>
        <w:adjustRightInd w:val="0"/>
        <w:snapToGrid w:val="0"/>
        <w:spacing w:line="400" w:lineRule="exact"/>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（15）投标人认为可以证明其能力或业绩的其他材料；</w:t>
      </w:r>
    </w:p>
    <w:p>
      <w:pPr>
        <w:adjustRightInd w:val="0"/>
        <w:snapToGrid w:val="0"/>
        <w:spacing w:line="400" w:lineRule="exact"/>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（16）投标人关于服务升级及本单位债务纠纷、违法违规记录等方面的情况（内容见投标声明书）；</w:t>
      </w:r>
    </w:p>
    <w:p>
      <w:pPr>
        <w:adjustRightInd w:val="0"/>
        <w:snapToGrid w:val="0"/>
        <w:spacing w:line="400" w:lineRule="exact"/>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（17）投标人情况介绍。</w:t>
      </w:r>
    </w:p>
    <w:p>
      <w:pPr>
        <w:adjustRightInd w:val="0"/>
        <w:snapToGrid w:val="0"/>
        <w:spacing w:line="400" w:lineRule="exact"/>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（18）中小企业声明函。（如有，请提供）</w:t>
      </w:r>
    </w:p>
    <w:p>
      <w:pPr>
        <w:adjustRightInd w:val="0"/>
        <w:snapToGrid w:val="0"/>
        <w:spacing w:line="400" w:lineRule="exact"/>
        <w:ind w:firstLine="411" w:firstLineChars="196"/>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2.2技术文件</w:t>
      </w:r>
    </w:p>
    <w:p>
      <w:pPr>
        <w:adjustRightInd w:val="0"/>
        <w:snapToGrid w:val="0"/>
        <w:spacing w:line="400" w:lineRule="exact"/>
        <w:ind w:firstLine="621" w:firstLineChars="296"/>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服务类项目的投标技术文件（服务方案）；</w:t>
      </w:r>
    </w:p>
    <w:p>
      <w:pPr>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b/>
          <w:bCs/>
          <w:color w:val="000000" w:themeColor="text1"/>
          <w:szCs w:val="21"/>
          <w:highlight w:val="none"/>
          <w14:textFill>
            <w14:solidFill>
              <w14:schemeClr w14:val="tx1"/>
            </w14:solidFill>
          </w14:textFill>
        </w:rPr>
        <w:t>服务类项目的投标技术文件(内容和格式见第六章要求)。</w:t>
      </w:r>
    </w:p>
    <w:p>
      <w:pPr>
        <w:adjustRightInd w:val="0"/>
        <w:snapToGrid w:val="0"/>
        <w:spacing w:line="400" w:lineRule="exact"/>
        <w:ind w:firstLine="411" w:firstLineChars="196"/>
        <w:jc w:val="lef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3.报价文件：</w:t>
      </w:r>
    </w:p>
    <w:p>
      <w:pPr>
        <w:tabs>
          <w:tab w:val="left" w:pos="3870"/>
          <w:tab w:val="left" w:pos="4085"/>
        </w:tabs>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（1）投标函（格式见第六章）； </w:t>
      </w:r>
    </w:p>
    <w:p>
      <w:pPr>
        <w:tabs>
          <w:tab w:val="left" w:pos="3870"/>
          <w:tab w:val="left" w:pos="4085"/>
        </w:tabs>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（2）投标报价明细表（格式见第六章）；</w:t>
      </w:r>
    </w:p>
    <w:p>
      <w:pPr>
        <w:tabs>
          <w:tab w:val="left" w:pos="3870"/>
          <w:tab w:val="left" w:pos="4085"/>
        </w:tabs>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（3）投标人针对报价需要说明的其他文件和说明（格式自拟）；</w:t>
      </w:r>
    </w:p>
    <w:p>
      <w:pPr>
        <w:tabs>
          <w:tab w:val="left" w:pos="3870"/>
          <w:tab w:val="left" w:pos="4085"/>
        </w:tabs>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（4）开标一览表（格式见第六章），联合体投标时还必须附《联合投标协议书》。</w:t>
      </w:r>
    </w:p>
    <w:p>
      <w:pPr>
        <w:pStyle w:val="49"/>
        <w:adjustRightInd w:val="0"/>
        <w:snapToGrid w:val="0"/>
        <w:spacing w:after="0"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注：法定代表人授权委托书、投标声明书、投标函、开标一览表必须招标文件格式要求签署和加盖单位公章。</w:t>
      </w:r>
    </w:p>
    <w:p>
      <w:pPr>
        <w:adjustRightInd w:val="0"/>
        <w:snapToGrid w:val="0"/>
        <w:spacing w:line="400" w:lineRule="exact"/>
        <w:ind w:firstLine="420" w:firstLineChars="200"/>
        <w:rPr>
          <w:rFonts w:hint="eastAsia" w:ascii="宋体" w:hAnsi="宋体"/>
          <w:b/>
          <w:color w:val="000000" w:themeColor="text1"/>
          <w:szCs w:val="21"/>
          <w:highlight w:val="none"/>
          <w14:textFill>
            <w14:solidFill>
              <w14:schemeClr w14:val="tx1"/>
            </w14:solidFill>
          </w14:textFill>
        </w:rPr>
      </w:pPr>
      <w:bookmarkStart w:id="35" w:name="_Toc254970678"/>
      <w:bookmarkStart w:id="36" w:name="_Toc254970537"/>
      <w:r>
        <w:rPr>
          <w:rFonts w:hint="eastAsia" w:ascii="宋体" w:hAnsi="宋体"/>
          <w:b/>
          <w:color w:val="000000" w:themeColor="text1"/>
          <w:szCs w:val="21"/>
          <w:highlight w:val="none"/>
          <w14:textFill>
            <w14:solidFill>
              <w14:schemeClr w14:val="tx1"/>
            </w14:solidFill>
          </w14:textFill>
        </w:rPr>
        <w:t>（二）投标文件的语言及计量</w:t>
      </w:r>
      <w:bookmarkEnd w:id="35"/>
      <w:bookmarkEnd w:id="36"/>
    </w:p>
    <w:p>
      <w:pPr>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▲1.投标文件以及投标方与招标方就有关投标事宜的所有来往函电，均应以中文汉语书写。除签名、盖章、专用名称等特殊情形外，以中文汉语以外的文字表述的投标文件视同未提供。</w:t>
      </w:r>
    </w:p>
    <w:p>
      <w:pPr>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▲2.投标计量单位，招标文件已有明确规定的，使用招标文件规定的计量单位；招标文件没有规定的，应采用中华人民共和国法定计量单位（货币单位：人民币元），否则视同未响应。</w:t>
      </w:r>
    </w:p>
    <w:p>
      <w:pPr>
        <w:adjustRightInd w:val="0"/>
        <w:snapToGrid w:val="0"/>
        <w:spacing w:line="400" w:lineRule="exact"/>
        <w:ind w:firstLine="420" w:firstLineChars="200"/>
        <w:rPr>
          <w:rFonts w:hint="eastAsia" w:ascii="宋体" w:hAnsi="宋体"/>
          <w:b/>
          <w:color w:val="000000" w:themeColor="text1"/>
          <w:szCs w:val="21"/>
          <w:highlight w:val="none"/>
          <w14:textFill>
            <w14:solidFill>
              <w14:schemeClr w14:val="tx1"/>
            </w14:solidFill>
          </w14:textFill>
        </w:rPr>
      </w:pPr>
      <w:bookmarkStart w:id="37" w:name="_Toc254970679"/>
      <w:bookmarkStart w:id="38" w:name="_Toc254970538"/>
      <w:r>
        <w:rPr>
          <w:rFonts w:hint="eastAsia" w:ascii="宋体" w:hAnsi="宋体"/>
          <w:b/>
          <w:color w:val="000000" w:themeColor="text1"/>
          <w:szCs w:val="21"/>
          <w:highlight w:val="none"/>
          <w14:textFill>
            <w14:solidFill>
              <w14:schemeClr w14:val="tx1"/>
            </w14:solidFill>
          </w14:textFill>
        </w:rPr>
        <w:t>（三）投标报价</w:t>
      </w:r>
      <w:bookmarkEnd w:id="37"/>
      <w:bookmarkEnd w:id="38"/>
    </w:p>
    <w:p>
      <w:pPr>
        <w:pStyle w:val="30"/>
        <w:adjustRightInd w:val="0"/>
        <w:snapToGrid w:val="0"/>
        <w:spacing w:line="400" w:lineRule="exact"/>
        <w:ind w:firstLine="420" w:firstLineChars="200"/>
        <w:jc w:val="left"/>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1.投标报价应按招标文件中相关附表格式填写。投标人可就《项目采购需求》中所有服务内容完整唯一报价。</w:t>
      </w:r>
    </w:p>
    <w:p>
      <w:pPr>
        <w:pStyle w:val="30"/>
        <w:adjustRightInd w:val="0"/>
        <w:snapToGrid w:val="0"/>
        <w:spacing w:line="400" w:lineRule="exact"/>
        <w:ind w:firstLine="420" w:firstLineChars="200"/>
        <w:jc w:val="left"/>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2.投标报价是履行合同的最终价格。</w:t>
      </w:r>
    </w:p>
    <w:p>
      <w:pPr>
        <w:tabs>
          <w:tab w:val="left" w:pos="525"/>
        </w:tabs>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3.投标文件只允许有一个报价，有选择的或有条件的报价将不予接受。</w:t>
      </w:r>
    </w:p>
    <w:p>
      <w:pPr>
        <w:adjustRightInd w:val="0"/>
        <w:snapToGrid w:val="0"/>
        <w:spacing w:line="400" w:lineRule="exact"/>
        <w:ind w:firstLine="420"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（四）投标文件的有效期</w:t>
      </w:r>
    </w:p>
    <w:p>
      <w:pPr>
        <w:pStyle w:val="14"/>
        <w:widowControl w:val="0"/>
        <w:tabs>
          <w:tab w:val="clear" w:pos="454"/>
        </w:tabs>
        <w:adjustRightInd w:val="0"/>
        <w:snapToGrid w:val="0"/>
        <w:spacing w:after="0" w:afterLines="0" w:line="400" w:lineRule="exact"/>
        <w:ind w:left="0" w:firstLine="424" w:firstLineChars="202"/>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1.自投标截止日起</w:t>
      </w:r>
      <w:r>
        <w:rPr>
          <w:rFonts w:hint="eastAsia" w:ascii="宋体" w:hAnsi="宋体"/>
          <w:color w:val="000000" w:themeColor="text1"/>
          <w:sz w:val="21"/>
          <w:szCs w:val="21"/>
          <w:highlight w:val="none"/>
          <w:u w:val="single"/>
          <w14:textFill>
            <w14:solidFill>
              <w14:schemeClr w14:val="tx1"/>
            </w14:solidFill>
          </w14:textFill>
        </w:rPr>
        <w:t>60日</w:t>
      </w:r>
      <w:r>
        <w:rPr>
          <w:rFonts w:hint="eastAsia" w:ascii="宋体" w:hAnsi="宋体"/>
          <w:color w:val="000000" w:themeColor="text1"/>
          <w:sz w:val="21"/>
          <w:szCs w:val="21"/>
          <w:highlight w:val="none"/>
          <w14:textFill>
            <w14:solidFill>
              <w14:schemeClr w14:val="tx1"/>
            </w14:solidFill>
          </w14:textFill>
        </w:rPr>
        <w:t>投标文件应保持有效。有效期不足的投标文件将被拒绝。</w:t>
      </w:r>
    </w:p>
    <w:p>
      <w:pPr>
        <w:pStyle w:val="14"/>
        <w:widowControl w:val="0"/>
        <w:tabs>
          <w:tab w:val="clear" w:pos="454"/>
        </w:tabs>
        <w:adjustRightInd w:val="0"/>
        <w:snapToGrid w:val="0"/>
        <w:spacing w:after="0" w:afterLines="0" w:line="400" w:lineRule="exact"/>
        <w:ind w:left="0" w:firstLine="424" w:firstLineChars="202"/>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2.在特殊情况下，招标人可与投标人协商延长投标书的有效期，这种要求和答复均以书面形式进行。</w:t>
      </w:r>
    </w:p>
    <w:p>
      <w:pPr>
        <w:pStyle w:val="14"/>
        <w:widowControl w:val="0"/>
        <w:tabs>
          <w:tab w:val="clear" w:pos="454"/>
        </w:tabs>
        <w:adjustRightInd w:val="0"/>
        <w:snapToGrid w:val="0"/>
        <w:spacing w:after="0" w:afterLines="0" w:line="400" w:lineRule="exact"/>
        <w:ind w:left="0" w:firstLine="424" w:firstLineChars="202"/>
        <w:rPr>
          <w:rFonts w:hint="eastAsia" w:ascii="宋体" w:hAnsi="宋体"/>
          <w:color w:val="000000" w:themeColor="text1"/>
          <w:sz w:val="21"/>
          <w:szCs w:val="21"/>
          <w:highlight w:val="none"/>
          <w14:textFill>
            <w14:solidFill>
              <w14:schemeClr w14:val="tx1"/>
            </w14:solidFill>
          </w14:textFill>
        </w:rPr>
      </w:pPr>
      <w:bookmarkStart w:id="39" w:name="_Toc254970539"/>
      <w:bookmarkStart w:id="40" w:name="_Toc254970680"/>
      <w:r>
        <w:rPr>
          <w:rFonts w:hint="eastAsia" w:ascii="宋体" w:hAnsi="宋体"/>
          <w:color w:val="000000" w:themeColor="text1"/>
          <w:sz w:val="21"/>
          <w:szCs w:val="21"/>
          <w:highlight w:val="none"/>
          <w14:textFill>
            <w14:solidFill>
              <w14:schemeClr w14:val="tx1"/>
            </w14:solidFill>
          </w14:textFill>
        </w:rPr>
        <w:t>3.投标人可拒绝接受延期要求而不会导致投标保证金被没收。同意延长有效期的投标人需要相应延长投标保证金的有效期，但不能修改投标文件。</w:t>
      </w:r>
      <w:bookmarkEnd w:id="39"/>
      <w:bookmarkEnd w:id="40"/>
      <w:r>
        <w:rPr>
          <w:rFonts w:hint="eastAsia" w:ascii="宋体" w:hAnsi="宋体"/>
          <w:color w:val="000000" w:themeColor="text1"/>
          <w:sz w:val="21"/>
          <w:szCs w:val="21"/>
          <w:highlight w:val="none"/>
          <w14:textFill>
            <w14:solidFill>
              <w14:schemeClr w14:val="tx1"/>
            </w14:solidFill>
          </w14:textFill>
        </w:rPr>
        <w:t xml:space="preserve"> </w:t>
      </w:r>
    </w:p>
    <w:p>
      <w:pPr>
        <w:pStyle w:val="14"/>
        <w:widowControl w:val="0"/>
        <w:tabs>
          <w:tab w:val="clear" w:pos="454"/>
        </w:tabs>
        <w:adjustRightInd w:val="0"/>
        <w:snapToGrid w:val="0"/>
        <w:spacing w:after="0" w:afterLines="0" w:line="400" w:lineRule="exact"/>
        <w:ind w:left="0" w:firstLine="424" w:firstLineChars="202"/>
        <w:rPr>
          <w:rFonts w:hint="eastAsia" w:ascii="宋体" w:hAnsi="宋体"/>
          <w:color w:val="000000" w:themeColor="text1"/>
          <w:sz w:val="21"/>
          <w:szCs w:val="21"/>
          <w:highlight w:val="none"/>
          <w14:textFill>
            <w14:solidFill>
              <w14:schemeClr w14:val="tx1"/>
            </w14:solidFill>
          </w14:textFill>
        </w:rPr>
      </w:pPr>
      <w:bookmarkStart w:id="41" w:name="_Toc254970681"/>
      <w:bookmarkStart w:id="42" w:name="_Toc254970540"/>
      <w:r>
        <w:rPr>
          <w:rFonts w:hint="eastAsia" w:ascii="宋体" w:hAnsi="宋体"/>
          <w:color w:val="000000" w:themeColor="text1"/>
          <w:sz w:val="21"/>
          <w:szCs w:val="21"/>
          <w:highlight w:val="none"/>
          <w14:textFill>
            <w14:solidFill>
              <w14:schemeClr w14:val="tx1"/>
            </w14:solidFill>
          </w14:textFill>
        </w:rPr>
        <w:t>4.中标人的投标文件自开标之日起至合同履行完毕止均应保持有效。</w:t>
      </w:r>
      <w:bookmarkEnd w:id="41"/>
      <w:bookmarkEnd w:id="42"/>
    </w:p>
    <w:p>
      <w:pPr>
        <w:adjustRightInd w:val="0"/>
        <w:snapToGrid w:val="0"/>
        <w:spacing w:line="400" w:lineRule="exact"/>
        <w:ind w:firstLine="420" w:firstLineChars="200"/>
        <w:rPr>
          <w:rFonts w:hint="eastAsia" w:ascii="宋体" w:hAnsi="宋体"/>
          <w:b/>
          <w:color w:val="000000" w:themeColor="text1"/>
          <w:szCs w:val="21"/>
          <w:highlight w:val="none"/>
          <w14:textFill>
            <w14:solidFill>
              <w14:schemeClr w14:val="tx1"/>
            </w14:solidFill>
          </w14:textFill>
        </w:rPr>
      </w:pPr>
      <w:bookmarkStart w:id="43" w:name="_Toc254970541"/>
      <w:bookmarkStart w:id="44" w:name="_Toc254970682"/>
      <w:r>
        <w:rPr>
          <w:rFonts w:hint="eastAsia" w:ascii="宋体" w:hAnsi="宋体"/>
          <w:b/>
          <w:color w:val="000000" w:themeColor="text1"/>
          <w:szCs w:val="21"/>
          <w:highlight w:val="none"/>
          <w14:textFill>
            <w14:solidFill>
              <w14:schemeClr w14:val="tx1"/>
            </w14:solidFill>
          </w14:textFill>
        </w:rPr>
        <w:t>（五）投标保证金</w:t>
      </w:r>
      <w:bookmarkEnd w:id="43"/>
      <w:bookmarkEnd w:id="44"/>
    </w:p>
    <w:p>
      <w:pPr>
        <w:pStyle w:val="30"/>
        <w:adjustRightInd w:val="0"/>
        <w:snapToGrid w:val="0"/>
        <w:spacing w:line="400" w:lineRule="exact"/>
        <w:ind w:left="840" w:leftChars="20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1.投标保证金应用人民币，投标人须按规定提交投标保证金。否则，其投标将被拒绝。</w:t>
      </w:r>
    </w:p>
    <w:p>
      <w:pPr>
        <w:adjustRightInd w:val="0"/>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2.保证金交纳形式：支票、汇票、本票、网上银行或者金融、担保机构出具的保函等非现金形式。</w:t>
      </w:r>
    </w:p>
    <w:p>
      <w:pPr>
        <w:adjustRightInd w:val="0"/>
        <w:snapToGrid w:val="0"/>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3.投标人应按本须知及招标公告中所明确的开户名称、开户银行、账号，于投标截止前交到本中心账户上</w:t>
      </w:r>
      <w:r>
        <w:rPr>
          <w:rFonts w:ascii="宋体" w:hAnsi="宋体"/>
          <w:color w:val="000000" w:themeColor="text1"/>
          <w:szCs w:val="21"/>
          <w:highlight w:val="none"/>
          <w14:textFill>
            <w14:solidFill>
              <w14:schemeClr w14:val="tx1"/>
            </w14:solidFill>
          </w14:textFill>
        </w:rPr>
        <w:t>或本中心财务处</w:t>
      </w:r>
      <w:r>
        <w:rPr>
          <w:rFonts w:hint="eastAsia" w:ascii="宋体" w:hAnsi="宋体" w:cs="宋体"/>
          <w:color w:val="000000" w:themeColor="text1"/>
          <w:szCs w:val="21"/>
          <w:highlight w:val="none"/>
          <w14:textFill>
            <w14:solidFill>
              <w14:schemeClr w14:val="tx1"/>
            </w14:solidFill>
          </w14:textFill>
        </w:rPr>
        <w:t>（投标人交纳投标保证金时应充分考虑保证金到达本中心账户上的清算时间）。</w:t>
      </w:r>
    </w:p>
    <w:p>
      <w:pPr>
        <w:adjustRightInd w:val="0"/>
        <w:snapToGrid w:val="0"/>
        <w:spacing w:line="400" w:lineRule="exact"/>
        <w:ind w:firstLine="562" w:firstLineChars="268"/>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本项目保证金事宜请联系本中心财务处（电话：0771-8600309，地址：南宁市星湖路22号）。</w:t>
      </w:r>
    </w:p>
    <w:p>
      <w:pPr>
        <w:pStyle w:val="30"/>
        <w:adjustRightInd w:val="0"/>
        <w:snapToGrid w:val="0"/>
        <w:spacing w:line="400" w:lineRule="exact"/>
        <w:ind w:firstLine="562" w:firstLineChars="268"/>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注：①办理投标保证金手续时，请务必在保证金凭据上注明或写明项目名称及项目编号，以免耽误投标。</w:t>
      </w:r>
    </w:p>
    <w:p>
      <w:pPr>
        <w:adjustRightInd w:val="0"/>
        <w:snapToGrid w:val="0"/>
        <w:spacing w:line="400" w:lineRule="exact"/>
        <w:ind w:firstLine="562" w:firstLineChars="268"/>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②未中标人的投标保证金在中标通知书发出后4个工作日内退还，不计利息。</w:t>
      </w:r>
    </w:p>
    <w:p>
      <w:pPr>
        <w:adjustRightInd w:val="0"/>
        <w:snapToGrid w:val="0"/>
        <w:spacing w:line="400" w:lineRule="exact"/>
        <w:ind w:firstLine="562" w:firstLineChars="268"/>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③中标人的投标保证金自政府采购合同签订之日起4个工作日内（合同签订后送达本中心)后退还，不计利息。</w:t>
      </w:r>
    </w:p>
    <w:p>
      <w:pPr>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中标人应在中标通知书发出之日起</w:t>
      </w:r>
      <w:r>
        <w:rPr>
          <w:rFonts w:hint="eastAsia" w:ascii="宋体" w:hAnsi="宋体"/>
          <w:color w:val="000000" w:themeColor="text1"/>
          <w:szCs w:val="21"/>
          <w:highlight w:val="none"/>
          <w:u w:val="single"/>
          <w14:textFill>
            <w14:solidFill>
              <w14:schemeClr w14:val="tx1"/>
            </w14:solidFill>
          </w14:textFill>
        </w:rPr>
        <w:t>25</w:t>
      </w:r>
      <w:r>
        <w:rPr>
          <w:rFonts w:hint="eastAsia" w:ascii="宋体" w:hAnsi="宋体"/>
          <w:color w:val="000000" w:themeColor="text1"/>
          <w:szCs w:val="21"/>
          <w:highlight w:val="none"/>
          <w14:textFill>
            <w14:solidFill>
              <w14:schemeClr w14:val="tx1"/>
            </w14:solidFill>
          </w14:textFill>
        </w:rPr>
        <w:t>日内与采购人签订合同。</w:t>
      </w:r>
      <w:r>
        <w:rPr>
          <w:rFonts w:hint="eastAsia" w:ascii="宋体" w:hAnsi="宋体"/>
          <w:bCs/>
          <w:color w:val="000000" w:themeColor="text1"/>
          <w:szCs w:val="21"/>
          <w:highlight w:val="none"/>
          <w14:textFill>
            <w14:solidFill>
              <w14:schemeClr w14:val="tx1"/>
            </w14:solidFill>
          </w14:textFill>
        </w:rPr>
        <w:t>采购需求另有要求的，按照其要求执行。</w:t>
      </w:r>
    </w:p>
    <w:p>
      <w:pPr>
        <w:pStyle w:val="30"/>
        <w:adjustRightInd w:val="0"/>
        <w:snapToGrid w:val="0"/>
        <w:spacing w:line="400" w:lineRule="exact"/>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5.投标保证金不计息。</w:t>
      </w:r>
    </w:p>
    <w:p>
      <w:pPr>
        <w:adjustRightInd w:val="0"/>
        <w:snapToGrid w:val="0"/>
        <w:spacing w:line="400" w:lineRule="exact"/>
        <w:ind w:firstLine="411" w:firstLineChars="196"/>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6.投标人有下列情形之一的，投标保证金将不予退还：</w:t>
      </w:r>
    </w:p>
    <w:p>
      <w:pPr>
        <w:adjustRightInd w:val="0"/>
        <w:snapToGrid w:val="0"/>
        <w:spacing w:line="400" w:lineRule="exact"/>
        <w:ind w:firstLine="411" w:firstLineChars="196"/>
        <w:jc w:val="left"/>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（1）投标人在投标有效期内撤回投标文件的；</w:t>
      </w:r>
    </w:p>
    <w:p>
      <w:pPr>
        <w:adjustRightInd w:val="0"/>
        <w:snapToGrid w:val="0"/>
        <w:spacing w:line="400" w:lineRule="exact"/>
        <w:ind w:firstLine="411" w:firstLineChars="196"/>
        <w:jc w:val="left"/>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（2）投标人在投标过程中弄虚作假，提供虚假材料的；</w:t>
      </w:r>
    </w:p>
    <w:p>
      <w:pPr>
        <w:adjustRightInd w:val="0"/>
        <w:snapToGrid w:val="0"/>
        <w:spacing w:line="400" w:lineRule="exact"/>
        <w:ind w:firstLine="411" w:firstLineChars="196"/>
        <w:jc w:val="left"/>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（3）中标人无正当理由不与采购人签订合同的；</w:t>
      </w:r>
    </w:p>
    <w:p>
      <w:pPr>
        <w:adjustRightInd w:val="0"/>
        <w:snapToGrid w:val="0"/>
        <w:spacing w:line="400" w:lineRule="exact"/>
        <w:ind w:firstLine="411" w:firstLineChars="196"/>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（4）</w:t>
      </w:r>
      <w:r>
        <w:rPr>
          <w:rFonts w:hint="eastAsia" w:ascii="宋体" w:hAnsi="宋体"/>
          <w:bCs/>
          <w:color w:val="000000" w:themeColor="text1"/>
          <w:spacing w:val="-4"/>
          <w:szCs w:val="21"/>
          <w:highlight w:val="none"/>
          <w14:textFill>
            <w14:solidFill>
              <w14:schemeClr w14:val="tx1"/>
            </w14:solidFill>
          </w14:textFill>
        </w:rPr>
        <w:t>将中标项目转让给他人或者在投标文件中未说明且未经招标采购人同意，将中标项目分包给他人的；</w:t>
      </w:r>
    </w:p>
    <w:p>
      <w:pPr>
        <w:adjustRightInd w:val="0"/>
        <w:snapToGrid w:val="0"/>
        <w:spacing w:line="400" w:lineRule="exact"/>
        <w:ind w:firstLine="411" w:firstLineChars="196"/>
        <w:rPr>
          <w:rFonts w:hint="eastAsia" w:ascii="宋体" w:hAnsi="宋体"/>
          <w:b/>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（5）拒绝履</w:t>
      </w:r>
      <w:r>
        <w:rPr>
          <w:rFonts w:hint="eastAsia" w:ascii="宋体" w:hAnsi="宋体"/>
          <w:color w:val="000000" w:themeColor="text1"/>
          <w:szCs w:val="21"/>
          <w:highlight w:val="none"/>
          <w14:textFill>
            <w14:solidFill>
              <w14:schemeClr w14:val="tx1"/>
            </w14:solidFill>
          </w14:textFill>
        </w:rPr>
        <w:t>行合同义务的；</w:t>
      </w:r>
    </w:p>
    <w:p>
      <w:pPr>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（6）其他严重扰乱招投标程序的。</w:t>
      </w:r>
    </w:p>
    <w:p>
      <w:pPr>
        <w:adjustRightInd w:val="0"/>
        <w:snapToGrid w:val="0"/>
        <w:spacing w:line="400" w:lineRule="exact"/>
        <w:ind w:firstLine="420" w:firstLineChars="200"/>
        <w:rPr>
          <w:rFonts w:hint="eastAsia" w:ascii="宋体" w:hAnsi="宋体"/>
          <w:b/>
          <w:color w:val="000000" w:themeColor="text1"/>
          <w:szCs w:val="21"/>
          <w:highlight w:val="none"/>
          <w14:textFill>
            <w14:solidFill>
              <w14:schemeClr w14:val="tx1"/>
            </w14:solidFill>
          </w14:textFill>
        </w:rPr>
      </w:pPr>
      <w:bookmarkStart w:id="45" w:name="_Toc254970683"/>
      <w:bookmarkStart w:id="46" w:name="_Toc254970542"/>
      <w:r>
        <w:rPr>
          <w:rFonts w:hint="eastAsia" w:ascii="宋体" w:hAnsi="宋体"/>
          <w:b/>
          <w:color w:val="000000" w:themeColor="text1"/>
          <w:szCs w:val="21"/>
          <w:highlight w:val="none"/>
          <w14:textFill>
            <w14:solidFill>
              <w14:schemeClr w14:val="tx1"/>
            </w14:solidFill>
          </w14:textFill>
        </w:rPr>
        <w:t>（六）投标文件的签署和份数</w:t>
      </w:r>
      <w:bookmarkEnd w:id="45"/>
      <w:bookmarkEnd w:id="46"/>
    </w:p>
    <w:p>
      <w:pPr>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1.投标人应按本招标文件规定的格式和顺序编制并标注页码，投标文件内容不完整、编排混乱导致投标文件被误读、漏读或者查找不到相关内容的，是投标人的责任。</w:t>
      </w:r>
    </w:p>
    <w:p>
      <w:pPr>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2.投标文件份数：见投标人须知及前附表。</w:t>
      </w:r>
    </w:p>
    <w:p>
      <w:pPr>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3.投标文件须由投标人在规定位置盖章并由法定代表人或法定代表人的授权委托人签署，投标人应写全称。</w:t>
      </w:r>
    </w:p>
    <w:p>
      <w:pPr>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4.投标文件不得涂改，若有修改错漏处，须加盖单位公章或者法定代表人或授权委托人签字或盖章。投标文件因扫描不清晰或乱码或表达不清所引起的后果由投标人负责。</w:t>
      </w:r>
    </w:p>
    <w:p>
      <w:pPr>
        <w:adjustRightInd w:val="0"/>
        <w:snapToGrid w:val="0"/>
        <w:spacing w:line="400" w:lineRule="exact"/>
        <w:ind w:firstLine="420"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（七）投标文件的上传、提交、修改、撤回和解密</w:t>
      </w:r>
    </w:p>
    <w:p>
      <w:pPr>
        <w:adjustRightInd w:val="0"/>
        <w:snapToGrid w:val="0"/>
        <w:spacing w:line="400" w:lineRule="exact"/>
        <w:ind w:firstLine="420"/>
        <w:jc w:val="left"/>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b/>
          <w:color w:val="000000" w:themeColor="text1"/>
          <w:szCs w:val="21"/>
          <w:highlight w:val="none"/>
          <w14:textFill>
            <w14:solidFill>
              <w14:schemeClr w14:val="tx1"/>
            </w14:solidFill>
          </w14:textFill>
        </w:rPr>
        <w:t>投标文件的上传、提交：见投标人须知及前附表。</w:t>
      </w:r>
    </w:p>
    <w:p>
      <w:pPr>
        <w:adjustRightInd w:val="0"/>
        <w:snapToGrid w:val="0"/>
        <w:spacing w:line="400" w:lineRule="exact"/>
        <w:ind w:firstLine="42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s="仿宋_GB2312"/>
          <w:color w:val="000000" w:themeColor="text1"/>
          <w:kern w:val="0"/>
          <w:szCs w:val="21"/>
          <w:highlight w:val="none"/>
          <w:lang w:val="zh-CN"/>
          <w14:textFill>
            <w14:solidFill>
              <w14:schemeClr w14:val="tx1"/>
            </w14:solidFill>
          </w14:textFill>
        </w:rPr>
        <w:t>投标文件的修改和撤回：供应商应当在投标截止时间前完成投标文件的上传、提交，并可以补充、修改或者撤回投标文件。补充或者修改投标文件的，应当先行撤回原文件，补充、修改后重新上传、提交。投标截止时间前未完成上传、提交的，视为撤回投标文件。投标截止时间后提交的投标文件，“广西政府采购云平台”将予以拒收。投标截止时间后，投标供应商不得撤回、修改投标文件。</w:t>
      </w:r>
    </w:p>
    <w:p>
      <w:pPr>
        <w:adjustRightInd w:val="0"/>
        <w:snapToGrid w:val="0"/>
        <w:spacing w:line="400" w:lineRule="exact"/>
        <w:ind w:firstLine="424" w:firstLineChars="210"/>
        <w:rPr>
          <w:rFonts w:hint="eastAsia" w:ascii="宋体" w:hAnsi="宋体"/>
          <w:color w:val="000000" w:themeColor="text1"/>
          <w:spacing w:val="-4"/>
          <w:szCs w:val="21"/>
          <w:highlight w:val="none"/>
          <w14:textFill>
            <w14:solidFill>
              <w14:schemeClr w14:val="tx1"/>
            </w14:solidFill>
          </w14:textFill>
        </w:rPr>
      </w:pPr>
      <w:bookmarkStart w:id="47" w:name="_Toc254970684"/>
      <w:bookmarkStart w:id="48" w:name="_Toc254970543"/>
      <w:r>
        <w:rPr>
          <w:rFonts w:hint="eastAsia" w:ascii="宋体" w:hAnsi="宋体"/>
          <w:color w:val="000000" w:themeColor="text1"/>
          <w:spacing w:val="-4"/>
          <w:szCs w:val="21"/>
          <w:highlight w:val="none"/>
          <w14:textFill>
            <w14:solidFill>
              <w14:schemeClr w14:val="tx1"/>
            </w14:solidFill>
          </w14:textFill>
        </w:rPr>
        <w:t>3.</w:t>
      </w:r>
      <w:r>
        <w:rPr>
          <w:rFonts w:hint="eastAsia" w:ascii="宋体" w:hAnsi="宋体"/>
          <w:snapToGrid w:val="0"/>
          <w:color w:val="000000" w:themeColor="text1"/>
          <w:szCs w:val="21"/>
          <w:highlight w:val="none"/>
          <w14:textFill>
            <w14:solidFill>
              <w14:schemeClr w14:val="tx1"/>
            </w14:solidFill>
          </w14:textFill>
        </w:rPr>
        <w:t>电子加密投标文件的解密：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p>
      <w:pPr>
        <w:adjustRightInd w:val="0"/>
        <w:snapToGrid w:val="0"/>
        <w:spacing w:line="400" w:lineRule="exact"/>
        <w:ind w:firstLine="420"/>
        <w:jc w:val="left"/>
        <w:rPr>
          <w:rFonts w:hint="eastAsia" w:ascii="宋体" w:hAnsi="宋体"/>
          <w:color w:val="000000" w:themeColor="text1"/>
          <w:spacing w:val="-4"/>
          <w:szCs w:val="21"/>
          <w:highlight w:val="none"/>
          <w14:textFill>
            <w14:solidFill>
              <w14:schemeClr w14:val="tx1"/>
            </w14:solidFill>
          </w14:textFill>
        </w:rPr>
      </w:pPr>
      <w:r>
        <w:rPr>
          <w:rFonts w:hint="eastAsia" w:ascii="宋体" w:hAnsi="宋体"/>
          <w:color w:val="000000" w:themeColor="text1"/>
          <w:spacing w:val="-4"/>
          <w:szCs w:val="21"/>
          <w:highlight w:val="none"/>
          <w14:textFill>
            <w14:solidFill>
              <w14:schemeClr w14:val="tx1"/>
            </w14:solidFill>
          </w14:textFill>
        </w:rPr>
        <w:t>4.投标人已经被推荐为第一中标候选供应商后撤回投标或放弃中标的，其投标保证金将不予退还，并上缴国库，给采购人造成损失的，还应当赔偿损失，并作为不良行为记录在案。</w:t>
      </w:r>
    </w:p>
    <w:p>
      <w:pPr>
        <w:adjustRightInd w:val="0"/>
        <w:snapToGrid w:val="0"/>
        <w:spacing w:line="400" w:lineRule="exact"/>
        <w:ind w:firstLine="420"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（八）投标无效的情形</w:t>
      </w:r>
      <w:bookmarkEnd w:id="47"/>
      <w:bookmarkEnd w:id="48"/>
    </w:p>
    <w:p>
      <w:pPr>
        <w:pStyle w:val="23"/>
        <w:adjustRightInd w:val="0"/>
        <w:snapToGrid w:val="0"/>
        <w:spacing w:line="400" w:lineRule="exact"/>
        <w:ind w:firstLine="411" w:firstLineChars="196"/>
        <w:rPr>
          <w:rFonts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在政采云系统上进行修改或者补正并加盖单位公章。在评标委员会发出询标函规定的回复限期内不补正或经补正后仍不符合招标文件要求的，应认定其投标无效。投标人修改、补正投标文件后，不影响评标委员会对其投标文件所作的评价和评分结果。</w:t>
      </w:r>
    </w:p>
    <w:p>
      <w:pPr>
        <w:pStyle w:val="23"/>
        <w:adjustRightInd w:val="0"/>
        <w:snapToGrid w:val="0"/>
        <w:spacing w:line="400" w:lineRule="exact"/>
        <w:ind w:firstLine="411" w:firstLineChars="196"/>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1.在符合性审查和资格性审查时，如发现下列情形之一的，投标文件将被视为无效：</w:t>
      </w:r>
    </w:p>
    <w:p>
      <w:pPr>
        <w:pStyle w:val="23"/>
        <w:adjustRightInd w:val="0"/>
        <w:snapToGrid w:val="0"/>
        <w:spacing w:line="400" w:lineRule="exact"/>
        <w:ind w:firstLine="411" w:firstLineChars="196"/>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（1）超越了按照法律法规规定必须获得行政许可或者行政审批的经营范围的；</w:t>
      </w:r>
    </w:p>
    <w:p>
      <w:pPr>
        <w:pStyle w:val="23"/>
        <w:adjustRightInd w:val="0"/>
        <w:snapToGrid w:val="0"/>
        <w:spacing w:line="400" w:lineRule="exact"/>
        <w:ind w:firstLine="411" w:firstLineChars="196"/>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（2）资格证明文件不全的，或者不符合招标文件标明的资格要求的；</w:t>
      </w:r>
    </w:p>
    <w:p>
      <w:pPr>
        <w:pStyle w:val="23"/>
        <w:adjustRightInd w:val="0"/>
        <w:snapToGrid w:val="0"/>
        <w:spacing w:line="400" w:lineRule="exact"/>
        <w:ind w:firstLine="411" w:firstLineChars="196"/>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（3）投标文件无法定代表人（负责人）或其授权委托代理人签字，或未提供法定代表人（负责人）授权委托书、投标声明书或者填写项目不齐全的；</w:t>
      </w:r>
    </w:p>
    <w:p>
      <w:pPr>
        <w:pStyle w:val="23"/>
        <w:adjustRightInd w:val="0"/>
        <w:snapToGrid w:val="0"/>
        <w:spacing w:line="400" w:lineRule="exact"/>
        <w:ind w:firstLine="411" w:firstLineChars="196"/>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（4）投标代表人未能出具身份证明或与法定代表人（负责人）授权委托人身份不符的；</w:t>
      </w:r>
    </w:p>
    <w:p>
      <w:pPr>
        <w:pStyle w:val="23"/>
        <w:adjustRightInd w:val="0"/>
        <w:snapToGrid w:val="0"/>
        <w:spacing w:line="400" w:lineRule="exact"/>
        <w:ind w:firstLine="411" w:firstLineChars="196"/>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（5）项目不齐全或者内容虚假的；</w:t>
      </w:r>
    </w:p>
    <w:p>
      <w:pPr>
        <w:pStyle w:val="23"/>
        <w:adjustRightInd w:val="0"/>
        <w:snapToGrid w:val="0"/>
        <w:spacing w:line="400" w:lineRule="exact"/>
        <w:ind w:firstLine="411" w:firstLineChars="196"/>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（6）投标文件的实质性内容未使用中文表述、意思表述不明确、前后矛盾或者使用计量单位不符合投标文件要求的（经评标委员会认定并允许其在线更正的笔误除外）；</w:t>
      </w:r>
    </w:p>
    <w:p>
      <w:pPr>
        <w:pStyle w:val="23"/>
        <w:adjustRightInd w:val="0"/>
        <w:snapToGrid w:val="0"/>
        <w:spacing w:line="400" w:lineRule="exact"/>
        <w:ind w:firstLine="411" w:firstLineChars="196"/>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（7）投标有效期、交付使用时间、质保期等商务条款不能满足招标文件要求的；</w:t>
      </w:r>
    </w:p>
    <w:p>
      <w:pPr>
        <w:pStyle w:val="23"/>
        <w:adjustRightInd w:val="0"/>
        <w:snapToGrid w:val="0"/>
        <w:spacing w:line="400" w:lineRule="exact"/>
        <w:ind w:firstLine="411" w:firstLineChars="196"/>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（8）未实质性响应招标文件要求或者投标文件有招标方不能接受的附加条件的；</w:t>
      </w:r>
    </w:p>
    <w:p>
      <w:pPr>
        <w:pStyle w:val="23"/>
        <w:adjustRightInd w:val="0"/>
        <w:snapToGrid w:val="0"/>
        <w:spacing w:line="400" w:lineRule="exact"/>
        <w:ind w:firstLine="411" w:firstLineChars="196"/>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（9）</w:t>
      </w:r>
      <w:r>
        <w:rPr>
          <w:rFonts w:ascii="宋体" w:hAnsi="宋体" w:eastAsia="宋体"/>
          <w:color w:val="000000" w:themeColor="text1"/>
          <w:spacing w:val="-4"/>
          <w:sz w:val="21"/>
          <w:szCs w:val="21"/>
          <w:highlight w:val="none"/>
          <w14:textFill>
            <w14:solidFill>
              <w14:schemeClr w14:val="tx1"/>
            </w14:solidFill>
          </w14:textFill>
        </w:rPr>
        <w:t>未按照招标文件的规定提交投标保证金的</w:t>
      </w:r>
      <w:r>
        <w:rPr>
          <w:rFonts w:hint="eastAsia" w:ascii="宋体" w:hAnsi="宋体" w:eastAsia="宋体"/>
          <w:bCs/>
          <w:color w:val="000000" w:themeColor="text1"/>
          <w:sz w:val="21"/>
          <w:szCs w:val="21"/>
          <w:highlight w:val="none"/>
          <w14:textFill>
            <w14:solidFill>
              <w14:schemeClr w14:val="tx1"/>
            </w14:solidFill>
          </w14:textFill>
        </w:rPr>
        <w:t>（说明：评标时，评标委员会将以本中心财务室编制的《采购文件购买名单及保证金收缴情况表》作为评审依据）。</w:t>
      </w:r>
    </w:p>
    <w:p>
      <w:pPr>
        <w:pStyle w:val="23"/>
        <w:adjustRightInd w:val="0"/>
        <w:snapToGrid w:val="0"/>
        <w:spacing w:line="400" w:lineRule="exact"/>
        <w:ind w:firstLine="411" w:firstLineChars="196"/>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2.在技术评审时，如发现下列情形之一的，投标文件将被视为无效：</w:t>
      </w:r>
    </w:p>
    <w:p>
      <w:pPr>
        <w:pStyle w:val="23"/>
        <w:adjustRightInd w:val="0"/>
        <w:snapToGrid w:val="0"/>
        <w:spacing w:line="400" w:lineRule="exact"/>
        <w:ind w:firstLine="411" w:firstLineChars="196"/>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（1）未提供或未如实提供投标货物的技术参数，或者投标文件标明的响应或偏离与事实不符或虚假投标的；</w:t>
      </w:r>
    </w:p>
    <w:p>
      <w:pPr>
        <w:pStyle w:val="23"/>
        <w:adjustRightInd w:val="0"/>
        <w:snapToGrid w:val="0"/>
        <w:spacing w:line="400" w:lineRule="exact"/>
        <w:ind w:firstLine="411" w:firstLineChars="196"/>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（2）明显不符合招标文件要求的规格型号、质量标准，或者与招标文件中的技术指标、主要功能项目发生实质性偏离的；</w:t>
      </w:r>
    </w:p>
    <w:p>
      <w:pPr>
        <w:pStyle w:val="23"/>
        <w:adjustRightInd w:val="0"/>
        <w:snapToGrid w:val="0"/>
        <w:spacing w:line="400" w:lineRule="exact"/>
        <w:ind w:firstLine="411" w:firstLineChars="196"/>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（3）项目采购需求中要求的内容项目发生负偏离达1项（含）以上的；</w:t>
      </w:r>
    </w:p>
    <w:p>
      <w:pPr>
        <w:pStyle w:val="23"/>
        <w:adjustRightInd w:val="0"/>
        <w:snapToGrid w:val="0"/>
        <w:spacing w:line="400" w:lineRule="exact"/>
        <w:ind w:firstLine="411" w:firstLineChars="196"/>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（4）投标技术方案不明确，存在一个或一个以上备选（替换）投标方案的；</w:t>
      </w:r>
    </w:p>
    <w:p>
      <w:pPr>
        <w:pStyle w:val="23"/>
        <w:adjustRightInd w:val="0"/>
        <w:snapToGrid w:val="0"/>
        <w:spacing w:line="400" w:lineRule="exact"/>
        <w:ind w:firstLine="411" w:firstLineChars="196"/>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（5）与其他参加本次投标供应商的投标文件（技术文件）的文字表述内容差错相同二处以上的。</w:t>
      </w:r>
    </w:p>
    <w:p>
      <w:pPr>
        <w:pStyle w:val="23"/>
        <w:adjustRightInd w:val="0"/>
        <w:snapToGrid w:val="0"/>
        <w:spacing w:line="400" w:lineRule="exact"/>
        <w:ind w:firstLine="411" w:firstLineChars="196"/>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3.在报价评审时，如发现下列情形之一的，投标文件将被视为无效：</w:t>
      </w:r>
    </w:p>
    <w:p>
      <w:pPr>
        <w:pStyle w:val="23"/>
        <w:adjustRightInd w:val="0"/>
        <w:snapToGrid w:val="0"/>
        <w:spacing w:line="400" w:lineRule="exact"/>
        <w:ind w:firstLine="411" w:firstLineChars="196"/>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（1）未采用人民币报价或者未按照招标文件标明的币种报价的；</w:t>
      </w:r>
    </w:p>
    <w:p>
      <w:pPr>
        <w:pStyle w:val="23"/>
        <w:adjustRightInd w:val="0"/>
        <w:snapToGrid w:val="0"/>
        <w:spacing w:line="400" w:lineRule="exact"/>
        <w:ind w:firstLine="411" w:firstLineChars="196"/>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（2）报价超出最高限价，或者超出采购预算金额，采购人不能支付的；</w:t>
      </w:r>
    </w:p>
    <w:p>
      <w:pPr>
        <w:pStyle w:val="23"/>
        <w:adjustRightInd w:val="0"/>
        <w:snapToGrid w:val="0"/>
        <w:spacing w:line="400" w:lineRule="exact"/>
        <w:ind w:firstLine="411" w:firstLineChars="196"/>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（3）投标报价具有选择性，或者开标价格与投标文件承诺的优惠（折扣）价格不一致的。</w:t>
      </w:r>
    </w:p>
    <w:p>
      <w:pPr>
        <w:pStyle w:val="23"/>
        <w:adjustRightInd w:val="0"/>
        <w:snapToGrid w:val="0"/>
        <w:spacing w:line="400" w:lineRule="exact"/>
        <w:ind w:firstLine="395" w:firstLineChars="196"/>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color w:val="000000" w:themeColor="text1"/>
          <w:spacing w:val="-4"/>
          <w:sz w:val="21"/>
          <w:szCs w:val="21"/>
          <w:highlight w:val="none"/>
          <w14:textFill>
            <w14:solidFill>
              <w14:schemeClr w14:val="tx1"/>
            </w14:solidFill>
          </w14:textFill>
        </w:rPr>
        <w:t>（4）评标委员会认为投标人的报价明显低于其他通过符合性审查投标人的报价，有可能影响产品质量或者不能诚信履约，投标人不能证明其报价合理性的。</w:t>
      </w:r>
    </w:p>
    <w:p>
      <w:pPr>
        <w:pStyle w:val="23"/>
        <w:adjustRightInd w:val="0"/>
        <w:snapToGrid w:val="0"/>
        <w:spacing w:line="400" w:lineRule="exact"/>
        <w:ind w:firstLine="411" w:firstLineChars="196"/>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4.有下列情形之一的视为投标人相互串通投标，投标文件将被视为无效:</w:t>
      </w:r>
    </w:p>
    <w:p>
      <w:pPr>
        <w:pStyle w:val="23"/>
        <w:adjustRightInd w:val="0"/>
        <w:snapToGrid w:val="0"/>
        <w:spacing w:line="400" w:lineRule="exact"/>
        <w:ind w:firstLine="411" w:firstLineChars="196"/>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（1）不同投标人的投标文件由同一单位或者个人编制；或不同投标人报名的IP地址一致的；</w:t>
      </w:r>
    </w:p>
    <w:p>
      <w:pPr>
        <w:pStyle w:val="23"/>
        <w:adjustRightInd w:val="0"/>
        <w:snapToGrid w:val="0"/>
        <w:spacing w:line="400" w:lineRule="exact"/>
        <w:ind w:firstLine="411" w:firstLineChars="196"/>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（2）不同投标人委托同一单位或者个人办理投标事宜；</w:t>
      </w:r>
    </w:p>
    <w:p>
      <w:pPr>
        <w:pStyle w:val="23"/>
        <w:adjustRightInd w:val="0"/>
        <w:snapToGrid w:val="0"/>
        <w:spacing w:line="400" w:lineRule="exact"/>
        <w:ind w:firstLine="411" w:firstLineChars="196"/>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（3）</w:t>
      </w:r>
      <w:r>
        <w:rPr>
          <w:rFonts w:hint="eastAsia" w:ascii="宋体" w:hAnsi="宋体" w:eastAsia="宋体"/>
          <w:color w:val="000000" w:themeColor="text1"/>
          <w:spacing w:val="-4"/>
          <w:sz w:val="21"/>
          <w:szCs w:val="21"/>
          <w:highlight w:val="none"/>
          <w14:textFill>
            <w14:solidFill>
              <w14:schemeClr w14:val="tx1"/>
            </w14:solidFill>
          </w14:textFill>
        </w:rPr>
        <w:t>不同投标人的投标文件载明的项目管理成员或者联系人员为同一人</w:t>
      </w:r>
      <w:r>
        <w:rPr>
          <w:rFonts w:hint="eastAsia" w:ascii="宋体" w:hAnsi="宋体" w:eastAsia="宋体"/>
          <w:bCs/>
          <w:color w:val="000000" w:themeColor="text1"/>
          <w:sz w:val="21"/>
          <w:szCs w:val="21"/>
          <w:highlight w:val="none"/>
          <w14:textFill>
            <w14:solidFill>
              <w14:schemeClr w14:val="tx1"/>
            </w14:solidFill>
          </w14:textFill>
        </w:rPr>
        <w:t>；</w:t>
      </w:r>
    </w:p>
    <w:p>
      <w:pPr>
        <w:pStyle w:val="23"/>
        <w:adjustRightInd w:val="0"/>
        <w:snapToGrid w:val="0"/>
        <w:spacing w:line="400" w:lineRule="exact"/>
        <w:ind w:firstLine="411" w:firstLineChars="196"/>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（4）不同投标人的投标文件异常一致或投标报价呈规律性差异；</w:t>
      </w:r>
    </w:p>
    <w:p>
      <w:pPr>
        <w:pStyle w:val="23"/>
        <w:adjustRightInd w:val="0"/>
        <w:snapToGrid w:val="0"/>
        <w:spacing w:line="400" w:lineRule="exact"/>
        <w:ind w:firstLine="411" w:firstLineChars="196"/>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（5）不同投标人的投标文件相互混装；</w:t>
      </w:r>
    </w:p>
    <w:p>
      <w:pPr>
        <w:pStyle w:val="23"/>
        <w:adjustRightInd w:val="0"/>
        <w:snapToGrid w:val="0"/>
        <w:spacing w:line="400" w:lineRule="exact"/>
        <w:ind w:firstLine="411" w:firstLineChars="196"/>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（6）不同投标人的投标保证金从同一个单位或者个人账户转出。</w:t>
      </w:r>
    </w:p>
    <w:p>
      <w:pPr>
        <w:pStyle w:val="23"/>
        <w:adjustRightInd w:val="0"/>
        <w:snapToGrid w:val="0"/>
        <w:spacing w:line="400" w:lineRule="exact"/>
        <w:ind w:firstLine="411" w:firstLineChars="196"/>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5.其他投标无效的情形：</w:t>
      </w:r>
    </w:p>
    <w:p>
      <w:pPr>
        <w:pStyle w:val="23"/>
        <w:adjustRightInd w:val="0"/>
        <w:snapToGrid w:val="0"/>
        <w:spacing w:line="400" w:lineRule="exact"/>
        <w:ind w:firstLine="411" w:firstLineChars="196"/>
        <w:rPr>
          <w:rFonts w:hint="eastAsia" w:ascii="宋体" w:hAnsi="宋体" w:eastAsia="宋体"/>
          <w:b/>
          <w:bCs/>
          <w:color w:val="000000" w:themeColor="text1"/>
          <w:sz w:val="21"/>
          <w:szCs w:val="21"/>
          <w:highlight w:val="none"/>
          <w14:textFill>
            <w14:solidFill>
              <w14:schemeClr w14:val="tx1"/>
            </w14:solidFill>
          </w14:textFill>
        </w:rPr>
      </w:pPr>
      <w:r>
        <w:rPr>
          <w:rFonts w:hint="eastAsia" w:ascii="宋体" w:hAnsi="宋体" w:eastAsia="宋体"/>
          <w:b/>
          <w:bCs/>
          <w:color w:val="000000" w:themeColor="text1"/>
          <w:sz w:val="21"/>
          <w:szCs w:val="21"/>
          <w:highlight w:val="none"/>
          <w14:textFill>
            <w14:solidFill>
              <w14:schemeClr w14:val="tx1"/>
            </w14:solidFill>
          </w14:textFill>
        </w:rPr>
        <w:t>（1）</w:t>
      </w:r>
      <w:r>
        <w:rPr>
          <w:rFonts w:ascii="宋体" w:hAnsi="宋体" w:eastAsia="宋体"/>
          <w:b/>
          <w:bCs/>
          <w:color w:val="000000" w:themeColor="text1"/>
          <w:sz w:val="21"/>
          <w:szCs w:val="21"/>
          <w:highlight w:val="none"/>
          <w14:textFill>
            <w14:solidFill>
              <w14:schemeClr w14:val="tx1"/>
            </w14:solidFill>
          </w14:textFill>
        </w:rPr>
        <w:t>投标文件未按招标文件要求签署</w:t>
      </w:r>
      <w:r>
        <w:rPr>
          <w:rFonts w:hint="eastAsia" w:ascii="宋体" w:hAnsi="宋体" w:eastAsia="宋体"/>
          <w:b/>
          <w:bCs/>
          <w:color w:val="000000" w:themeColor="text1"/>
          <w:sz w:val="21"/>
          <w:szCs w:val="21"/>
          <w:highlight w:val="none"/>
          <w14:textFill>
            <w14:solidFill>
              <w14:schemeClr w14:val="tx1"/>
            </w14:solidFill>
          </w14:textFill>
        </w:rPr>
        <w:t>或</w:t>
      </w:r>
      <w:r>
        <w:rPr>
          <w:rFonts w:ascii="宋体" w:hAnsi="宋体" w:eastAsia="宋体"/>
          <w:b/>
          <w:bCs/>
          <w:color w:val="000000" w:themeColor="text1"/>
          <w:sz w:val="21"/>
          <w:szCs w:val="21"/>
          <w:highlight w:val="none"/>
          <w14:textFill>
            <w14:solidFill>
              <w14:schemeClr w14:val="tx1"/>
            </w14:solidFill>
          </w14:textFill>
        </w:rPr>
        <w:t>CA电子签章的；</w:t>
      </w:r>
    </w:p>
    <w:p>
      <w:pPr>
        <w:pStyle w:val="23"/>
        <w:adjustRightInd w:val="0"/>
        <w:snapToGrid w:val="0"/>
        <w:spacing w:line="400" w:lineRule="exact"/>
        <w:ind w:firstLine="411" w:firstLineChars="196"/>
        <w:rPr>
          <w:rFonts w:hint="eastAsia" w:ascii="宋体" w:hAnsi="宋体" w:eastAsia="宋体"/>
          <w:b/>
          <w:bCs/>
          <w:color w:val="000000" w:themeColor="text1"/>
          <w:sz w:val="21"/>
          <w:szCs w:val="21"/>
          <w:highlight w:val="none"/>
          <w14:textFill>
            <w14:solidFill>
              <w14:schemeClr w14:val="tx1"/>
            </w14:solidFill>
          </w14:textFill>
        </w:rPr>
      </w:pPr>
      <w:r>
        <w:rPr>
          <w:rFonts w:hint="eastAsia" w:ascii="宋体" w:hAnsi="宋体" w:eastAsia="宋体"/>
          <w:b/>
          <w:bCs/>
          <w:color w:val="000000" w:themeColor="text1"/>
          <w:sz w:val="21"/>
          <w:szCs w:val="21"/>
          <w:highlight w:val="none"/>
          <w14:textFill>
            <w14:solidFill>
              <w14:schemeClr w14:val="tx1"/>
            </w14:solidFill>
          </w14:textFill>
        </w:rPr>
        <w:t>（2）</w:t>
      </w:r>
      <w:r>
        <w:rPr>
          <w:rFonts w:ascii="宋体" w:hAnsi="宋体" w:eastAsia="宋体"/>
          <w:b/>
          <w:bCs/>
          <w:color w:val="000000" w:themeColor="text1"/>
          <w:sz w:val="21"/>
          <w:szCs w:val="21"/>
          <w:highlight w:val="none"/>
          <w14:textFill>
            <w14:solidFill>
              <w14:schemeClr w14:val="tx1"/>
            </w14:solidFill>
          </w14:textFill>
        </w:rPr>
        <w:t>供应商提交两份或两份以上内容不同的投标文件；</w:t>
      </w:r>
    </w:p>
    <w:p>
      <w:pPr>
        <w:pStyle w:val="30"/>
        <w:adjustRightInd w:val="0"/>
        <w:snapToGrid w:val="0"/>
        <w:spacing w:line="400" w:lineRule="exact"/>
        <w:ind w:firstLine="420" w:firstLineChars="200"/>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（3）</w:t>
      </w:r>
      <w:r>
        <w:rPr>
          <w:rFonts w:hAnsi="宋体"/>
          <w:b/>
          <w:bCs/>
          <w:color w:val="000000" w:themeColor="text1"/>
          <w:highlight w:val="none"/>
          <w14:textFill>
            <w14:solidFill>
              <w14:schemeClr w14:val="tx1"/>
            </w14:solidFill>
          </w14:textFill>
        </w:rPr>
        <w:t>投标供应商在线制作投标文件时</w:t>
      </w:r>
      <w:r>
        <w:rPr>
          <w:rFonts w:hint="eastAsia" w:hAnsi="宋体"/>
          <w:b/>
          <w:bCs/>
          <w:color w:val="000000" w:themeColor="text1"/>
          <w:highlight w:val="none"/>
          <w14:textFill>
            <w14:solidFill>
              <w14:schemeClr w14:val="tx1"/>
            </w14:solidFill>
          </w14:textFill>
        </w:rPr>
        <w:t>填写的报价金额</w:t>
      </w:r>
      <w:r>
        <w:rPr>
          <w:rFonts w:hAnsi="宋体"/>
          <w:b/>
          <w:bCs/>
          <w:color w:val="000000" w:themeColor="text1"/>
          <w:highlight w:val="none"/>
          <w14:textFill>
            <w14:solidFill>
              <w14:schemeClr w14:val="tx1"/>
            </w14:solidFill>
          </w14:textFill>
        </w:rPr>
        <w:t>与解密后“电子加密投标文件”中《开标一览表》填写的金额不一致并拒绝按招标文件要求接受调整的；</w:t>
      </w:r>
    </w:p>
    <w:p>
      <w:pPr>
        <w:pStyle w:val="23"/>
        <w:adjustRightInd w:val="0"/>
        <w:snapToGrid w:val="0"/>
        <w:spacing w:line="400" w:lineRule="exact"/>
        <w:ind w:firstLine="411" w:firstLineChars="196"/>
        <w:rPr>
          <w:rFonts w:hint="eastAsia" w:ascii="宋体" w:hAnsi="宋体" w:eastAsia="宋体" w:cs="Courier New"/>
          <w:b/>
          <w:bCs/>
          <w:color w:val="000000" w:themeColor="text1"/>
          <w:sz w:val="21"/>
          <w:szCs w:val="21"/>
          <w:highlight w:val="none"/>
          <w14:textFill>
            <w14:solidFill>
              <w14:schemeClr w14:val="tx1"/>
            </w14:solidFill>
          </w14:textFill>
        </w:rPr>
      </w:pPr>
      <w:r>
        <w:rPr>
          <w:rFonts w:hint="eastAsia" w:ascii="宋体" w:hAnsi="宋体" w:eastAsia="宋体" w:cs="Courier New"/>
          <w:b/>
          <w:bCs/>
          <w:color w:val="000000" w:themeColor="text1"/>
          <w:sz w:val="21"/>
          <w:szCs w:val="21"/>
          <w:highlight w:val="none"/>
          <w14:textFill>
            <w14:solidFill>
              <w14:schemeClr w14:val="tx1"/>
            </w14:solidFill>
          </w14:textFill>
        </w:rPr>
        <w:t>（4）</w:t>
      </w:r>
      <w:r>
        <w:rPr>
          <w:rFonts w:ascii="宋体" w:hAnsi="宋体" w:eastAsia="宋体" w:cs="Courier New"/>
          <w:b/>
          <w:bCs/>
          <w:color w:val="000000" w:themeColor="text1"/>
          <w:sz w:val="21"/>
          <w:szCs w:val="21"/>
          <w:highlight w:val="none"/>
          <w14:textFill>
            <w14:solidFill>
              <w14:schemeClr w14:val="tx1"/>
            </w14:solidFill>
          </w14:textFill>
        </w:rPr>
        <w:t>法律、法规和招标文件规定的其他无效情形（或出现重大偏差）。</w:t>
      </w:r>
    </w:p>
    <w:p>
      <w:pPr>
        <w:pStyle w:val="23"/>
        <w:adjustRightInd w:val="0"/>
        <w:snapToGrid w:val="0"/>
        <w:spacing w:line="400" w:lineRule="exact"/>
        <w:ind w:firstLine="411" w:firstLineChars="196"/>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6.被拒绝的投标文件为无效。</w:t>
      </w:r>
    </w:p>
    <w:p>
      <w:pPr>
        <w:pStyle w:val="30"/>
        <w:adjustRightInd w:val="0"/>
        <w:snapToGrid w:val="0"/>
        <w:spacing w:line="400" w:lineRule="exact"/>
        <w:rPr>
          <w:rFonts w:hint="eastAsia" w:hAnsi="宋体"/>
          <w:b/>
          <w:color w:val="000000" w:themeColor="text1"/>
          <w:highlight w:val="none"/>
          <w14:textFill>
            <w14:solidFill>
              <w14:schemeClr w14:val="tx1"/>
            </w14:solidFill>
          </w14:textFill>
        </w:rPr>
      </w:pPr>
      <w:bookmarkStart w:id="49" w:name="_Toc254970544"/>
      <w:bookmarkStart w:id="50" w:name="_Toc254970685"/>
      <w:r>
        <w:rPr>
          <w:rFonts w:hint="eastAsia" w:hAnsi="宋体"/>
          <w:b/>
          <w:color w:val="000000" w:themeColor="text1"/>
          <w:highlight w:val="none"/>
          <w14:textFill>
            <w14:solidFill>
              <w14:schemeClr w14:val="tx1"/>
            </w14:solidFill>
          </w14:textFill>
        </w:rPr>
        <w:t>四、开标</w:t>
      </w:r>
      <w:bookmarkEnd w:id="49"/>
      <w:bookmarkEnd w:id="50"/>
    </w:p>
    <w:p>
      <w:pPr>
        <w:adjustRightInd w:val="0"/>
        <w:snapToGrid w:val="0"/>
        <w:spacing w:line="400" w:lineRule="exact"/>
        <w:ind w:firstLine="420"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（一）开标准备</w:t>
      </w:r>
    </w:p>
    <w:p>
      <w:pPr>
        <w:shd w:val="clear" w:color="auto" w:fill="FFFFFF"/>
        <w:adjustRightInd w:val="0"/>
        <w:snapToGrid w:val="0"/>
        <w:spacing w:line="400" w:lineRule="exact"/>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本中心按招标文件规定的时间、地点通过“广西政府采购云平台”组织开标、开启投标文件，所有供应商均应当准时在线参加。投</w:t>
      </w:r>
      <w:r>
        <w:rPr>
          <w:rFonts w:ascii="宋体" w:hAnsi="宋体"/>
          <w:color w:val="000000" w:themeColor="text1"/>
          <w:szCs w:val="21"/>
          <w:highlight w:val="none"/>
          <w14:textFill>
            <w14:solidFill>
              <w14:schemeClr w14:val="tx1"/>
            </w14:solidFill>
          </w14:textFill>
        </w:rPr>
        <w:t>标供应商因未在线参加开标而导致投标文件无法按时解密等一切后果由供应商自</w:t>
      </w:r>
      <w:r>
        <w:rPr>
          <w:rFonts w:hint="eastAsia" w:ascii="宋体" w:hAnsi="宋体"/>
          <w:color w:val="000000" w:themeColor="text1"/>
          <w:szCs w:val="21"/>
          <w:highlight w:val="none"/>
          <w14:textFill>
            <w14:solidFill>
              <w14:schemeClr w14:val="tx1"/>
            </w14:solidFill>
          </w14:textFill>
        </w:rPr>
        <w:t>行</w:t>
      </w:r>
      <w:r>
        <w:rPr>
          <w:rFonts w:ascii="宋体" w:hAnsi="宋体"/>
          <w:color w:val="000000" w:themeColor="text1"/>
          <w:szCs w:val="21"/>
          <w:highlight w:val="none"/>
          <w14:textFill>
            <w14:solidFill>
              <w14:schemeClr w14:val="tx1"/>
            </w14:solidFill>
          </w14:textFill>
        </w:rPr>
        <w:t>承担。</w:t>
      </w:r>
    </w:p>
    <w:p>
      <w:pPr>
        <w:adjustRightInd w:val="0"/>
        <w:snapToGrid w:val="0"/>
        <w:spacing w:line="400" w:lineRule="exact"/>
        <w:ind w:firstLine="420"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 开标程序：</w:t>
      </w:r>
    </w:p>
    <w:p>
      <w:pPr>
        <w:pStyle w:val="30"/>
        <w:adjustRightInd w:val="0"/>
        <w:snapToGrid w:val="0"/>
        <w:spacing w:line="400" w:lineRule="exact"/>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1.电子开标会由本中心主持</w:t>
      </w:r>
    </w:p>
    <w:p>
      <w:pPr>
        <w:pStyle w:val="30"/>
        <w:adjustRightInd w:val="0"/>
        <w:snapToGrid w:val="0"/>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2.本中心工作人员向各投标供应商发出电子加密投标文件【开始解密】通知，由供应商按招标文件规定的时间内自行进行投标文件解密。</w:t>
      </w:r>
      <w:r>
        <w:rPr>
          <w:rFonts w:hint="eastAsia" w:hAnsi="宋体"/>
          <w:snapToGrid w:val="0"/>
          <w:color w:val="000000" w:themeColor="text1"/>
          <w:highlight w:val="none"/>
          <w14:textFill>
            <w14:solidFill>
              <w14:schemeClr w14:val="tx1"/>
            </w14:solidFill>
          </w14:textFill>
        </w:rPr>
        <w:t>投标供应商未在规定时间内完成解密的，系统默认自动放弃。</w:t>
      </w:r>
    </w:p>
    <w:p>
      <w:pPr>
        <w:pStyle w:val="30"/>
        <w:adjustRightInd w:val="0"/>
        <w:snapToGrid w:val="0"/>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w:t>
      </w:r>
      <w:r>
        <w:rPr>
          <w:rFonts w:hAnsi="宋体"/>
          <w:color w:val="000000" w:themeColor="text1"/>
          <w:highlight w:val="none"/>
          <w14:textFill>
            <w14:solidFill>
              <w14:schemeClr w14:val="tx1"/>
            </w14:solidFill>
          </w14:textFill>
        </w:rPr>
        <w:t>投标文件解密结束，开启</w:t>
      </w:r>
      <w:r>
        <w:rPr>
          <w:rFonts w:hint="eastAsia" w:hAnsi="宋体"/>
          <w:color w:val="000000" w:themeColor="text1"/>
          <w:highlight w:val="none"/>
          <w14:textFill>
            <w14:solidFill>
              <w14:schemeClr w14:val="tx1"/>
            </w14:solidFill>
          </w14:textFill>
        </w:rPr>
        <w:t>报价文件。投标供应商在线制作投标文件时填写的报价金额</w:t>
      </w:r>
      <w:r>
        <w:rPr>
          <w:rFonts w:hAnsi="宋体"/>
          <w:color w:val="000000" w:themeColor="text1"/>
          <w:highlight w:val="none"/>
          <w14:textFill>
            <w14:solidFill>
              <w14:schemeClr w14:val="tx1"/>
            </w14:solidFill>
          </w14:textFill>
        </w:rPr>
        <w:t>与解密后“电子加密投标文件”中《开标一览表》填写的金额不一致的，以解密后“电子加密投标文件”中《开标一览表》填写的金额为准，投标供应商拒绝接受此调整的，按无效投标处理。</w:t>
      </w:r>
    </w:p>
    <w:p>
      <w:pPr>
        <w:pStyle w:val="30"/>
        <w:adjustRightInd w:val="0"/>
        <w:snapToGrid w:val="0"/>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4.进入</w:t>
      </w:r>
      <w:r>
        <w:rPr>
          <w:rFonts w:hAnsi="宋体"/>
          <w:color w:val="000000" w:themeColor="text1"/>
          <w:highlight w:val="none"/>
          <w14:textFill>
            <w14:solidFill>
              <w14:schemeClr w14:val="tx1"/>
            </w14:solidFill>
          </w14:textFill>
        </w:rPr>
        <w:t>资格文件</w:t>
      </w:r>
      <w:r>
        <w:rPr>
          <w:rFonts w:hint="eastAsia" w:hAnsi="宋体"/>
          <w:color w:val="000000" w:themeColor="text1"/>
          <w:highlight w:val="none"/>
          <w14:textFill>
            <w14:solidFill>
              <w14:schemeClr w14:val="tx1"/>
            </w14:solidFill>
          </w14:textFill>
        </w:rPr>
        <w:t>审查环节</w:t>
      </w: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本中心或者招标采购单位</w:t>
      </w:r>
      <w:r>
        <w:rPr>
          <w:rFonts w:hAnsi="宋体"/>
          <w:color w:val="000000" w:themeColor="text1"/>
          <w:highlight w:val="none"/>
          <w14:textFill>
            <w14:solidFill>
              <w14:schemeClr w14:val="tx1"/>
            </w14:solidFill>
          </w14:textFill>
        </w:rPr>
        <w:t>依法对投标供应商的资格进行审查。</w:t>
      </w:r>
    </w:p>
    <w:p>
      <w:pPr>
        <w:pStyle w:val="30"/>
        <w:adjustRightInd w:val="0"/>
        <w:snapToGrid w:val="0"/>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w:t>
      </w:r>
      <w:r>
        <w:rPr>
          <w:rFonts w:hAnsi="宋体"/>
          <w:color w:val="000000" w:themeColor="text1"/>
          <w:highlight w:val="none"/>
          <w14:textFill>
            <w14:solidFill>
              <w14:schemeClr w14:val="tx1"/>
            </w14:solidFill>
          </w14:textFill>
        </w:rPr>
        <w:t>开启资格审查通过的投标供应商的商务技术文件进入符合性审查及商务技术评审</w:t>
      </w:r>
      <w:r>
        <w:rPr>
          <w:rFonts w:hint="eastAsia" w:hAnsi="宋体"/>
          <w:color w:val="000000" w:themeColor="text1"/>
          <w:highlight w:val="none"/>
          <w14:textFill>
            <w14:solidFill>
              <w14:schemeClr w14:val="tx1"/>
            </w14:solidFill>
          </w14:textFill>
        </w:rPr>
        <w:t>。</w:t>
      </w:r>
    </w:p>
    <w:p>
      <w:pPr>
        <w:pStyle w:val="30"/>
        <w:adjustRightInd w:val="0"/>
        <w:snapToGrid w:val="0"/>
        <w:spacing w:line="400" w:lineRule="exact"/>
        <w:ind w:firstLine="42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注：①当整个招标项目的投标人不足3家的不开标，本中心将按政府采购管理的有关规定处理。</w:t>
      </w:r>
    </w:p>
    <w:p>
      <w:pPr>
        <w:pStyle w:val="30"/>
        <w:adjustRightInd w:val="0"/>
        <w:snapToGrid w:val="0"/>
        <w:spacing w:line="400" w:lineRule="exact"/>
        <w:ind w:firstLine="840" w:firstLineChars="4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②开标后,某分标投标人不足3家的，本中心将按政府采购管理的有关规定处理。</w:t>
      </w:r>
    </w:p>
    <w:p>
      <w:pPr>
        <w:pStyle w:val="30"/>
        <w:adjustRightInd w:val="0"/>
        <w:snapToGrid w:val="0"/>
        <w:spacing w:line="400" w:lineRule="exact"/>
        <w:ind w:firstLine="420" w:firstLineChars="200"/>
        <w:rPr>
          <w:rFonts w:hAnsi="宋体"/>
          <w:color w:val="000000" w:themeColor="text1"/>
          <w:highlight w:val="none"/>
          <w14:textFill>
            <w14:solidFill>
              <w14:schemeClr w14:val="tx1"/>
            </w14:solidFill>
          </w14:textFill>
        </w:rPr>
      </w:pPr>
      <w:r>
        <w:rPr>
          <w:rFonts w:hAnsi="宋体"/>
          <w:b/>
          <w:bCs/>
          <w:color w:val="000000" w:themeColor="text1"/>
          <w:highlight w:val="none"/>
          <w14:textFill>
            <w14:solidFill>
              <w14:schemeClr w14:val="tx1"/>
            </w14:solidFill>
          </w14:textFill>
        </w:rPr>
        <w:t>特别说明：如遇“</w:t>
      </w:r>
      <w:r>
        <w:rPr>
          <w:rFonts w:hint="eastAsia" w:hAnsi="宋体"/>
          <w:b/>
          <w:bCs/>
          <w:color w:val="000000" w:themeColor="text1"/>
          <w:highlight w:val="none"/>
          <w14:textFill>
            <w14:solidFill>
              <w14:schemeClr w14:val="tx1"/>
            </w14:solidFill>
          </w14:textFill>
        </w:rPr>
        <w:t>广西政府采购云平台</w:t>
      </w:r>
      <w:r>
        <w:rPr>
          <w:rFonts w:hAnsi="宋体"/>
          <w:b/>
          <w:bCs/>
          <w:color w:val="000000" w:themeColor="text1"/>
          <w:highlight w:val="none"/>
          <w14:textFill>
            <w14:solidFill>
              <w14:schemeClr w14:val="tx1"/>
            </w14:solidFill>
          </w14:textFill>
        </w:rPr>
        <w:t>”电子化开标或评审程序调整的，按调整后程序执行。</w:t>
      </w:r>
    </w:p>
    <w:p>
      <w:pPr>
        <w:pStyle w:val="30"/>
        <w:adjustRightInd w:val="0"/>
        <w:snapToGrid w:val="0"/>
        <w:spacing w:line="400" w:lineRule="exact"/>
        <w:rPr>
          <w:rFonts w:hint="eastAsia" w:hAnsi="宋体"/>
          <w:b/>
          <w:color w:val="000000" w:themeColor="text1"/>
          <w:highlight w:val="none"/>
          <w14:textFill>
            <w14:solidFill>
              <w14:schemeClr w14:val="tx1"/>
            </w14:solidFill>
          </w14:textFill>
        </w:rPr>
      </w:pPr>
      <w:bookmarkStart w:id="51" w:name="_Toc254970545"/>
      <w:bookmarkStart w:id="52" w:name="_Toc254970686"/>
      <w:r>
        <w:rPr>
          <w:rFonts w:hint="eastAsia" w:hAnsi="宋体"/>
          <w:b/>
          <w:color w:val="000000" w:themeColor="text1"/>
          <w:highlight w:val="none"/>
          <w14:textFill>
            <w14:solidFill>
              <w14:schemeClr w14:val="tx1"/>
            </w14:solidFill>
          </w14:textFill>
        </w:rPr>
        <w:t>五、资格审查</w:t>
      </w:r>
    </w:p>
    <w:p>
      <w:pPr>
        <w:pStyle w:val="30"/>
        <w:adjustRightInd w:val="0"/>
        <w:snapToGrid w:val="0"/>
        <w:spacing w:line="400" w:lineRule="exact"/>
        <w:ind w:firstLine="567" w:firstLineChars="270"/>
        <w:rPr>
          <w:rFonts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采购人</w:t>
      </w:r>
      <w:r>
        <w:rPr>
          <w:rFonts w:hint="eastAsia" w:hAnsi="宋体" w:cs="宋体"/>
          <w:color w:val="000000" w:themeColor="text1"/>
          <w:spacing w:val="-4"/>
          <w:highlight w:val="none"/>
          <w14:textFill>
            <w14:solidFill>
              <w14:schemeClr w14:val="tx1"/>
            </w14:solidFill>
          </w14:textFill>
        </w:rPr>
        <w:t>或本中心工作人员</w:t>
      </w:r>
      <w:r>
        <w:rPr>
          <w:rFonts w:hint="eastAsia" w:hAnsi="宋体" w:cs="宋体"/>
          <w:color w:val="000000" w:themeColor="text1"/>
          <w:highlight w:val="none"/>
          <w14:textFill>
            <w14:solidFill>
              <w14:schemeClr w14:val="tx1"/>
            </w14:solidFill>
          </w14:textFill>
        </w:rPr>
        <w:t>依法对投标人的资格进行审查。合格投标人不足3家的，不得评标。</w:t>
      </w:r>
    </w:p>
    <w:p>
      <w:pPr>
        <w:pStyle w:val="30"/>
        <w:adjustRightInd w:val="0"/>
        <w:snapToGrid w:val="0"/>
        <w:spacing w:line="400" w:lineRule="exact"/>
        <w:rPr>
          <w:rFonts w:hint="eastAsia"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六、评标</w:t>
      </w:r>
      <w:bookmarkEnd w:id="51"/>
      <w:bookmarkEnd w:id="52"/>
    </w:p>
    <w:p>
      <w:pPr>
        <w:adjustRightInd w:val="0"/>
        <w:snapToGrid w:val="0"/>
        <w:spacing w:line="400" w:lineRule="exact"/>
        <w:ind w:firstLine="420"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（一）组建评标委员会</w:t>
      </w:r>
    </w:p>
    <w:p>
      <w:pPr>
        <w:pStyle w:val="30"/>
        <w:adjustRightInd w:val="0"/>
        <w:snapToGrid w:val="0"/>
        <w:spacing w:line="400" w:lineRule="exact"/>
        <w:ind w:firstLine="420" w:firstLineChars="200"/>
        <w:rPr>
          <w:rFonts w:hint="eastAsia" w:hAnsi="宋体"/>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本招标采购项目的</w:t>
      </w:r>
      <w:r>
        <w:rPr>
          <w:rFonts w:hAnsi="宋体"/>
          <w:color w:val="000000" w:themeColor="text1"/>
          <w:spacing w:val="-4"/>
          <w:highlight w:val="none"/>
          <w14:textFill>
            <w14:solidFill>
              <w14:schemeClr w14:val="tx1"/>
            </w14:solidFill>
          </w14:textFill>
        </w:rPr>
        <w:t>评标委员会由采购人代表和评审专家组成，成员人数应当为5人以上单数，其中评审专家不得少于成员总数的三分之二。</w:t>
      </w:r>
    </w:p>
    <w:p>
      <w:pPr>
        <w:adjustRightInd w:val="0"/>
        <w:snapToGrid w:val="0"/>
        <w:spacing w:line="400" w:lineRule="exact"/>
        <w:ind w:firstLine="420"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（二）评标的方式</w:t>
      </w:r>
    </w:p>
    <w:p>
      <w:pPr>
        <w:pStyle w:val="30"/>
        <w:adjustRightInd w:val="0"/>
        <w:snapToGrid w:val="0"/>
        <w:spacing w:line="400" w:lineRule="exact"/>
        <w:ind w:left="688" w:leftChars="228" w:hanging="210" w:hangingChars="100"/>
        <w:rPr>
          <w:rFonts w:hint="eastAsia"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本项目采用不公开方式评标，评标的依据为招标文件和投标文件。</w:t>
      </w:r>
    </w:p>
    <w:p>
      <w:pPr>
        <w:adjustRightInd w:val="0"/>
        <w:snapToGrid w:val="0"/>
        <w:spacing w:line="400" w:lineRule="exact"/>
        <w:ind w:firstLine="420"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（三）评标程序</w:t>
      </w:r>
    </w:p>
    <w:p>
      <w:pPr>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（1）评标委员会审查、评价投标文件是否符合招标文件的商务、技术等实质性要求。</w:t>
      </w:r>
    </w:p>
    <w:p>
      <w:pPr>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评标委员会对投标文件进行比较和评价,如有疑问,将以电子询标函的形式要求投标人在线对投标文件有关事项作出澄清或者说明。投标人向评标委员会澄清或者说明有关问题,并最终盖章的电子文件进行回复。</w:t>
      </w:r>
    </w:p>
    <w:p>
      <w:pPr>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投标人代表超过规定时间或者拒绝澄清或者澄清的内容改变了投标文件的实质性内容的，评标委员会有权视该投标文件无效。</w:t>
      </w:r>
    </w:p>
    <w:p>
      <w:pPr>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（3）各投标人的技术得分为所有评委的有效评分的算术平均数，由指定专人进行计算复核。</w:t>
      </w:r>
    </w:p>
    <w:p>
      <w:pPr>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（4）本中心工作人员协助评标委员会根据本项目的评分标准计算各投标人的商务报价得分。</w:t>
      </w:r>
    </w:p>
    <w:p>
      <w:pPr>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（5）评标委员会完成评标后,由政采云系统对各部分得分汇总,计算出本项目最终得分、评标价等。评标委员会按推荐原则推荐中标候选人同时形成评标报告。</w:t>
      </w:r>
    </w:p>
    <w:p>
      <w:pPr>
        <w:adjustRightInd w:val="0"/>
        <w:snapToGrid w:val="0"/>
        <w:spacing w:line="400" w:lineRule="exact"/>
        <w:ind w:firstLine="420"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（四）澄清问题的形式</w:t>
      </w:r>
    </w:p>
    <w:p>
      <w:pPr>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对投标文件中含义不明确、同类问题表述不一致或者有明显文字和计算错误的内容，评标委员会可要求投标人作出必要的澄清、说明或者纠正。投标人的澄清、说明或者补正应当在电子询标函规定的时间期限内完成，并不得超出投标文件的范围或者改变投标文件的实质性内容。</w:t>
      </w:r>
    </w:p>
    <w:p>
      <w:pPr>
        <w:adjustRightInd w:val="0"/>
        <w:snapToGrid w:val="0"/>
        <w:spacing w:line="400" w:lineRule="exact"/>
        <w:ind w:firstLine="420"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（五）错误修正</w:t>
      </w:r>
    </w:p>
    <w:p>
      <w:pPr>
        <w:pStyle w:val="30"/>
        <w:adjustRightInd w:val="0"/>
        <w:snapToGrid w:val="0"/>
        <w:spacing w:line="400" w:lineRule="exact"/>
        <w:ind w:left="688" w:leftChars="228" w:hanging="210" w:hangingChars="1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投标文件如果出现计算或表达上的错误，修正错误的原则如下：</w:t>
      </w:r>
    </w:p>
    <w:p>
      <w:pPr>
        <w:pStyle w:val="30"/>
        <w:adjustRightInd w:val="0"/>
        <w:snapToGrid w:val="0"/>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1.投标文件中开标一览表（报价表）内容与投标文件中相应内容不一致的，以开标一览表（报价表）为准；</w:t>
      </w:r>
    </w:p>
    <w:p>
      <w:pPr>
        <w:pStyle w:val="30"/>
        <w:adjustRightInd w:val="0"/>
        <w:snapToGrid w:val="0"/>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2.大写金额和小写金额不一致的，以大写金额为准；</w:t>
      </w:r>
    </w:p>
    <w:p>
      <w:pPr>
        <w:pStyle w:val="30"/>
        <w:adjustRightInd w:val="0"/>
        <w:snapToGrid w:val="0"/>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3.单价金额小数点或者百分比有明显错位的，以开标一览表的总价为准，并修改单价；</w:t>
      </w:r>
    </w:p>
    <w:p>
      <w:pPr>
        <w:pStyle w:val="30"/>
        <w:adjustRightInd w:val="0"/>
        <w:snapToGrid w:val="0"/>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4.总价金额与按单价汇总金额不一致的，以单价金额计算结果为准。</w:t>
      </w:r>
    </w:p>
    <w:p>
      <w:pPr>
        <w:pStyle w:val="30"/>
        <w:adjustRightInd w:val="0"/>
        <w:snapToGrid w:val="0"/>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5.对不同文字文本投标文件的解释发生异议的，以中文文本为准。</w:t>
      </w:r>
    </w:p>
    <w:p>
      <w:pPr>
        <w:pStyle w:val="30"/>
        <w:adjustRightInd w:val="0"/>
        <w:snapToGrid w:val="0"/>
        <w:spacing w:line="400" w:lineRule="exact"/>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同时出现两种以上不一致的，按照前款规定的顺序修正。</w:t>
      </w:r>
    </w:p>
    <w:p>
      <w:pPr>
        <w:pStyle w:val="30"/>
        <w:adjustRightInd w:val="0"/>
        <w:snapToGrid w:val="0"/>
        <w:spacing w:line="400" w:lineRule="exact"/>
        <w:ind w:firstLine="420" w:firstLineChars="200"/>
        <w:rPr>
          <w:rFonts w:hint="eastAsia"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按上述修正错误的原则及方法调整或修正投标文件的投标报价，投标人须在线同意并签字确认，调整后的投标报价对投标人具有约束作用。如果投标人不接受修正后的报价，则其投标将作为无效投标处理。</w:t>
      </w:r>
    </w:p>
    <w:p>
      <w:pPr>
        <w:adjustRightInd w:val="0"/>
        <w:snapToGrid w:val="0"/>
        <w:spacing w:line="400" w:lineRule="exact"/>
        <w:ind w:firstLine="420"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（六）评标原则和评标办法</w:t>
      </w:r>
    </w:p>
    <w:p>
      <w:pPr>
        <w:pStyle w:val="30"/>
        <w:adjustRightInd w:val="0"/>
        <w:snapToGrid w:val="0"/>
        <w:spacing w:line="400" w:lineRule="exact"/>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30"/>
        <w:adjustRightInd w:val="0"/>
        <w:snapToGrid w:val="0"/>
        <w:spacing w:line="400" w:lineRule="exact"/>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2.评标办法。本项目评标办法是</w:t>
      </w:r>
      <w:r>
        <w:rPr>
          <w:rFonts w:hint="eastAsia" w:hAnsi="宋体"/>
          <w:b/>
          <w:color w:val="000000" w:themeColor="text1"/>
          <w:highlight w:val="none"/>
          <w:u w:val="single"/>
          <w14:textFill>
            <w14:solidFill>
              <w14:schemeClr w14:val="tx1"/>
            </w14:solidFill>
          </w14:textFill>
        </w:rPr>
        <w:t>综合评分法</w:t>
      </w:r>
      <w:r>
        <w:rPr>
          <w:rFonts w:hint="eastAsia" w:hAnsi="宋体"/>
          <w:color w:val="000000" w:themeColor="text1"/>
          <w:highlight w:val="none"/>
          <w14:textFill>
            <w14:solidFill>
              <w14:schemeClr w14:val="tx1"/>
            </w14:solidFill>
          </w14:textFill>
        </w:rPr>
        <w:t>，具体评标内容及评分标准等详见第四章：评标办法及评分标准。</w:t>
      </w:r>
    </w:p>
    <w:p>
      <w:pPr>
        <w:adjustRightInd w:val="0"/>
        <w:snapToGrid w:val="0"/>
        <w:spacing w:line="400" w:lineRule="exact"/>
        <w:ind w:firstLine="420"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（七）评标过程的监控</w:t>
      </w:r>
    </w:p>
    <w:p>
      <w:pPr>
        <w:pStyle w:val="30"/>
        <w:adjustRightInd w:val="0"/>
        <w:snapToGrid w:val="0"/>
        <w:spacing w:line="400" w:lineRule="exact"/>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本项目评标过程实行全程录音、录像监控，投标人在评标过程中所进行的试图影响评标结果的不公正活动，可能导致其投标被拒绝。</w:t>
      </w:r>
    </w:p>
    <w:p>
      <w:pPr>
        <w:pStyle w:val="30"/>
        <w:adjustRightInd w:val="0"/>
        <w:snapToGrid w:val="0"/>
        <w:spacing w:line="400" w:lineRule="exact"/>
        <w:rPr>
          <w:rFonts w:hint="eastAsia" w:hAnsi="宋体"/>
          <w:b/>
          <w:color w:val="000000" w:themeColor="text1"/>
          <w:highlight w:val="none"/>
          <w14:textFill>
            <w14:solidFill>
              <w14:schemeClr w14:val="tx1"/>
            </w14:solidFill>
          </w14:textFill>
        </w:rPr>
      </w:pPr>
      <w:bookmarkStart w:id="53" w:name="_Toc254970546"/>
      <w:bookmarkStart w:id="54" w:name="_Toc254970687"/>
      <w:r>
        <w:rPr>
          <w:rFonts w:hint="eastAsia" w:hAnsi="宋体"/>
          <w:b/>
          <w:color w:val="000000" w:themeColor="text1"/>
          <w:highlight w:val="none"/>
          <w14:textFill>
            <w14:solidFill>
              <w14:schemeClr w14:val="tx1"/>
            </w14:solidFill>
          </w14:textFill>
        </w:rPr>
        <w:t>七、评标结果</w:t>
      </w:r>
      <w:bookmarkEnd w:id="53"/>
      <w:bookmarkEnd w:id="54"/>
    </w:p>
    <w:p>
      <w:pPr>
        <w:pStyle w:val="30"/>
        <w:adjustRightInd w:val="0"/>
        <w:snapToGrid w:val="0"/>
        <w:spacing w:line="400" w:lineRule="exact"/>
        <w:ind w:firstLine="42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（一）本中心将在评标结束后2个工作日内将评标报告送采购人，采购人在5个工作日内按照评标报告中推荐的中标候选供应商顺序确定中标供应商。采购人也可以事先授权评标委员会直接确定中标供应商。</w:t>
      </w:r>
    </w:p>
    <w:p>
      <w:pPr>
        <w:pStyle w:val="30"/>
        <w:adjustRightInd w:val="0"/>
        <w:snapToGrid w:val="0"/>
        <w:spacing w:line="400" w:lineRule="exact"/>
        <w:ind w:firstLine="42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（二）中标供应商确定后，本中心在中国政府采购网、广西政府采购网、广西壮族自治区政府采购中心网站发布中标公告。</w:t>
      </w:r>
    </w:p>
    <w:p>
      <w:pPr>
        <w:pStyle w:val="30"/>
        <w:adjustRightInd w:val="0"/>
        <w:snapToGrid w:val="0"/>
        <w:spacing w:line="400" w:lineRule="exact"/>
        <w:ind w:firstLine="42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（三）在发布中标公告的同时，本中心向中标供应商发出中标通知书。</w:t>
      </w:r>
    </w:p>
    <w:p>
      <w:pPr>
        <w:pStyle w:val="30"/>
        <w:adjustRightInd w:val="0"/>
        <w:snapToGrid w:val="0"/>
        <w:spacing w:line="400" w:lineRule="exact"/>
        <w:ind w:firstLine="420" w:firstLineChars="200"/>
        <w:rPr>
          <w:rFonts w:hint="eastAsia" w:hAnsi="宋体"/>
          <w:bCs/>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（四）</w:t>
      </w:r>
      <w:r>
        <w:rPr>
          <w:rFonts w:hint="eastAsia" w:hAnsi="宋体"/>
          <w:bCs/>
          <w:color w:val="000000" w:themeColor="text1"/>
          <w:highlight w:val="none"/>
          <w14:textFill>
            <w14:solidFill>
              <w14:schemeClr w14:val="tx1"/>
            </w14:solidFill>
          </w14:textFill>
        </w:rPr>
        <w:t>投标人认为招标文件、招标过程和中标结果使自己的权益受到损害的，可以在知道或者应知其权益受到损害之日起7个工作日内，以书面形式向本中心提出质疑，并及时索要书面回执。</w:t>
      </w:r>
    </w:p>
    <w:p>
      <w:pPr>
        <w:pStyle w:val="30"/>
        <w:adjustRightInd w:val="0"/>
        <w:snapToGrid w:val="0"/>
        <w:spacing w:line="400" w:lineRule="exact"/>
        <w:ind w:firstLine="42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（五）</w:t>
      </w:r>
      <w:r>
        <w:rPr>
          <w:rFonts w:hint="eastAsia" w:hAnsi="宋体"/>
          <w:bCs/>
          <w:color w:val="000000" w:themeColor="text1"/>
          <w:highlight w:val="none"/>
          <w14:textFill>
            <w14:solidFill>
              <w14:schemeClr w14:val="tx1"/>
            </w14:solidFill>
          </w14:textFill>
        </w:rPr>
        <w:t>本中心应当按照有关规定就采购人委托授权范围内的事项在收到投标人的书面质疑后7个工作日内做出答复，但答复的内容不得涉及商业秘密。</w:t>
      </w:r>
    </w:p>
    <w:p>
      <w:pPr>
        <w:pStyle w:val="30"/>
        <w:adjustRightInd w:val="0"/>
        <w:snapToGrid w:val="0"/>
        <w:spacing w:line="400" w:lineRule="exact"/>
        <w:rPr>
          <w:rFonts w:hint="eastAsia"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八、签订合同</w:t>
      </w:r>
    </w:p>
    <w:p>
      <w:pPr>
        <w:adjustRightInd w:val="0"/>
        <w:snapToGrid w:val="0"/>
        <w:spacing w:line="400" w:lineRule="exact"/>
        <w:ind w:firstLine="420"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（一）合同授予标准</w:t>
      </w:r>
    </w:p>
    <w:p>
      <w:pPr>
        <w:pStyle w:val="30"/>
        <w:adjustRightInd w:val="0"/>
        <w:snapToGrid w:val="0"/>
        <w:spacing w:line="400" w:lineRule="exact"/>
        <w:ind w:firstLine="42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合同将授予被确定实质上响应招标文件要求，具备履行合同能力，综合评分排名第一的投标人。</w:t>
      </w:r>
    </w:p>
    <w:p>
      <w:pPr>
        <w:adjustRightInd w:val="0"/>
        <w:snapToGrid w:val="0"/>
        <w:spacing w:line="400" w:lineRule="exact"/>
        <w:ind w:firstLine="420"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（二）签订合同</w:t>
      </w:r>
    </w:p>
    <w:p>
      <w:pPr>
        <w:pStyle w:val="30"/>
        <w:adjustRightInd w:val="0"/>
        <w:snapToGrid w:val="0"/>
        <w:spacing w:line="400" w:lineRule="exact"/>
        <w:ind w:firstLine="42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（1）投标人接到中标通知书后，应按中标通知书规定的时间、地点与采购人签订合同。中标人无正当理由不得放弃中标。</w:t>
      </w:r>
    </w:p>
    <w:p>
      <w:pPr>
        <w:pStyle w:val="30"/>
        <w:adjustRightInd w:val="0"/>
        <w:snapToGrid w:val="0"/>
        <w:spacing w:line="400" w:lineRule="exact"/>
        <w:ind w:firstLine="42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（2）如中标供应商不按中标通知书的规定签订合同，则按中标供应商违约处理，本中心将没收中标供应商投标的全部投标保证金。</w:t>
      </w:r>
    </w:p>
    <w:p>
      <w:pPr>
        <w:pStyle w:val="30"/>
        <w:adjustRightInd w:val="0"/>
        <w:snapToGrid w:val="0"/>
        <w:spacing w:line="400" w:lineRule="exact"/>
        <w:ind w:firstLine="420" w:firstLineChars="200"/>
        <w:rPr>
          <w:rFonts w:hint="eastAsia" w:hAnsi="宋体"/>
          <w:b/>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（3）中标供应商</w:t>
      </w:r>
      <w:r>
        <w:rPr>
          <w:rFonts w:hint="eastAsia" w:hAnsi="宋体"/>
          <w:b/>
          <w:color w:val="000000" w:themeColor="text1"/>
          <w:highlight w:val="none"/>
          <w14:textFill>
            <w14:solidFill>
              <w14:schemeClr w14:val="tx1"/>
            </w14:solidFill>
          </w14:textFill>
        </w:rPr>
        <w:t>拒绝与采购人签订合同或</w:t>
      </w:r>
      <w:r>
        <w:rPr>
          <w:rFonts w:hint="eastAsia" w:hAnsi="宋体"/>
          <w:color w:val="000000" w:themeColor="text1"/>
          <w:highlight w:val="none"/>
          <w14:textFill>
            <w14:solidFill>
              <w14:schemeClr w14:val="tx1"/>
            </w14:solidFill>
          </w14:textFill>
        </w:rPr>
        <w:t>因不可抗力或者自身原因不能履行采购合同的，采购人可以与中标供应商之后排名第一的中标候选供应商签订采购合同，以此类推。中标供应商放弃中标项目，拒绝与采购人签订合同的，其投标保证金将不予退还，并上缴国库，给采购人造成损失的，还应当赔偿损失，并作为不良行为记录在案。</w:t>
      </w:r>
    </w:p>
    <w:p>
      <w:pPr>
        <w:pStyle w:val="30"/>
        <w:adjustRightInd w:val="0"/>
        <w:snapToGrid w:val="0"/>
        <w:spacing w:line="400" w:lineRule="exact"/>
        <w:rPr>
          <w:rFonts w:hint="eastAsia"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九、其他事项</w:t>
      </w:r>
    </w:p>
    <w:p>
      <w:pPr>
        <w:pStyle w:val="30"/>
        <w:adjustRightInd w:val="0"/>
        <w:snapToGrid w:val="0"/>
        <w:spacing w:line="400" w:lineRule="exact"/>
        <w:ind w:left="688" w:leftChars="228" w:hanging="210" w:hangingChars="1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（一）解释权：本招标文件解释权属本中心。</w:t>
      </w:r>
    </w:p>
    <w:p>
      <w:pPr>
        <w:pStyle w:val="30"/>
        <w:adjustRightInd w:val="0"/>
        <w:snapToGrid w:val="0"/>
        <w:spacing w:line="400" w:lineRule="exact"/>
        <w:ind w:left="688" w:leftChars="228" w:hanging="210" w:hangingChars="1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（二）有关事宜</w:t>
      </w:r>
    </w:p>
    <w:p>
      <w:pPr>
        <w:pStyle w:val="30"/>
        <w:adjustRightInd w:val="0"/>
        <w:snapToGrid w:val="0"/>
        <w:spacing w:line="400" w:lineRule="exact"/>
        <w:ind w:firstLine="728" w:firstLineChars="347"/>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所有与本招标文件有关的函件请按下列通讯地址联系：</w:t>
      </w:r>
    </w:p>
    <w:p>
      <w:pPr>
        <w:pStyle w:val="30"/>
        <w:adjustRightInd w:val="0"/>
        <w:snapToGrid w:val="0"/>
        <w:spacing w:line="400" w:lineRule="exact"/>
        <w:ind w:firstLine="84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广西壮族自治区政府采购中心</w:t>
      </w:r>
    </w:p>
    <w:p>
      <w:pPr>
        <w:pStyle w:val="30"/>
        <w:tabs>
          <w:tab w:val="left" w:pos="1990"/>
        </w:tabs>
        <w:adjustRightInd w:val="0"/>
        <w:snapToGrid w:val="0"/>
        <w:spacing w:line="400" w:lineRule="exact"/>
        <w:ind w:firstLine="824"/>
        <w:rPr>
          <w:rFonts w:hint="eastAsia"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邮政编码：530011</w:t>
      </w:r>
    </w:p>
    <w:p>
      <w:pPr>
        <w:pStyle w:val="30"/>
        <w:tabs>
          <w:tab w:val="left" w:pos="1990"/>
        </w:tabs>
        <w:adjustRightInd w:val="0"/>
        <w:snapToGrid w:val="0"/>
        <w:spacing w:line="400" w:lineRule="exact"/>
        <w:ind w:firstLine="824"/>
        <w:rPr>
          <w:rFonts w:hint="eastAsia" w:hAnsi="宋体"/>
          <w:color w:val="000000" w:themeColor="text1"/>
          <w:spacing w:val="-4"/>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通讯地址：</w:t>
      </w:r>
      <w:r>
        <w:rPr>
          <w:rFonts w:hint="eastAsia" w:hAnsi="宋体"/>
          <w:color w:val="000000" w:themeColor="text1"/>
          <w:spacing w:val="-4"/>
          <w:highlight w:val="none"/>
          <w14:textFill>
            <w14:solidFill>
              <w14:schemeClr w14:val="tx1"/>
            </w14:solidFill>
          </w14:textFill>
        </w:rPr>
        <w:t>广西南宁市星湖路22号</w:t>
      </w:r>
    </w:p>
    <w:p>
      <w:pPr>
        <w:pStyle w:val="30"/>
        <w:tabs>
          <w:tab w:val="left" w:pos="1990"/>
        </w:tabs>
        <w:adjustRightInd w:val="0"/>
        <w:snapToGrid w:val="0"/>
        <w:spacing w:line="400" w:lineRule="exact"/>
        <w:ind w:firstLine="824"/>
        <w:rPr>
          <w:rFonts w:hint="eastAsia" w:hAnsi="宋体"/>
          <w:color w:val="000000" w:themeColor="text1"/>
          <w:spacing w:val="-4"/>
          <w:highlight w:val="none"/>
          <w14:textFill>
            <w14:solidFill>
              <w14:schemeClr w14:val="tx1"/>
            </w14:solidFill>
          </w14:textFill>
        </w:rPr>
      </w:pPr>
      <w:r>
        <w:rPr>
          <w:rFonts w:hint="eastAsia" w:hAnsi="宋体"/>
          <w:color w:val="000000" w:themeColor="text1"/>
          <w:spacing w:val="-4"/>
          <w:highlight w:val="none"/>
          <w14:textFill>
            <w14:solidFill>
              <w14:schemeClr w14:val="tx1"/>
            </w14:solidFill>
          </w14:textFill>
        </w:rPr>
        <w:t>电</w:t>
      </w:r>
      <w:r>
        <w:rPr>
          <w:rFonts w:hAnsi="宋体"/>
          <w:color w:val="000000" w:themeColor="text1"/>
          <w:spacing w:val="-4"/>
          <w:highlight w:val="none"/>
          <w14:textFill>
            <w14:solidFill>
              <w14:schemeClr w14:val="tx1"/>
            </w14:solidFill>
          </w14:textFill>
        </w:rPr>
        <w:t xml:space="preserve">    </w:t>
      </w:r>
      <w:r>
        <w:rPr>
          <w:rFonts w:hint="eastAsia" w:hAnsi="宋体"/>
          <w:color w:val="000000" w:themeColor="text1"/>
          <w:spacing w:val="-4"/>
          <w:highlight w:val="none"/>
          <w14:textFill>
            <w14:solidFill>
              <w14:schemeClr w14:val="tx1"/>
            </w14:solidFill>
          </w14:textFill>
        </w:rPr>
        <w:t>话：</w:t>
      </w:r>
      <w:r>
        <w:rPr>
          <w:rFonts w:hAnsi="宋体"/>
          <w:color w:val="000000" w:themeColor="text1"/>
          <w:spacing w:val="-4"/>
          <w:highlight w:val="none"/>
          <w:lang w:val="en"/>
          <w14:textFill>
            <w14:solidFill>
              <w14:schemeClr w14:val="tx1"/>
            </w14:solidFill>
          </w14:textFill>
        </w:rPr>
        <w:t>0771-8600344</w:t>
      </w:r>
      <w:r>
        <w:rPr>
          <w:rFonts w:hAnsi="宋体"/>
          <w:color w:val="000000" w:themeColor="text1"/>
          <w:spacing w:val="-4"/>
          <w:highlight w:val="none"/>
          <w14:textFill>
            <w14:solidFill>
              <w14:schemeClr w14:val="tx1"/>
            </w14:solidFill>
          </w14:textFill>
        </w:rPr>
        <w:t xml:space="preserve">            </w:t>
      </w:r>
      <w:r>
        <w:rPr>
          <w:rFonts w:hint="eastAsia" w:hAnsi="宋体"/>
          <w:color w:val="000000" w:themeColor="text1"/>
          <w:spacing w:val="-4"/>
          <w:highlight w:val="none"/>
          <w14:textFill>
            <w14:solidFill>
              <w14:schemeClr w14:val="tx1"/>
            </w14:solidFill>
          </w14:textFill>
        </w:rPr>
        <w:t>传</w:t>
      </w:r>
      <w:r>
        <w:rPr>
          <w:rFonts w:hAnsi="宋体"/>
          <w:color w:val="000000" w:themeColor="text1"/>
          <w:spacing w:val="-4"/>
          <w:highlight w:val="none"/>
          <w14:textFill>
            <w14:solidFill>
              <w14:schemeClr w14:val="tx1"/>
            </w14:solidFill>
          </w14:textFill>
        </w:rPr>
        <w:t xml:space="preserve">    </w:t>
      </w:r>
      <w:r>
        <w:rPr>
          <w:rFonts w:hint="eastAsia" w:hAnsi="宋体"/>
          <w:color w:val="000000" w:themeColor="text1"/>
          <w:spacing w:val="-4"/>
          <w:highlight w:val="none"/>
          <w14:textFill>
            <w14:solidFill>
              <w14:schemeClr w14:val="tx1"/>
            </w14:solidFill>
          </w14:textFill>
        </w:rPr>
        <w:t>真：</w:t>
      </w:r>
      <w:r>
        <w:rPr>
          <w:rFonts w:hAnsi="宋体"/>
          <w:color w:val="000000" w:themeColor="text1"/>
          <w:spacing w:val="-4"/>
          <w:highlight w:val="none"/>
          <w14:textFill>
            <w14:solidFill>
              <w14:schemeClr w14:val="tx1"/>
            </w14:solidFill>
          </w14:textFill>
        </w:rPr>
        <w:t>0771-</w:t>
      </w:r>
      <w:r>
        <w:rPr>
          <w:rFonts w:hint="eastAsia" w:hAnsi="宋体"/>
          <w:color w:val="000000" w:themeColor="text1"/>
          <w:spacing w:val="-4"/>
          <w:highlight w:val="none"/>
          <w14:textFill>
            <w14:solidFill>
              <w14:schemeClr w14:val="tx1"/>
            </w14:solidFill>
          </w14:textFill>
        </w:rPr>
        <w:t>8600305。</w:t>
      </w:r>
    </w:p>
    <w:bookmarkEnd w:id="17"/>
    <w:bookmarkEnd w:id="18"/>
    <w:p>
      <w:pPr>
        <w:pStyle w:val="30"/>
        <w:snapToGrid w:val="0"/>
        <w:spacing w:before="120" w:after="120"/>
        <w:jc w:val="center"/>
        <w:outlineLvl w:val="0"/>
        <w:rPr>
          <w:rFonts w:hint="eastAsia" w:hAnsi="宋体"/>
          <w:b/>
          <w:color w:val="000000" w:themeColor="text1"/>
          <w:sz w:val="44"/>
          <w:szCs w:val="44"/>
          <w:highlight w:val="none"/>
          <w14:textFill>
            <w14:solidFill>
              <w14:schemeClr w14:val="tx1"/>
            </w14:solidFill>
          </w14:textFill>
        </w:rPr>
      </w:pPr>
      <w:bookmarkStart w:id="55" w:name="_Toc254970549"/>
      <w:bookmarkStart w:id="56" w:name="_Toc254970690"/>
    </w:p>
    <w:p>
      <w:pPr>
        <w:pStyle w:val="30"/>
        <w:pageBreakBefore/>
        <w:snapToGrid w:val="0"/>
        <w:spacing w:before="120" w:after="120"/>
        <w:jc w:val="center"/>
        <w:outlineLvl w:val="0"/>
        <w:rPr>
          <w:rFonts w:hint="eastAsia" w:hAnsi="宋体"/>
          <w:b/>
          <w:color w:val="000000" w:themeColor="text1"/>
          <w:sz w:val="44"/>
          <w:szCs w:val="44"/>
          <w:highlight w:val="none"/>
          <w14:textFill>
            <w14:solidFill>
              <w14:schemeClr w14:val="tx1"/>
            </w14:solidFill>
          </w14:textFill>
        </w:rPr>
      </w:pPr>
    </w:p>
    <w:p>
      <w:pPr>
        <w:pStyle w:val="30"/>
        <w:snapToGrid w:val="0"/>
        <w:spacing w:before="120" w:after="120"/>
        <w:jc w:val="center"/>
        <w:outlineLvl w:val="0"/>
        <w:rPr>
          <w:rFonts w:hint="eastAsia" w:hAnsi="宋体"/>
          <w:b/>
          <w:color w:val="000000" w:themeColor="text1"/>
          <w:sz w:val="44"/>
          <w:szCs w:val="44"/>
          <w:highlight w:val="none"/>
          <w14:textFill>
            <w14:solidFill>
              <w14:schemeClr w14:val="tx1"/>
            </w14:solidFill>
          </w14:textFill>
        </w:rPr>
      </w:pPr>
    </w:p>
    <w:p>
      <w:pPr>
        <w:pStyle w:val="30"/>
        <w:snapToGrid w:val="0"/>
        <w:spacing w:before="120" w:after="120"/>
        <w:jc w:val="center"/>
        <w:outlineLvl w:val="0"/>
        <w:rPr>
          <w:rFonts w:hint="eastAsia" w:hAnsi="宋体"/>
          <w:b/>
          <w:color w:val="000000" w:themeColor="text1"/>
          <w:sz w:val="44"/>
          <w:szCs w:val="44"/>
          <w:highlight w:val="none"/>
          <w14:textFill>
            <w14:solidFill>
              <w14:schemeClr w14:val="tx1"/>
            </w14:solidFill>
          </w14:textFill>
        </w:rPr>
      </w:pPr>
    </w:p>
    <w:p>
      <w:pPr>
        <w:pStyle w:val="30"/>
        <w:snapToGrid w:val="0"/>
        <w:spacing w:before="120" w:after="120"/>
        <w:jc w:val="center"/>
        <w:outlineLvl w:val="0"/>
        <w:rPr>
          <w:rFonts w:hint="eastAsia" w:hAnsi="宋体"/>
          <w:b/>
          <w:color w:val="000000" w:themeColor="text1"/>
          <w:sz w:val="44"/>
          <w:szCs w:val="44"/>
          <w:highlight w:val="none"/>
          <w14:textFill>
            <w14:solidFill>
              <w14:schemeClr w14:val="tx1"/>
            </w14:solidFill>
          </w14:textFill>
        </w:rPr>
      </w:pPr>
    </w:p>
    <w:p>
      <w:pPr>
        <w:pStyle w:val="30"/>
        <w:snapToGrid w:val="0"/>
        <w:spacing w:before="120" w:after="120"/>
        <w:jc w:val="center"/>
        <w:outlineLvl w:val="0"/>
        <w:rPr>
          <w:rFonts w:hint="eastAsia" w:hAnsi="宋体"/>
          <w:b/>
          <w:color w:val="000000" w:themeColor="text1"/>
          <w:sz w:val="44"/>
          <w:szCs w:val="44"/>
          <w:highlight w:val="none"/>
          <w14:textFill>
            <w14:solidFill>
              <w14:schemeClr w14:val="tx1"/>
            </w14:solidFill>
          </w14:textFill>
        </w:rPr>
      </w:pPr>
    </w:p>
    <w:p>
      <w:pPr>
        <w:pStyle w:val="30"/>
        <w:snapToGrid w:val="0"/>
        <w:spacing w:before="120" w:after="120"/>
        <w:jc w:val="center"/>
        <w:outlineLvl w:val="0"/>
        <w:rPr>
          <w:rFonts w:hint="eastAsia" w:hAnsi="宋体"/>
          <w:b/>
          <w:color w:val="000000" w:themeColor="text1"/>
          <w:sz w:val="44"/>
          <w:szCs w:val="44"/>
          <w:highlight w:val="none"/>
          <w14:textFill>
            <w14:solidFill>
              <w14:schemeClr w14:val="tx1"/>
            </w14:solidFill>
          </w14:textFill>
        </w:rPr>
      </w:pPr>
    </w:p>
    <w:p>
      <w:pPr>
        <w:pStyle w:val="30"/>
        <w:snapToGrid w:val="0"/>
        <w:spacing w:before="120" w:after="120"/>
        <w:jc w:val="center"/>
        <w:outlineLvl w:val="0"/>
        <w:rPr>
          <w:rFonts w:hint="eastAsia" w:hAnsi="宋体"/>
          <w:b/>
          <w:color w:val="000000" w:themeColor="text1"/>
          <w:sz w:val="44"/>
          <w:szCs w:val="44"/>
          <w:highlight w:val="none"/>
          <w14:textFill>
            <w14:solidFill>
              <w14:schemeClr w14:val="tx1"/>
            </w14:solidFill>
          </w14:textFill>
        </w:rPr>
      </w:pPr>
    </w:p>
    <w:p>
      <w:pPr>
        <w:pStyle w:val="30"/>
        <w:snapToGrid w:val="0"/>
        <w:spacing w:before="120" w:after="120"/>
        <w:jc w:val="center"/>
        <w:outlineLvl w:val="0"/>
        <w:rPr>
          <w:rFonts w:hint="eastAsia" w:hAnsi="宋体"/>
          <w:b/>
          <w:color w:val="000000" w:themeColor="text1"/>
          <w:sz w:val="44"/>
          <w:szCs w:val="44"/>
          <w:highlight w:val="none"/>
          <w14:textFill>
            <w14:solidFill>
              <w14:schemeClr w14:val="tx1"/>
            </w14:solidFill>
          </w14:textFill>
        </w:rPr>
      </w:pPr>
    </w:p>
    <w:bookmarkEnd w:id="55"/>
    <w:bookmarkEnd w:id="56"/>
    <w:p>
      <w:pPr>
        <w:pStyle w:val="3"/>
        <w:jc w:val="center"/>
        <w:rPr>
          <w:rFonts w:hint="eastAsia"/>
          <w:color w:val="000000" w:themeColor="text1"/>
          <w:highlight w:val="none"/>
          <w14:textFill>
            <w14:solidFill>
              <w14:schemeClr w14:val="tx1"/>
            </w14:solidFill>
          </w14:textFill>
        </w:rPr>
      </w:pPr>
      <w:bookmarkStart w:id="57" w:name="_Toc1211477353"/>
      <w:r>
        <w:rPr>
          <w:rFonts w:hint="eastAsia"/>
          <w:color w:val="000000" w:themeColor="text1"/>
          <w:highlight w:val="none"/>
          <w14:textFill>
            <w14:solidFill>
              <w14:schemeClr w14:val="tx1"/>
            </w14:solidFill>
          </w14:textFill>
        </w:rPr>
        <w:t>第四章  评标方法及评定标准</w:t>
      </w:r>
      <w:bookmarkEnd w:id="57"/>
    </w:p>
    <w:p>
      <w:pPr>
        <w:pStyle w:val="498"/>
        <w:adjustRightInd w:val="0"/>
        <w:snapToGrid w:val="0"/>
        <w:spacing w:line="400" w:lineRule="exact"/>
        <w:ind w:firstLine="42"/>
        <w:rPr>
          <w:rFonts w:hint="eastAsia"/>
          <w:b/>
          <w:bCs/>
          <w:color w:val="000000" w:themeColor="text1"/>
          <w:highlight w:val="none"/>
          <w14:textFill>
            <w14:solidFill>
              <w14:schemeClr w14:val="tx1"/>
            </w14:solidFill>
          </w14:textFill>
        </w:rPr>
      </w:pPr>
    </w:p>
    <w:p>
      <w:pPr>
        <w:pStyle w:val="498"/>
        <w:adjustRightInd w:val="0"/>
        <w:snapToGrid w:val="0"/>
        <w:spacing w:line="400" w:lineRule="exact"/>
        <w:ind w:firstLine="42"/>
        <w:rPr>
          <w:rFonts w:hint="eastAsia"/>
          <w:b/>
          <w:bCs/>
          <w:color w:val="000000" w:themeColor="text1"/>
          <w:highlight w:val="none"/>
          <w14:textFill>
            <w14:solidFill>
              <w14:schemeClr w14:val="tx1"/>
            </w14:solidFill>
          </w14:textFill>
        </w:rPr>
      </w:pPr>
    </w:p>
    <w:p>
      <w:pPr>
        <w:pStyle w:val="498"/>
        <w:adjustRightInd w:val="0"/>
        <w:snapToGrid w:val="0"/>
        <w:spacing w:line="400" w:lineRule="exact"/>
        <w:ind w:firstLine="42"/>
        <w:rPr>
          <w:rFonts w:hint="eastAsia"/>
          <w:b/>
          <w:bCs/>
          <w:color w:val="000000" w:themeColor="text1"/>
          <w:highlight w:val="none"/>
          <w14:textFill>
            <w14:solidFill>
              <w14:schemeClr w14:val="tx1"/>
            </w14:solidFill>
          </w14:textFill>
        </w:rPr>
      </w:pPr>
    </w:p>
    <w:p>
      <w:pPr>
        <w:pStyle w:val="498"/>
        <w:adjustRightInd w:val="0"/>
        <w:snapToGrid w:val="0"/>
        <w:spacing w:line="400" w:lineRule="exact"/>
        <w:ind w:firstLine="42"/>
        <w:rPr>
          <w:rFonts w:hint="eastAsia"/>
          <w:b/>
          <w:bCs/>
          <w:color w:val="000000" w:themeColor="text1"/>
          <w:highlight w:val="none"/>
          <w14:textFill>
            <w14:solidFill>
              <w14:schemeClr w14:val="tx1"/>
            </w14:solidFill>
          </w14:textFill>
        </w:rPr>
      </w:pPr>
    </w:p>
    <w:p>
      <w:pPr>
        <w:pStyle w:val="498"/>
        <w:adjustRightInd w:val="0"/>
        <w:snapToGrid w:val="0"/>
        <w:spacing w:line="400" w:lineRule="exact"/>
        <w:ind w:firstLine="42"/>
        <w:rPr>
          <w:rFonts w:hint="eastAsia"/>
          <w:b/>
          <w:bCs/>
          <w:color w:val="000000" w:themeColor="text1"/>
          <w:highlight w:val="none"/>
          <w14:textFill>
            <w14:solidFill>
              <w14:schemeClr w14:val="tx1"/>
            </w14:solidFill>
          </w14:textFill>
        </w:rPr>
      </w:pPr>
    </w:p>
    <w:p>
      <w:pPr>
        <w:pStyle w:val="498"/>
        <w:adjustRightInd w:val="0"/>
        <w:snapToGrid w:val="0"/>
        <w:spacing w:line="400" w:lineRule="exact"/>
        <w:ind w:firstLine="42"/>
        <w:rPr>
          <w:rFonts w:hint="eastAsia"/>
          <w:b/>
          <w:bCs/>
          <w:color w:val="000000" w:themeColor="text1"/>
          <w:highlight w:val="none"/>
          <w14:textFill>
            <w14:solidFill>
              <w14:schemeClr w14:val="tx1"/>
            </w14:solidFill>
          </w14:textFill>
        </w:rPr>
      </w:pPr>
    </w:p>
    <w:p>
      <w:pPr>
        <w:pStyle w:val="498"/>
        <w:adjustRightInd w:val="0"/>
        <w:snapToGrid w:val="0"/>
        <w:spacing w:line="400" w:lineRule="exact"/>
        <w:ind w:firstLine="42"/>
        <w:rPr>
          <w:rFonts w:hint="eastAsia"/>
          <w:b/>
          <w:bCs/>
          <w:color w:val="000000" w:themeColor="text1"/>
          <w:highlight w:val="none"/>
          <w14:textFill>
            <w14:solidFill>
              <w14:schemeClr w14:val="tx1"/>
            </w14:solidFill>
          </w14:textFill>
        </w:rPr>
      </w:pPr>
    </w:p>
    <w:p>
      <w:pPr>
        <w:pageBreakBefore/>
        <w:spacing w:line="360" w:lineRule="auto"/>
        <w:jc w:val="center"/>
        <w:rPr>
          <w:rFonts w:ascii="仿宋_GB2312" w:hAnsi="宋体" w:eastAsia="仿宋_GB2312" w:cs="Courier New"/>
          <w:b/>
          <w:color w:val="000000" w:themeColor="text1"/>
          <w:sz w:val="32"/>
          <w:szCs w:val="32"/>
          <w:highlight w:val="none"/>
          <w14:textFill>
            <w14:solidFill>
              <w14:schemeClr w14:val="tx1"/>
            </w14:solidFill>
          </w14:textFill>
        </w:rPr>
      </w:pPr>
      <w:r>
        <w:rPr>
          <w:rFonts w:hint="eastAsia" w:ascii="仿宋_GB2312" w:hAnsi="宋体" w:eastAsia="仿宋_GB2312" w:cs="Courier New"/>
          <w:b/>
          <w:color w:val="000000" w:themeColor="text1"/>
          <w:sz w:val="32"/>
          <w:szCs w:val="32"/>
          <w:highlight w:val="none"/>
          <w14:textFill>
            <w14:solidFill>
              <w14:schemeClr w14:val="tx1"/>
            </w14:solidFill>
          </w14:textFill>
        </w:rPr>
        <w:t>评标方法及评定标准</w:t>
      </w:r>
    </w:p>
    <w:p>
      <w:pPr>
        <w:widowControl/>
        <w:adjustRightInd w:val="0"/>
        <w:snapToGrid w:val="0"/>
        <w:spacing w:line="360" w:lineRule="auto"/>
        <w:ind w:firstLine="420" w:firstLineChars="200"/>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一、评标原则</w:t>
      </w:r>
    </w:p>
    <w:p>
      <w:pPr>
        <w:widowControl/>
        <w:adjustRightInd w:val="0"/>
        <w:snapToGrid w:val="0"/>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 评委构成：本招标采购项目的评标委员会由采购人代表和有关技术、经济等方面的专家组成，成员人数应当为七人以上单数。其中，技术、经济等方面的专家不得少于成员总数的三分之二。</w:t>
      </w:r>
    </w:p>
    <w:p>
      <w:pPr>
        <w:widowControl/>
        <w:adjustRightInd w:val="0"/>
        <w:snapToGrid w:val="0"/>
        <w:spacing w:line="360" w:lineRule="auto"/>
        <w:ind w:firstLine="420" w:firstLineChars="200"/>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(二) 评标依据：</w:t>
      </w:r>
      <w:r>
        <w:rPr>
          <w:rFonts w:hint="eastAsia" w:ascii="宋体" w:hAnsi="宋体" w:cs="宋体"/>
          <w:bCs/>
          <w:color w:val="000000" w:themeColor="text1"/>
          <w:kern w:val="0"/>
          <w:szCs w:val="21"/>
          <w:highlight w:val="none"/>
          <w14:textFill>
            <w14:solidFill>
              <w14:schemeClr w14:val="tx1"/>
            </w14:solidFill>
          </w14:textFill>
        </w:rPr>
        <w:t>评委将以招投标文件为评标依据，对投标人的内容按百分制打分。</w:t>
      </w:r>
    </w:p>
    <w:p>
      <w:pPr>
        <w:adjustRightInd w:val="0"/>
        <w:snapToGrid w:val="0"/>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(三) </w:t>
      </w:r>
      <w:r>
        <w:rPr>
          <w:rFonts w:hint="eastAsia" w:ascii="宋体" w:hAnsi="宋体" w:cs="宋体"/>
          <w:bCs/>
          <w:color w:val="000000" w:themeColor="text1"/>
          <w:szCs w:val="21"/>
          <w:highlight w:val="none"/>
          <w14:textFill>
            <w14:solidFill>
              <w14:schemeClr w14:val="tx1"/>
            </w14:solidFill>
          </w14:textFill>
        </w:rPr>
        <w:t>评标方式：以封闭方式进行。</w:t>
      </w:r>
    </w:p>
    <w:p>
      <w:pPr>
        <w:adjustRightInd w:val="0"/>
        <w:snapToGrid w:val="0"/>
        <w:spacing w:line="360" w:lineRule="auto"/>
        <w:ind w:firstLine="420"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二、评标方法</w:t>
      </w:r>
    </w:p>
    <w:p>
      <w:pPr>
        <w:widowControl/>
        <w:adjustRightInd w:val="0"/>
        <w:snapToGrid w:val="0"/>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（一）对进入详评的，采用百分制综合评分法。</w:t>
      </w:r>
    </w:p>
    <w:p>
      <w:pPr>
        <w:widowControl/>
        <w:adjustRightInd w:val="0"/>
        <w:snapToGrid w:val="0"/>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（二）计分办法（按四舍五入取至百分位）：</w:t>
      </w:r>
    </w:p>
    <w:p>
      <w:pPr>
        <w:pStyle w:val="30"/>
        <w:adjustRightInd w:val="0"/>
        <w:snapToGrid w:val="0"/>
        <w:spacing w:line="360" w:lineRule="auto"/>
        <w:ind w:firstLine="420" w:firstLineChars="200"/>
        <w:rPr>
          <w:rFonts w:hint="eastAsia" w:hAnsi="宋体" w:cs="宋体"/>
          <w:b/>
          <w:bCs/>
          <w:color w:val="000000" w:themeColor="text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1</w:t>
      </w:r>
      <w:r>
        <w:rPr>
          <w:rFonts w:hint="eastAsia" w:hAnsi="宋体" w:cs="宋体"/>
          <w:b/>
          <w:bCs/>
          <w:color w:val="000000" w:themeColor="text1"/>
          <w:highlight w:val="none"/>
          <w:lang w:val="en"/>
          <w14:textFill>
            <w14:solidFill>
              <w14:schemeClr w14:val="tx1"/>
            </w14:solidFill>
          </w14:textFill>
        </w:rPr>
        <w:t>.</w:t>
      </w:r>
      <w:r>
        <w:rPr>
          <w:rFonts w:hint="eastAsia" w:hAnsi="宋体" w:cs="宋体"/>
          <w:b/>
          <w:bCs/>
          <w:color w:val="000000" w:themeColor="text1"/>
          <w:highlight w:val="none"/>
          <w14:textFill>
            <w14:solidFill>
              <w14:schemeClr w14:val="tx1"/>
            </w14:solidFill>
          </w14:textFill>
        </w:rPr>
        <w:t>报价分………………………………………………………………………………30分</w:t>
      </w:r>
    </w:p>
    <w:p>
      <w:pPr>
        <w:pStyle w:val="30"/>
        <w:adjustRightInd w:val="0"/>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符合《政府采购促进中小企业发展管理办法》（财库〔2020〕46号）规定条件且按该办法中规定的格式提供了《中小企业声明函》的小型和微型企业参与投标，对其投标报价给予10%的扣除，扣除后的价格为评标价，即评标价=投标报价×（1-10%）；大中型企业与小型、微型企业组成联合体投标，其中小型、微型企业的协议合同金额占到联合体协议合同总金额30%以上的，联合体投标价给予</w:t>
      </w:r>
      <w:r>
        <w:rPr>
          <w:rFonts w:hint="eastAsia" w:hAnsi="宋体" w:cs="宋体"/>
          <w:color w:val="000000" w:themeColor="text1"/>
          <w:highlight w:val="none"/>
          <w:lang w:val="en"/>
          <w14:textFill>
            <w14:solidFill>
              <w14:schemeClr w14:val="tx1"/>
            </w14:solidFill>
          </w14:textFill>
        </w:rPr>
        <w:t>4</w:t>
      </w:r>
      <w:r>
        <w:rPr>
          <w:rFonts w:hint="eastAsia" w:hAnsi="宋体" w:cs="宋体"/>
          <w:color w:val="000000" w:themeColor="text1"/>
          <w:highlight w:val="none"/>
          <w14:textFill>
            <w14:solidFill>
              <w14:schemeClr w14:val="tx1"/>
            </w14:solidFill>
          </w14:textFill>
        </w:rPr>
        <w:t>%的扣除，扣除后的价格为评标价，即评标价=投标报价×（1-</w:t>
      </w:r>
      <w:r>
        <w:rPr>
          <w:rFonts w:hint="eastAsia" w:hAnsi="宋体" w:cs="宋体"/>
          <w:color w:val="000000" w:themeColor="text1"/>
          <w:highlight w:val="none"/>
          <w:lang w:val="en"/>
          <w14:textFill>
            <w14:solidFill>
              <w14:schemeClr w14:val="tx1"/>
            </w14:solidFill>
          </w14:textFill>
        </w:rPr>
        <w:t>4</w:t>
      </w:r>
      <w:r>
        <w:rPr>
          <w:rFonts w:hint="eastAsia" w:hAnsi="宋体" w:cs="宋体"/>
          <w:color w:val="000000" w:themeColor="text1"/>
          <w:highlight w:val="none"/>
          <w14:textFill>
            <w14:solidFill>
              <w14:schemeClr w14:val="tx1"/>
            </w14:solidFill>
          </w14:textFill>
        </w:rPr>
        <w:t>%）；除上述情况外，评标价=投标报价。</w:t>
      </w:r>
    </w:p>
    <w:p>
      <w:pPr>
        <w:pStyle w:val="30"/>
        <w:adjustRightInd w:val="0"/>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投标人及所提供产品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30"/>
        <w:adjustRightInd w:val="0"/>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产品或服务</w:t>
      </w:r>
      <w:r>
        <w:rPr>
          <w:rFonts w:hint="eastAsia" w:hAnsi="宋体" w:cs="宋体"/>
          <w:color w:val="000000" w:themeColor="text1"/>
          <w:highlight w:val="none"/>
          <w14:textFill>
            <w14:solidFill>
              <w14:schemeClr w14:val="tx1"/>
            </w14:solidFill>
          </w14:textFill>
        </w:rPr>
        <w:t>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pPr>
        <w:pStyle w:val="30"/>
        <w:adjustRightInd w:val="0"/>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（2）以满足采购文件要求的最低评标价为30分。</w:t>
      </w:r>
    </w:p>
    <w:p>
      <w:pPr>
        <w:pStyle w:val="30"/>
        <w:adjustRightInd w:val="0"/>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（3）某投标人报价分 = 投标人最低评标价（金额）/某投标人评标价（金额）×30分</w:t>
      </w:r>
    </w:p>
    <w:p>
      <w:pPr>
        <w:pStyle w:val="498"/>
        <w:adjustRightInd w:val="0"/>
        <w:snapToGrid w:val="0"/>
        <w:spacing w:line="360" w:lineRule="auto"/>
        <w:rPr>
          <w:b/>
          <w:bCs/>
          <w:color w:val="000000" w:themeColor="text1"/>
          <w:kern w:val="4"/>
          <w:highlight w:val="none"/>
          <w14:textFill>
            <w14:solidFill>
              <w14:schemeClr w14:val="tx1"/>
            </w14:solidFill>
          </w14:textFill>
        </w:rPr>
      </w:pPr>
      <w:r>
        <w:rPr>
          <w:rFonts w:hint="eastAsia"/>
          <w:b/>
          <w:bCs/>
          <w:color w:val="000000" w:themeColor="text1"/>
          <w:kern w:val="4"/>
          <w:highlight w:val="none"/>
          <w14:textFill>
            <w14:solidFill>
              <w14:schemeClr w14:val="tx1"/>
            </w14:solidFill>
          </w14:textFill>
        </w:rPr>
        <w:t>2.管理经验与业绩分…………………………………………………………………</w:t>
      </w:r>
      <w:r>
        <w:rPr>
          <w:rFonts w:hint="eastAsia"/>
          <w:b/>
          <w:bCs/>
          <w:color w:val="000000" w:themeColor="text1"/>
          <w:kern w:val="4"/>
          <w:highlight w:val="none"/>
          <w:lang w:val="en-US" w:eastAsia="zh-CN"/>
          <w14:textFill>
            <w14:solidFill>
              <w14:schemeClr w14:val="tx1"/>
            </w14:solidFill>
          </w14:textFill>
        </w:rPr>
        <w:t>16</w:t>
      </w:r>
      <w:r>
        <w:rPr>
          <w:rFonts w:hint="eastAsia"/>
          <w:b/>
          <w:bCs/>
          <w:color w:val="000000" w:themeColor="text1"/>
          <w:kern w:val="4"/>
          <w:highlight w:val="none"/>
          <w14:textFill>
            <w14:solidFill>
              <w14:schemeClr w14:val="tx1"/>
            </w14:solidFill>
          </w14:textFill>
        </w:rPr>
        <w:t>分</w:t>
      </w:r>
    </w:p>
    <w:p>
      <w:pPr>
        <w:pStyle w:val="498"/>
        <w:adjustRightInd w:val="0"/>
        <w:snapToGrid w:val="0"/>
        <w:spacing w:after="0" w:line="360" w:lineRule="auto"/>
        <w:ind w:firstLine="283" w:firstLineChars="135"/>
        <w:rPr>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（1）投标人拟投入本项目的项目经理：具有本科学历得</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分，</w:t>
      </w:r>
      <w:r>
        <w:rPr>
          <w:rFonts w:hint="eastAsia"/>
          <w:b/>
          <w:color w:val="000000" w:themeColor="text1"/>
          <w:highlight w:val="none"/>
          <w14:textFill>
            <w14:solidFill>
              <w14:schemeClr w14:val="tx1"/>
            </w14:solidFill>
          </w14:textFill>
        </w:rPr>
        <w:t>满分</w:t>
      </w:r>
      <w:r>
        <w:rPr>
          <w:b/>
          <w:color w:val="000000" w:themeColor="text1"/>
          <w:highlight w:val="none"/>
          <w14:textFill>
            <w14:solidFill>
              <w14:schemeClr w14:val="tx1"/>
            </w14:solidFill>
          </w14:textFill>
        </w:rPr>
        <w:t>1</w:t>
      </w:r>
      <w:r>
        <w:rPr>
          <w:rFonts w:hint="eastAsia"/>
          <w:b/>
          <w:color w:val="000000" w:themeColor="text1"/>
          <w:highlight w:val="none"/>
          <w14:textFill>
            <w14:solidFill>
              <w14:schemeClr w14:val="tx1"/>
            </w14:solidFill>
          </w14:textFill>
        </w:rPr>
        <w:t>分。</w:t>
      </w:r>
    </w:p>
    <w:p>
      <w:pPr>
        <w:pStyle w:val="498"/>
        <w:adjustRightInd w:val="0"/>
        <w:snapToGrid w:val="0"/>
        <w:spacing w:line="360" w:lineRule="auto"/>
        <w:ind w:firstLine="283" w:firstLineChars="13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）投标人拟投入本项目的工程主管：具有电气、机电相关专业本科及以上学历得</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分；</w:t>
      </w:r>
      <w:r>
        <w:rPr>
          <w:rFonts w:hint="eastAsia"/>
          <w:color w:val="000000" w:themeColor="text1"/>
          <w:highlight w:val="none"/>
          <w:lang w:val="en-US" w:eastAsia="zh-CN"/>
          <w14:textFill>
            <w14:solidFill>
              <w14:schemeClr w14:val="tx1"/>
            </w14:solidFill>
          </w14:textFill>
        </w:rPr>
        <w:t>具有人力资源和社会保障部门颁发一级维修电工职业资格证得1分</w:t>
      </w:r>
      <w:r>
        <w:rPr>
          <w:rFonts w:hint="eastAsia"/>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满分</w:t>
      </w:r>
      <w:r>
        <w:rPr>
          <w:b/>
          <w:color w:val="000000" w:themeColor="text1"/>
          <w:highlight w:val="none"/>
          <w14:textFill>
            <w14:solidFill>
              <w14:schemeClr w14:val="tx1"/>
            </w14:solidFill>
          </w14:textFill>
        </w:rPr>
        <w:t>2</w:t>
      </w:r>
      <w:r>
        <w:rPr>
          <w:rFonts w:hint="eastAsia"/>
          <w:b/>
          <w:color w:val="000000" w:themeColor="text1"/>
          <w:highlight w:val="none"/>
          <w14:textFill>
            <w14:solidFill>
              <w14:schemeClr w14:val="tx1"/>
            </w14:solidFill>
          </w14:textFill>
        </w:rPr>
        <w:t>分</w:t>
      </w:r>
      <w:r>
        <w:rPr>
          <w:rFonts w:hint="eastAsia"/>
          <w:color w:val="000000" w:themeColor="text1"/>
          <w:highlight w:val="none"/>
          <w14:textFill>
            <w14:solidFill>
              <w14:schemeClr w14:val="tx1"/>
            </w14:solidFill>
          </w14:textFill>
        </w:rPr>
        <w:t>。</w:t>
      </w:r>
    </w:p>
    <w:p>
      <w:pPr>
        <w:pStyle w:val="498"/>
        <w:adjustRightInd w:val="0"/>
        <w:snapToGrid w:val="0"/>
        <w:spacing w:line="360" w:lineRule="auto"/>
        <w:ind w:firstLine="283" w:firstLineChars="13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）投标人拟投入本项目的安保主管：具有本科及以上学历得1分，</w:t>
      </w:r>
      <w:r>
        <w:rPr>
          <w:rFonts w:hint="eastAsia"/>
          <w:b/>
          <w:color w:val="000000" w:themeColor="text1"/>
          <w:highlight w:val="none"/>
          <w14:textFill>
            <w14:solidFill>
              <w14:schemeClr w14:val="tx1"/>
            </w14:solidFill>
          </w14:textFill>
        </w:rPr>
        <w:t>满分</w:t>
      </w:r>
      <w:r>
        <w:rPr>
          <w:rFonts w:hint="eastAsia"/>
          <w:b/>
          <w:color w:val="000000" w:themeColor="text1"/>
          <w:highlight w:val="none"/>
          <w:lang w:val="en-US" w:eastAsia="zh-CN"/>
          <w14:textFill>
            <w14:solidFill>
              <w14:schemeClr w14:val="tx1"/>
            </w14:solidFill>
          </w14:textFill>
        </w:rPr>
        <w:t>1</w:t>
      </w:r>
      <w:r>
        <w:rPr>
          <w:rFonts w:hint="eastAsia"/>
          <w:b/>
          <w:color w:val="000000" w:themeColor="text1"/>
          <w:highlight w:val="none"/>
          <w14:textFill>
            <w14:solidFill>
              <w14:schemeClr w14:val="tx1"/>
            </w14:solidFill>
          </w14:textFill>
        </w:rPr>
        <w:t>分</w:t>
      </w:r>
      <w:r>
        <w:rPr>
          <w:rFonts w:hint="eastAsia"/>
          <w:color w:val="000000" w:themeColor="text1"/>
          <w:highlight w:val="none"/>
          <w14:textFill>
            <w14:solidFill>
              <w14:schemeClr w14:val="tx1"/>
            </w14:solidFill>
          </w14:textFill>
        </w:rPr>
        <w:t>。</w:t>
      </w:r>
    </w:p>
    <w:p>
      <w:pPr>
        <w:pStyle w:val="498"/>
        <w:adjustRightInd w:val="0"/>
        <w:snapToGrid w:val="0"/>
        <w:spacing w:line="360" w:lineRule="auto"/>
        <w:ind w:firstLine="283" w:firstLineChars="13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）投标人拟投入本项目的客服主管：具有本科学历得1分；持有红十字救护员证或持有CPR+AED心肺复苏培训证得1分，</w:t>
      </w:r>
      <w:r>
        <w:rPr>
          <w:rFonts w:hint="eastAsia"/>
          <w:b/>
          <w:color w:val="000000" w:themeColor="text1"/>
          <w:highlight w:val="none"/>
          <w14:textFill>
            <w14:solidFill>
              <w14:schemeClr w14:val="tx1"/>
            </w14:solidFill>
          </w14:textFill>
        </w:rPr>
        <w:t>满分2分</w:t>
      </w:r>
      <w:r>
        <w:rPr>
          <w:rFonts w:hint="eastAsia"/>
          <w:color w:val="000000" w:themeColor="text1"/>
          <w:highlight w:val="none"/>
          <w14:textFill>
            <w14:solidFill>
              <w14:schemeClr w14:val="tx1"/>
            </w14:solidFill>
          </w14:textFill>
        </w:rPr>
        <w:t>。</w:t>
      </w:r>
    </w:p>
    <w:p>
      <w:pPr>
        <w:pStyle w:val="498"/>
        <w:adjustRightInd w:val="0"/>
        <w:snapToGrid w:val="0"/>
        <w:spacing w:line="360" w:lineRule="auto"/>
        <w:ind w:firstLine="283" w:firstLineChars="13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【备注：须提供以上人员的学历、相关证书复印件</w:t>
      </w:r>
      <w:r>
        <w:rPr>
          <w:rFonts w:hint="eastAsia"/>
          <w:color w:val="000000" w:themeColor="text1"/>
          <w:highlight w:val="none"/>
          <w:lang w:val="en-US" w:eastAsia="zh-CN"/>
          <w14:textFill>
            <w14:solidFill>
              <w14:schemeClr w14:val="tx1"/>
            </w14:solidFill>
          </w14:textFill>
        </w:rPr>
        <w:t>及</w:t>
      </w:r>
      <w:r>
        <w:rPr>
          <w:rFonts w:hint="eastAsia" w:hAnsi="宋体"/>
          <w:strike w:val="0"/>
          <w:dstrike w:val="0"/>
          <w:color w:val="000000" w:themeColor="text1"/>
          <w:highlight w:val="none"/>
          <w14:textFill>
            <w14:solidFill>
              <w14:schemeClr w14:val="tx1"/>
            </w14:solidFill>
          </w14:textFill>
        </w:rPr>
        <w:t>截标前</w:t>
      </w:r>
      <w:r>
        <w:rPr>
          <w:rFonts w:hint="eastAsia" w:hAnsi="宋体"/>
          <w:strike w:val="0"/>
          <w:dstrike w:val="0"/>
          <w:color w:val="000000" w:themeColor="text1"/>
          <w:highlight w:val="none"/>
          <w:lang w:val="en-US" w:eastAsia="zh-CN"/>
          <w14:textFill>
            <w14:solidFill>
              <w14:schemeClr w14:val="tx1"/>
            </w14:solidFill>
          </w14:textFill>
        </w:rPr>
        <w:t>一个月</w:t>
      </w:r>
      <w:r>
        <w:rPr>
          <w:rFonts w:hint="eastAsia" w:hAnsi="宋体"/>
          <w:strike w:val="0"/>
          <w:dstrike w:val="0"/>
          <w:color w:val="000000" w:themeColor="text1"/>
          <w:highlight w:val="none"/>
          <w14:textFill>
            <w14:solidFill>
              <w14:schemeClr w14:val="tx1"/>
            </w14:solidFill>
          </w14:textFill>
        </w:rPr>
        <w:t>内投标人为其缴纳社保的证明复印件，不提供相关证明材料不得分。</w:t>
      </w:r>
      <w:r>
        <w:rPr>
          <w:rFonts w:hint="eastAsia"/>
          <w:color w:val="000000" w:themeColor="text1"/>
          <w:highlight w:val="none"/>
          <w14:textFill>
            <w14:solidFill>
              <w14:schemeClr w14:val="tx1"/>
            </w14:solidFill>
          </w14:textFill>
        </w:rPr>
        <w:t>】</w:t>
      </w:r>
    </w:p>
    <w:p>
      <w:pPr>
        <w:pStyle w:val="498"/>
        <w:spacing w:line="360" w:lineRule="auto"/>
        <w:ind w:firstLine="210" w:firstLineChars="1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）投标人202</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年以来所承接的综合类物业（服务内容至少包含安保、保洁、工程维修</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会议服务</w:t>
      </w:r>
      <w:r>
        <w:rPr>
          <w:rFonts w:hint="eastAsia"/>
          <w:color w:val="000000" w:themeColor="text1"/>
          <w:highlight w:val="none"/>
          <w14:textFill>
            <w14:solidFill>
              <w14:schemeClr w14:val="tx1"/>
            </w14:solidFill>
          </w14:textFill>
        </w:rPr>
        <w:t>）管理项目，每提供一个得</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分，</w:t>
      </w:r>
      <w:r>
        <w:rPr>
          <w:rFonts w:hint="eastAsia"/>
          <w:b/>
          <w:color w:val="000000" w:themeColor="text1"/>
          <w:highlight w:val="none"/>
          <w14:textFill>
            <w14:solidFill>
              <w14:schemeClr w14:val="tx1"/>
            </w14:solidFill>
          </w14:textFill>
        </w:rPr>
        <w:t>满分</w:t>
      </w:r>
      <w:r>
        <w:rPr>
          <w:rFonts w:hint="eastAsia"/>
          <w:b/>
          <w:color w:val="000000" w:themeColor="text1"/>
          <w:highlight w:val="none"/>
          <w:lang w:val="en-US" w:eastAsia="zh-CN"/>
          <w14:textFill>
            <w14:solidFill>
              <w14:schemeClr w14:val="tx1"/>
            </w14:solidFill>
          </w14:textFill>
        </w:rPr>
        <w:t>10</w:t>
      </w:r>
      <w:r>
        <w:rPr>
          <w:rFonts w:hint="eastAsia"/>
          <w:b/>
          <w:color w:val="000000" w:themeColor="text1"/>
          <w:highlight w:val="none"/>
          <w14:textFill>
            <w14:solidFill>
              <w14:schemeClr w14:val="tx1"/>
            </w14:solidFill>
          </w14:textFill>
        </w:rPr>
        <w:t>分</w:t>
      </w:r>
      <w:r>
        <w:rPr>
          <w:rFonts w:hint="eastAsia"/>
          <w:color w:val="000000" w:themeColor="text1"/>
          <w:highlight w:val="none"/>
          <w14:textFill>
            <w14:solidFill>
              <w14:schemeClr w14:val="tx1"/>
            </w14:solidFill>
          </w14:textFill>
        </w:rPr>
        <w:t>。（同一项目多次中标不可重复计分。提供合同或中标通知书或验收报告或项目业主单位出具的证明等材料，原件备查。不提供相关证明材料不得分。）</w:t>
      </w:r>
    </w:p>
    <w:p>
      <w:pPr>
        <w:pStyle w:val="498"/>
        <w:spacing w:line="360" w:lineRule="auto"/>
        <w:ind w:firstLine="210" w:firstLineChars="100"/>
        <w:rPr>
          <w:color w:val="000000" w:themeColor="text1"/>
          <w:highlight w:val="none"/>
          <w14:textFill>
            <w14:solidFill>
              <w14:schemeClr w14:val="tx1"/>
            </w14:solidFill>
          </w14:textFill>
        </w:rPr>
      </w:pPr>
    </w:p>
    <w:p>
      <w:pPr>
        <w:pStyle w:val="498"/>
        <w:adjustRightInd w:val="0"/>
        <w:snapToGrid w:val="0"/>
        <w:spacing w:line="360" w:lineRule="auto"/>
        <w:rPr>
          <w:b/>
          <w:bCs/>
          <w:color w:val="000000" w:themeColor="text1"/>
          <w:kern w:val="4"/>
          <w:highlight w:val="none"/>
          <w14:textFill>
            <w14:solidFill>
              <w14:schemeClr w14:val="tx1"/>
            </w14:solidFill>
          </w14:textFill>
        </w:rPr>
      </w:pPr>
      <w:r>
        <w:rPr>
          <w:rFonts w:hint="eastAsia"/>
          <w:b/>
          <w:bCs/>
          <w:color w:val="000000" w:themeColor="text1"/>
          <w:kern w:val="4"/>
          <w:highlight w:val="none"/>
          <w14:textFill>
            <w14:solidFill>
              <w14:schemeClr w14:val="tx1"/>
            </w14:solidFill>
          </w14:textFill>
        </w:rPr>
        <w:t>3．服务方案分…………………………………………………………………………</w:t>
      </w:r>
      <w:r>
        <w:rPr>
          <w:b/>
          <w:bCs/>
          <w:color w:val="000000" w:themeColor="text1"/>
          <w:kern w:val="4"/>
          <w:highlight w:val="none"/>
          <w14:textFill>
            <w14:solidFill>
              <w14:schemeClr w14:val="tx1"/>
            </w14:solidFill>
          </w14:textFill>
        </w:rPr>
        <w:t>4</w:t>
      </w:r>
      <w:r>
        <w:rPr>
          <w:rFonts w:hint="eastAsia"/>
          <w:b/>
          <w:bCs/>
          <w:color w:val="000000" w:themeColor="text1"/>
          <w:kern w:val="4"/>
          <w:highlight w:val="none"/>
          <w:lang w:val="en-US" w:eastAsia="zh-CN"/>
          <w14:textFill>
            <w14:solidFill>
              <w14:schemeClr w14:val="tx1"/>
            </w14:solidFill>
          </w14:textFill>
        </w:rPr>
        <w:t>9</w:t>
      </w:r>
      <w:r>
        <w:rPr>
          <w:rFonts w:hint="eastAsia"/>
          <w:b/>
          <w:bCs/>
          <w:color w:val="000000" w:themeColor="text1"/>
          <w:kern w:val="4"/>
          <w:highlight w:val="none"/>
          <w14:textFill>
            <w14:solidFill>
              <w14:schemeClr w14:val="tx1"/>
            </w14:solidFill>
          </w14:textFill>
        </w:rPr>
        <w:t>分</w:t>
      </w:r>
    </w:p>
    <w:p>
      <w:pPr>
        <w:spacing w:line="360" w:lineRule="auto"/>
        <w:jc w:val="left"/>
        <w:rPr>
          <w:rFonts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（1）</w:t>
      </w:r>
      <w:r>
        <w:rPr>
          <w:rFonts w:hint="eastAsia" w:ascii="宋体" w:hAnsi="宋体"/>
          <w:b/>
          <w:bCs/>
          <w:color w:val="000000" w:themeColor="text1"/>
          <w:szCs w:val="21"/>
          <w:highlight w:val="none"/>
          <w14:textFill>
            <w14:solidFill>
              <w14:schemeClr w14:val="tx1"/>
            </w14:solidFill>
          </w14:textFill>
        </w:rPr>
        <w:t>安保服务方案分</w:t>
      </w:r>
      <w:r>
        <w:rPr>
          <w:rFonts w:ascii="宋体" w:hAnsi="宋体"/>
          <w:b/>
          <w:bCs/>
          <w:color w:val="000000" w:themeColor="text1"/>
          <w:szCs w:val="21"/>
          <w:highlight w:val="none"/>
          <w14:textFill>
            <w14:solidFill>
              <w14:schemeClr w14:val="tx1"/>
            </w14:solidFill>
          </w14:textFill>
        </w:rPr>
        <w:t>（满分6分）</w:t>
      </w:r>
    </w:p>
    <w:p>
      <w:pPr>
        <w:spacing w:line="360" w:lineRule="auto"/>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一档（</w:t>
      </w:r>
      <w:r>
        <w:rPr>
          <w:rFonts w:ascii="宋体" w:hAnsi="宋体"/>
          <w:bCs/>
          <w:color w:val="000000" w:themeColor="text1"/>
          <w:szCs w:val="21"/>
          <w:highlight w:val="none"/>
          <w14:textFill>
            <w14:solidFill>
              <w14:schemeClr w14:val="tx1"/>
            </w14:solidFill>
          </w14:textFill>
        </w:rPr>
        <w:t>2</w:t>
      </w:r>
      <w:r>
        <w:rPr>
          <w:rFonts w:hint="eastAsia" w:ascii="宋体" w:hAnsi="宋体"/>
          <w:bCs/>
          <w:color w:val="000000" w:themeColor="text1"/>
          <w:szCs w:val="21"/>
          <w:highlight w:val="none"/>
          <w14:textFill>
            <w14:solidFill>
              <w14:schemeClr w14:val="tx1"/>
            </w14:solidFill>
          </w14:textFill>
        </w:rPr>
        <w:t>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方案基本满足采购需求，但缺乏针对本项目的定制化内容和创新亮点</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基本能够覆盖安保秩序管理、消防监控管理服务服务的基础需求；</w:t>
      </w:r>
    </w:p>
    <w:p>
      <w:pPr>
        <w:keepNext w:val="0"/>
        <w:keepLines w:val="0"/>
        <w:pageBreakBefore w:val="0"/>
        <w:kinsoku/>
        <w:wordWrap/>
        <w:overflowPunct/>
        <w:topLinePunct w:val="0"/>
        <w:autoSpaceDE/>
        <w:autoSpaceDN/>
        <w:bidi w:val="0"/>
        <w:adjustRightInd w:val="0"/>
        <w:snapToGrid w:val="0"/>
        <w:spacing w:line="380" w:lineRule="exact"/>
        <w:textAlignment w:val="auto"/>
        <w:outlineLvl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二档（</w:t>
      </w:r>
      <w:r>
        <w:rPr>
          <w:rFonts w:ascii="宋体" w:hAnsi="宋体"/>
          <w:bCs/>
          <w:color w:val="000000" w:themeColor="text1"/>
          <w:szCs w:val="21"/>
          <w:highlight w:val="none"/>
          <w14:textFill>
            <w14:solidFill>
              <w14:schemeClr w14:val="tx1"/>
            </w14:solidFill>
          </w14:textFill>
        </w:rPr>
        <w:t>4</w:t>
      </w:r>
      <w:r>
        <w:rPr>
          <w:rFonts w:hint="eastAsia" w:ascii="宋体" w:hAnsi="宋体"/>
          <w:bCs/>
          <w:color w:val="000000" w:themeColor="text1"/>
          <w:szCs w:val="21"/>
          <w:highlight w:val="none"/>
          <w14:textFill>
            <w14:solidFill>
              <w14:schemeClr w14:val="tx1"/>
            </w14:solidFill>
          </w14:textFill>
        </w:rPr>
        <w:t>分）：</w:t>
      </w:r>
      <w:r>
        <w:rPr>
          <w:rFonts w:hint="eastAsia" w:ascii="宋体" w:hAnsi="宋体" w:cs="宋体"/>
          <w:bCs/>
          <w:color w:val="000000" w:themeColor="text1"/>
          <w:kern w:val="0"/>
          <w:szCs w:val="21"/>
          <w:highlight w:val="none"/>
          <w14:textFill>
            <w14:solidFill>
              <w14:schemeClr w14:val="tx1"/>
            </w14:solidFill>
          </w14:textFill>
        </w:rPr>
        <w:t>服务方案</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方案适用本项目用户需求，管理方案内容完整，涵盖了安保秩序管理、消防监控服务的各个方面，有基础的服务工作计划</w:t>
      </w:r>
      <w:r>
        <w:rPr>
          <w:rFonts w:hint="eastAsia" w:ascii="宋体" w:hAnsi="宋体" w:cs="宋体"/>
          <w:bCs/>
          <w:color w:val="000000" w:themeColor="text1"/>
          <w:kern w:val="0"/>
          <w:szCs w:val="21"/>
          <w:highlight w:val="none"/>
          <w14:textFill>
            <w14:solidFill>
              <w14:schemeClr w14:val="tx1"/>
            </w14:solidFill>
          </w14:textFill>
        </w:rPr>
        <w:t>，有安全防范工作措施方案</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，服务方案有1-</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项(含)优于采购服务要求及服务标准，</w:t>
      </w:r>
      <w:r>
        <w:rPr>
          <w:rFonts w:hint="eastAsia" w:ascii="宋体" w:hAnsi="宋体"/>
          <w:bCs/>
          <w:color w:val="000000" w:themeColor="text1"/>
          <w:szCs w:val="21"/>
          <w:highlight w:val="none"/>
          <w14:textFill>
            <w14:solidFill>
              <w14:schemeClr w14:val="tx1"/>
            </w14:solidFill>
          </w14:textFill>
        </w:rPr>
        <w:t>投标人为本项目投入使用智能化管理系统</w:t>
      </w:r>
      <w:r>
        <w:rPr>
          <w:rFonts w:hint="eastAsia" w:ascii="宋体" w:hAnsi="宋体" w:cs="宋体"/>
          <w:bCs/>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有使用新技术、新方法提升安保或消防服务质量</w:t>
      </w:r>
      <w:r>
        <w:rPr>
          <w:rFonts w:hint="eastAsia" w:ascii="宋体" w:hAnsi="宋体"/>
          <w:bCs/>
          <w:color w:val="000000" w:themeColor="text1"/>
          <w:szCs w:val="21"/>
          <w:highlight w:val="none"/>
          <w14:textFill>
            <w14:solidFill>
              <w14:schemeClr w14:val="tx1"/>
            </w14:solidFill>
          </w14:textFill>
        </w:rPr>
        <w:t>。（注：需提供相关证明文件复印件，原件备查）；</w:t>
      </w:r>
    </w:p>
    <w:p>
      <w:pPr>
        <w:pStyle w:val="71"/>
        <w:keepNext w:val="0"/>
        <w:keepLines w:val="0"/>
        <w:pageBreakBefore w:val="0"/>
        <w:kinsoku/>
        <w:wordWrap/>
        <w:overflowPunct/>
        <w:topLinePunct w:val="0"/>
        <w:bidi w:val="0"/>
        <w:spacing w:line="380" w:lineRule="exact"/>
        <w:ind w:left="0" w:leftChars="0" w:firstLine="0" w:firstLineChars="0"/>
        <w:textAlignment w:val="auto"/>
        <w:rPr>
          <w:rFonts w:ascii="宋体" w:hAnsi="宋体" w:cs="宋体"/>
          <w:bCs/>
          <w:color w:val="000000" w:themeColor="text1"/>
          <w:kern w:val="0"/>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三档（</w:t>
      </w:r>
      <w:r>
        <w:rPr>
          <w:rFonts w:ascii="宋体" w:hAnsi="宋体"/>
          <w:bCs/>
          <w:color w:val="000000" w:themeColor="text1"/>
          <w:szCs w:val="21"/>
          <w:highlight w:val="none"/>
          <w14:textFill>
            <w14:solidFill>
              <w14:schemeClr w14:val="tx1"/>
            </w14:solidFill>
          </w14:textFill>
        </w:rPr>
        <w:t>6</w:t>
      </w:r>
      <w:r>
        <w:rPr>
          <w:rFonts w:hint="eastAsia" w:ascii="宋体" w:hAnsi="宋体"/>
          <w:bCs/>
          <w:color w:val="000000" w:themeColor="text1"/>
          <w:szCs w:val="21"/>
          <w:highlight w:val="none"/>
          <w14:textFill>
            <w14:solidFill>
              <w14:schemeClr w14:val="tx1"/>
            </w14:solidFill>
          </w14:textFill>
        </w:rPr>
        <w:t>分）：在满足二档的基础上，</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管理方案内容详实合理、完整，</w:t>
      </w:r>
      <w:r>
        <w:rPr>
          <w:rFonts w:hint="eastAsia" w:ascii="宋体" w:hAnsi="宋体" w:cs="宋体"/>
          <w:bCs/>
          <w:color w:val="000000" w:themeColor="text1"/>
          <w:kern w:val="0"/>
          <w:szCs w:val="21"/>
          <w:highlight w:val="none"/>
          <w14:textFill>
            <w14:solidFill>
              <w14:schemeClr w14:val="tx1"/>
            </w14:solidFill>
          </w14:textFill>
        </w:rPr>
        <w:t>存在</w:t>
      </w:r>
      <w:r>
        <w:rPr>
          <w:rFonts w:ascii="宋体" w:hAnsi="宋体" w:cs="宋体"/>
          <w:bCs/>
          <w:color w:val="000000" w:themeColor="text1"/>
          <w:kern w:val="0"/>
          <w:szCs w:val="21"/>
          <w:highlight w:val="none"/>
          <w14:textFill>
            <w14:solidFill>
              <w14:schemeClr w14:val="tx1"/>
            </w14:solidFill>
          </w14:textFill>
        </w:rPr>
        <w:t>3</w:t>
      </w:r>
      <w:r>
        <w:rPr>
          <w:rFonts w:hint="eastAsia" w:ascii="宋体" w:hAnsi="宋体" w:cs="宋体"/>
          <w:bCs/>
          <w:color w:val="000000" w:themeColor="text1"/>
          <w:kern w:val="0"/>
          <w:szCs w:val="21"/>
          <w:highlight w:val="none"/>
          <w14:textFill>
            <w14:solidFill>
              <w14:schemeClr w14:val="tx1"/>
            </w14:solidFill>
          </w14:textFill>
        </w:rPr>
        <w:t>项优于</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采购服务要求及服务标准</w:t>
      </w:r>
      <w:r>
        <w:rPr>
          <w:rFonts w:hint="eastAsia" w:ascii="宋体" w:hAnsi="宋体" w:cs="宋体"/>
          <w:bCs/>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能够针对本项目的特定环境和需求，提供有特色的定制化服务方案，</w:t>
      </w:r>
      <w:r>
        <w:rPr>
          <w:rFonts w:hint="eastAsia" w:ascii="宋体" w:hAnsi="宋体" w:cs="宋体"/>
          <w:bCs/>
          <w:color w:val="000000" w:themeColor="text1"/>
          <w:kern w:val="0"/>
          <w:szCs w:val="21"/>
          <w:highlight w:val="none"/>
          <w14:textFill>
            <w14:solidFill>
              <w14:schemeClr w14:val="tx1"/>
            </w14:solidFill>
          </w14:textFill>
        </w:rPr>
        <w:t>有重点部位、重点区域安全巡检计划、交通、车辆、停车场管理方案、消防安全管理安全管理品质监控方案等，方案内容详实</w:t>
      </w:r>
      <w:r>
        <w:rPr>
          <w:rFonts w:hint="eastAsia" w:ascii="宋体" w:hAnsi="宋体" w:cs="宋体"/>
          <w:bCs/>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完整覆盖了本项目的所有</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安保</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关键环节</w:t>
      </w:r>
      <w:r>
        <w:rPr>
          <w:rFonts w:hint="eastAsia" w:ascii="宋体" w:hAnsi="宋体" w:cs="宋体"/>
          <w:bCs/>
          <w:color w:val="000000" w:themeColor="text1"/>
          <w:kern w:val="0"/>
          <w:szCs w:val="21"/>
          <w:highlight w:val="none"/>
          <w14:textFill>
            <w14:solidFill>
              <w14:schemeClr w14:val="tx1"/>
            </w14:solidFill>
          </w14:textFill>
        </w:rPr>
        <w:t>，服务计划</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科学合理</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充分考虑了实际操作中的各种因素，明确了各项安保秩序管理、消防监控服务工作的时间节点、责任人和执行标准。</w:t>
      </w:r>
    </w:p>
    <w:p>
      <w:pPr>
        <w:spacing w:line="360" w:lineRule="auto"/>
        <w:jc w:val="lef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w:t>
      </w:r>
      <w:r>
        <w:rPr>
          <w:rFonts w:ascii="宋体" w:hAnsi="宋体"/>
          <w:b/>
          <w:bCs/>
          <w:color w:val="000000" w:themeColor="text1"/>
          <w:szCs w:val="21"/>
          <w:highlight w:val="none"/>
          <w14:textFill>
            <w14:solidFill>
              <w14:schemeClr w14:val="tx1"/>
            </w14:solidFill>
          </w14:textFill>
        </w:rPr>
        <w:t>2</w:t>
      </w:r>
      <w:r>
        <w:rPr>
          <w:rFonts w:hint="eastAsia" w:ascii="宋体" w:hAnsi="宋体"/>
          <w:b/>
          <w:bCs/>
          <w:color w:val="000000" w:themeColor="text1"/>
          <w:szCs w:val="21"/>
          <w:highlight w:val="none"/>
          <w14:textFill>
            <w14:solidFill>
              <w14:schemeClr w14:val="tx1"/>
            </w14:solidFill>
          </w14:textFill>
        </w:rPr>
        <w:t>）设施设备维修维护方案分</w:t>
      </w:r>
      <w:r>
        <w:rPr>
          <w:rFonts w:ascii="宋体" w:hAnsi="宋体"/>
          <w:b/>
          <w:bCs/>
          <w:color w:val="000000" w:themeColor="text1"/>
          <w:szCs w:val="21"/>
          <w:highlight w:val="none"/>
          <w14:textFill>
            <w14:solidFill>
              <w14:schemeClr w14:val="tx1"/>
            </w14:solidFill>
          </w14:textFill>
        </w:rPr>
        <w:t>（满分</w:t>
      </w:r>
      <w:r>
        <w:rPr>
          <w:rFonts w:hint="eastAsia" w:ascii="宋体" w:hAnsi="宋体"/>
          <w:b/>
          <w:bCs/>
          <w:color w:val="000000" w:themeColor="text1"/>
          <w:szCs w:val="21"/>
          <w:highlight w:val="none"/>
          <w:lang w:val="en-US" w:eastAsia="zh-CN"/>
          <w14:textFill>
            <w14:solidFill>
              <w14:schemeClr w14:val="tx1"/>
            </w14:solidFill>
          </w14:textFill>
        </w:rPr>
        <w:t>6</w:t>
      </w:r>
      <w:r>
        <w:rPr>
          <w:rFonts w:ascii="宋体" w:hAnsi="宋体"/>
          <w:b/>
          <w:bCs/>
          <w:color w:val="000000" w:themeColor="text1"/>
          <w:szCs w:val="21"/>
          <w:highlight w:val="none"/>
          <w14:textFill>
            <w14:solidFill>
              <w14:schemeClr w14:val="tx1"/>
            </w14:solidFill>
          </w14:textFill>
        </w:rPr>
        <w:t>分）</w:t>
      </w:r>
    </w:p>
    <w:p>
      <w:pPr>
        <w:spacing w:line="360" w:lineRule="auto"/>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一档（</w:t>
      </w:r>
      <w:r>
        <w:rPr>
          <w:rFonts w:hint="eastAsia" w:ascii="宋体" w:hAnsi="宋体"/>
          <w:bCs/>
          <w:color w:val="000000" w:themeColor="text1"/>
          <w:szCs w:val="21"/>
          <w:highlight w:val="none"/>
          <w:lang w:val="en-US" w:eastAsia="zh-CN"/>
          <w14:textFill>
            <w14:solidFill>
              <w14:schemeClr w14:val="tx1"/>
            </w14:solidFill>
          </w14:textFill>
        </w:rPr>
        <w:t>2</w:t>
      </w:r>
      <w:r>
        <w:rPr>
          <w:rFonts w:hint="eastAsia" w:ascii="宋体" w:hAnsi="宋体"/>
          <w:bCs/>
          <w:color w:val="000000" w:themeColor="text1"/>
          <w:szCs w:val="21"/>
          <w:highlight w:val="none"/>
          <w14:textFill>
            <w14:solidFill>
              <w14:schemeClr w14:val="tx1"/>
            </w14:solidFill>
          </w14:textFill>
        </w:rPr>
        <w:t>分）：方案满足采购需求</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但缺乏创新性和针对性，基本能够覆盖设施设备维修服务的基础需求；</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二档（</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分）：服务方案内容完整，有设施设备维修养护计划和实施方案、投诉维修处理制度等；存在1-2项优于</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采购服务要求及服务标准</w:t>
      </w:r>
      <w:r>
        <w:rPr>
          <w:rFonts w:hint="eastAsia"/>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有使用新技术、新方法提升工程服务质量</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w:t>
      </w:r>
      <w:r>
        <w:rPr>
          <w:rFonts w:hint="eastAsia"/>
          <w:color w:val="000000" w:themeColor="text1"/>
          <w:highlight w:val="none"/>
          <w14:textFill>
            <w14:solidFill>
              <w14:schemeClr w14:val="tx1"/>
            </w14:solidFill>
          </w14:textFill>
        </w:rPr>
        <w:t>投标人为本项目投入使用智能化管理系统。（需提供相关证明文件）</w:t>
      </w:r>
    </w:p>
    <w:p>
      <w:pPr>
        <w:spacing w:line="360" w:lineRule="auto"/>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三档（</w:t>
      </w:r>
      <w:r>
        <w:rPr>
          <w:rFonts w:hint="eastAsia" w:ascii="宋体" w:hAnsi="宋体"/>
          <w:bCs/>
          <w:color w:val="000000" w:themeColor="text1"/>
          <w:szCs w:val="21"/>
          <w:highlight w:val="none"/>
          <w:lang w:val="en-US" w:eastAsia="zh-CN"/>
          <w14:textFill>
            <w14:solidFill>
              <w14:schemeClr w14:val="tx1"/>
            </w14:solidFill>
          </w14:textFill>
        </w:rPr>
        <w:t>6</w:t>
      </w:r>
      <w:r>
        <w:rPr>
          <w:rFonts w:hint="eastAsia" w:ascii="宋体" w:hAnsi="宋体"/>
          <w:bCs/>
          <w:color w:val="000000" w:themeColor="text1"/>
          <w:szCs w:val="21"/>
          <w:highlight w:val="none"/>
          <w14:textFill>
            <w14:solidFill>
              <w14:schemeClr w14:val="tx1"/>
            </w14:solidFill>
          </w14:textFill>
        </w:rPr>
        <w:t>分）：在满足二档的基础上，</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方案内容详实合理、完整，</w:t>
      </w:r>
      <w:r>
        <w:rPr>
          <w:rFonts w:hint="eastAsia" w:ascii="宋体" w:hAnsi="宋体"/>
          <w:bCs/>
          <w:color w:val="000000" w:themeColor="text1"/>
          <w:szCs w:val="21"/>
          <w:highlight w:val="none"/>
          <w14:textFill>
            <w14:solidFill>
              <w14:schemeClr w14:val="tx1"/>
            </w14:solidFill>
          </w14:textFill>
        </w:rPr>
        <w:t>存在</w:t>
      </w:r>
      <w:r>
        <w:rPr>
          <w:rFonts w:ascii="宋体" w:hAnsi="宋体"/>
          <w:bCs/>
          <w:color w:val="000000" w:themeColor="text1"/>
          <w:szCs w:val="21"/>
          <w:highlight w:val="none"/>
          <w14:textFill>
            <w14:solidFill>
              <w14:schemeClr w14:val="tx1"/>
            </w14:solidFill>
          </w14:textFill>
        </w:rPr>
        <w:t>3</w:t>
      </w:r>
      <w:r>
        <w:rPr>
          <w:rFonts w:hint="eastAsia" w:ascii="宋体" w:hAnsi="宋体"/>
          <w:bCs/>
          <w:color w:val="000000" w:themeColor="text1"/>
          <w:szCs w:val="21"/>
          <w:highlight w:val="none"/>
          <w14:textFill>
            <w14:solidFill>
              <w14:schemeClr w14:val="tx1"/>
            </w14:solidFill>
          </w14:textFill>
        </w:rPr>
        <w:t>项或以上优于采购需求内容</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能够针对本项目的特定环境和需求，提供有特色的定制化服务方案</w:t>
      </w:r>
      <w:r>
        <w:rPr>
          <w:rFonts w:hint="eastAsia" w:ascii="宋体" w:hAnsi="宋体"/>
          <w:bCs/>
          <w:color w:val="000000" w:themeColor="text1"/>
          <w:szCs w:val="21"/>
          <w:highlight w:val="none"/>
          <w14:textFill>
            <w14:solidFill>
              <w14:schemeClr w14:val="tx1"/>
            </w14:solidFill>
          </w14:textFill>
        </w:rPr>
        <w:t>并展开详细阐述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，服务计划科学合理，明确了各项设施设备维修工作的时间节点、责任人和执行标准</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w:t>
      </w:r>
      <w:r>
        <w:rPr>
          <w:rFonts w:hint="eastAsia"/>
          <w:color w:val="000000" w:themeColor="text1"/>
          <w:highlight w:val="none"/>
          <w14:textFill>
            <w14:solidFill>
              <w14:schemeClr w14:val="tx1"/>
            </w14:solidFill>
          </w14:textFill>
        </w:rPr>
        <w:t>有设备设施节能降耗运行方案</w:t>
      </w:r>
      <w:r>
        <w:rPr>
          <w:rFonts w:hint="eastAsia" w:ascii="宋体" w:hAnsi="宋体"/>
          <w:bCs/>
          <w:color w:val="000000" w:themeColor="text1"/>
          <w:szCs w:val="21"/>
          <w:highlight w:val="none"/>
          <w14:textFill>
            <w14:solidFill>
              <w14:schemeClr w14:val="tx1"/>
            </w14:solidFill>
          </w14:textFill>
        </w:rPr>
        <w:t>。</w:t>
      </w:r>
    </w:p>
    <w:p>
      <w:pPr>
        <w:spacing w:line="360" w:lineRule="auto"/>
        <w:jc w:val="left"/>
        <w:rPr>
          <w:rFonts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（3）</w:t>
      </w:r>
      <w:r>
        <w:rPr>
          <w:rFonts w:hint="eastAsia" w:ascii="宋体" w:hAnsi="宋体"/>
          <w:b/>
          <w:bCs/>
          <w:color w:val="000000" w:themeColor="text1"/>
          <w:szCs w:val="21"/>
          <w:highlight w:val="none"/>
          <w14:textFill>
            <w14:solidFill>
              <w14:schemeClr w14:val="tx1"/>
            </w14:solidFill>
          </w14:textFill>
        </w:rPr>
        <w:t>卫生清洁方案分</w:t>
      </w:r>
      <w:r>
        <w:rPr>
          <w:rFonts w:ascii="宋体" w:hAnsi="宋体"/>
          <w:b/>
          <w:bCs/>
          <w:color w:val="000000" w:themeColor="text1"/>
          <w:szCs w:val="21"/>
          <w:highlight w:val="none"/>
          <w14:textFill>
            <w14:solidFill>
              <w14:schemeClr w14:val="tx1"/>
            </w14:solidFill>
          </w14:textFill>
        </w:rPr>
        <w:t>（满分</w:t>
      </w:r>
      <w:r>
        <w:rPr>
          <w:rFonts w:hint="eastAsia" w:ascii="宋体" w:hAnsi="宋体"/>
          <w:b/>
          <w:bCs/>
          <w:color w:val="000000" w:themeColor="text1"/>
          <w:szCs w:val="21"/>
          <w:highlight w:val="none"/>
          <w:lang w:val="en-US" w:eastAsia="zh-CN"/>
          <w14:textFill>
            <w14:solidFill>
              <w14:schemeClr w14:val="tx1"/>
            </w14:solidFill>
          </w14:textFill>
        </w:rPr>
        <w:t>6</w:t>
      </w:r>
      <w:r>
        <w:rPr>
          <w:rFonts w:ascii="宋体" w:hAnsi="宋体"/>
          <w:b/>
          <w:bCs/>
          <w:color w:val="000000" w:themeColor="text1"/>
          <w:szCs w:val="21"/>
          <w:highlight w:val="none"/>
          <w14:textFill>
            <w14:solidFill>
              <w14:schemeClr w14:val="tx1"/>
            </w14:solidFill>
          </w14:textFill>
        </w:rPr>
        <w:t>分）</w:t>
      </w:r>
    </w:p>
    <w:p>
      <w:pPr>
        <w:spacing w:line="360" w:lineRule="auto"/>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一档（</w:t>
      </w:r>
      <w:r>
        <w:rPr>
          <w:rFonts w:hint="eastAsia" w:ascii="宋体" w:hAnsi="宋体"/>
          <w:bCs/>
          <w:color w:val="000000" w:themeColor="text1"/>
          <w:szCs w:val="21"/>
          <w:highlight w:val="none"/>
          <w:lang w:val="en-US" w:eastAsia="zh-CN"/>
          <w14:textFill>
            <w14:solidFill>
              <w14:schemeClr w14:val="tx1"/>
            </w14:solidFill>
          </w14:textFill>
        </w:rPr>
        <w:t>2</w:t>
      </w:r>
      <w:r>
        <w:rPr>
          <w:rFonts w:hint="eastAsia" w:ascii="宋体" w:hAnsi="宋体"/>
          <w:bCs/>
          <w:color w:val="000000" w:themeColor="text1"/>
          <w:szCs w:val="21"/>
          <w:highlight w:val="none"/>
          <w14:textFill>
            <w14:solidFill>
              <w14:schemeClr w14:val="tx1"/>
            </w14:solidFill>
          </w14:textFill>
        </w:rPr>
        <w:t>分）：方案</w:t>
      </w:r>
      <w:r>
        <w:rPr>
          <w:rFonts w:hint="eastAsia" w:ascii="宋体" w:hAnsi="宋体"/>
          <w:bCs/>
          <w:color w:val="000000" w:themeColor="text1"/>
          <w:szCs w:val="21"/>
          <w:highlight w:val="none"/>
          <w:lang w:val="en-US" w:eastAsia="zh-CN"/>
          <w14:textFill>
            <w14:solidFill>
              <w14:schemeClr w14:val="tx1"/>
            </w14:solidFill>
          </w14:textFill>
        </w:rPr>
        <w:t>简略</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但缺乏创新性和针对性，基本能够覆盖卫生保洁服务的基础需求；</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二档（</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分）：服务方案内容完整，存在1-</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项优于</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服务要求及服务标准</w:t>
      </w:r>
      <w:r>
        <w:rPr>
          <w:rFonts w:hint="eastAsia"/>
          <w:color w:val="000000" w:themeColor="text1"/>
          <w:highlight w:val="none"/>
          <w14:textFill>
            <w14:solidFill>
              <w14:schemeClr w14:val="tx1"/>
            </w14:solidFill>
          </w14:textFill>
        </w:rPr>
        <w:t>，有服务工作计划</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操作规程</w:t>
      </w:r>
      <w:r>
        <w:rPr>
          <w:rFonts w:hint="eastAsia"/>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有使用新技术、新方法提升保洁服务质量</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w:t>
      </w:r>
      <w:r>
        <w:rPr>
          <w:rFonts w:hint="eastAsia"/>
          <w:color w:val="000000" w:themeColor="text1"/>
          <w:highlight w:val="none"/>
          <w14:textFill>
            <w14:solidFill>
              <w14:schemeClr w14:val="tx1"/>
            </w14:solidFill>
          </w14:textFill>
        </w:rPr>
        <w:t>投标人为本项目投入使用智能化管理系统。（注：需提供相关证明文件复印件，原件备查）；</w:t>
      </w:r>
    </w:p>
    <w:p>
      <w:pPr>
        <w:spacing w:line="360" w:lineRule="auto"/>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三档（</w:t>
      </w:r>
      <w:r>
        <w:rPr>
          <w:rFonts w:hint="eastAsia" w:ascii="宋体" w:hAnsi="宋体"/>
          <w:bCs/>
          <w:color w:val="000000" w:themeColor="text1"/>
          <w:szCs w:val="21"/>
          <w:highlight w:val="none"/>
          <w:lang w:val="en-US" w:eastAsia="zh-CN"/>
          <w14:textFill>
            <w14:solidFill>
              <w14:schemeClr w14:val="tx1"/>
            </w14:solidFill>
          </w14:textFill>
        </w:rPr>
        <w:t>6</w:t>
      </w:r>
      <w:r>
        <w:rPr>
          <w:rFonts w:hint="eastAsia" w:ascii="宋体" w:hAnsi="宋体"/>
          <w:bCs/>
          <w:color w:val="000000" w:themeColor="text1"/>
          <w:szCs w:val="21"/>
          <w:highlight w:val="none"/>
          <w14:textFill>
            <w14:solidFill>
              <w14:schemeClr w14:val="tx1"/>
            </w14:solidFill>
          </w14:textFill>
        </w:rPr>
        <w:t>分）：在满足二档的基础上，服务方案内容详实合理、完整，存在</w:t>
      </w:r>
      <w:r>
        <w:rPr>
          <w:rFonts w:ascii="宋体" w:hAnsi="宋体"/>
          <w:bCs/>
          <w:color w:val="000000" w:themeColor="text1"/>
          <w:szCs w:val="21"/>
          <w:highlight w:val="none"/>
          <w14:textFill>
            <w14:solidFill>
              <w14:schemeClr w14:val="tx1"/>
            </w14:solidFill>
          </w14:textFill>
        </w:rPr>
        <w:t>3</w:t>
      </w:r>
      <w:r>
        <w:rPr>
          <w:rFonts w:hint="eastAsia" w:ascii="宋体" w:hAnsi="宋体"/>
          <w:bCs/>
          <w:color w:val="000000" w:themeColor="text1"/>
          <w:szCs w:val="21"/>
          <w:highlight w:val="none"/>
          <w14:textFill>
            <w14:solidFill>
              <w14:schemeClr w14:val="tx1"/>
            </w14:solidFill>
          </w14:textFill>
        </w:rPr>
        <w:t>项或以上优于采购</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服务要求及服务标准</w:t>
      </w:r>
      <w:r>
        <w:rPr>
          <w:rFonts w:hint="eastAsia" w:ascii="宋体" w:hAnsi="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能够针对本项目的特定环境和需求，提供有特色的定制化</w:t>
      </w:r>
      <w:r>
        <w:rPr>
          <w:rFonts w:hint="eastAsia" w:ascii="宋体" w:hAnsi="宋体"/>
          <w:bCs/>
          <w:color w:val="000000" w:themeColor="text1"/>
          <w:szCs w:val="21"/>
          <w:highlight w:val="none"/>
          <w14:textFill>
            <w14:solidFill>
              <w14:schemeClr w14:val="tx1"/>
            </w14:solidFill>
          </w14:textFill>
        </w:rPr>
        <w:t>保洁工作管理制度，保障措施等内容，服务计划可行性强</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，充分考虑了实际操作中的各种因素，明确了各项卫生保洁工作的时间节点、责任人和执行标准</w:t>
      </w:r>
      <w:r>
        <w:rPr>
          <w:rFonts w:hint="eastAsia" w:ascii="宋体" w:hAnsi="宋体"/>
          <w:bCs/>
          <w:color w:val="000000" w:themeColor="text1"/>
          <w:szCs w:val="21"/>
          <w:highlight w:val="none"/>
          <w14:textFill>
            <w14:solidFill>
              <w14:schemeClr w14:val="tx1"/>
            </w14:solidFill>
          </w14:textFill>
        </w:rPr>
        <w:t>。</w:t>
      </w:r>
    </w:p>
    <w:p>
      <w:pPr>
        <w:spacing w:line="360" w:lineRule="auto"/>
        <w:jc w:val="lef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w:t>
      </w:r>
      <w:r>
        <w:rPr>
          <w:rFonts w:ascii="宋体" w:hAnsi="宋体"/>
          <w:b/>
          <w:bCs/>
          <w:color w:val="000000" w:themeColor="text1"/>
          <w:szCs w:val="21"/>
          <w:highlight w:val="none"/>
          <w14:textFill>
            <w14:solidFill>
              <w14:schemeClr w14:val="tx1"/>
            </w14:solidFill>
          </w14:textFill>
        </w:rPr>
        <w:t>4</w:t>
      </w:r>
      <w:r>
        <w:rPr>
          <w:rFonts w:hint="eastAsia" w:ascii="宋体" w:hAnsi="宋体"/>
          <w:b/>
          <w:bCs/>
          <w:color w:val="000000" w:themeColor="text1"/>
          <w:szCs w:val="21"/>
          <w:highlight w:val="none"/>
          <w14:textFill>
            <w14:solidFill>
              <w14:schemeClr w14:val="tx1"/>
            </w14:solidFill>
          </w14:textFill>
        </w:rPr>
        <w:t>）检票及客服服务方案分</w:t>
      </w:r>
      <w:r>
        <w:rPr>
          <w:rFonts w:ascii="宋体" w:hAnsi="宋体"/>
          <w:b/>
          <w:bCs/>
          <w:color w:val="000000" w:themeColor="text1"/>
          <w:szCs w:val="21"/>
          <w:highlight w:val="none"/>
          <w14:textFill>
            <w14:solidFill>
              <w14:schemeClr w14:val="tx1"/>
            </w14:solidFill>
          </w14:textFill>
        </w:rPr>
        <w:t>（满分</w:t>
      </w:r>
      <w:r>
        <w:rPr>
          <w:rFonts w:hint="eastAsia" w:ascii="宋体" w:hAnsi="宋体"/>
          <w:b/>
          <w:bCs/>
          <w:color w:val="000000" w:themeColor="text1"/>
          <w:szCs w:val="21"/>
          <w:highlight w:val="none"/>
          <w:lang w:val="en-US" w:eastAsia="zh-CN"/>
          <w14:textFill>
            <w14:solidFill>
              <w14:schemeClr w14:val="tx1"/>
            </w14:solidFill>
          </w14:textFill>
        </w:rPr>
        <w:t>6</w:t>
      </w:r>
      <w:r>
        <w:rPr>
          <w:rFonts w:ascii="宋体" w:hAnsi="宋体"/>
          <w:b/>
          <w:bCs/>
          <w:color w:val="000000" w:themeColor="text1"/>
          <w:szCs w:val="21"/>
          <w:highlight w:val="none"/>
          <w14:textFill>
            <w14:solidFill>
              <w14:schemeClr w14:val="tx1"/>
            </w14:solidFill>
          </w14:textFill>
        </w:rPr>
        <w:t>分）</w:t>
      </w:r>
    </w:p>
    <w:p>
      <w:pPr>
        <w:spacing w:line="360" w:lineRule="auto"/>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一档（</w:t>
      </w:r>
      <w:r>
        <w:rPr>
          <w:rFonts w:hint="eastAsia" w:ascii="宋体" w:hAnsi="宋体"/>
          <w:bCs/>
          <w:color w:val="000000" w:themeColor="text1"/>
          <w:szCs w:val="21"/>
          <w:highlight w:val="none"/>
          <w:lang w:val="en-US" w:eastAsia="zh-CN"/>
          <w14:textFill>
            <w14:solidFill>
              <w14:schemeClr w14:val="tx1"/>
            </w14:solidFill>
          </w14:textFill>
        </w:rPr>
        <w:t>2</w:t>
      </w:r>
      <w:r>
        <w:rPr>
          <w:rFonts w:hint="eastAsia" w:ascii="宋体" w:hAnsi="宋体"/>
          <w:bCs/>
          <w:color w:val="000000" w:themeColor="text1"/>
          <w:szCs w:val="21"/>
          <w:highlight w:val="none"/>
          <w14:textFill>
            <w14:solidFill>
              <w14:schemeClr w14:val="tx1"/>
            </w14:solidFill>
          </w14:textFill>
        </w:rPr>
        <w:t>分）：方案满足采购需求；</w:t>
      </w:r>
    </w:p>
    <w:p>
      <w:pPr>
        <w:spacing w:line="360" w:lineRule="auto"/>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二档（</w:t>
      </w:r>
      <w:r>
        <w:rPr>
          <w:rFonts w:hint="eastAsia" w:ascii="宋体" w:hAnsi="宋体"/>
          <w:bCs/>
          <w:color w:val="000000" w:themeColor="text1"/>
          <w:szCs w:val="21"/>
          <w:highlight w:val="none"/>
          <w:lang w:val="en-US" w:eastAsia="zh-CN"/>
          <w14:textFill>
            <w14:solidFill>
              <w14:schemeClr w14:val="tx1"/>
            </w14:solidFill>
          </w14:textFill>
        </w:rPr>
        <w:t>4</w:t>
      </w:r>
      <w:r>
        <w:rPr>
          <w:rFonts w:hint="eastAsia" w:ascii="宋体" w:hAnsi="宋体"/>
          <w:bCs/>
          <w:color w:val="000000" w:themeColor="text1"/>
          <w:szCs w:val="21"/>
          <w:highlight w:val="none"/>
          <w14:textFill>
            <w14:solidFill>
              <w14:schemeClr w14:val="tx1"/>
            </w14:solidFill>
          </w14:textFill>
        </w:rPr>
        <w:t>分）：方案内容完整，有针对性；服务方案详细、完善、可行，检票、客服等工作贴合项目实际情况，方案</w:t>
      </w:r>
      <w:r>
        <w:rPr>
          <w:rFonts w:hint="eastAsia"/>
          <w:color w:val="000000" w:themeColor="text1"/>
          <w:highlight w:val="none"/>
          <w14:textFill>
            <w14:solidFill>
              <w14:schemeClr w14:val="tx1"/>
            </w14:solidFill>
          </w14:textFill>
        </w:rPr>
        <w:t>存在1-</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项优于采购需求内容。</w:t>
      </w:r>
    </w:p>
    <w:p>
      <w:pPr>
        <w:spacing w:line="360" w:lineRule="auto"/>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三档（</w:t>
      </w:r>
      <w:r>
        <w:rPr>
          <w:rFonts w:hint="eastAsia" w:ascii="宋体" w:hAnsi="宋体"/>
          <w:bCs/>
          <w:color w:val="000000" w:themeColor="text1"/>
          <w:szCs w:val="21"/>
          <w:highlight w:val="none"/>
          <w:lang w:val="en-US" w:eastAsia="zh-CN"/>
          <w14:textFill>
            <w14:solidFill>
              <w14:schemeClr w14:val="tx1"/>
            </w14:solidFill>
          </w14:textFill>
        </w:rPr>
        <w:t>6</w:t>
      </w:r>
      <w:r>
        <w:rPr>
          <w:rFonts w:hint="eastAsia" w:ascii="宋体" w:hAnsi="宋体"/>
          <w:bCs/>
          <w:color w:val="000000" w:themeColor="text1"/>
          <w:szCs w:val="21"/>
          <w:highlight w:val="none"/>
          <w14:textFill>
            <w14:solidFill>
              <w14:schemeClr w14:val="tx1"/>
            </w14:solidFill>
          </w14:textFill>
        </w:rPr>
        <w:t>分）：在满足二档的基础上，能够针对本项目的特定环境和实际情况，为观众提供高效、便捷、有序、友好的检票服务，服务方案内容详实合理、服务标准明确，服务特色亮点多，接待工作流程完善具体。服务方案存在3项或以上优于采购需求内容。</w:t>
      </w:r>
    </w:p>
    <w:p>
      <w:pPr>
        <w:spacing w:line="360" w:lineRule="auto"/>
        <w:jc w:val="lef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w:t>
      </w:r>
      <w:r>
        <w:rPr>
          <w:rFonts w:ascii="宋体" w:hAnsi="宋体"/>
          <w:b/>
          <w:bCs/>
          <w:color w:val="000000" w:themeColor="text1"/>
          <w:szCs w:val="21"/>
          <w:highlight w:val="none"/>
          <w14:textFill>
            <w14:solidFill>
              <w14:schemeClr w14:val="tx1"/>
            </w14:solidFill>
          </w14:textFill>
        </w:rPr>
        <w:t>5</w:t>
      </w:r>
      <w:r>
        <w:rPr>
          <w:rFonts w:hint="eastAsia" w:ascii="宋体" w:hAnsi="宋体"/>
          <w:b/>
          <w:bCs/>
          <w:color w:val="000000" w:themeColor="text1"/>
          <w:szCs w:val="21"/>
          <w:highlight w:val="none"/>
          <w14:textFill>
            <w14:solidFill>
              <w14:schemeClr w14:val="tx1"/>
            </w14:solidFill>
          </w14:textFill>
        </w:rPr>
        <w:t>）会务服务方案分</w:t>
      </w:r>
      <w:r>
        <w:rPr>
          <w:rFonts w:ascii="宋体" w:hAnsi="宋体"/>
          <w:b/>
          <w:bCs/>
          <w:color w:val="000000" w:themeColor="text1"/>
          <w:szCs w:val="21"/>
          <w:highlight w:val="none"/>
          <w14:textFill>
            <w14:solidFill>
              <w14:schemeClr w14:val="tx1"/>
            </w14:solidFill>
          </w14:textFill>
        </w:rPr>
        <w:t>（满分5分）</w:t>
      </w:r>
    </w:p>
    <w:p>
      <w:pPr>
        <w:keepNext w:val="0"/>
        <w:keepLines w:val="0"/>
        <w:pageBreakBefore w:val="0"/>
        <w:kinsoku/>
        <w:wordWrap/>
        <w:overflowPunct/>
        <w:topLinePunct w:val="0"/>
        <w:autoSpaceDE/>
        <w:autoSpaceDN/>
        <w:bidi w:val="0"/>
        <w:adjustRightInd w:val="0"/>
        <w:snapToGrid w:val="0"/>
        <w:spacing w:line="380" w:lineRule="exact"/>
        <w:textAlignment w:val="auto"/>
        <w:outlineLvl w:val="0"/>
        <w:rPr>
          <w:rFonts w:hint="eastAsia" w:ascii="宋体" w:hAnsi="宋体" w:eastAsia="宋体"/>
          <w:bCs/>
          <w:color w:val="000000" w:themeColor="text1"/>
          <w:szCs w:val="21"/>
          <w:highlight w:val="none"/>
          <w:lang w:eastAsia="zh-CN"/>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一档（</w:t>
      </w:r>
      <w:r>
        <w:rPr>
          <w:rFonts w:ascii="宋体" w:hAnsi="宋体"/>
          <w:bCs/>
          <w:color w:val="000000" w:themeColor="text1"/>
          <w:szCs w:val="21"/>
          <w:highlight w:val="none"/>
          <w14:textFill>
            <w14:solidFill>
              <w14:schemeClr w14:val="tx1"/>
            </w14:solidFill>
          </w14:textFill>
        </w:rPr>
        <w:t>1</w:t>
      </w:r>
      <w:r>
        <w:rPr>
          <w:rFonts w:hint="eastAsia" w:ascii="宋体" w:hAnsi="宋体"/>
          <w:bCs/>
          <w:color w:val="000000" w:themeColor="text1"/>
          <w:szCs w:val="21"/>
          <w:highlight w:val="none"/>
          <w14:textFill>
            <w14:solidFill>
              <w14:schemeClr w14:val="tx1"/>
            </w14:solidFill>
          </w14:textFill>
        </w:rPr>
        <w:t>分）：方案满足采购需求</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内容简略，覆盖了会务服务的基本框架，但未能紧密结合本项目特点，缺乏具体的实施细节和操作步骤；</w:t>
      </w:r>
    </w:p>
    <w:p>
      <w:pPr>
        <w:spacing w:line="360" w:lineRule="auto"/>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二档（</w:t>
      </w:r>
      <w:r>
        <w:rPr>
          <w:rFonts w:ascii="宋体" w:hAnsi="宋体"/>
          <w:bCs/>
          <w:color w:val="000000" w:themeColor="text1"/>
          <w:szCs w:val="21"/>
          <w:highlight w:val="none"/>
          <w14:textFill>
            <w14:solidFill>
              <w14:schemeClr w14:val="tx1"/>
            </w14:solidFill>
          </w14:textFill>
        </w:rPr>
        <w:t>3</w:t>
      </w:r>
      <w:r>
        <w:rPr>
          <w:rFonts w:hint="eastAsia" w:ascii="宋体" w:hAnsi="宋体"/>
          <w:bCs/>
          <w:color w:val="000000" w:themeColor="text1"/>
          <w:szCs w:val="21"/>
          <w:highlight w:val="none"/>
          <w14:textFill>
            <w14:solidFill>
              <w14:schemeClr w14:val="tx1"/>
            </w14:solidFill>
          </w14:textFill>
        </w:rPr>
        <w:t>分）：方案内容完整，有服务工作计划，服务方案</w:t>
      </w:r>
      <w:r>
        <w:rPr>
          <w:rFonts w:hint="eastAsia"/>
          <w:color w:val="000000" w:themeColor="text1"/>
          <w:highlight w:val="none"/>
          <w14:textFill>
            <w14:solidFill>
              <w14:schemeClr w14:val="tx1"/>
            </w14:solidFill>
          </w14:textFill>
        </w:rPr>
        <w:t>存在1-</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项优于采购需求内容</w:t>
      </w:r>
      <w:r>
        <w:rPr>
          <w:rFonts w:hint="eastAsia"/>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内容设计合理，逻辑清晰，步骤明确，有工作计划，针对会前会中会后等不同阶段，均制定了专门的服务方案，建立有完善的会务应急保障制度</w:t>
      </w:r>
      <w:r>
        <w:rPr>
          <w:rFonts w:hint="eastAsia"/>
          <w:color w:val="000000" w:themeColor="text1"/>
          <w:highlight w:val="none"/>
          <w14:textFill>
            <w14:solidFill>
              <w14:schemeClr w14:val="tx1"/>
            </w14:solidFill>
          </w14:textFill>
        </w:rPr>
        <w:t>。</w:t>
      </w:r>
    </w:p>
    <w:p>
      <w:pPr>
        <w:pStyle w:val="71"/>
        <w:keepNext w:val="0"/>
        <w:keepLines w:val="0"/>
        <w:pageBreakBefore w:val="0"/>
        <w:kinsoku/>
        <w:wordWrap/>
        <w:overflowPunct/>
        <w:topLinePunct w:val="0"/>
        <w:bidi w:val="0"/>
        <w:spacing w:line="380" w:lineRule="exact"/>
        <w:ind w:left="0" w:leftChars="0" w:firstLine="0" w:firstLineChars="0"/>
        <w:textAlignment w:val="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三档（</w:t>
      </w:r>
      <w:r>
        <w:rPr>
          <w:rFonts w:ascii="宋体" w:hAnsi="宋体"/>
          <w:bCs/>
          <w:color w:val="000000" w:themeColor="text1"/>
          <w:szCs w:val="21"/>
          <w:highlight w:val="none"/>
          <w14:textFill>
            <w14:solidFill>
              <w14:schemeClr w14:val="tx1"/>
            </w14:solidFill>
          </w14:textFill>
        </w:rPr>
        <w:t>5</w:t>
      </w:r>
      <w:r>
        <w:rPr>
          <w:rFonts w:hint="eastAsia" w:ascii="宋体" w:hAnsi="宋体"/>
          <w:bCs/>
          <w:color w:val="000000" w:themeColor="text1"/>
          <w:szCs w:val="21"/>
          <w:highlight w:val="none"/>
          <w14:textFill>
            <w14:solidFill>
              <w14:schemeClr w14:val="tx1"/>
            </w14:solidFill>
          </w14:textFill>
        </w:rPr>
        <w:t>分）：方案内容详实、完整，</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涵盖了会务服务的各个方面，</w:t>
      </w:r>
      <w:r>
        <w:rPr>
          <w:rFonts w:hint="eastAsia" w:ascii="宋体" w:hAnsi="宋体"/>
          <w:bCs/>
          <w:color w:val="000000" w:themeColor="text1"/>
          <w:szCs w:val="21"/>
          <w:highlight w:val="none"/>
          <w14:textFill>
            <w14:solidFill>
              <w14:schemeClr w14:val="tx1"/>
            </w14:solidFill>
          </w14:textFill>
        </w:rPr>
        <w:t>切合项目实际需求，存在</w:t>
      </w:r>
      <w:r>
        <w:rPr>
          <w:rFonts w:ascii="宋体" w:hAnsi="宋体"/>
          <w:bCs/>
          <w:color w:val="000000" w:themeColor="text1"/>
          <w:szCs w:val="21"/>
          <w:highlight w:val="none"/>
          <w14:textFill>
            <w14:solidFill>
              <w14:schemeClr w14:val="tx1"/>
            </w14:solidFill>
          </w14:textFill>
        </w:rPr>
        <w:t>3</w:t>
      </w:r>
      <w:r>
        <w:rPr>
          <w:rFonts w:hint="eastAsia" w:ascii="宋体" w:hAnsi="宋体"/>
          <w:bCs/>
          <w:color w:val="000000" w:themeColor="text1"/>
          <w:szCs w:val="21"/>
          <w:highlight w:val="none"/>
          <w14:textFill>
            <w14:solidFill>
              <w14:schemeClr w14:val="tx1"/>
            </w14:solidFill>
          </w14:textFill>
        </w:rPr>
        <w:t>项或以上优于采购需求内容</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从场地布置到技术协助，均有详尽的规划，方案有亮点，融入创新服务措施，方案紧密结合本项目特点定制服务流程及应急保障制度，对会务保障要点展开了详细的阐述，同时工作计划科学合理，充分考虑实际操作中的可行性和效率。</w:t>
      </w:r>
    </w:p>
    <w:p>
      <w:pPr>
        <w:spacing w:line="360" w:lineRule="auto"/>
        <w:jc w:val="left"/>
        <w:rPr>
          <w:rFonts w:ascii="宋体" w:hAnsi="宋体"/>
          <w:b/>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w:t>
      </w:r>
      <w:r>
        <w:rPr>
          <w:rFonts w:ascii="宋体" w:hAnsi="宋体"/>
          <w:b/>
          <w:color w:val="000000" w:themeColor="text1"/>
          <w:szCs w:val="21"/>
          <w:highlight w:val="none"/>
          <w14:textFill>
            <w14:solidFill>
              <w14:schemeClr w14:val="tx1"/>
            </w14:solidFill>
          </w14:textFill>
        </w:rPr>
        <w:t>6</w:t>
      </w:r>
      <w:r>
        <w:rPr>
          <w:rFonts w:hint="eastAsia" w:ascii="宋体" w:hAnsi="宋体"/>
          <w:b/>
          <w:color w:val="000000" w:themeColor="text1"/>
          <w:szCs w:val="21"/>
          <w:highlight w:val="none"/>
          <w14:textFill>
            <w14:solidFill>
              <w14:schemeClr w14:val="tx1"/>
            </w14:solidFill>
          </w14:textFill>
        </w:rPr>
        <w:t>）应急服务方案分</w:t>
      </w:r>
      <w:r>
        <w:rPr>
          <w:rFonts w:ascii="宋体" w:hAnsi="宋体"/>
          <w:b/>
          <w:bCs/>
          <w:color w:val="000000" w:themeColor="text1"/>
          <w:szCs w:val="21"/>
          <w:highlight w:val="none"/>
          <w14:textFill>
            <w14:solidFill>
              <w14:schemeClr w14:val="tx1"/>
            </w14:solidFill>
          </w14:textFill>
        </w:rPr>
        <w:t>（满分5分）</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一档（1分）：</w:t>
      </w:r>
      <w:r>
        <w:rPr>
          <w:rFonts w:hint="eastAsia" w:ascii="宋体" w:hAnsi="宋体"/>
          <w:bCs/>
          <w:color w:val="000000" w:themeColor="text1"/>
          <w:szCs w:val="21"/>
          <w:highlight w:val="none"/>
          <w14:textFill>
            <w14:solidFill>
              <w14:schemeClr w14:val="tx1"/>
            </w14:solidFill>
          </w14:textFill>
        </w:rPr>
        <w:t>方案满足采购需求</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能够覆盖本项目应急的关键要点，但内容简略</w:t>
      </w:r>
      <w:r>
        <w:rPr>
          <w:rFonts w:hint="eastAsia" w:ascii="宋体" w:hAnsi="宋体"/>
          <w:bCs/>
          <w:color w:val="000000" w:themeColor="text1"/>
          <w:szCs w:val="21"/>
          <w:highlight w:val="none"/>
          <w14:textFill>
            <w14:solidFill>
              <w14:schemeClr w14:val="tx1"/>
            </w14:solidFill>
          </w14:textFill>
        </w:rPr>
        <w:t>；</w:t>
      </w:r>
    </w:p>
    <w:p>
      <w:pPr>
        <w:spacing w:line="360" w:lineRule="auto"/>
        <w:contextualSpacing/>
        <w:rPr>
          <w:rFonts w:hint="eastAsia" w:ascii="宋体" w:hAnsi="宋体"/>
          <w:strike/>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二档（</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分）：方案内容</w:t>
      </w:r>
      <w:r>
        <w:rPr>
          <w:rFonts w:hint="eastAsia" w:ascii="宋体" w:hAnsi="宋体"/>
          <w:bCs/>
          <w:color w:val="000000" w:themeColor="text1"/>
          <w:szCs w:val="21"/>
          <w:highlight w:val="none"/>
          <w14:textFill>
            <w14:solidFill>
              <w14:schemeClr w14:val="tx1"/>
            </w14:solidFill>
          </w14:textFill>
        </w:rPr>
        <w:t>有应急处置流程、措施完善具体，具有基本可行的保障措施</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应急人员安排合理，有一定的职责划分和响应机制</w:t>
      </w:r>
      <w:r>
        <w:rPr>
          <w:rFonts w:hint="eastAsia" w:ascii="宋体" w:hAnsi="宋体"/>
          <w:bCs/>
          <w:color w:val="000000" w:themeColor="text1"/>
          <w:szCs w:val="21"/>
          <w:highlight w:val="none"/>
          <w14:textFill>
            <w14:solidFill>
              <w14:schemeClr w14:val="tx1"/>
            </w14:solidFill>
          </w14:textFill>
        </w:rPr>
        <w:t>。</w:t>
      </w:r>
    </w:p>
    <w:p>
      <w:pPr>
        <w:spacing w:line="360" w:lineRule="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三档（</w:t>
      </w: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w:t>
      </w:r>
      <w:r>
        <w:rPr>
          <w:rFonts w:hint="eastAsia" w:ascii="宋体" w:hAnsi="宋体"/>
          <w:color w:val="000000" w:themeColor="text1"/>
          <w:highlight w:val="none"/>
          <w14:textFill>
            <w14:solidFill>
              <w14:schemeClr w14:val="tx1"/>
            </w14:solidFill>
          </w14:textFill>
        </w:rPr>
        <w:t>在满足二档的基础上，</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应急预案内容完整且详细，覆盖所有可能的应急情况，</w:t>
      </w:r>
      <w:r>
        <w:rPr>
          <w:rFonts w:hint="eastAsia" w:ascii="宋体" w:hAnsi="宋体" w:cs="宋体"/>
          <w:bCs/>
          <w:color w:val="000000" w:themeColor="text1"/>
          <w:szCs w:val="21"/>
          <w:highlight w:val="none"/>
          <w14:textFill>
            <w14:solidFill>
              <w14:schemeClr w14:val="tx1"/>
            </w14:solidFill>
          </w14:textFill>
        </w:rPr>
        <w:t>人员安排、设备、响应时间等方面能高效高质的应对突发事件，有定期的培训及演练计划，能结合本项目特点作出有针对性的方案。</w:t>
      </w:r>
    </w:p>
    <w:p>
      <w:pPr>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w:t>
      </w:r>
      <w:r>
        <w:rPr>
          <w:rFonts w:ascii="宋体" w:hAnsi="宋体" w:cs="宋体"/>
          <w:b/>
          <w:bCs/>
          <w:color w:val="000000" w:themeColor="text1"/>
          <w:szCs w:val="21"/>
          <w:highlight w:val="none"/>
          <w14:textFill>
            <w14:solidFill>
              <w14:schemeClr w14:val="tx1"/>
            </w14:solidFill>
          </w14:textFill>
        </w:rPr>
        <w:t>7</w:t>
      </w:r>
      <w:r>
        <w:rPr>
          <w:rFonts w:hint="eastAsia" w:ascii="宋体" w:hAnsi="宋体" w:cs="宋体"/>
          <w:b/>
          <w:bCs/>
          <w:color w:val="000000" w:themeColor="text1"/>
          <w:szCs w:val="21"/>
          <w:highlight w:val="none"/>
          <w14:textFill>
            <w14:solidFill>
              <w14:schemeClr w14:val="tx1"/>
            </w14:solidFill>
          </w14:textFill>
        </w:rPr>
        <w:t>）管理规章制度与档案管理制度分</w:t>
      </w:r>
      <w:r>
        <w:rPr>
          <w:rFonts w:ascii="宋体" w:hAnsi="宋体"/>
          <w:b/>
          <w:bCs/>
          <w:color w:val="000000" w:themeColor="text1"/>
          <w:szCs w:val="21"/>
          <w:highlight w:val="none"/>
          <w14:textFill>
            <w14:solidFill>
              <w14:schemeClr w14:val="tx1"/>
            </w14:solidFill>
          </w14:textFill>
        </w:rPr>
        <w:t>（满分5分）</w:t>
      </w:r>
    </w:p>
    <w:p>
      <w:pPr>
        <w:pStyle w:val="498"/>
        <w:spacing w:line="42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r>
        <w:rPr>
          <w:rFonts w:hint="eastAsia"/>
          <w:bCs/>
          <w:color w:val="000000" w:themeColor="text1"/>
          <w:highlight w:val="none"/>
          <w14:textFill>
            <w14:solidFill>
              <w14:schemeClr w14:val="tx1"/>
            </w14:solidFill>
          </w14:textFill>
        </w:rPr>
        <w:t>档（1分）：</w:t>
      </w:r>
      <w:r>
        <w:rPr>
          <w:rFonts w:hint="eastAsia"/>
          <w:color w:val="000000" w:themeColor="text1"/>
          <w:highlight w:val="none"/>
          <w14:textFill>
            <w14:solidFill>
              <w14:schemeClr w14:val="tx1"/>
            </w14:solidFill>
          </w14:textFill>
        </w:rPr>
        <w:t>有相关规章管理制度与档案管理制度，内容粗略，无针对性；</w:t>
      </w:r>
    </w:p>
    <w:p>
      <w:pPr>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二档（</w:t>
      </w:r>
      <w:r>
        <w:rPr>
          <w:rFonts w:ascii="宋体" w:hAnsi="宋体"/>
          <w:bCs/>
          <w:color w:val="000000" w:themeColor="text1"/>
          <w:szCs w:val="21"/>
          <w:highlight w:val="none"/>
          <w14:textFill>
            <w14:solidFill>
              <w14:schemeClr w14:val="tx1"/>
            </w14:solidFill>
          </w14:textFill>
        </w:rPr>
        <w:t>3</w:t>
      </w:r>
      <w:r>
        <w:rPr>
          <w:rFonts w:hint="eastAsia" w:ascii="宋体" w:hAnsi="宋体"/>
          <w:bCs/>
          <w:color w:val="000000" w:themeColor="text1"/>
          <w:szCs w:val="21"/>
          <w:highlight w:val="none"/>
          <w14:textFill>
            <w14:solidFill>
              <w14:schemeClr w14:val="tx1"/>
            </w14:solidFill>
          </w14:textFill>
        </w:rPr>
        <w:t>分）：建立完善的规章管理制度与档案管理制度，满足项目服务需求。</w:t>
      </w:r>
    </w:p>
    <w:p>
      <w:pPr>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三档（</w:t>
      </w:r>
      <w:r>
        <w:rPr>
          <w:rFonts w:ascii="宋体" w:hAnsi="宋体"/>
          <w:bCs/>
          <w:color w:val="000000" w:themeColor="text1"/>
          <w:szCs w:val="21"/>
          <w:highlight w:val="none"/>
          <w14:textFill>
            <w14:solidFill>
              <w14:schemeClr w14:val="tx1"/>
            </w14:solidFill>
          </w14:textFill>
        </w:rPr>
        <w:t>5</w:t>
      </w:r>
      <w:r>
        <w:rPr>
          <w:rFonts w:hint="eastAsia" w:ascii="宋体" w:hAnsi="宋体"/>
          <w:bCs/>
          <w:color w:val="000000" w:themeColor="text1"/>
          <w:szCs w:val="21"/>
          <w:highlight w:val="none"/>
          <w14:textFill>
            <w14:solidFill>
              <w14:schemeClr w14:val="tx1"/>
            </w14:solidFill>
          </w14:textFill>
        </w:rPr>
        <w:t>分）：为本项目建立完善、详细、可行的规章管理制度与档案管理制度，其中巡视记录、运行档案、投诉与回访记录、其他管理服务活动记录等管理内容，完整、齐全、规范管理；档案收集、储存、使用等管理严格。</w:t>
      </w:r>
    </w:p>
    <w:p>
      <w:pPr>
        <w:spacing w:line="360" w:lineRule="auto"/>
        <w:jc w:val="left"/>
        <w:rPr>
          <w:rFonts w:ascii="宋体" w:hAnsi="宋体"/>
          <w:b/>
          <w:bCs/>
          <w:color w:val="000000" w:themeColor="text1"/>
          <w:szCs w:val="2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w:t>
      </w:r>
      <w:r>
        <w:rPr>
          <w:rFonts w:hAnsi="宋体"/>
          <w:b/>
          <w:bCs/>
          <w:color w:val="000000" w:themeColor="text1"/>
          <w:highlight w:val="none"/>
          <w14:textFill>
            <w14:solidFill>
              <w14:schemeClr w14:val="tx1"/>
            </w14:solidFill>
          </w14:textFill>
        </w:rPr>
        <w:t>8</w:t>
      </w:r>
      <w:r>
        <w:rPr>
          <w:rFonts w:hint="eastAsia" w:hAnsi="宋体"/>
          <w:b/>
          <w:bCs/>
          <w:color w:val="000000" w:themeColor="text1"/>
          <w:highlight w:val="none"/>
          <w14:textFill>
            <w14:solidFill>
              <w14:schemeClr w14:val="tx1"/>
            </w14:solidFill>
          </w14:textFill>
        </w:rPr>
        <w:t>）</w:t>
      </w:r>
      <w:r>
        <w:rPr>
          <w:rFonts w:hint="eastAsia" w:hAnsi="宋体" w:cs="宋体"/>
          <w:b/>
          <w:bCs/>
          <w:color w:val="000000" w:themeColor="text1"/>
          <w:highlight w:val="none"/>
          <w14:textFill>
            <w14:solidFill>
              <w14:schemeClr w14:val="tx1"/>
            </w14:solidFill>
          </w14:textFill>
        </w:rPr>
        <w:t>人员、物资配置方案分</w:t>
      </w:r>
      <w:r>
        <w:rPr>
          <w:rFonts w:ascii="宋体" w:hAnsi="宋体"/>
          <w:b/>
          <w:bCs/>
          <w:color w:val="000000" w:themeColor="text1"/>
          <w:szCs w:val="21"/>
          <w:highlight w:val="none"/>
          <w14:textFill>
            <w14:solidFill>
              <w14:schemeClr w14:val="tx1"/>
            </w14:solidFill>
          </w14:textFill>
        </w:rPr>
        <w:t>（满分5分）</w:t>
      </w:r>
    </w:p>
    <w:p>
      <w:pPr>
        <w:pStyle w:val="30"/>
        <w:adjustRightInd w:val="0"/>
        <w:spacing w:line="360" w:lineRule="auto"/>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由评审小组根据竞标文件相应内容独立在相应档次内打分。</w:t>
      </w:r>
      <w:r>
        <w:rPr>
          <w:rFonts w:hint="eastAsia" w:hAnsi="宋体"/>
          <w:color w:val="000000" w:themeColor="text1"/>
          <w:highlight w:val="none"/>
          <w14:textFill>
            <w14:solidFill>
              <w14:schemeClr w14:val="tx1"/>
            </w14:solidFill>
          </w14:textFill>
        </w:rPr>
        <w:t>包括：</w:t>
      </w:r>
      <w:r>
        <w:rPr>
          <w:rFonts w:hint="eastAsia" w:hAnsi="宋体" w:cs="宋体"/>
          <w:color w:val="000000" w:themeColor="text1"/>
          <w:highlight w:val="none"/>
          <w14:textFill>
            <w14:solidFill>
              <w14:schemeClr w14:val="tx1"/>
            </w14:solidFill>
          </w14:textFill>
        </w:rPr>
        <w:t>①</w:t>
      </w:r>
      <w:r>
        <w:rPr>
          <w:rFonts w:hint="eastAsia" w:hAnsi="宋体"/>
          <w:color w:val="000000" w:themeColor="text1"/>
          <w:highlight w:val="none"/>
          <w14:textFill>
            <w14:solidFill>
              <w14:schemeClr w14:val="tx1"/>
            </w14:solidFill>
          </w14:textFill>
        </w:rPr>
        <w:t>管理人员的配备（包括：项目经理简历，各类人员数量，文化素质和专业素质、各岗人员的配置）；</w:t>
      </w:r>
      <w:r>
        <w:rPr>
          <w:rFonts w:hint="eastAsia" w:hAnsi="宋体" w:cs="宋体"/>
          <w:color w:val="000000" w:themeColor="text1"/>
          <w:highlight w:val="none"/>
          <w14:textFill>
            <w14:solidFill>
              <w14:schemeClr w14:val="tx1"/>
            </w14:solidFill>
          </w14:textFill>
        </w:rPr>
        <w:t>②</w:t>
      </w:r>
      <w:r>
        <w:rPr>
          <w:rFonts w:hint="eastAsia" w:hAnsi="宋体"/>
          <w:color w:val="000000" w:themeColor="text1"/>
          <w:highlight w:val="none"/>
          <w14:textFill>
            <w14:solidFill>
              <w14:schemeClr w14:val="tx1"/>
            </w14:solidFill>
          </w14:textFill>
        </w:rPr>
        <w:t>管理人员的培训；</w:t>
      </w:r>
      <w:r>
        <w:rPr>
          <w:rFonts w:hint="eastAsia" w:hAnsi="宋体" w:cs="宋体"/>
          <w:color w:val="000000" w:themeColor="text1"/>
          <w:highlight w:val="none"/>
          <w14:textFill>
            <w14:solidFill>
              <w14:schemeClr w14:val="tx1"/>
            </w14:solidFill>
          </w14:textFill>
        </w:rPr>
        <w:t>③</w:t>
      </w:r>
      <w:r>
        <w:rPr>
          <w:rFonts w:hint="eastAsia" w:hAnsi="宋体"/>
          <w:color w:val="000000" w:themeColor="text1"/>
          <w:highlight w:val="none"/>
          <w14:textFill>
            <w14:solidFill>
              <w14:schemeClr w14:val="tx1"/>
            </w14:solidFill>
          </w14:textFill>
        </w:rPr>
        <w:t>管理人员的管理（包括：录用及考核，淘汰机制，协调关系，服务意识）；</w:t>
      </w:r>
      <w:r>
        <w:rPr>
          <w:rFonts w:hint="eastAsia" w:hAnsi="宋体"/>
          <w:bCs/>
          <w:color w:val="000000" w:themeColor="text1"/>
          <w:highlight w:val="none"/>
          <w14:textFill>
            <w14:solidFill>
              <w14:schemeClr w14:val="tx1"/>
            </w14:solidFill>
          </w14:textFill>
        </w:rPr>
        <w:t>④物资装备情况（包括：器械、交通工具以及通讯、安全防范装备以及办公用品等）等。</w:t>
      </w:r>
    </w:p>
    <w:p>
      <w:pPr>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一档（1分）：为本项目制订有人员、物资配置方案，人员、物资配置基本满足项目服务需求；</w:t>
      </w:r>
    </w:p>
    <w:p>
      <w:pPr>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二档（3分）：为本项目制订的人员、物资配置方案完整、详细，有针对性。投标人为本项目投入智能化人力资源人力分配调度系统（注：需提供相关证明文件）；</w:t>
      </w:r>
    </w:p>
    <w:p>
      <w:pPr>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三档（</w:t>
      </w:r>
      <w:r>
        <w:rPr>
          <w:rFonts w:ascii="宋体" w:hAnsi="宋体"/>
          <w:bCs/>
          <w:color w:val="000000" w:themeColor="text1"/>
          <w:szCs w:val="21"/>
          <w:highlight w:val="none"/>
          <w14:textFill>
            <w14:solidFill>
              <w14:schemeClr w14:val="tx1"/>
            </w14:solidFill>
          </w14:textFill>
        </w:rPr>
        <w:t>5</w:t>
      </w:r>
      <w:r>
        <w:rPr>
          <w:rFonts w:hint="eastAsia" w:ascii="宋体" w:hAnsi="宋体"/>
          <w:bCs/>
          <w:color w:val="000000" w:themeColor="text1"/>
          <w:szCs w:val="21"/>
          <w:highlight w:val="none"/>
          <w14:textFill>
            <w14:solidFill>
              <w14:schemeClr w14:val="tx1"/>
            </w14:solidFill>
          </w14:textFill>
        </w:rPr>
        <w:t>分）：在满足二档的基础上，为本项目制订有人员、物资配置方案，人员、物资配置方案详细、全面，可行、针对性、可操作性非常强，有多项优于采购方的需求。</w:t>
      </w:r>
      <w:r>
        <w:rPr>
          <w:rFonts w:ascii="宋体" w:hAnsi="宋体"/>
          <w:bCs/>
          <w:color w:val="000000" w:themeColor="text1"/>
          <w:szCs w:val="21"/>
          <w:highlight w:val="none"/>
          <w14:textFill>
            <w14:solidFill>
              <w14:schemeClr w14:val="tx1"/>
            </w14:solidFill>
          </w14:textFill>
        </w:rPr>
        <w:t>各类人员的培训有计划</w:t>
      </w:r>
      <w:r>
        <w:rPr>
          <w:rFonts w:hint="eastAsia" w:ascii="宋体" w:hAnsi="宋体"/>
          <w:bCs/>
          <w:color w:val="000000" w:themeColor="text1"/>
          <w:szCs w:val="21"/>
          <w:highlight w:val="none"/>
          <w14:textFill>
            <w14:solidFill>
              <w14:schemeClr w14:val="tx1"/>
            </w14:solidFill>
          </w14:textFill>
        </w:rPr>
        <w:t>，</w:t>
      </w:r>
      <w:r>
        <w:rPr>
          <w:rFonts w:ascii="宋体" w:hAnsi="宋体"/>
          <w:bCs/>
          <w:color w:val="000000" w:themeColor="text1"/>
          <w:szCs w:val="21"/>
          <w:highlight w:val="none"/>
          <w14:textFill>
            <w14:solidFill>
              <w14:schemeClr w14:val="tx1"/>
            </w14:solidFill>
          </w14:textFill>
        </w:rPr>
        <w:t>有考核方式及考核标准，服务人员的管理满足实际需要</w:t>
      </w:r>
      <w:r>
        <w:rPr>
          <w:rFonts w:hint="eastAsia" w:ascii="宋体" w:hAnsi="宋体"/>
          <w:bCs/>
          <w:color w:val="000000" w:themeColor="text1"/>
          <w:szCs w:val="21"/>
          <w:highlight w:val="none"/>
          <w14:textFill>
            <w14:solidFill>
              <w14:schemeClr w14:val="tx1"/>
            </w14:solidFill>
          </w14:textFill>
        </w:rPr>
        <w:t>，具备人员培训能力，对本项目做出详尽的培训计划及方案。</w:t>
      </w:r>
    </w:p>
    <w:p>
      <w:pPr>
        <w:spacing w:line="360" w:lineRule="auto"/>
        <w:jc w:val="left"/>
        <w:rPr>
          <w:rFonts w:ascii="宋体" w:hAnsi="宋体"/>
          <w:b/>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w:t>
      </w:r>
      <w:r>
        <w:rPr>
          <w:rFonts w:ascii="宋体" w:hAnsi="宋体" w:cs="宋体"/>
          <w:b/>
          <w:color w:val="000000" w:themeColor="text1"/>
          <w:szCs w:val="21"/>
          <w:highlight w:val="none"/>
          <w14:textFill>
            <w14:solidFill>
              <w14:schemeClr w14:val="tx1"/>
            </w14:solidFill>
          </w14:textFill>
        </w:rPr>
        <w:t>9</w:t>
      </w:r>
      <w:r>
        <w:rPr>
          <w:rFonts w:hint="eastAsia" w:ascii="宋体" w:hAnsi="宋体" w:cs="宋体"/>
          <w:b/>
          <w:color w:val="000000" w:themeColor="text1"/>
          <w:szCs w:val="21"/>
          <w:highlight w:val="none"/>
          <w14:textFill>
            <w14:solidFill>
              <w14:schemeClr w14:val="tx1"/>
            </w14:solidFill>
          </w14:textFill>
        </w:rPr>
        <w:t>）项目经费测算</w:t>
      </w:r>
      <w:r>
        <w:rPr>
          <w:rFonts w:ascii="宋体" w:hAnsi="宋体"/>
          <w:b/>
          <w:bCs/>
          <w:color w:val="000000" w:themeColor="text1"/>
          <w:szCs w:val="21"/>
          <w:highlight w:val="none"/>
          <w14:textFill>
            <w14:solidFill>
              <w14:schemeClr w14:val="tx1"/>
            </w14:solidFill>
          </w14:textFill>
        </w:rPr>
        <w:t>（满分5分）</w:t>
      </w:r>
      <w:r>
        <w:rPr>
          <w:rFonts w:hint="eastAsia" w:ascii="宋体" w:hAnsi="宋体" w:cs="宋体"/>
          <w:b/>
          <w:color w:val="000000" w:themeColor="text1"/>
          <w:szCs w:val="21"/>
          <w:highlight w:val="none"/>
          <w14:textFill>
            <w14:solidFill>
              <w14:schemeClr w14:val="tx1"/>
            </w14:solidFill>
          </w14:textFill>
        </w:rPr>
        <w:t xml:space="preserve"> </w:t>
      </w:r>
    </w:p>
    <w:p>
      <w:pP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由评委依据各投标人项目经费测算表中的各项经费测算的合理性、可行性、科学性以及和方案的对应性等方面综合评定。</w:t>
      </w:r>
    </w:p>
    <w:p>
      <w:pPr>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不能完全满足某一档次全部要求的，列入次低一档。</w:t>
      </w:r>
      <w:r>
        <w:rPr>
          <w:rFonts w:hint="eastAsia" w:ascii="宋体" w:hAnsi="宋体"/>
          <w:color w:val="000000" w:themeColor="text1"/>
          <w:szCs w:val="21"/>
          <w:highlight w:val="none"/>
          <w14:textFill>
            <w14:solidFill>
              <w14:schemeClr w14:val="tx1"/>
            </w14:solidFill>
          </w14:textFill>
        </w:rPr>
        <w:t>不提供相关内容或方案得0分。</w:t>
      </w:r>
    </w:p>
    <w:p>
      <w:pP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一档（1分）：项目经费测算中无明显低于国家及行业相关规定内容或无明显缺漏，但分类不够明细，合理性与可行性有欠缺；</w:t>
      </w:r>
    </w:p>
    <w:p>
      <w:pP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二档（</w:t>
      </w:r>
      <w:r>
        <w:rPr>
          <w:rFonts w:ascii="宋体" w:hAnsi="宋体"/>
          <w:bCs/>
          <w:color w:val="000000" w:themeColor="text1"/>
          <w:szCs w:val="21"/>
          <w:highlight w:val="none"/>
          <w14:textFill>
            <w14:solidFill>
              <w14:schemeClr w14:val="tx1"/>
            </w14:solidFill>
          </w14:textFill>
        </w:rPr>
        <w:t>3</w:t>
      </w:r>
      <w:r>
        <w:rPr>
          <w:rFonts w:hint="eastAsia" w:ascii="宋体" w:hAnsi="宋体"/>
          <w:bCs/>
          <w:color w:val="000000" w:themeColor="text1"/>
          <w:szCs w:val="21"/>
          <w:highlight w:val="none"/>
          <w14:textFill>
            <w14:solidFill>
              <w14:schemeClr w14:val="tx1"/>
            </w14:solidFill>
          </w14:textFill>
        </w:rPr>
        <w:t>分）：项目经费测算符合国家及行业相关规定，且分类明细，能够涵盖人员基本工资、社会统筹保险、节假日加班费、物资费用、劳保费用、管理费用、税费等，考虑周全；</w:t>
      </w:r>
    </w:p>
    <w:p>
      <w:pP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三档（</w:t>
      </w:r>
      <w:r>
        <w:rPr>
          <w:rFonts w:ascii="宋体" w:hAnsi="宋体"/>
          <w:bCs/>
          <w:color w:val="000000" w:themeColor="text1"/>
          <w:szCs w:val="21"/>
          <w:highlight w:val="none"/>
          <w14:textFill>
            <w14:solidFill>
              <w14:schemeClr w14:val="tx1"/>
            </w14:solidFill>
          </w14:textFill>
        </w:rPr>
        <w:t>5</w:t>
      </w:r>
      <w:r>
        <w:rPr>
          <w:rFonts w:hint="eastAsia" w:ascii="宋体" w:hAnsi="宋体"/>
          <w:bCs/>
          <w:color w:val="000000" w:themeColor="text1"/>
          <w:szCs w:val="21"/>
          <w:highlight w:val="none"/>
          <w14:textFill>
            <w14:solidFill>
              <w14:schemeClr w14:val="tx1"/>
            </w14:solidFill>
          </w14:textFill>
        </w:rPr>
        <w:t>分）：在二档基础上投标人的各项服务成本支出与项目实际需求契合度高，项目经费测算能够考虑到服务期间人力和相关物价波动，有较强的灵活性；提供的成本测算表、运营成本支出可操作性强。</w:t>
      </w:r>
    </w:p>
    <w:p>
      <w:pP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投标人需提供报价明细表，不提供的不得分。</w:t>
      </w:r>
    </w:p>
    <w:p>
      <w:pPr>
        <w:pStyle w:val="498"/>
        <w:adjustRightInd w:val="0"/>
        <w:snapToGrid w:val="0"/>
        <w:spacing w:line="360" w:lineRule="auto"/>
        <w:rPr>
          <w:b/>
          <w:bCs/>
          <w:color w:val="000000" w:themeColor="text1"/>
          <w:kern w:val="4"/>
          <w:highlight w:val="none"/>
          <w14:textFill>
            <w14:solidFill>
              <w14:schemeClr w14:val="tx1"/>
            </w14:solidFill>
          </w14:textFill>
        </w:rPr>
      </w:pPr>
      <w:r>
        <w:rPr>
          <w:rFonts w:hint="eastAsia"/>
          <w:b/>
          <w:bCs/>
          <w:color w:val="000000" w:themeColor="text1"/>
          <w:kern w:val="4"/>
          <w:highlight w:val="none"/>
          <w14:textFill>
            <w14:solidFill>
              <w14:schemeClr w14:val="tx1"/>
            </w14:solidFill>
          </w14:textFill>
        </w:rPr>
        <w:t>4.信誉分………………………………………………………………………………</w:t>
      </w:r>
      <w:r>
        <w:rPr>
          <w:b/>
          <w:bCs/>
          <w:color w:val="000000" w:themeColor="text1"/>
          <w:kern w:val="4"/>
          <w:highlight w:val="none"/>
          <w14:textFill>
            <w14:solidFill>
              <w14:schemeClr w14:val="tx1"/>
            </w14:solidFill>
          </w14:textFill>
        </w:rPr>
        <w:t>5</w:t>
      </w:r>
      <w:r>
        <w:rPr>
          <w:rFonts w:hint="eastAsia"/>
          <w:b/>
          <w:bCs/>
          <w:color w:val="000000" w:themeColor="text1"/>
          <w:kern w:val="4"/>
          <w:highlight w:val="none"/>
          <w14:textFill>
            <w14:solidFill>
              <w14:schemeClr w14:val="tx1"/>
            </w14:solidFill>
          </w14:textFill>
        </w:rPr>
        <w:t>分</w:t>
      </w:r>
    </w:p>
    <w:p>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（1）投标人通过ISO9001质量管理体系认证、ISO14001环境管理体系认证、ISO45001职业健康安全管理体系认证，每通过一项认证得</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分，</w:t>
      </w:r>
      <w:r>
        <w:rPr>
          <w:rFonts w:hint="eastAsia" w:ascii="宋体" w:hAnsi="宋体"/>
          <w:b/>
          <w:color w:val="000000" w:themeColor="text1"/>
          <w:szCs w:val="21"/>
          <w:highlight w:val="none"/>
          <w14:textFill>
            <w14:solidFill>
              <w14:schemeClr w14:val="tx1"/>
            </w14:solidFill>
          </w14:textFill>
        </w:rPr>
        <w:t>满分</w:t>
      </w:r>
      <w:r>
        <w:rPr>
          <w:rFonts w:ascii="宋体" w:hAnsi="宋体"/>
          <w:b/>
          <w:color w:val="000000" w:themeColor="text1"/>
          <w:szCs w:val="21"/>
          <w:highlight w:val="none"/>
          <w14:textFill>
            <w14:solidFill>
              <w14:schemeClr w14:val="tx1"/>
            </w14:solidFill>
          </w14:textFill>
        </w:rPr>
        <w:t>3</w:t>
      </w:r>
      <w:r>
        <w:rPr>
          <w:rFonts w:hint="eastAsia" w:ascii="宋体" w:hAnsi="宋体"/>
          <w:b/>
          <w:color w:val="000000" w:themeColor="text1"/>
          <w:szCs w:val="21"/>
          <w:highlight w:val="none"/>
          <w14:textFill>
            <w14:solidFill>
              <w14:schemeClr w14:val="tx1"/>
            </w14:solidFill>
          </w14:textFill>
        </w:rPr>
        <w:t>分</w:t>
      </w:r>
      <w:r>
        <w:rPr>
          <w:rFonts w:hint="eastAsia" w:ascii="宋体" w:hAnsi="宋体"/>
          <w:color w:val="000000" w:themeColor="text1"/>
          <w:szCs w:val="21"/>
          <w:highlight w:val="none"/>
          <w14:textFill>
            <w14:solidFill>
              <w14:schemeClr w14:val="tx1"/>
            </w14:solidFill>
          </w14:textFill>
        </w:rPr>
        <w:t>。（注：须提供相关有效认证证书复印件及国家市场监督管理局全国认证认可信息公共服务平台查询截图并加盖投标人公章，否则不得分。）</w:t>
      </w:r>
    </w:p>
    <w:p>
      <w:pPr>
        <w:pStyle w:val="498"/>
        <w:adjustRightInd w:val="0"/>
        <w:snapToGrid w:val="0"/>
        <w:spacing w:line="360" w:lineRule="auto"/>
        <w:ind w:firstLine="283" w:firstLineChars="13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hAnsi="Times New Roman" w:cs="宋体"/>
          <w:color w:val="000000" w:themeColor="text1"/>
          <w:highlight w:val="none"/>
          <w14:textFill>
            <w14:solidFill>
              <w14:schemeClr w14:val="tx1"/>
            </w14:solidFill>
          </w14:textFill>
        </w:rPr>
        <w:t>投标人近一年评价年度：纳税信用评级为A级或M级，或因成立年限不足3年而评级为B级，得</w:t>
      </w:r>
      <w:r>
        <w:rPr>
          <w:rFonts w:hAnsi="Times New Roman" w:cs="宋体"/>
          <w:color w:val="000000" w:themeColor="text1"/>
          <w:highlight w:val="none"/>
          <w14:textFill>
            <w14:solidFill>
              <w14:schemeClr w14:val="tx1"/>
            </w14:solidFill>
          </w14:textFill>
        </w:rPr>
        <w:t>2</w:t>
      </w:r>
      <w:r>
        <w:rPr>
          <w:rFonts w:hint="eastAsia" w:hAnsi="Times New Roman" w:cs="宋体"/>
          <w:color w:val="000000" w:themeColor="text1"/>
          <w:highlight w:val="none"/>
          <w14:textFill>
            <w14:solidFill>
              <w14:schemeClr w14:val="tx1"/>
            </w14:solidFill>
          </w14:textFill>
        </w:rPr>
        <w:t>分；除以上情况评级为B级的得</w:t>
      </w:r>
      <w:r>
        <w:rPr>
          <w:rFonts w:hint="eastAsia" w:hAnsi="Times New Roman" w:cs="宋体"/>
          <w:color w:val="000000" w:themeColor="text1"/>
          <w:highlight w:val="none"/>
          <w:lang w:val="en-US" w:eastAsia="zh-CN"/>
          <w14:textFill>
            <w14:solidFill>
              <w14:schemeClr w14:val="tx1"/>
            </w14:solidFill>
          </w14:textFill>
        </w:rPr>
        <w:t>1</w:t>
      </w:r>
      <w:r>
        <w:rPr>
          <w:rFonts w:hint="eastAsia" w:hAnsi="Times New Roman" w:cs="宋体"/>
          <w:color w:val="000000" w:themeColor="text1"/>
          <w:highlight w:val="none"/>
          <w14:textFill>
            <w14:solidFill>
              <w14:schemeClr w14:val="tx1"/>
            </w14:solidFill>
          </w14:textFill>
        </w:rPr>
        <w:t>分；其他不得分,</w:t>
      </w:r>
      <w:r>
        <w:rPr>
          <w:rFonts w:hint="eastAsia" w:hAnsi="Times New Roman" w:cs="宋体"/>
          <w:b/>
          <w:color w:val="000000" w:themeColor="text1"/>
          <w:highlight w:val="none"/>
          <w14:textFill>
            <w14:solidFill>
              <w14:schemeClr w14:val="tx1"/>
            </w14:solidFill>
          </w14:textFill>
        </w:rPr>
        <w:t>满分</w:t>
      </w:r>
      <w:r>
        <w:rPr>
          <w:rFonts w:hAnsi="Times New Roman" w:cs="宋体"/>
          <w:b/>
          <w:color w:val="000000" w:themeColor="text1"/>
          <w:highlight w:val="none"/>
          <w14:textFill>
            <w14:solidFill>
              <w14:schemeClr w14:val="tx1"/>
            </w14:solidFill>
          </w14:textFill>
        </w:rPr>
        <w:t>2</w:t>
      </w:r>
      <w:r>
        <w:rPr>
          <w:rFonts w:hint="eastAsia" w:hAnsi="Times New Roman" w:cs="宋体"/>
          <w:b/>
          <w:color w:val="000000" w:themeColor="text1"/>
          <w:highlight w:val="none"/>
          <w14:textFill>
            <w14:solidFill>
              <w14:schemeClr w14:val="tx1"/>
            </w14:solidFill>
          </w14:textFill>
        </w:rPr>
        <w:t>分</w:t>
      </w:r>
      <w:r>
        <w:rPr>
          <w:rFonts w:hint="eastAsia" w:hAnsi="Times New Roman" w:cs="宋体"/>
          <w:color w:val="000000" w:themeColor="text1"/>
          <w:highlight w:val="none"/>
          <w14:textFill>
            <w14:solidFill>
              <w14:schemeClr w14:val="tx1"/>
            </w14:solidFill>
          </w14:textFill>
        </w:rPr>
        <w:t>。（提供税务部门颁发的相关证书或其他有效证明复印件，原件备查）。</w:t>
      </w:r>
    </w:p>
    <w:p>
      <w:pPr>
        <w:pStyle w:val="498"/>
        <w:adjustRightInd w:val="0"/>
        <w:snapToGrid w:val="0"/>
        <w:spacing w:line="360" w:lineRule="auto"/>
        <w:ind w:firstLine="283" w:firstLineChars="13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（三）总得分＝1+2+3+4</w:t>
      </w:r>
    </w:p>
    <w:p>
      <w:pPr>
        <w:adjustRightInd w:val="0"/>
        <w:snapToGrid w:val="0"/>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三、中标候选人推荐原则</w:t>
      </w:r>
    </w:p>
    <w:p>
      <w:pPr>
        <w:adjustRightInd w:val="0"/>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（1）评标委员会将根据得分由高到低排列次序（</w:t>
      </w:r>
      <w:r>
        <w:rPr>
          <w:rFonts w:hint="eastAsia" w:ascii="宋体" w:hAnsi="宋体" w:cs="宋体"/>
          <w:b/>
          <w:color w:val="000000" w:themeColor="text1"/>
          <w:szCs w:val="21"/>
          <w:highlight w:val="none"/>
          <w14:textFill>
            <w14:solidFill>
              <w14:schemeClr w14:val="tx1"/>
            </w14:solidFill>
          </w14:textFill>
        </w:rPr>
        <w:t>得分相同时，以投标报价由低到高顺序排列；得分相同且投标报价相同的，按服务方案优劣顺序排列</w:t>
      </w:r>
      <w:r>
        <w:rPr>
          <w:rFonts w:hint="eastAsia" w:ascii="宋体" w:hAnsi="宋体" w:cs="宋体"/>
          <w:color w:val="000000" w:themeColor="text1"/>
          <w:szCs w:val="21"/>
          <w:highlight w:val="none"/>
          <w14:textFill>
            <w14:solidFill>
              <w14:schemeClr w14:val="tx1"/>
            </w14:solidFill>
          </w14:textFill>
        </w:rPr>
        <w:t>）并推荐中标候选人3名。得分最高的中标候选人（得分相同时，以投标报价由低到高顺序排列；得分相同且投标报价相同的，按服务方案优劣顺序排列）为中标人。采购人应当确定评审委员会推荐排名第一的中标候选人为中标人。</w:t>
      </w:r>
    </w:p>
    <w:p>
      <w:pPr>
        <w:adjustRightInd w:val="0"/>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排名第一的中标候选人放弃中标、因不可抗力提出不能履行合同，或者招标文件规定应当提交</w:t>
      </w:r>
      <w:r>
        <w:rPr>
          <w:rFonts w:hint="eastAsia" w:ascii="宋体" w:hAnsi="宋体" w:cs="宋体"/>
          <w:color w:val="000000" w:themeColor="text1"/>
          <w:szCs w:val="21"/>
          <w:highlight w:val="none"/>
          <w:lang w:eastAsia="zh-CN"/>
          <w14:textFill>
            <w14:solidFill>
              <w14:schemeClr w14:val="tx1"/>
            </w14:solidFill>
          </w14:textFill>
        </w:rPr>
        <w:t>履约</w:t>
      </w:r>
      <w:r>
        <w:rPr>
          <w:rFonts w:hint="eastAsia" w:ascii="宋体" w:hAnsi="宋体" w:cs="宋体"/>
          <w:color w:val="000000" w:themeColor="text1"/>
          <w:szCs w:val="21"/>
          <w:highlight w:val="none"/>
          <w14:textFill>
            <w14:solidFill>
              <w14:schemeClr w14:val="tx1"/>
            </w14:solidFill>
          </w14:textFill>
        </w:rPr>
        <w:t>保证金而在规定的期限内未能提交的，采购人可以确定排名第二的中标候选人为中标人。排名第二的中标候选人因前款规定的同样原因不能签订合同的，采购人可以确定排名第三的中标候选人为中标人，其余以此类推。</w:t>
      </w:r>
    </w:p>
    <w:p>
      <w:pPr>
        <w:autoSpaceDE w:val="0"/>
        <w:autoSpaceDN w:val="0"/>
        <w:adjustRightInd w:val="0"/>
        <w:snapToGrid w:val="0"/>
        <w:spacing w:line="360" w:lineRule="auto"/>
        <w:ind w:firstLine="315" w:firstLineChars="15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rPr>
          <w:rFonts w:hint="eastAsia"/>
          <w:color w:val="000000" w:themeColor="text1"/>
          <w:highlight w:val="none"/>
          <w:lang w:val="en-US" w:eastAsia="zh-CN"/>
          <w14:textFill>
            <w14:solidFill>
              <w14:schemeClr w14:val="tx1"/>
            </w14:solidFill>
          </w14:textFill>
        </w:rPr>
      </w:pPr>
    </w:p>
    <w:p>
      <w:pPr>
        <w:autoSpaceDE w:val="0"/>
        <w:autoSpaceDN w:val="0"/>
        <w:adjustRightInd w:val="0"/>
        <w:snapToGrid w:val="0"/>
        <w:spacing w:line="400" w:lineRule="exact"/>
        <w:ind w:firstLine="315" w:firstLineChars="150"/>
        <w:jc w:val="center"/>
        <w:rPr>
          <w:rFonts w:hint="eastAsia" w:ascii="仿宋_GB2312" w:hAnsi="宋体" w:eastAsia="仿宋_GB2312"/>
          <w:b/>
          <w:color w:val="000000" w:themeColor="text1"/>
          <w:sz w:val="44"/>
          <w:szCs w:val="44"/>
          <w:highlight w:val="none"/>
          <w14:textFill>
            <w14:solidFill>
              <w14:schemeClr w14:val="tx1"/>
            </w14:solidFill>
          </w14:textFill>
        </w:rPr>
      </w:pPr>
      <w:r>
        <w:rPr>
          <w:bCs/>
          <w:color w:val="000000" w:themeColor="text1"/>
          <w:highlight w:val="none"/>
          <w14:textFill>
            <w14:solidFill>
              <w14:schemeClr w14:val="tx1"/>
            </w14:solidFill>
          </w14:textFill>
        </w:rPr>
        <w:br w:type="page"/>
      </w:r>
    </w:p>
    <w:p>
      <w:pPr>
        <w:pStyle w:val="30"/>
        <w:snapToGrid w:val="0"/>
        <w:spacing w:before="120" w:after="120"/>
        <w:jc w:val="center"/>
        <w:outlineLvl w:val="0"/>
        <w:rPr>
          <w:rFonts w:hint="eastAsia" w:ascii="仿宋_GB2312" w:hAnsi="宋体" w:eastAsia="仿宋_GB2312"/>
          <w:b/>
          <w:color w:val="000000" w:themeColor="text1"/>
          <w:sz w:val="44"/>
          <w:szCs w:val="44"/>
          <w:highlight w:val="none"/>
          <w14:textFill>
            <w14:solidFill>
              <w14:schemeClr w14:val="tx1"/>
            </w14:solidFill>
          </w14:textFill>
        </w:rPr>
      </w:pPr>
    </w:p>
    <w:p>
      <w:pPr>
        <w:pStyle w:val="30"/>
        <w:snapToGrid w:val="0"/>
        <w:spacing w:before="120" w:after="120"/>
        <w:jc w:val="center"/>
        <w:outlineLvl w:val="0"/>
        <w:rPr>
          <w:rFonts w:hint="eastAsia" w:ascii="仿宋_GB2312" w:hAnsi="宋体" w:eastAsia="仿宋_GB2312"/>
          <w:b/>
          <w:color w:val="000000" w:themeColor="text1"/>
          <w:sz w:val="44"/>
          <w:szCs w:val="44"/>
          <w:highlight w:val="none"/>
          <w14:textFill>
            <w14:solidFill>
              <w14:schemeClr w14:val="tx1"/>
            </w14:solidFill>
          </w14:textFill>
        </w:rPr>
      </w:pPr>
    </w:p>
    <w:p>
      <w:pPr>
        <w:pStyle w:val="30"/>
        <w:snapToGrid w:val="0"/>
        <w:spacing w:before="120" w:after="120"/>
        <w:jc w:val="center"/>
        <w:outlineLvl w:val="0"/>
        <w:rPr>
          <w:rFonts w:hint="eastAsia" w:ascii="仿宋_GB2312" w:hAnsi="宋体" w:eastAsia="仿宋_GB2312"/>
          <w:b/>
          <w:color w:val="000000" w:themeColor="text1"/>
          <w:sz w:val="44"/>
          <w:szCs w:val="44"/>
          <w:highlight w:val="none"/>
          <w14:textFill>
            <w14:solidFill>
              <w14:schemeClr w14:val="tx1"/>
            </w14:solidFill>
          </w14:textFill>
        </w:rPr>
      </w:pPr>
    </w:p>
    <w:p>
      <w:pPr>
        <w:pStyle w:val="30"/>
        <w:snapToGrid w:val="0"/>
        <w:spacing w:before="120" w:after="120"/>
        <w:jc w:val="center"/>
        <w:outlineLvl w:val="0"/>
        <w:rPr>
          <w:rFonts w:hint="eastAsia" w:ascii="仿宋_GB2312" w:hAnsi="宋体" w:eastAsia="仿宋_GB2312"/>
          <w:b/>
          <w:color w:val="000000" w:themeColor="text1"/>
          <w:sz w:val="44"/>
          <w:szCs w:val="44"/>
          <w:highlight w:val="none"/>
          <w14:textFill>
            <w14:solidFill>
              <w14:schemeClr w14:val="tx1"/>
            </w14:solidFill>
          </w14:textFill>
        </w:rPr>
      </w:pPr>
    </w:p>
    <w:p>
      <w:pPr>
        <w:pStyle w:val="30"/>
        <w:snapToGrid w:val="0"/>
        <w:spacing w:before="120" w:after="120"/>
        <w:jc w:val="center"/>
        <w:outlineLvl w:val="0"/>
        <w:rPr>
          <w:rFonts w:hint="eastAsia" w:ascii="仿宋_GB2312" w:hAnsi="宋体" w:eastAsia="仿宋_GB2312"/>
          <w:b/>
          <w:color w:val="000000" w:themeColor="text1"/>
          <w:sz w:val="44"/>
          <w:szCs w:val="44"/>
          <w:highlight w:val="none"/>
          <w14:textFill>
            <w14:solidFill>
              <w14:schemeClr w14:val="tx1"/>
            </w14:solidFill>
          </w14:textFill>
        </w:rPr>
      </w:pPr>
    </w:p>
    <w:p>
      <w:pPr>
        <w:pStyle w:val="30"/>
        <w:snapToGrid w:val="0"/>
        <w:spacing w:before="120" w:after="120"/>
        <w:jc w:val="center"/>
        <w:outlineLvl w:val="0"/>
        <w:rPr>
          <w:rFonts w:hint="eastAsia" w:ascii="仿宋_GB2312" w:hAnsi="宋体" w:eastAsia="仿宋_GB2312"/>
          <w:b/>
          <w:color w:val="000000" w:themeColor="text1"/>
          <w:sz w:val="44"/>
          <w:szCs w:val="44"/>
          <w:highlight w:val="none"/>
          <w14:textFill>
            <w14:solidFill>
              <w14:schemeClr w14:val="tx1"/>
            </w14:solidFill>
          </w14:textFill>
        </w:rPr>
      </w:pPr>
    </w:p>
    <w:p>
      <w:pPr>
        <w:pStyle w:val="30"/>
        <w:snapToGrid w:val="0"/>
        <w:spacing w:before="120" w:after="120"/>
        <w:jc w:val="center"/>
        <w:outlineLvl w:val="0"/>
        <w:rPr>
          <w:rFonts w:hint="eastAsia" w:ascii="仿宋_GB2312" w:hAnsi="宋体" w:eastAsia="仿宋_GB2312"/>
          <w:b/>
          <w:color w:val="000000" w:themeColor="text1"/>
          <w:sz w:val="44"/>
          <w:szCs w:val="44"/>
          <w:highlight w:val="none"/>
          <w14:textFill>
            <w14:solidFill>
              <w14:schemeClr w14:val="tx1"/>
            </w14:solidFill>
          </w14:textFill>
        </w:rPr>
      </w:pPr>
    </w:p>
    <w:p>
      <w:pPr>
        <w:pStyle w:val="3"/>
        <w:jc w:val="center"/>
        <w:rPr>
          <w:rFonts w:hint="eastAsia"/>
          <w:color w:val="000000" w:themeColor="text1"/>
          <w:highlight w:val="none"/>
          <w14:textFill>
            <w14:solidFill>
              <w14:schemeClr w14:val="tx1"/>
            </w14:solidFill>
          </w14:textFill>
        </w:rPr>
      </w:pPr>
      <w:bookmarkStart w:id="58" w:name="_Toc1413232859"/>
      <w:r>
        <w:rPr>
          <w:rFonts w:hint="eastAsia"/>
          <w:color w:val="000000" w:themeColor="text1"/>
          <w:highlight w:val="none"/>
          <w14:textFill>
            <w14:solidFill>
              <w14:schemeClr w14:val="tx1"/>
            </w14:solidFill>
          </w14:textFill>
        </w:rPr>
        <w:t>第五章  政府采购合同主要条款</w:t>
      </w:r>
      <w:bookmarkEnd w:id="58"/>
    </w:p>
    <w:p>
      <w:pPr>
        <w:pStyle w:val="30"/>
        <w:jc w:val="center"/>
        <w:rPr>
          <w:rFonts w:hint="eastAsia" w:ascii="黑体" w:hAnsi="宋体" w:eastAsia="黑体"/>
          <w:b/>
          <w:color w:val="000000" w:themeColor="text1"/>
          <w:sz w:val="44"/>
          <w:szCs w:val="44"/>
          <w:highlight w:val="none"/>
          <w14:textFill>
            <w14:solidFill>
              <w14:schemeClr w14:val="tx1"/>
            </w14:solidFill>
          </w14:textFill>
        </w:rPr>
      </w:pPr>
    </w:p>
    <w:p>
      <w:pPr>
        <w:pStyle w:val="30"/>
        <w:jc w:val="center"/>
        <w:rPr>
          <w:rFonts w:hint="eastAsia" w:ascii="黑体" w:hAnsi="宋体" w:eastAsia="黑体"/>
          <w:b/>
          <w:color w:val="000000" w:themeColor="text1"/>
          <w:sz w:val="44"/>
          <w:szCs w:val="44"/>
          <w:highlight w:val="none"/>
          <w14:textFill>
            <w14:solidFill>
              <w14:schemeClr w14:val="tx1"/>
            </w14:solidFill>
          </w14:textFill>
        </w:rPr>
      </w:pPr>
    </w:p>
    <w:p>
      <w:pPr>
        <w:pStyle w:val="30"/>
        <w:jc w:val="center"/>
        <w:rPr>
          <w:rFonts w:hint="eastAsia" w:ascii="黑体" w:hAnsi="宋体" w:eastAsia="黑体"/>
          <w:b/>
          <w:color w:val="000000" w:themeColor="text1"/>
          <w:sz w:val="44"/>
          <w:szCs w:val="44"/>
          <w:highlight w:val="none"/>
          <w14:textFill>
            <w14:solidFill>
              <w14:schemeClr w14:val="tx1"/>
            </w14:solidFill>
          </w14:textFill>
        </w:rPr>
      </w:pPr>
    </w:p>
    <w:p>
      <w:pPr>
        <w:pStyle w:val="30"/>
        <w:jc w:val="center"/>
        <w:rPr>
          <w:rFonts w:hint="eastAsia" w:ascii="黑体" w:hAnsi="宋体" w:eastAsia="黑体"/>
          <w:b/>
          <w:color w:val="000000" w:themeColor="text1"/>
          <w:sz w:val="44"/>
          <w:szCs w:val="44"/>
          <w:highlight w:val="none"/>
          <w14:textFill>
            <w14:solidFill>
              <w14:schemeClr w14:val="tx1"/>
            </w14:solidFill>
          </w14:textFill>
        </w:rPr>
      </w:pPr>
    </w:p>
    <w:p>
      <w:pPr>
        <w:pStyle w:val="30"/>
        <w:pageBreakBefore/>
        <w:jc w:val="center"/>
        <w:rPr>
          <w:rFonts w:hint="eastAsia" w:ascii="黑体" w:hAnsi="宋体" w:eastAsia="黑体"/>
          <w:b/>
          <w:color w:val="000000" w:themeColor="text1"/>
          <w:sz w:val="44"/>
          <w:szCs w:val="44"/>
          <w:highlight w:val="none"/>
          <w14:textFill>
            <w14:solidFill>
              <w14:schemeClr w14:val="tx1"/>
            </w14:solidFill>
          </w14:textFill>
        </w:rPr>
      </w:pPr>
    </w:p>
    <w:p>
      <w:pPr>
        <w:pStyle w:val="30"/>
        <w:jc w:val="center"/>
        <w:rPr>
          <w:rFonts w:hint="eastAsia" w:ascii="黑体" w:hAnsi="宋体" w:eastAsia="黑体"/>
          <w:b/>
          <w:color w:val="000000" w:themeColor="text1"/>
          <w:sz w:val="44"/>
          <w:szCs w:val="44"/>
          <w:highlight w:val="none"/>
          <w14:textFill>
            <w14:solidFill>
              <w14:schemeClr w14:val="tx1"/>
            </w14:solidFill>
          </w14:textFill>
        </w:rPr>
      </w:pPr>
    </w:p>
    <w:p>
      <w:pPr>
        <w:pStyle w:val="30"/>
        <w:jc w:val="center"/>
        <w:rPr>
          <w:rFonts w:hint="eastAsia" w:hAnsi="宋体"/>
          <w:b/>
          <w:color w:val="000000" w:themeColor="text1"/>
          <w:sz w:val="52"/>
          <w:szCs w:val="52"/>
          <w:highlight w:val="none"/>
          <w14:textFill>
            <w14:solidFill>
              <w14:schemeClr w14:val="tx1"/>
            </w14:solidFill>
          </w14:textFill>
        </w:rPr>
      </w:pPr>
      <w:r>
        <w:rPr>
          <w:rFonts w:hint="eastAsia" w:hAnsi="宋体"/>
          <w:b/>
          <w:color w:val="000000" w:themeColor="text1"/>
          <w:sz w:val="52"/>
          <w:szCs w:val="52"/>
          <w:highlight w:val="none"/>
          <w14:textFill>
            <w14:solidFill>
              <w14:schemeClr w14:val="tx1"/>
            </w14:solidFill>
          </w14:textFill>
        </w:rPr>
        <w:t>广西壮族自治区政府采购合同</w:t>
      </w:r>
    </w:p>
    <w:p>
      <w:pPr>
        <w:pStyle w:val="30"/>
        <w:rPr>
          <w:rFonts w:hint="eastAsia" w:hAnsi="宋体"/>
          <w:color w:val="000000" w:themeColor="text1"/>
          <w:highlight w:val="none"/>
          <w14:textFill>
            <w14:solidFill>
              <w14:schemeClr w14:val="tx1"/>
            </w14:solidFill>
          </w14:textFill>
        </w:rPr>
      </w:pPr>
    </w:p>
    <w:p>
      <w:pPr>
        <w:pStyle w:val="30"/>
        <w:rPr>
          <w:rFonts w:hint="eastAsia" w:hAnsi="宋体"/>
          <w:color w:val="000000" w:themeColor="text1"/>
          <w:highlight w:val="none"/>
          <w14:textFill>
            <w14:solidFill>
              <w14:schemeClr w14:val="tx1"/>
            </w14:solidFill>
          </w14:textFill>
        </w:rPr>
      </w:pPr>
    </w:p>
    <w:p>
      <w:pPr>
        <w:pStyle w:val="30"/>
        <w:ind w:firstLine="1584" w:firstLineChars="495"/>
        <w:rPr>
          <w:rFonts w:hint="eastAsia"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合同名称：</w:t>
      </w:r>
      <w:r>
        <w:rPr>
          <w:rFonts w:hint="eastAsia" w:hAnsi="宋体"/>
          <w:b/>
          <w:color w:val="000000" w:themeColor="text1"/>
          <w:sz w:val="32"/>
          <w:szCs w:val="32"/>
          <w:highlight w:val="none"/>
          <w:u w:val="single"/>
          <w14:textFill>
            <w14:solidFill>
              <w14:schemeClr w14:val="tx1"/>
            </w14:solidFill>
          </w14:textFill>
        </w:rPr>
        <w:t xml:space="preserve">                           </w:t>
      </w:r>
    </w:p>
    <w:p>
      <w:pPr>
        <w:pStyle w:val="30"/>
        <w:ind w:firstLine="1584" w:firstLineChars="495"/>
        <w:rPr>
          <w:rFonts w:hint="eastAsia" w:hAnsi="宋体"/>
          <w:b/>
          <w:color w:val="000000" w:themeColor="text1"/>
          <w:sz w:val="32"/>
          <w:szCs w:val="32"/>
          <w:highlight w:val="none"/>
          <w14:textFill>
            <w14:solidFill>
              <w14:schemeClr w14:val="tx1"/>
            </w14:solidFill>
          </w14:textFill>
        </w:rPr>
      </w:pPr>
    </w:p>
    <w:p>
      <w:pPr>
        <w:pStyle w:val="30"/>
        <w:ind w:firstLine="1584" w:firstLineChars="495"/>
        <w:rPr>
          <w:rFonts w:hint="eastAsia"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合同编号：</w:t>
      </w:r>
      <w:r>
        <w:rPr>
          <w:rFonts w:hint="eastAsia" w:hAnsi="宋体"/>
          <w:b/>
          <w:color w:val="000000" w:themeColor="text1"/>
          <w:sz w:val="32"/>
          <w:szCs w:val="32"/>
          <w:highlight w:val="none"/>
          <w:u w:val="single"/>
          <w14:textFill>
            <w14:solidFill>
              <w14:schemeClr w14:val="tx1"/>
            </w14:solidFill>
          </w14:textFill>
        </w:rPr>
        <w:t xml:space="preserve">                           </w:t>
      </w:r>
    </w:p>
    <w:p>
      <w:pPr>
        <w:pStyle w:val="30"/>
        <w:jc w:val="center"/>
        <w:rPr>
          <w:rFonts w:hint="eastAsia" w:hAnsi="宋体"/>
          <w:color w:val="000000" w:themeColor="text1"/>
          <w:highlight w:val="none"/>
          <w14:textFill>
            <w14:solidFill>
              <w14:schemeClr w14:val="tx1"/>
            </w14:solidFill>
          </w14:textFill>
        </w:rPr>
      </w:pPr>
    </w:p>
    <w:p>
      <w:pPr>
        <w:pStyle w:val="30"/>
        <w:jc w:val="center"/>
        <w:rPr>
          <w:rFonts w:hint="eastAsia" w:hAnsi="宋体"/>
          <w:color w:val="000000" w:themeColor="text1"/>
          <w:highlight w:val="none"/>
          <w14:textFill>
            <w14:solidFill>
              <w14:schemeClr w14:val="tx1"/>
            </w14:solidFill>
          </w14:textFill>
        </w:rPr>
      </w:pPr>
    </w:p>
    <w:p>
      <w:pPr>
        <w:pStyle w:val="30"/>
        <w:jc w:val="center"/>
        <w:rPr>
          <w:rFonts w:hint="eastAsia" w:hAnsi="宋体"/>
          <w:color w:val="000000" w:themeColor="text1"/>
          <w:highlight w:val="none"/>
          <w14:textFill>
            <w14:solidFill>
              <w14:schemeClr w14:val="tx1"/>
            </w14:solidFill>
          </w14:textFill>
        </w:rPr>
      </w:pPr>
    </w:p>
    <w:p>
      <w:pPr>
        <w:pStyle w:val="30"/>
        <w:spacing w:after="156" w:afterLines="50" w:line="340" w:lineRule="exact"/>
        <w:ind w:firstLine="1584" w:firstLineChars="495"/>
        <w:rPr>
          <w:rFonts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采购单位（甲方）</w:t>
      </w:r>
      <w:r>
        <w:rPr>
          <w:rFonts w:hint="eastAsia" w:hAnsi="宋体"/>
          <w:b/>
          <w:color w:val="000000" w:themeColor="text1"/>
          <w:sz w:val="32"/>
          <w:szCs w:val="32"/>
          <w:highlight w:val="none"/>
          <w:u w:val="single"/>
          <w14:textFill>
            <w14:solidFill>
              <w14:schemeClr w14:val="tx1"/>
            </w14:solidFill>
          </w14:textFill>
        </w:rPr>
        <w:t xml:space="preserve">                     </w:t>
      </w:r>
    </w:p>
    <w:p>
      <w:pPr>
        <w:pStyle w:val="30"/>
        <w:spacing w:line="340" w:lineRule="exact"/>
        <w:ind w:firstLine="1584" w:firstLineChars="495"/>
        <w:rPr>
          <w:rFonts w:hint="eastAsia"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住   所：</w:t>
      </w:r>
      <w:r>
        <w:rPr>
          <w:rFonts w:hint="eastAsia" w:hAnsi="宋体"/>
          <w:b/>
          <w:color w:val="000000" w:themeColor="text1"/>
          <w:sz w:val="32"/>
          <w:szCs w:val="32"/>
          <w:highlight w:val="none"/>
          <w:u w:val="single"/>
          <w14:textFill>
            <w14:solidFill>
              <w14:schemeClr w14:val="tx1"/>
            </w14:solidFill>
          </w14:textFill>
        </w:rPr>
        <w:t xml:space="preserve">                            </w:t>
      </w:r>
    </w:p>
    <w:p>
      <w:pPr>
        <w:pStyle w:val="30"/>
        <w:spacing w:line="340" w:lineRule="exact"/>
        <w:ind w:firstLine="1584" w:firstLineChars="495"/>
        <w:rPr>
          <w:rFonts w:hint="eastAsia" w:hAnsi="宋体"/>
          <w:b/>
          <w:color w:val="000000" w:themeColor="text1"/>
          <w:sz w:val="32"/>
          <w:szCs w:val="32"/>
          <w:highlight w:val="none"/>
          <w14:textFill>
            <w14:solidFill>
              <w14:schemeClr w14:val="tx1"/>
            </w14:solidFill>
          </w14:textFill>
        </w:rPr>
      </w:pPr>
    </w:p>
    <w:p>
      <w:pPr>
        <w:pStyle w:val="30"/>
        <w:spacing w:line="340" w:lineRule="exact"/>
        <w:ind w:firstLine="1584" w:firstLineChars="495"/>
        <w:rPr>
          <w:rFonts w:hint="eastAsia" w:hAnsi="宋体"/>
          <w:b/>
          <w:color w:val="000000" w:themeColor="text1"/>
          <w:sz w:val="32"/>
          <w:szCs w:val="32"/>
          <w:highlight w:val="none"/>
          <w14:textFill>
            <w14:solidFill>
              <w14:schemeClr w14:val="tx1"/>
            </w14:solidFill>
          </w14:textFill>
        </w:rPr>
      </w:pPr>
    </w:p>
    <w:p>
      <w:pPr>
        <w:pStyle w:val="30"/>
        <w:spacing w:after="156" w:afterLines="50" w:line="340" w:lineRule="exact"/>
        <w:ind w:firstLine="1584" w:firstLineChars="495"/>
        <w:rPr>
          <w:rFonts w:hint="eastAsia"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供 应 商（乙方）</w:t>
      </w:r>
      <w:r>
        <w:rPr>
          <w:rFonts w:hint="eastAsia" w:hAnsi="宋体"/>
          <w:b/>
          <w:color w:val="000000" w:themeColor="text1"/>
          <w:sz w:val="32"/>
          <w:szCs w:val="32"/>
          <w:highlight w:val="none"/>
          <w:u w:val="single"/>
          <w14:textFill>
            <w14:solidFill>
              <w14:schemeClr w14:val="tx1"/>
            </w14:solidFill>
          </w14:textFill>
        </w:rPr>
        <w:t xml:space="preserve">                      </w:t>
      </w:r>
    </w:p>
    <w:p>
      <w:pPr>
        <w:pStyle w:val="30"/>
        <w:spacing w:line="340" w:lineRule="exact"/>
        <w:ind w:firstLine="1584" w:firstLineChars="495"/>
        <w:rPr>
          <w:rFonts w:hint="eastAsia"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住   所：</w:t>
      </w:r>
      <w:r>
        <w:rPr>
          <w:rFonts w:hint="eastAsia" w:hAnsi="宋体"/>
          <w:b/>
          <w:color w:val="000000" w:themeColor="text1"/>
          <w:sz w:val="32"/>
          <w:szCs w:val="32"/>
          <w:highlight w:val="none"/>
          <w:u w:val="single"/>
          <w14:textFill>
            <w14:solidFill>
              <w14:schemeClr w14:val="tx1"/>
            </w14:solidFill>
          </w14:textFill>
        </w:rPr>
        <w:t xml:space="preserve">                             </w:t>
      </w:r>
    </w:p>
    <w:p>
      <w:pPr>
        <w:pStyle w:val="30"/>
        <w:spacing w:line="340" w:lineRule="exact"/>
        <w:ind w:firstLine="1584" w:firstLineChars="495"/>
        <w:rPr>
          <w:rFonts w:hint="eastAsia" w:hAnsi="宋体"/>
          <w:b/>
          <w:color w:val="000000" w:themeColor="text1"/>
          <w:sz w:val="32"/>
          <w:szCs w:val="32"/>
          <w:highlight w:val="none"/>
          <w14:textFill>
            <w14:solidFill>
              <w14:schemeClr w14:val="tx1"/>
            </w14:solidFill>
          </w14:textFill>
        </w:rPr>
      </w:pPr>
    </w:p>
    <w:p>
      <w:pPr>
        <w:pStyle w:val="30"/>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w:t>
      </w:r>
    </w:p>
    <w:p>
      <w:pPr>
        <w:pStyle w:val="30"/>
        <w:jc w:val="center"/>
        <w:rPr>
          <w:rFonts w:hint="eastAsia" w:hAnsi="宋体"/>
          <w:color w:val="000000" w:themeColor="text1"/>
          <w:highlight w:val="none"/>
          <w14:textFill>
            <w14:solidFill>
              <w14:schemeClr w14:val="tx1"/>
            </w14:solidFill>
          </w14:textFill>
        </w:rPr>
      </w:pPr>
    </w:p>
    <w:p>
      <w:pPr>
        <w:pStyle w:val="30"/>
        <w:ind w:firstLine="1584" w:firstLineChars="495"/>
        <w:rPr>
          <w:rFonts w:hint="eastAsia"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签订合同地点：</w:t>
      </w:r>
      <w:r>
        <w:rPr>
          <w:rFonts w:hint="eastAsia" w:hAnsi="宋体"/>
          <w:b/>
          <w:color w:val="000000" w:themeColor="text1"/>
          <w:sz w:val="32"/>
          <w:szCs w:val="32"/>
          <w:highlight w:val="none"/>
          <w:u w:val="single"/>
          <w14:textFill>
            <w14:solidFill>
              <w14:schemeClr w14:val="tx1"/>
            </w14:solidFill>
          </w14:textFill>
        </w:rPr>
        <w:t xml:space="preserve">                       </w:t>
      </w:r>
    </w:p>
    <w:p>
      <w:pPr>
        <w:pStyle w:val="30"/>
        <w:ind w:firstLine="1584" w:firstLineChars="495"/>
        <w:rPr>
          <w:rFonts w:hint="eastAsia" w:hAnsi="宋体"/>
          <w:b/>
          <w:color w:val="000000" w:themeColor="text1"/>
          <w:sz w:val="32"/>
          <w:szCs w:val="32"/>
          <w:highlight w:val="none"/>
          <w14:textFill>
            <w14:solidFill>
              <w14:schemeClr w14:val="tx1"/>
            </w14:solidFill>
          </w14:textFill>
        </w:rPr>
      </w:pPr>
    </w:p>
    <w:p>
      <w:pPr>
        <w:pStyle w:val="30"/>
        <w:ind w:firstLine="1584" w:firstLineChars="495"/>
        <w:rPr>
          <w:rFonts w:hint="eastAsia"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签订合同时间：</w:t>
      </w:r>
      <w:r>
        <w:rPr>
          <w:rFonts w:hint="eastAsia" w:hAnsi="宋体"/>
          <w:b/>
          <w:color w:val="000000" w:themeColor="text1"/>
          <w:sz w:val="32"/>
          <w:szCs w:val="32"/>
          <w:highlight w:val="none"/>
          <w:u w:val="single"/>
          <w14:textFill>
            <w14:solidFill>
              <w14:schemeClr w14:val="tx1"/>
            </w14:solidFill>
          </w14:textFill>
        </w:rPr>
        <w:t xml:space="preserve">                       </w:t>
      </w:r>
    </w:p>
    <w:p>
      <w:pPr>
        <w:pStyle w:val="30"/>
        <w:jc w:val="center"/>
        <w:rPr>
          <w:rFonts w:hint="eastAsia" w:hAnsi="宋体"/>
          <w:color w:val="000000" w:themeColor="text1"/>
          <w:highlight w:val="none"/>
          <w14:textFill>
            <w14:solidFill>
              <w14:schemeClr w14:val="tx1"/>
            </w14:solidFill>
          </w14:textFill>
        </w:rPr>
      </w:pPr>
    </w:p>
    <w:p>
      <w:pPr>
        <w:pStyle w:val="30"/>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w:t>
      </w:r>
    </w:p>
    <w:p>
      <w:pPr>
        <w:pStyle w:val="30"/>
        <w:jc w:val="center"/>
        <w:rPr>
          <w:rFonts w:hint="eastAsia" w:hAnsi="宋体"/>
          <w:color w:val="000000" w:themeColor="text1"/>
          <w:highlight w:val="none"/>
          <w14:textFill>
            <w14:solidFill>
              <w14:schemeClr w14:val="tx1"/>
            </w14:solidFill>
          </w14:textFill>
        </w:rPr>
      </w:pPr>
    </w:p>
    <w:p>
      <w:pPr>
        <w:pStyle w:val="30"/>
        <w:jc w:val="center"/>
        <w:rPr>
          <w:rFonts w:hint="eastAsia" w:hAnsi="宋体"/>
          <w:color w:val="000000" w:themeColor="text1"/>
          <w:highlight w:val="none"/>
          <w14:textFill>
            <w14:solidFill>
              <w14:schemeClr w14:val="tx1"/>
            </w14:solidFill>
          </w14:textFill>
        </w:rPr>
      </w:pPr>
    </w:p>
    <w:p>
      <w:pPr>
        <w:pStyle w:val="30"/>
        <w:jc w:val="center"/>
        <w:rPr>
          <w:rFonts w:hint="eastAsia" w:hAnsi="宋体"/>
          <w:color w:val="000000" w:themeColor="text1"/>
          <w:highlight w:val="none"/>
          <w14:textFill>
            <w14:solidFill>
              <w14:schemeClr w14:val="tx1"/>
            </w14:solidFill>
          </w14:textFill>
        </w:rPr>
      </w:pPr>
    </w:p>
    <w:p>
      <w:pPr>
        <w:pStyle w:val="30"/>
        <w:jc w:val="center"/>
        <w:rPr>
          <w:rFonts w:hint="eastAsia" w:hAnsi="宋体"/>
          <w:color w:val="000000" w:themeColor="text1"/>
          <w:highlight w:val="none"/>
          <w14:textFill>
            <w14:solidFill>
              <w14:schemeClr w14:val="tx1"/>
            </w14:solidFill>
          </w14:textFill>
        </w:rPr>
      </w:pPr>
    </w:p>
    <w:p>
      <w:pPr>
        <w:pStyle w:val="30"/>
        <w:spacing w:line="42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合同使用说明：根据《中华人民共和国政府采购法》、《中华人民共和国民法典》等法律、法规规定，</w:t>
      </w:r>
    </w:p>
    <w:p>
      <w:pPr>
        <w:pStyle w:val="30"/>
        <w:spacing w:line="420" w:lineRule="exact"/>
        <w:ind w:firstLine="1470" w:firstLineChars="7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按照招标文件规定条款和中标供应商投标文件及其承诺，甲乙双方签订本合同。</w:t>
      </w:r>
    </w:p>
    <w:p>
      <w:pPr>
        <w:pageBreakBefore/>
        <w:spacing w:line="300" w:lineRule="atLeast"/>
        <w:jc w:val="center"/>
        <w:rPr>
          <w:rFonts w:hAnsi="宋体"/>
          <w:b/>
          <w:color w:val="000000" w:themeColor="text1"/>
          <w:sz w:val="32"/>
          <w:highlight w:val="none"/>
          <w14:textFill>
            <w14:solidFill>
              <w14:schemeClr w14:val="tx1"/>
            </w14:solidFill>
          </w14:textFill>
        </w:rPr>
      </w:pPr>
      <w:bookmarkStart w:id="59" w:name="_Toc58146566"/>
      <w:r>
        <w:rPr>
          <w:rFonts w:hint="eastAsia" w:hAnsi="宋体"/>
          <w:b/>
          <w:color w:val="000000" w:themeColor="text1"/>
          <w:sz w:val="32"/>
          <w:highlight w:val="none"/>
          <w14:textFill>
            <w14:solidFill>
              <w14:schemeClr w14:val="tx1"/>
            </w14:solidFill>
          </w14:textFill>
        </w:rPr>
        <w:t>合</w:t>
      </w:r>
      <w:r>
        <w:rPr>
          <w:rFonts w:hAnsi="宋体"/>
          <w:b/>
          <w:color w:val="000000" w:themeColor="text1"/>
          <w:sz w:val="32"/>
          <w:highlight w:val="none"/>
          <w14:textFill>
            <w14:solidFill>
              <w14:schemeClr w14:val="tx1"/>
            </w14:solidFill>
          </w14:textFill>
        </w:rPr>
        <w:t xml:space="preserve"> </w:t>
      </w:r>
      <w:r>
        <w:rPr>
          <w:rFonts w:hint="eastAsia" w:hAnsi="宋体"/>
          <w:b/>
          <w:color w:val="000000" w:themeColor="text1"/>
          <w:sz w:val="32"/>
          <w:highlight w:val="none"/>
          <w14:textFill>
            <w14:solidFill>
              <w14:schemeClr w14:val="tx1"/>
            </w14:solidFill>
          </w14:textFill>
        </w:rPr>
        <w:t>同</w:t>
      </w:r>
      <w:r>
        <w:rPr>
          <w:rFonts w:hAnsi="宋体"/>
          <w:b/>
          <w:color w:val="000000" w:themeColor="text1"/>
          <w:sz w:val="32"/>
          <w:highlight w:val="none"/>
          <w14:textFill>
            <w14:solidFill>
              <w14:schemeClr w14:val="tx1"/>
            </w14:solidFill>
          </w14:textFill>
        </w:rPr>
        <w:t xml:space="preserve"> </w:t>
      </w:r>
      <w:r>
        <w:rPr>
          <w:rFonts w:hint="eastAsia" w:hAnsi="宋体"/>
          <w:b/>
          <w:color w:val="000000" w:themeColor="text1"/>
          <w:sz w:val="32"/>
          <w:highlight w:val="none"/>
          <w14:textFill>
            <w14:solidFill>
              <w14:schemeClr w14:val="tx1"/>
            </w14:solidFill>
          </w14:textFill>
        </w:rPr>
        <w:t>书</w:t>
      </w:r>
      <w:r>
        <w:rPr>
          <w:rFonts w:hAnsi="宋体"/>
          <w:b/>
          <w:color w:val="000000" w:themeColor="text1"/>
          <w:sz w:val="32"/>
          <w:highlight w:val="none"/>
          <w14:textFill>
            <w14:solidFill>
              <w14:schemeClr w14:val="tx1"/>
            </w14:solidFill>
          </w14:textFill>
        </w:rPr>
        <w:t xml:space="preserve"> </w:t>
      </w:r>
      <w:r>
        <w:rPr>
          <w:rFonts w:hint="eastAsia" w:hAnsi="宋体"/>
          <w:b/>
          <w:color w:val="000000" w:themeColor="text1"/>
          <w:sz w:val="32"/>
          <w:highlight w:val="none"/>
          <w14:textFill>
            <w14:solidFill>
              <w14:schemeClr w14:val="tx1"/>
            </w14:solidFill>
          </w14:textFill>
        </w:rPr>
        <w:t>（格</w:t>
      </w:r>
      <w:r>
        <w:rPr>
          <w:rFonts w:hAnsi="宋体"/>
          <w:b/>
          <w:color w:val="000000" w:themeColor="text1"/>
          <w:sz w:val="32"/>
          <w:highlight w:val="none"/>
          <w14:textFill>
            <w14:solidFill>
              <w14:schemeClr w14:val="tx1"/>
            </w14:solidFill>
          </w14:textFill>
        </w:rPr>
        <w:t xml:space="preserve"> </w:t>
      </w:r>
      <w:r>
        <w:rPr>
          <w:rFonts w:hint="eastAsia" w:hAnsi="宋体"/>
          <w:b/>
          <w:color w:val="000000" w:themeColor="text1"/>
          <w:sz w:val="32"/>
          <w:highlight w:val="none"/>
          <w14:textFill>
            <w14:solidFill>
              <w14:schemeClr w14:val="tx1"/>
            </w14:solidFill>
          </w14:textFill>
        </w:rPr>
        <w:t>式）</w:t>
      </w:r>
    </w:p>
    <w:p>
      <w:pPr>
        <w:widowControl/>
        <w:spacing w:line="40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甲方：</w:t>
      </w:r>
      <w:r>
        <w:rPr>
          <w:rFonts w:hint="eastAsia" w:ascii="宋体" w:hAnsi="宋体" w:cs="宋体"/>
          <w:color w:val="000000" w:themeColor="text1"/>
          <w:kern w:val="0"/>
          <w:szCs w:val="21"/>
          <w:highlight w:val="none"/>
          <w:u w:val="single"/>
          <w14:textFill>
            <w14:solidFill>
              <w14:schemeClr w14:val="tx1"/>
            </w14:solidFill>
          </w14:textFill>
        </w:rPr>
        <w:t xml:space="preserve">                           </w:t>
      </w:r>
    </w:p>
    <w:p>
      <w:pPr>
        <w:widowControl/>
        <w:spacing w:line="400" w:lineRule="exact"/>
        <w:jc w:val="left"/>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  乙方：</w:t>
      </w:r>
      <w:r>
        <w:rPr>
          <w:rFonts w:hint="eastAsia" w:ascii="宋体" w:hAnsi="宋体" w:cs="宋体"/>
          <w:b/>
          <w:bCs/>
          <w:color w:val="000000" w:themeColor="text1"/>
          <w:kern w:val="0"/>
          <w:szCs w:val="21"/>
          <w:highlight w:val="none"/>
          <w:u w:val="single"/>
          <w14:textFill>
            <w14:solidFill>
              <w14:schemeClr w14:val="tx1"/>
            </w14:solidFill>
          </w14:textFill>
        </w:rPr>
        <w:t xml:space="preserve">                           </w:t>
      </w:r>
    </w:p>
    <w:p>
      <w:pPr>
        <w:widowControl/>
        <w:spacing w:line="400" w:lineRule="exact"/>
        <w:ind w:firstLine="420"/>
        <w:jc w:val="left"/>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根据国家和地方政府有关物业管理的法律、法规和政策规定，甲、乙双方本着自愿、平等原则，就</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服务事宜充分协商一致，特签订本合同，以资信守履行。</w:t>
      </w:r>
    </w:p>
    <w:p>
      <w:pPr>
        <w:widowControl/>
        <w:spacing w:line="400" w:lineRule="exact"/>
        <w:ind w:firstLine="422" w:firstLineChars="20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第一条</w:t>
      </w:r>
      <w:r>
        <w:rPr>
          <w:rFonts w:hint="eastAsia" w:ascii="宋体" w:hAnsi="宋体" w:cs="宋体"/>
          <w:color w:val="000000" w:themeColor="text1"/>
          <w:kern w:val="0"/>
          <w:szCs w:val="21"/>
          <w:highlight w:val="none"/>
          <w14:textFill>
            <w14:solidFill>
              <w14:schemeClr w14:val="tx1"/>
            </w14:solidFill>
          </w14:textFill>
        </w:rPr>
        <w:t xml:space="preserve"> 甲方聘请乙方为</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使用人提供管理服务。</w:t>
      </w:r>
    </w:p>
    <w:p>
      <w:pPr>
        <w:widowControl/>
        <w:spacing w:line="400" w:lineRule="exact"/>
        <w:ind w:firstLine="422" w:firstLineChars="20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 xml:space="preserve">第二条 </w:t>
      </w:r>
      <w:r>
        <w:rPr>
          <w:rFonts w:hint="eastAsia" w:ascii="宋体" w:hAnsi="宋体" w:cs="宋体"/>
          <w:color w:val="000000" w:themeColor="text1"/>
          <w:kern w:val="0"/>
          <w:szCs w:val="21"/>
          <w:highlight w:val="none"/>
          <w14:textFill>
            <w14:solidFill>
              <w14:schemeClr w14:val="tx1"/>
            </w14:solidFill>
          </w14:textFill>
        </w:rPr>
        <w:t>服务区域基本情况如下：</w:t>
      </w:r>
    </w:p>
    <w:p>
      <w:pPr>
        <w:widowControl/>
        <w:spacing w:line="400" w:lineRule="exact"/>
        <w:ind w:firstLine="422" w:firstLineChars="20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建筑面积</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，占地面积</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；具体物业范围及构成细目见本项目招标文件中第二章《招标项目采购需求》的相关内容。</w:t>
      </w:r>
    </w:p>
    <w:p>
      <w:pPr>
        <w:widowControl/>
        <w:spacing w:line="400" w:lineRule="exact"/>
        <w:ind w:firstLine="422" w:firstLineChars="20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第三条</w:t>
      </w:r>
      <w:r>
        <w:rPr>
          <w:rFonts w:hint="eastAsia" w:ascii="宋体" w:hAnsi="宋体" w:cs="宋体"/>
          <w:color w:val="000000" w:themeColor="text1"/>
          <w:kern w:val="0"/>
          <w:szCs w:val="21"/>
          <w:highlight w:val="none"/>
          <w14:textFill>
            <w14:solidFill>
              <w14:schemeClr w14:val="tx1"/>
            </w14:solidFill>
          </w14:textFill>
        </w:rPr>
        <w:t xml:space="preserve"> 乙方提供的物业管理服务包括以下内容： </w:t>
      </w:r>
    </w:p>
    <w:p>
      <w:pPr>
        <w:widowControl/>
        <w:spacing w:line="400" w:lineRule="exact"/>
        <w:ind w:firstLine="422" w:firstLineChars="20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b/>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pPr>
        <w:widowControl/>
        <w:spacing w:line="400" w:lineRule="exact"/>
        <w:ind w:firstLine="422" w:firstLineChars="20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（二）</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b/>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pPr>
        <w:widowControl/>
        <w:spacing w:line="400" w:lineRule="exact"/>
        <w:ind w:firstLine="422" w:firstLineChars="20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（三）具体服务内容包含招标文件的《招标项目采购需求》、投标文件的《服务方案》和乙方的所有承诺服务内容；</w:t>
      </w:r>
    </w:p>
    <w:p>
      <w:pPr>
        <w:widowControl/>
        <w:spacing w:line="400" w:lineRule="exact"/>
        <w:ind w:firstLine="422" w:firstLineChars="20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 xml:space="preserve">第四条 </w:t>
      </w:r>
      <w:r>
        <w:rPr>
          <w:rFonts w:hint="eastAsia" w:ascii="宋体" w:hAnsi="宋体" w:cs="宋体"/>
          <w:color w:val="000000" w:themeColor="text1"/>
          <w:kern w:val="0"/>
          <w:szCs w:val="21"/>
          <w:highlight w:val="none"/>
          <w14:textFill>
            <w14:solidFill>
              <w14:schemeClr w14:val="tx1"/>
            </w14:solidFill>
          </w14:textFill>
        </w:rPr>
        <w:t>乙方提供的服务质量标准按国家和地方政府的规定和本合同约定的物业服务质量要求及乙方在投标文件中的承诺执行。</w:t>
      </w:r>
    </w:p>
    <w:p>
      <w:pPr>
        <w:widowControl/>
        <w:spacing w:line="400" w:lineRule="exact"/>
        <w:ind w:firstLine="422" w:firstLineChars="20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本合同约定的服务质量要求见本项目招标文件中《招标项目采购需求》。</w:t>
      </w:r>
    </w:p>
    <w:p>
      <w:pPr>
        <w:widowControl/>
        <w:spacing w:line="400" w:lineRule="exact"/>
        <w:ind w:firstLine="422" w:firstLineChars="201"/>
        <w:jc w:val="left"/>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 xml:space="preserve">第五条  </w:t>
      </w:r>
      <w:r>
        <w:rPr>
          <w:rFonts w:hint="eastAsia" w:ascii="宋体" w:hAnsi="宋体" w:cs="宋体"/>
          <w:color w:val="000000" w:themeColor="text1"/>
          <w:kern w:val="0"/>
          <w:szCs w:val="21"/>
          <w:highlight w:val="none"/>
          <w14:textFill>
            <w14:solidFill>
              <w14:schemeClr w14:val="tx1"/>
            </w14:solidFill>
          </w14:textFill>
        </w:rPr>
        <w:t>合同金额：</w:t>
      </w:r>
      <w:r>
        <w:rPr>
          <w:rFonts w:hint="eastAsia" w:ascii="宋体" w:hAnsi="宋体" w:cs="宋体"/>
          <w:color w:val="000000" w:themeColor="text1"/>
          <w:kern w:val="0"/>
          <w:szCs w:val="21"/>
          <w:highlight w:val="none"/>
          <w:u w:val="single"/>
          <w14:textFill>
            <w14:solidFill>
              <w14:schemeClr w14:val="tx1"/>
            </w14:solidFill>
          </w14:textFill>
        </w:rPr>
        <w:t xml:space="preserve">                        （￥               ）；</w:t>
      </w:r>
    </w:p>
    <w:p>
      <w:pPr>
        <w:widowControl/>
        <w:spacing w:line="400" w:lineRule="exact"/>
        <w:ind w:firstLine="422" w:firstLineChars="201"/>
        <w:jc w:val="left"/>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服务期：</w:t>
      </w:r>
      <w:r>
        <w:rPr>
          <w:rFonts w:hint="eastAsia" w:ascii="宋体" w:hAnsi="宋体" w:cs="宋体"/>
          <w:color w:val="000000" w:themeColor="text1"/>
          <w:kern w:val="0"/>
          <w:szCs w:val="21"/>
          <w:highlight w:val="none"/>
          <w:u w:val="single"/>
          <w14:textFill>
            <w14:solidFill>
              <w14:schemeClr w14:val="tx1"/>
            </w14:solidFill>
          </w14:textFill>
        </w:rPr>
        <w:t xml:space="preserve">       年  月    日</w:t>
      </w:r>
      <w:r>
        <w:rPr>
          <w:rFonts w:hint="eastAsia" w:ascii="宋体" w:hAnsi="宋体" w:cs="宋体"/>
          <w:color w:val="000000" w:themeColor="text1"/>
          <w:kern w:val="0"/>
          <w:szCs w:val="21"/>
          <w:highlight w:val="none"/>
          <w14:textFill>
            <w14:solidFill>
              <w14:schemeClr w14:val="tx1"/>
            </w14:solidFill>
          </w14:textFill>
        </w:rPr>
        <w:t>至</w:t>
      </w:r>
      <w:r>
        <w:rPr>
          <w:rFonts w:hint="eastAsia" w:ascii="宋体" w:hAnsi="宋体" w:cs="宋体"/>
          <w:color w:val="000000" w:themeColor="text1"/>
          <w:kern w:val="0"/>
          <w:szCs w:val="21"/>
          <w:highlight w:val="none"/>
          <w:u w:val="single"/>
          <w14:textFill>
            <w14:solidFill>
              <w14:schemeClr w14:val="tx1"/>
            </w14:solidFill>
          </w14:textFill>
        </w:rPr>
        <w:t xml:space="preserve">      年   月    日      </w:t>
      </w:r>
      <w:r>
        <w:rPr>
          <w:rFonts w:hint="eastAsia" w:ascii="宋体" w:hAnsi="宋体" w:cs="宋体"/>
          <w:color w:val="000000" w:themeColor="text1"/>
          <w:kern w:val="0"/>
          <w:szCs w:val="21"/>
          <w:highlight w:val="none"/>
          <w14:textFill>
            <w14:solidFill>
              <w14:schemeClr w14:val="tx1"/>
            </w14:solidFill>
          </w14:textFill>
        </w:rPr>
        <w:t>。</w:t>
      </w:r>
    </w:p>
    <w:p>
      <w:pPr>
        <w:spacing w:line="56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付款方式为：</w:t>
      </w:r>
    </w:p>
    <w:p>
      <w:pPr>
        <w:spacing w:line="56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项目无预付款，物业服务费按月支付(全年分12期)，中标方每月5日前向招标方提交上月物业服务完成情况报告书（要求各项服务工作内容、具体数据客观真实无误），经甲方验收并进行服务评分且经中标方确认后，根据服务考评体系得分支付相应的物业服务费，在收到中标单位开具有效票据十个工作日内支付上月物业费。</w:t>
      </w:r>
    </w:p>
    <w:p>
      <w:pPr>
        <w:widowControl/>
        <w:adjustRightInd w:val="0"/>
        <w:snapToGrid w:val="0"/>
        <w:spacing w:line="400" w:lineRule="exact"/>
        <w:ind w:firstLine="424" w:firstLineChars="202"/>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2.服务款项以银行转账方式支付。支付时，中标方须提交合同复印件、开具正式有效的等额发票、加盖单位公章。</w:t>
      </w:r>
    </w:p>
    <w:p>
      <w:pPr>
        <w:tabs>
          <w:tab w:val="left" w:pos="420"/>
        </w:tabs>
        <w:spacing w:line="420" w:lineRule="exact"/>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履约保证金：</w:t>
      </w:r>
    </w:p>
    <w:p>
      <w:pPr>
        <w:tabs>
          <w:tab w:val="left" w:pos="420"/>
        </w:tabs>
        <w:spacing w:line="42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履约保证金金额：中标人为中小微企业的，履约保证金为年合同金额的2%，大型企业的履约保证金为年合同金额的5%（以响应文件中提交的中小企业声明函为依据）；签订合同前交至指定账户，否则不予签订合同（履约保证金缴纳时须备注项目名称+项目编号。）</w:t>
      </w:r>
    </w:p>
    <w:p>
      <w:pPr>
        <w:tabs>
          <w:tab w:val="left" w:pos="420"/>
        </w:tabs>
        <w:spacing w:line="42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2.履约保证金递交方式：银行转账、电汇或者银行出具的保函等非现金方式。由中标人在签订合同前按规定的金额直接缴入以下采购人账户。凭履约保证金缴纳凭证签订合同。</w:t>
      </w:r>
    </w:p>
    <w:p>
      <w:pPr>
        <w:tabs>
          <w:tab w:val="left" w:pos="420"/>
        </w:tabs>
        <w:spacing w:line="42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统一社会信用代码：124500004985009929</w:t>
      </w:r>
    </w:p>
    <w:p>
      <w:pPr>
        <w:tabs>
          <w:tab w:val="left" w:pos="420"/>
        </w:tabs>
        <w:spacing w:line="42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户名：</w:t>
      </w:r>
      <w:r>
        <w:rPr>
          <w:rFonts w:hint="default" w:ascii="宋体" w:hAnsi="宋体" w:cs="宋体"/>
          <w:color w:val="000000" w:themeColor="text1"/>
          <w:szCs w:val="21"/>
          <w:highlight w:val="none"/>
          <w:lang w:val="en"/>
          <w14:textFill>
            <w14:solidFill>
              <w14:schemeClr w14:val="tx1"/>
            </w14:solidFill>
          </w14:textFill>
        </w:rPr>
        <w:t>广西壮族自治区科学技术馆（广西青少年科技中心）</w:t>
      </w:r>
      <w:r>
        <w:rPr>
          <w:rFonts w:hint="eastAsia" w:ascii="宋体" w:hAnsi="宋体" w:cs="宋体"/>
          <w:color w:val="000000" w:themeColor="text1"/>
          <w:szCs w:val="21"/>
          <w:highlight w:val="none"/>
          <w14:textFill>
            <w14:solidFill>
              <w14:schemeClr w14:val="tx1"/>
            </w14:solidFill>
          </w14:textFill>
        </w:rPr>
        <w:t xml:space="preserve">   </w:t>
      </w:r>
    </w:p>
    <w:p>
      <w:pPr>
        <w:tabs>
          <w:tab w:val="left" w:pos="420"/>
        </w:tabs>
        <w:spacing w:line="42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开户行：中国银行广西南宁市西大支行（行号：104611010324）</w:t>
      </w:r>
    </w:p>
    <w:p>
      <w:pPr>
        <w:tabs>
          <w:tab w:val="left" w:pos="420"/>
        </w:tabs>
        <w:spacing w:line="42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账号：618 457 484 938 </w:t>
      </w:r>
    </w:p>
    <w:p>
      <w:pPr>
        <w:tabs>
          <w:tab w:val="left" w:pos="420"/>
        </w:tabs>
        <w:spacing w:line="42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地址：广西南宁市大学东路100号  </w:t>
      </w:r>
    </w:p>
    <w:p>
      <w:pPr>
        <w:tabs>
          <w:tab w:val="left" w:pos="420"/>
        </w:tabs>
        <w:spacing w:line="42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电话：0771-3232888</w:t>
      </w:r>
    </w:p>
    <w:p>
      <w:pPr>
        <w:tabs>
          <w:tab w:val="left" w:pos="420"/>
        </w:tabs>
        <w:spacing w:line="42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缴纳履约保证金注明：“项目名称+项目编号”履约保证金。</w:t>
      </w:r>
    </w:p>
    <w:p>
      <w:pPr>
        <w:tabs>
          <w:tab w:val="left" w:pos="420"/>
        </w:tabs>
        <w:spacing w:line="42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3.履约保证金退付方式、时间及条件：中标人若不能完全履行合同，履约保证金不返还；中标人若完全履行合同，3年服务期满后，中标人凭履约保证金缴款凭证、退付意见书到采购人财务部门办理无息退还手续。</w:t>
      </w:r>
    </w:p>
    <w:p>
      <w:pPr>
        <w:tabs>
          <w:tab w:val="left" w:pos="420"/>
        </w:tabs>
        <w:spacing w:line="42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4.备注：</w:t>
      </w:r>
    </w:p>
    <w:p>
      <w:pPr>
        <w:tabs>
          <w:tab w:val="left" w:pos="420"/>
        </w:tabs>
        <w:spacing w:line="42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（1）履约保证金不足额缴纳的，或银行出具的保函额度不足的或者银行保函有效期低于合同履行期限（即签订采购合同之日起至履行完合同约定的权利及义务之日止）的，不予签订合同。</w:t>
      </w:r>
    </w:p>
    <w:p>
      <w:pPr>
        <w:pStyle w:val="36"/>
        <w:ind w:firstLine="420" w:firstLineChars="200"/>
        <w:rPr>
          <w:rFonts w:hint="eastAsia"/>
          <w:color w:val="000000" w:themeColor="text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（2）采用银行出具的保函的，必须为无条件的银行保函，否则不予签订合同。</w:t>
      </w:r>
    </w:p>
    <w:p>
      <w:pPr>
        <w:widowControl/>
        <w:spacing w:line="400" w:lineRule="exact"/>
        <w:ind w:firstLine="422" w:firstLineChars="20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 xml:space="preserve">第六条 </w:t>
      </w:r>
      <w:r>
        <w:rPr>
          <w:rFonts w:hint="eastAsia" w:ascii="宋体" w:hAnsi="宋体" w:cs="宋体"/>
          <w:color w:val="000000" w:themeColor="text1"/>
          <w:kern w:val="0"/>
          <w:szCs w:val="21"/>
          <w:highlight w:val="none"/>
          <w14:textFill>
            <w14:solidFill>
              <w14:schemeClr w14:val="tx1"/>
            </w14:solidFill>
          </w14:textFill>
        </w:rPr>
        <w:t>甲方权利义务</w:t>
      </w:r>
    </w:p>
    <w:p>
      <w:pPr>
        <w:widowControl/>
        <w:spacing w:line="400" w:lineRule="exact"/>
        <w:ind w:firstLine="422" w:firstLineChars="20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（一）审定乙方管理服务方案和工作计划，听取乙方管理情况报告，监督检查乙方各项方案和计划的实施；</w:t>
      </w:r>
    </w:p>
    <w:p>
      <w:pPr>
        <w:widowControl/>
        <w:spacing w:line="400" w:lineRule="exact"/>
        <w:ind w:firstLine="422" w:firstLineChars="20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（二）协调、处理本合同生效前发生的遗留问题；</w:t>
      </w:r>
    </w:p>
    <w:p>
      <w:pPr>
        <w:widowControl/>
        <w:spacing w:line="400" w:lineRule="exact"/>
        <w:ind w:firstLine="422" w:firstLineChars="20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（三）法律、法规、政策规定的其他权利、义务。</w:t>
      </w:r>
    </w:p>
    <w:p>
      <w:pPr>
        <w:widowControl/>
        <w:spacing w:line="400" w:lineRule="exact"/>
        <w:ind w:firstLine="422" w:firstLineChars="20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 xml:space="preserve">第七条 </w:t>
      </w:r>
      <w:r>
        <w:rPr>
          <w:rFonts w:hint="eastAsia" w:ascii="宋体" w:hAnsi="宋体" w:cs="宋体"/>
          <w:color w:val="000000" w:themeColor="text1"/>
          <w:kern w:val="0"/>
          <w:szCs w:val="21"/>
          <w:highlight w:val="none"/>
          <w14:textFill>
            <w14:solidFill>
              <w14:schemeClr w14:val="tx1"/>
            </w14:solidFill>
          </w14:textFill>
        </w:rPr>
        <w:t>乙方权利义务</w:t>
      </w:r>
    </w:p>
    <w:p>
      <w:pPr>
        <w:widowControl/>
        <w:spacing w:line="400" w:lineRule="exact"/>
        <w:ind w:firstLine="424" w:firstLineChars="202"/>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pPr>
        <w:widowControl/>
        <w:spacing w:line="400" w:lineRule="exact"/>
        <w:ind w:firstLine="424" w:firstLineChars="202"/>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（二）法律、法规、政策规定的其他权利、义务。</w:t>
      </w:r>
    </w:p>
    <w:p>
      <w:pPr>
        <w:widowControl/>
        <w:spacing w:line="400" w:lineRule="exact"/>
        <w:ind w:firstLine="422" w:firstLineChars="20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第八条</w:t>
      </w:r>
      <w:r>
        <w:rPr>
          <w:rFonts w:hint="eastAsia" w:ascii="宋体" w:hAnsi="宋体" w:cs="宋体"/>
          <w:color w:val="000000" w:themeColor="text1"/>
          <w:kern w:val="0"/>
          <w:szCs w:val="21"/>
          <w:highlight w:val="none"/>
          <w14:textFill>
            <w14:solidFill>
              <w14:schemeClr w14:val="tx1"/>
            </w14:solidFill>
          </w14:textFill>
        </w:rPr>
        <w:t xml:space="preserve"> 违约责任</w:t>
      </w:r>
    </w:p>
    <w:p>
      <w:pPr>
        <w:widowControl/>
        <w:spacing w:line="400" w:lineRule="exact"/>
        <w:ind w:firstLine="422" w:firstLineChars="20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一）乙方未能履行合同或不符合招标约定要求，甲方有权书面敦促乙方整改，乙方应在收到甲方书面通知之日起七日内给予书面答复并进行整改，逾期未整改或整改不合格的，甲方有权书面通知乙方解除服务合同，且无需支付合同解除后的合同后续费用。同时，乙方应向甲方支付3个月物业管理费总和的违约金，并赔偿由此给甲方造成的全部损失。  </w:t>
      </w:r>
    </w:p>
    <w:p>
      <w:pPr>
        <w:widowControl/>
        <w:spacing w:line="400" w:lineRule="exact"/>
        <w:ind w:firstLine="422" w:firstLineChars="20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widowControl/>
        <w:spacing w:line="400" w:lineRule="exact"/>
        <w:ind w:firstLine="283" w:firstLineChars="135"/>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三）除合同约定外，乙方不得将本合同项目转包或分包给第三方，否则甲方有权单方终止本合同，乙方应承担因此给甲方造成的经济损失，包括但不限于依法应重新招标产生的各项费用、甲方向乙方追偿而支出的律师费、诉讼费等。</w:t>
      </w:r>
    </w:p>
    <w:p>
      <w:pPr>
        <w:widowControl/>
        <w:spacing w:line="40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 xml:space="preserve">第九条 </w:t>
      </w:r>
      <w:r>
        <w:rPr>
          <w:rFonts w:hint="eastAsia" w:hAnsi="宋体"/>
          <w:color w:val="000000" w:themeColor="text1"/>
          <w:highlight w:val="none"/>
          <w14:textFill>
            <w14:solidFill>
              <w14:schemeClr w14:val="tx1"/>
            </w14:solidFill>
          </w14:textFill>
        </w:rPr>
        <w:t>双方在履行合同中所发生的一切争议，应通过协商解决。如协商不成，向</w:t>
      </w:r>
      <w:r>
        <w:rPr>
          <w:rFonts w:hint="eastAsia" w:ascii="宋体" w:hAnsi="宋体"/>
          <w:color w:val="000000" w:themeColor="text1"/>
          <w:szCs w:val="21"/>
          <w:highlight w:val="none"/>
          <w14:textFill>
            <w14:solidFill>
              <w14:schemeClr w14:val="tx1"/>
            </w14:solidFill>
          </w14:textFill>
        </w:rPr>
        <w:t>甲方所在地人民法院提起诉讼</w:t>
      </w:r>
      <w:r>
        <w:rPr>
          <w:rFonts w:hint="eastAsia" w:hAnsi="宋体"/>
          <w:color w:val="000000" w:themeColor="text1"/>
          <w:highlight w:val="none"/>
          <w14:textFill>
            <w14:solidFill>
              <w14:schemeClr w14:val="tx1"/>
            </w14:solidFill>
          </w14:textFill>
        </w:rPr>
        <w:t>。</w:t>
      </w:r>
    </w:p>
    <w:p>
      <w:pPr>
        <w:pStyle w:val="30"/>
        <w:spacing w:line="400" w:lineRule="exact"/>
        <w:ind w:firstLine="357" w:firstLineChars="170"/>
        <w:rPr>
          <w:rFonts w:hint="eastAsia" w:hAnsi="宋体" w:cs="Times New Roman"/>
          <w:color w:val="000000" w:themeColor="text1"/>
          <w:szCs w:val="20"/>
          <w:highlight w:val="none"/>
          <w14:textFill>
            <w14:solidFill>
              <w14:schemeClr w14:val="tx1"/>
            </w14:solidFill>
          </w14:textFill>
        </w:rPr>
      </w:pPr>
      <w:r>
        <w:rPr>
          <w:rFonts w:hint="eastAsia" w:hAnsi="宋体" w:cs="宋体"/>
          <w:b/>
          <w:bCs/>
          <w:color w:val="000000" w:themeColor="text1"/>
          <w:kern w:val="0"/>
          <w:highlight w:val="none"/>
          <w14:textFill>
            <w14:solidFill>
              <w14:schemeClr w14:val="tx1"/>
            </w14:solidFill>
          </w14:textFill>
        </w:rPr>
        <w:t xml:space="preserve">第十条 </w:t>
      </w:r>
      <w:r>
        <w:rPr>
          <w:rFonts w:hint="eastAsia" w:hAnsi="宋体"/>
          <w:color w:val="000000" w:themeColor="text1"/>
          <w:highlight w:val="none"/>
          <w14:textFill>
            <w14:solidFill>
              <w14:schemeClr w14:val="tx1"/>
            </w14:solidFill>
          </w14:textFill>
        </w:rPr>
        <w:t>在合同有效期限内，任何一方因不可抗力事件导致不能按时履行合同，则合同履行期可延长，其延长期与不可抗力影响期相同。由于不可抗力事件导致合同的根本目的不能实现时，一方可解除合同。</w:t>
      </w:r>
    </w:p>
    <w:p>
      <w:pPr>
        <w:pStyle w:val="30"/>
        <w:spacing w:line="400" w:lineRule="exact"/>
        <w:ind w:firstLine="42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不可抗力事件发生后，应立即通知对方，并寄送有关权威机构出具的证明。</w:t>
      </w:r>
    </w:p>
    <w:p>
      <w:pPr>
        <w:pStyle w:val="30"/>
        <w:spacing w:line="400" w:lineRule="exact"/>
        <w:ind w:firstLine="420"/>
        <w:rPr>
          <w:rFonts w:hint="eastAsia" w:cs="宋体"/>
          <w:color w:val="000000" w:themeColor="text1"/>
          <w:kern w:val="0"/>
          <w:highlight w:val="none"/>
          <w14:textFill>
            <w14:solidFill>
              <w14:schemeClr w14:val="tx1"/>
            </w14:solidFill>
          </w14:textFill>
        </w:rPr>
      </w:pPr>
      <w:r>
        <w:rPr>
          <w:rFonts w:hint="eastAsia"/>
          <w:color w:val="000000" w:themeColor="text1"/>
          <w:highlight w:val="none"/>
          <w14:textFill>
            <w14:solidFill>
              <w14:schemeClr w14:val="tx1"/>
            </w14:solidFill>
          </w14:textFill>
        </w:rPr>
        <w:t>不可抗力事件延续120天以上，双方应通过友好协商，确定是否继续履行合同。</w:t>
      </w:r>
    </w:p>
    <w:p>
      <w:pPr>
        <w:pStyle w:val="30"/>
        <w:spacing w:line="400" w:lineRule="exact"/>
        <w:ind w:firstLine="420"/>
        <w:rPr>
          <w:rFonts w:hint="eastAsia" w:hAnsi="宋体" w:cs="Times New Roman"/>
          <w:color w:val="000000" w:themeColor="text1"/>
          <w:szCs w:val="20"/>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 xml:space="preserve">第十一条 </w:t>
      </w:r>
      <w:r>
        <w:rPr>
          <w:rFonts w:hint="eastAsia" w:hAnsi="宋体" w:cs="宋体"/>
          <w:color w:val="000000" w:themeColor="text1"/>
          <w:kern w:val="0"/>
          <w:highlight w:val="none"/>
          <w14:textFill>
            <w14:solidFill>
              <w14:schemeClr w14:val="tx1"/>
            </w14:solidFill>
          </w14:textFill>
        </w:rPr>
        <w:t>本合同附件为合同有效组成部分。凡本合同及附件未规定的事宜以及合同词语，均以有关法律、法规、政策规定为准。</w:t>
      </w:r>
    </w:p>
    <w:p>
      <w:pPr>
        <w:widowControl/>
        <w:spacing w:line="400" w:lineRule="exact"/>
        <w:ind w:firstLine="422" w:firstLineChars="20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 xml:space="preserve">第十二条 </w:t>
      </w:r>
      <w:r>
        <w:rPr>
          <w:rFonts w:hint="eastAsia" w:ascii="宋体" w:hAnsi="宋体" w:cs="宋体"/>
          <w:color w:val="000000" w:themeColor="text1"/>
          <w:kern w:val="0"/>
          <w:szCs w:val="21"/>
          <w:highlight w:val="none"/>
          <w14:textFill>
            <w14:solidFill>
              <w14:schemeClr w14:val="tx1"/>
            </w14:solidFill>
          </w14:textFill>
        </w:rPr>
        <w:t>本合同未尽事宜由甲、乙方双方另行协商签订补充协议，补充协议与本合同具有同等效力。</w:t>
      </w:r>
    </w:p>
    <w:p>
      <w:pPr>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 xml:space="preserve">第十三条 </w:t>
      </w:r>
      <w:r>
        <w:rPr>
          <w:rFonts w:hint="eastAsia" w:ascii="宋体" w:hAnsi="宋体"/>
          <w:color w:val="000000" w:themeColor="text1"/>
          <w:szCs w:val="21"/>
          <w:highlight w:val="none"/>
          <w14:textFill>
            <w14:solidFill>
              <w14:schemeClr w14:val="tx1"/>
            </w14:solidFill>
          </w14:textFill>
        </w:rPr>
        <w:t>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pPr>
        <w:pStyle w:val="30"/>
        <w:spacing w:line="400" w:lineRule="exact"/>
        <w:ind w:firstLine="420"/>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第十四 条签订本合同依据</w:t>
      </w:r>
    </w:p>
    <w:p>
      <w:pPr>
        <w:pStyle w:val="30"/>
        <w:spacing w:line="400" w:lineRule="exact"/>
        <w:ind w:firstLine="420"/>
        <w:rPr>
          <w:rFonts w:hAnsi="宋体"/>
          <w:color w:val="000000" w:themeColor="text1"/>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（一）</w:t>
      </w:r>
      <w:r>
        <w:rPr>
          <w:rFonts w:hint="eastAsia" w:hAnsi="宋体"/>
          <w:color w:val="000000" w:themeColor="text1"/>
          <w:highlight w:val="none"/>
          <w14:textFill>
            <w14:solidFill>
              <w14:schemeClr w14:val="tx1"/>
            </w14:solidFill>
          </w14:textFill>
        </w:rPr>
        <w:t>政府采购招标文件；</w:t>
      </w:r>
    </w:p>
    <w:p>
      <w:pPr>
        <w:pStyle w:val="30"/>
        <w:spacing w:line="400" w:lineRule="exact"/>
        <w:ind w:firstLine="420"/>
        <w:rPr>
          <w:rFonts w:hAnsi="宋体"/>
          <w:color w:val="000000" w:themeColor="text1"/>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（二）</w:t>
      </w:r>
      <w:r>
        <w:rPr>
          <w:rFonts w:hint="eastAsia" w:hAnsi="宋体"/>
          <w:color w:val="000000" w:themeColor="text1"/>
          <w:highlight w:val="none"/>
          <w14:textFill>
            <w14:solidFill>
              <w14:schemeClr w14:val="tx1"/>
            </w14:solidFill>
          </w14:textFill>
        </w:rPr>
        <w:t>乙方提供的采购投标文件；</w:t>
      </w:r>
    </w:p>
    <w:p>
      <w:pPr>
        <w:pStyle w:val="30"/>
        <w:spacing w:line="400" w:lineRule="exact"/>
        <w:ind w:firstLine="420"/>
        <w:rPr>
          <w:rFonts w:hAnsi="宋体"/>
          <w:color w:val="000000" w:themeColor="text1"/>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（三）</w:t>
      </w:r>
      <w:r>
        <w:rPr>
          <w:rFonts w:hint="eastAsia" w:hAnsi="宋体"/>
          <w:color w:val="000000" w:themeColor="text1"/>
          <w:highlight w:val="none"/>
          <w14:textFill>
            <w14:solidFill>
              <w14:schemeClr w14:val="tx1"/>
            </w14:solidFill>
          </w14:textFill>
        </w:rPr>
        <w:t>投标承诺书；</w:t>
      </w:r>
    </w:p>
    <w:p>
      <w:pPr>
        <w:pStyle w:val="30"/>
        <w:spacing w:line="400" w:lineRule="exact"/>
        <w:ind w:firstLine="420"/>
        <w:rPr>
          <w:rFonts w:hint="eastAsia" w:hAnsi="宋体"/>
          <w:color w:val="000000" w:themeColor="text1"/>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（四）</w:t>
      </w:r>
      <w:r>
        <w:rPr>
          <w:rFonts w:hint="eastAsia" w:hAnsi="宋体"/>
          <w:color w:val="000000" w:themeColor="text1"/>
          <w:highlight w:val="none"/>
          <w14:textFill>
            <w14:solidFill>
              <w14:schemeClr w14:val="tx1"/>
            </w14:solidFill>
          </w14:textFill>
        </w:rPr>
        <w:t>中标通知书。</w:t>
      </w:r>
    </w:p>
    <w:p>
      <w:pPr>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 xml:space="preserve">第十五条 </w:t>
      </w:r>
      <w:r>
        <w:rPr>
          <w:rFonts w:hint="eastAsia" w:ascii="宋体" w:hAnsi="宋体"/>
          <w:color w:val="000000" w:themeColor="text1"/>
          <w:szCs w:val="21"/>
          <w:highlight w:val="none"/>
          <w14:textFill>
            <w14:solidFill>
              <w14:schemeClr w14:val="tx1"/>
            </w14:solidFill>
          </w14:textFill>
        </w:rPr>
        <w:t>本合同一式柒份，具有同等法律效力。</w:t>
      </w:r>
      <w:r>
        <w:rPr>
          <w:rFonts w:hint="eastAsia" w:ascii="宋体" w:hAnsi="宋体"/>
          <w:color w:val="000000" w:themeColor="text1"/>
          <w:spacing w:val="4"/>
          <w:szCs w:val="21"/>
          <w:highlight w:val="none"/>
          <w14:textFill>
            <w14:solidFill>
              <w14:schemeClr w14:val="tx1"/>
            </w14:solidFill>
          </w14:textFill>
        </w:rPr>
        <w:t>广西区财政厅政府采购监督管理处、广西壮族自治区政府采购中心</w:t>
      </w:r>
      <w:r>
        <w:rPr>
          <w:rFonts w:hint="eastAsia" w:ascii="宋体" w:hAnsi="宋体"/>
          <w:color w:val="000000" w:themeColor="text1"/>
          <w:szCs w:val="21"/>
          <w:highlight w:val="none"/>
          <w14:textFill>
            <w14:solidFill>
              <w14:schemeClr w14:val="tx1"/>
            </w14:solidFill>
          </w14:textFill>
        </w:rPr>
        <w:t>各一份，甲方肆份，乙方一份。</w:t>
      </w:r>
    </w:p>
    <w:p>
      <w:pPr>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szCs w:val="21"/>
          <w:highlight w:val="none"/>
        </w:rPr>
        <w:t>本合同甲乙双方</w:t>
      </w:r>
      <w:r>
        <w:rPr>
          <w:rFonts w:hint="eastAsia" w:ascii="宋体" w:hAnsi="宋体"/>
          <w:color w:val="000000"/>
          <w:szCs w:val="21"/>
          <w:highlight w:val="none"/>
          <w:lang w:val="en-US" w:eastAsia="zh-CN"/>
        </w:rPr>
        <w:t>法定代表人或其委托代理人</w:t>
      </w:r>
      <w:r>
        <w:rPr>
          <w:rFonts w:hint="eastAsia" w:ascii="宋体" w:hAnsi="宋体"/>
          <w:color w:val="000000"/>
          <w:szCs w:val="21"/>
          <w:highlight w:val="none"/>
        </w:rPr>
        <w:t>签字</w:t>
      </w:r>
      <w:r>
        <w:rPr>
          <w:rFonts w:hint="eastAsia" w:ascii="宋体" w:hAnsi="宋体"/>
          <w:color w:val="000000"/>
          <w:szCs w:val="21"/>
          <w:highlight w:val="none"/>
          <w:lang w:val="en-US" w:eastAsia="zh-CN"/>
        </w:rPr>
        <w:t>并加</w:t>
      </w:r>
      <w:r>
        <w:rPr>
          <w:rFonts w:hint="eastAsia" w:ascii="宋体" w:hAnsi="宋体"/>
          <w:color w:val="000000"/>
          <w:szCs w:val="21"/>
          <w:highlight w:val="none"/>
        </w:rPr>
        <w:t>盖</w:t>
      </w:r>
      <w:r>
        <w:rPr>
          <w:rFonts w:hint="eastAsia" w:ascii="宋体" w:hAnsi="宋体"/>
          <w:color w:val="000000"/>
          <w:szCs w:val="21"/>
          <w:highlight w:val="none"/>
          <w:lang w:val="en-US" w:eastAsia="zh-CN"/>
        </w:rPr>
        <w:t>公</w:t>
      </w:r>
      <w:r>
        <w:rPr>
          <w:rFonts w:hint="eastAsia" w:ascii="宋体" w:hAnsi="宋体"/>
          <w:color w:val="000000"/>
          <w:szCs w:val="21"/>
          <w:highlight w:val="none"/>
        </w:rPr>
        <w:t>章后生效，</w:t>
      </w:r>
      <w:r>
        <w:rPr>
          <w:rFonts w:hint="eastAsia" w:ascii="宋体" w:hAnsi="宋体"/>
          <w:color w:val="000000"/>
          <w:szCs w:val="21"/>
        </w:rPr>
        <w:t>自签订之日起两个工作日内，采购人应当将合同通过广西政府采购云平台上传完成合同网上公示</w:t>
      </w:r>
      <w:r>
        <w:rPr>
          <w:rFonts w:hint="eastAsia" w:ascii="宋体" w:hAnsi="宋体"/>
          <w:color w:val="000000" w:themeColor="text1"/>
          <w:szCs w:val="21"/>
          <w:highlight w:val="none"/>
          <w14:textFill>
            <w14:solidFill>
              <w14:schemeClr w14:val="tx1"/>
            </w14:solidFill>
          </w14:textFill>
        </w:rPr>
        <w:t>。</w:t>
      </w:r>
    </w:p>
    <w:tbl>
      <w:tblPr>
        <w:tblStyle w:val="5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highlight w:val="none"/>
                <w14:textFill>
                  <w14:solidFill>
                    <w14:schemeClr w14:val="tx1"/>
                  </w14:solidFill>
                </w14:textFill>
              </w:rPr>
            </w:pPr>
          </w:p>
          <w:p>
            <w:pPr>
              <w:snapToGrid w:val="0"/>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甲方（章）           年   月   日</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highlight w:val="none"/>
                <w14:textFill>
                  <w14:solidFill>
                    <w14:schemeClr w14:val="tx1"/>
                  </w14:solidFill>
                </w14:textFill>
              </w:rPr>
            </w:pPr>
          </w:p>
          <w:p>
            <w:pPr>
              <w:snapToGrid w:val="0"/>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乙方（章）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3"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通讯地址：</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9"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7"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电子邮箱：</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账号：</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8"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9288" w:type="dxa"/>
            <w:gridSpan w:val="2"/>
            <w:tcBorders>
              <w:top w:val="single" w:color="auto" w:sz="4" w:space="0"/>
              <w:left w:val="single" w:color="auto" w:sz="4" w:space="0"/>
              <w:bottom w:val="single" w:color="auto" w:sz="4" w:space="0"/>
              <w:right w:val="single" w:color="auto" w:sz="4" w:space="0"/>
            </w:tcBorders>
            <w:vAlign w:val="top"/>
          </w:tcPr>
          <w:p>
            <w:pPr>
              <w:snapToGrid w:val="0"/>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经办人：</w:t>
            </w:r>
          </w:p>
          <w:p>
            <w:pPr>
              <w:snapToGrid w:val="0"/>
              <w:spacing w:line="360" w:lineRule="exact"/>
              <w:ind w:firstLine="630" w:firstLineChars="3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    月    日</w:t>
            </w:r>
          </w:p>
        </w:tc>
      </w:tr>
      <w:bookmarkEnd w:id="59"/>
    </w:tbl>
    <w:p>
      <w:pPr>
        <w:pageBreakBefore/>
        <w:spacing w:line="300" w:lineRule="atLeast"/>
        <w:ind w:firstLine="680"/>
        <w:jc w:val="center"/>
        <w:rPr>
          <w:rFonts w:hint="eastAsia" w:ascii="黑体" w:hAnsi="宋体" w:eastAsia="黑体"/>
          <w:b/>
          <w:color w:val="000000" w:themeColor="text1"/>
          <w:sz w:val="44"/>
          <w:szCs w:val="44"/>
          <w:highlight w:val="none"/>
          <w14:textFill>
            <w14:solidFill>
              <w14:schemeClr w14:val="tx1"/>
            </w14:solidFill>
          </w14:textFill>
        </w:rPr>
      </w:pPr>
    </w:p>
    <w:p>
      <w:pPr>
        <w:pStyle w:val="30"/>
        <w:snapToGrid w:val="0"/>
        <w:spacing w:before="120" w:after="120"/>
        <w:jc w:val="center"/>
        <w:outlineLvl w:val="0"/>
        <w:rPr>
          <w:rFonts w:hint="eastAsia" w:ascii="黑体" w:hAnsi="宋体" w:eastAsia="黑体"/>
          <w:b/>
          <w:color w:val="000000" w:themeColor="text1"/>
          <w:sz w:val="44"/>
          <w:szCs w:val="44"/>
          <w:highlight w:val="none"/>
          <w14:textFill>
            <w14:solidFill>
              <w14:schemeClr w14:val="tx1"/>
            </w14:solidFill>
          </w14:textFill>
        </w:rPr>
      </w:pPr>
    </w:p>
    <w:p>
      <w:pPr>
        <w:pStyle w:val="30"/>
        <w:snapToGrid w:val="0"/>
        <w:spacing w:before="120" w:after="120"/>
        <w:jc w:val="center"/>
        <w:outlineLvl w:val="0"/>
        <w:rPr>
          <w:rFonts w:hint="eastAsia" w:ascii="黑体" w:hAnsi="宋体" w:eastAsia="黑体"/>
          <w:b/>
          <w:color w:val="000000" w:themeColor="text1"/>
          <w:sz w:val="44"/>
          <w:szCs w:val="44"/>
          <w:highlight w:val="none"/>
          <w14:textFill>
            <w14:solidFill>
              <w14:schemeClr w14:val="tx1"/>
            </w14:solidFill>
          </w14:textFill>
        </w:rPr>
      </w:pPr>
    </w:p>
    <w:p>
      <w:pPr>
        <w:pStyle w:val="30"/>
        <w:snapToGrid w:val="0"/>
        <w:spacing w:before="120" w:after="120"/>
        <w:jc w:val="center"/>
        <w:outlineLvl w:val="0"/>
        <w:rPr>
          <w:rFonts w:hint="eastAsia" w:ascii="黑体" w:hAnsi="宋体" w:eastAsia="黑体"/>
          <w:b/>
          <w:color w:val="000000" w:themeColor="text1"/>
          <w:sz w:val="44"/>
          <w:szCs w:val="44"/>
          <w:highlight w:val="none"/>
          <w14:textFill>
            <w14:solidFill>
              <w14:schemeClr w14:val="tx1"/>
            </w14:solidFill>
          </w14:textFill>
        </w:rPr>
      </w:pPr>
    </w:p>
    <w:p>
      <w:pPr>
        <w:pStyle w:val="30"/>
        <w:snapToGrid w:val="0"/>
        <w:spacing w:before="120" w:after="120"/>
        <w:jc w:val="center"/>
        <w:outlineLvl w:val="0"/>
        <w:rPr>
          <w:rFonts w:hint="eastAsia" w:ascii="黑体" w:hAnsi="宋体" w:eastAsia="黑体"/>
          <w:b/>
          <w:color w:val="000000" w:themeColor="text1"/>
          <w:sz w:val="44"/>
          <w:szCs w:val="44"/>
          <w:highlight w:val="none"/>
          <w14:textFill>
            <w14:solidFill>
              <w14:schemeClr w14:val="tx1"/>
            </w14:solidFill>
          </w14:textFill>
        </w:rPr>
      </w:pPr>
    </w:p>
    <w:p>
      <w:pPr>
        <w:pStyle w:val="30"/>
        <w:snapToGrid w:val="0"/>
        <w:spacing w:before="120" w:after="120"/>
        <w:jc w:val="center"/>
        <w:outlineLvl w:val="0"/>
        <w:rPr>
          <w:rFonts w:hint="eastAsia" w:ascii="黑体" w:hAnsi="宋体" w:eastAsia="黑体"/>
          <w:b/>
          <w:color w:val="000000" w:themeColor="text1"/>
          <w:sz w:val="44"/>
          <w:szCs w:val="44"/>
          <w:highlight w:val="none"/>
          <w14:textFill>
            <w14:solidFill>
              <w14:schemeClr w14:val="tx1"/>
            </w14:solidFill>
          </w14:textFill>
        </w:rPr>
      </w:pPr>
    </w:p>
    <w:p>
      <w:pPr>
        <w:pStyle w:val="30"/>
        <w:snapToGrid w:val="0"/>
        <w:spacing w:before="120" w:after="120"/>
        <w:jc w:val="center"/>
        <w:outlineLvl w:val="0"/>
        <w:rPr>
          <w:rFonts w:hint="eastAsia" w:ascii="黑体" w:hAnsi="宋体" w:eastAsia="黑体"/>
          <w:b/>
          <w:color w:val="000000" w:themeColor="text1"/>
          <w:sz w:val="44"/>
          <w:szCs w:val="44"/>
          <w:highlight w:val="none"/>
          <w14:textFill>
            <w14:solidFill>
              <w14:schemeClr w14:val="tx1"/>
            </w14:solidFill>
          </w14:textFill>
        </w:rPr>
      </w:pPr>
    </w:p>
    <w:p>
      <w:pPr>
        <w:pStyle w:val="30"/>
        <w:snapToGrid w:val="0"/>
        <w:spacing w:before="120" w:after="120"/>
        <w:jc w:val="center"/>
        <w:outlineLvl w:val="0"/>
        <w:rPr>
          <w:rFonts w:hint="eastAsia" w:ascii="黑体" w:hAnsi="宋体" w:eastAsia="黑体"/>
          <w:b/>
          <w:color w:val="000000" w:themeColor="text1"/>
          <w:sz w:val="44"/>
          <w:szCs w:val="44"/>
          <w:highlight w:val="none"/>
          <w14:textFill>
            <w14:solidFill>
              <w14:schemeClr w14:val="tx1"/>
            </w14:solidFill>
          </w14:textFill>
        </w:rPr>
      </w:pPr>
    </w:p>
    <w:p>
      <w:pPr>
        <w:pStyle w:val="3"/>
        <w:jc w:val="center"/>
        <w:rPr>
          <w:rFonts w:hint="eastAsia"/>
          <w:color w:val="000000" w:themeColor="text1"/>
          <w:highlight w:val="none"/>
          <w14:textFill>
            <w14:solidFill>
              <w14:schemeClr w14:val="tx1"/>
            </w14:solidFill>
          </w14:textFill>
        </w:rPr>
      </w:pPr>
      <w:bookmarkStart w:id="60" w:name="_Toc1303339480"/>
      <w:r>
        <w:rPr>
          <w:rFonts w:hint="eastAsia"/>
          <w:color w:val="000000" w:themeColor="text1"/>
          <w:highlight w:val="none"/>
          <w14:textFill>
            <w14:solidFill>
              <w14:schemeClr w14:val="tx1"/>
            </w14:solidFill>
          </w14:textFill>
        </w:rPr>
        <w:t>第六章　投标文件格式</w:t>
      </w:r>
      <w:bookmarkEnd w:id="60"/>
    </w:p>
    <w:p>
      <w:pPr>
        <w:snapToGrid w:val="0"/>
        <w:spacing w:before="50" w:after="50"/>
        <w:outlineLvl w:val="1"/>
        <w:rPr>
          <w:rFonts w:hint="eastAsia" w:ascii="仿宋_GB2312" w:hAnsi="宋体" w:eastAsia="仿宋_GB2312"/>
          <w:color w:val="000000" w:themeColor="text1"/>
          <w:sz w:val="32"/>
          <w:szCs w:val="20"/>
          <w:highlight w:val="none"/>
          <w14:textFill>
            <w14:solidFill>
              <w14:schemeClr w14:val="tx1"/>
            </w14:solidFill>
          </w14:textFill>
        </w:rPr>
      </w:pPr>
    </w:p>
    <w:p>
      <w:pPr>
        <w:snapToGrid w:val="0"/>
        <w:spacing w:before="156" w:beforeLines="50" w:after="50" w:line="360" w:lineRule="exact"/>
        <w:jc w:val="center"/>
        <w:outlineLvl w:val="1"/>
        <w:rPr>
          <w:rFonts w:hint="eastAsia" w:ascii="宋体" w:hAnsi="宋体"/>
          <w:b/>
          <w:bCs/>
          <w:color w:val="000000" w:themeColor="text1"/>
          <w:szCs w:val="21"/>
          <w:highlight w:val="none"/>
          <w14:textFill>
            <w14:solidFill>
              <w14:schemeClr w14:val="tx1"/>
            </w14:solidFill>
          </w14:textFill>
        </w:rPr>
      </w:pPr>
      <w:bookmarkStart w:id="61" w:name="_Toc254970556"/>
      <w:bookmarkStart w:id="62" w:name="_Toc254970697"/>
    </w:p>
    <w:bookmarkEnd w:id="61"/>
    <w:bookmarkEnd w:id="62"/>
    <w:p>
      <w:pPr>
        <w:snapToGrid w:val="0"/>
        <w:spacing w:before="156" w:beforeLines="50" w:after="50" w:line="360" w:lineRule="exact"/>
        <w:jc w:val="center"/>
        <w:outlineLvl w:val="1"/>
        <w:rPr>
          <w:rFonts w:hint="eastAsia" w:ascii="宋体" w:hAnsi="宋体"/>
          <w:b/>
          <w:bCs/>
          <w:color w:val="000000" w:themeColor="text1"/>
          <w:szCs w:val="21"/>
          <w:highlight w:val="none"/>
          <w14:textFill>
            <w14:solidFill>
              <w14:schemeClr w14:val="tx1"/>
            </w14:solidFill>
          </w14:textFill>
        </w:rPr>
      </w:pPr>
    </w:p>
    <w:p>
      <w:pPr>
        <w:snapToGrid w:val="0"/>
        <w:spacing w:before="156" w:beforeLines="50" w:after="50" w:line="360" w:lineRule="exact"/>
        <w:jc w:val="center"/>
        <w:outlineLvl w:val="1"/>
        <w:rPr>
          <w:rFonts w:hint="eastAsia" w:ascii="宋体" w:hAnsi="宋体"/>
          <w:b/>
          <w:bCs/>
          <w:color w:val="000000" w:themeColor="text1"/>
          <w:szCs w:val="21"/>
          <w:highlight w:val="none"/>
          <w14:textFill>
            <w14:solidFill>
              <w14:schemeClr w14:val="tx1"/>
            </w14:solidFill>
          </w14:textFill>
        </w:rPr>
      </w:pPr>
    </w:p>
    <w:p>
      <w:pPr>
        <w:snapToGrid w:val="0"/>
        <w:spacing w:before="156" w:beforeLines="50" w:after="50" w:line="360" w:lineRule="exact"/>
        <w:jc w:val="center"/>
        <w:outlineLvl w:val="1"/>
        <w:rPr>
          <w:rFonts w:hint="eastAsia" w:ascii="宋体" w:hAnsi="宋体"/>
          <w:b/>
          <w:bCs/>
          <w:color w:val="000000" w:themeColor="text1"/>
          <w:szCs w:val="21"/>
          <w:highlight w:val="none"/>
          <w14:textFill>
            <w14:solidFill>
              <w14:schemeClr w14:val="tx1"/>
            </w14:solidFill>
          </w14:textFill>
        </w:rPr>
      </w:pPr>
    </w:p>
    <w:p>
      <w:pPr>
        <w:snapToGrid w:val="0"/>
        <w:spacing w:before="156" w:beforeLines="50" w:after="50" w:line="360" w:lineRule="exact"/>
        <w:jc w:val="center"/>
        <w:outlineLvl w:val="1"/>
        <w:rPr>
          <w:rFonts w:hint="eastAsia" w:ascii="宋体" w:hAnsi="宋体"/>
          <w:b/>
          <w:bCs/>
          <w:color w:val="000000" w:themeColor="text1"/>
          <w:szCs w:val="21"/>
          <w:highlight w:val="none"/>
          <w14:textFill>
            <w14:solidFill>
              <w14:schemeClr w14:val="tx1"/>
            </w14:solidFill>
          </w14:textFill>
        </w:rPr>
      </w:pPr>
    </w:p>
    <w:p>
      <w:pPr>
        <w:snapToGrid w:val="0"/>
        <w:spacing w:before="156" w:beforeLines="50" w:after="50" w:line="360" w:lineRule="exact"/>
        <w:jc w:val="center"/>
        <w:outlineLvl w:val="1"/>
        <w:rPr>
          <w:rFonts w:hint="eastAsia" w:ascii="宋体" w:hAnsi="宋体"/>
          <w:b/>
          <w:bCs/>
          <w:color w:val="000000" w:themeColor="text1"/>
          <w:szCs w:val="21"/>
          <w:highlight w:val="none"/>
          <w14:textFill>
            <w14:solidFill>
              <w14:schemeClr w14:val="tx1"/>
            </w14:solidFill>
          </w14:textFill>
        </w:rPr>
      </w:pPr>
    </w:p>
    <w:p>
      <w:pPr>
        <w:snapToGrid w:val="0"/>
        <w:spacing w:before="156" w:beforeLines="50" w:after="50" w:line="360" w:lineRule="exact"/>
        <w:jc w:val="center"/>
        <w:outlineLvl w:val="1"/>
        <w:rPr>
          <w:rFonts w:hint="eastAsia" w:ascii="宋体" w:hAnsi="宋体"/>
          <w:b/>
          <w:bCs/>
          <w:color w:val="000000" w:themeColor="text1"/>
          <w:szCs w:val="21"/>
          <w:highlight w:val="none"/>
          <w14:textFill>
            <w14:solidFill>
              <w14:schemeClr w14:val="tx1"/>
            </w14:solidFill>
          </w14:textFill>
        </w:rPr>
      </w:pPr>
    </w:p>
    <w:p>
      <w:pPr>
        <w:snapToGrid w:val="0"/>
        <w:spacing w:before="156" w:beforeLines="50" w:after="50" w:line="360" w:lineRule="exact"/>
        <w:jc w:val="center"/>
        <w:outlineLvl w:val="1"/>
        <w:rPr>
          <w:rFonts w:ascii="宋体" w:hAnsi="宋体"/>
          <w:b/>
          <w:color w:val="000000" w:themeColor="text1"/>
          <w:sz w:val="32"/>
          <w:szCs w:val="32"/>
          <w:highlight w:val="none"/>
          <w14:textFill>
            <w14:solidFill>
              <w14:schemeClr w14:val="tx1"/>
            </w14:solidFill>
          </w14:textFill>
        </w:rPr>
      </w:pPr>
      <w:bookmarkStart w:id="63" w:name="_Toc254970698"/>
      <w:bookmarkStart w:id="64" w:name="_Toc254970557"/>
    </w:p>
    <w:p>
      <w:pPr>
        <w:pageBreakBefore/>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投标文件格式</w:t>
      </w:r>
    </w:p>
    <w:p>
      <w:pPr>
        <w:jc w:val="center"/>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一、投标文件封面格式</w:t>
      </w:r>
    </w:p>
    <w:p>
      <w:pPr>
        <w:snapToGrid w:val="0"/>
        <w:spacing w:before="156" w:beforeLines="50" w:after="50" w:line="360" w:lineRule="exact"/>
        <w:rPr>
          <w:rFonts w:hint="eastAsia"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napToGrid w:val="0"/>
        <w:spacing w:before="156" w:beforeLines="50" w:after="50" w:line="360" w:lineRule="exact"/>
        <w:jc w:val="center"/>
        <w:rPr>
          <w:rFonts w:hint="eastAsia"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投标文件</w:t>
      </w:r>
    </w:p>
    <w:p>
      <w:pPr>
        <w:snapToGrid w:val="0"/>
        <w:spacing w:before="156" w:beforeLines="50" w:after="50" w:line="360" w:lineRule="exact"/>
        <w:rPr>
          <w:rFonts w:hint="eastAsia" w:ascii="宋体" w:hAnsi="宋体"/>
          <w:bCs/>
          <w:color w:val="000000" w:themeColor="text1"/>
          <w:sz w:val="24"/>
          <w:highlight w:val="none"/>
          <w14:textFill>
            <w14:solidFill>
              <w14:schemeClr w14:val="tx1"/>
            </w14:solidFill>
          </w14:textFill>
        </w:rPr>
      </w:pPr>
    </w:p>
    <w:p>
      <w:pPr>
        <w:snapToGrid w:val="0"/>
        <w:spacing w:before="156" w:beforeLines="50" w:after="50" w:line="360" w:lineRule="exact"/>
        <w:ind w:firstLine="630" w:firstLineChars="3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项目名称： </w:t>
      </w:r>
    </w:p>
    <w:p>
      <w:pPr>
        <w:snapToGrid w:val="0"/>
        <w:spacing w:before="156" w:beforeLines="50" w:after="50" w:line="360" w:lineRule="exact"/>
        <w:ind w:firstLine="630" w:firstLineChars="3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项目编号： </w:t>
      </w:r>
    </w:p>
    <w:p>
      <w:pPr>
        <w:snapToGrid w:val="0"/>
        <w:spacing w:before="156" w:beforeLines="50" w:after="50" w:line="360" w:lineRule="exact"/>
        <w:ind w:firstLine="630" w:firstLineChars="3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所投分标：</w:t>
      </w:r>
    </w:p>
    <w:p>
      <w:pPr>
        <w:snapToGrid w:val="0"/>
        <w:spacing w:before="156" w:beforeLines="50" w:after="50" w:line="360" w:lineRule="exact"/>
        <w:ind w:firstLine="630" w:firstLineChars="3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投标人名称：（盖章）</w:t>
      </w:r>
    </w:p>
    <w:p>
      <w:pPr>
        <w:snapToGrid w:val="0"/>
        <w:spacing w:before="156" w:beforeLines="50" w:after="50" w:line="360" w:lineRule="exact"/>
        <w:ind w:firstLine="630" w:firstLineChars="3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投标人地址：</w:t>
      </w:r>
    </w:p>
    <w:p>
      <w:pPr>
        <w:ind w:right="1556" w:rightChars="741"/>
        <w:jc w:val="righ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年  月  日</w:t>
      </w:r>
    </w:p>
    <w:p>
      <w:pPr>
        <w:snapToGrid w:val="0"/>
        <w:spacing w:before="156" w:beforeLines="50" w:after="50" w:line="400" w:lineRule="exact"/>
        <w:jc w:val="center"/>
        <w:outlineLvl w:val="1"/>
        <w:rPr>
          <w:rFonts w:hint="eastAsia" w:ascii="宋体" w:hAnsi="宋体"/>
          <w:b/>
          <w:bCs/>
          <w:color w:val="000000" w:themeColor="text1"/>
          <w:szCs w:val="21"/>
          <w:highlight w:val="none"/>
          <w14:textFill>
            <w14:solidFill>
              <w14:schemeClr w14:val="tx1"/>
            </w14:solidFill>
          </w14:textFill>
        </w:rPr>
      </w:pPr>
    </w:p>
    <w:p>
      <w:pPr>
        <w:spacing w:line="400" w:lineRule="exact"/>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[注：投标文件由资格文件、商务技术文件、报价文件三部份组成</w:t>
      </w:r>
    </w:p>
    <w:p>
      <w:pPr>
        <w:snapToGrid w:val="0"/>
        <w:spacing w:before="156" w:beforeLines="50" w:after="50" w:line="360" w:lineRule="exact"/>
        <w:jc w:val="center"/>
        <w:outlineLvl w:val="0"/>
        <w:rPr>
          <w:rFonts w:hint="eastAsia" w:ascii="宋体" w:hAnsi="宋体"/>
          <w:bCs/>
          <w:color w:val="000000" w:themeColor="text1"/>
          <w:sz w:val="24"/>
          <w:highlight w:val="none"/>
          <w14:textFill>
            <w14:solidFill>
              <w14:schemeClr w14:val="tx1"/>
            </w14:solidFill>
          </w14:textFill>
        </w:rPr>
      </w:pPr>
    </w:p>
    <w:p>
      <w:pPr>
        <w:snapToGrid w:val="0"/>
        <w:spacing w:before="156" w:beforeLines="50" w:after="50" w:line="360" w:lineRule="exact"/>
        <w:jc w:val="center"/>
        <w:outlineLvl w:val="0"/>
        <w:rPr>
          <w:rFonts w:hint="eastAsia" w:ascii="宋体" w:hAnsi="宋体"/>
          <w:bCs/>
          <w:color w:val="000000" w:themeColor="text1"/>
          <w:sz w:val="24"/>
          <w:highlight w:val="none"/>
          <w14:textFill>
            <w14:solidFill>
              <w14:schemeClr w14:val="tx1"/>
            </w14:solidFill>
          </w14:textFill>
        </w:rPr>
      </w:pPr>
    </w:p>
    <w:p>
      <w:pPr>
        <w:snapToGrid w:val="0"/>
        <w:spacing w:before="156" w:beforeLines="50" w:after="50" w:line="360" w:lineRule="exact"/>
        <w:jc w:val="center"/>
        <w:outlineLvl w:val="0"/>
        <w:rPr>
          <w:rFonts w:hint="eastAsia" w:ascii="宋体" w:hAnsi="宋体"/>
          <w:bCs/>
          <w:color w:val="000000" w:themeColor="text1"/>
          <w:sz w:val="24"/>
          <w:highlight w:val="none"/>
          <w14:textFill>
            <w14:solidFill>
              <w14:schemeClr w14:val="tx1"/>
            </w14:solidFill>
          </w14:textFill>
        </w:rPr>
      </w:pPr>
    </w:p>
    <w:p>
      <w:pPr>
        <w:snapToGrid w:val="0"/>
        <w:spacing w:before="156" w:beforeLines="50" w:after="50" w:line="360" w:lineRule="exact"/>
        <w:jc w:val="center"/>
        <w:outlineLvl w:val="0"/>
        <w:rPr>
          <w:rFonts w:hint="eastAsia" w:ascii="宋体" w:hAnsi="宋体"/>
          <w:bCs/>
          <w:color w:val="000000" w:themeColor="text1"/>
          <w:sz w:val="24"/>
          <w:highlight w:val="none"/>
          <w14:textFill>
            <w14:solidFill>
              <w14:schemeClr w14:val="tx1"/>
            </w14:solidFill>
          </w14:textFill>
        </w:rPr>
      </w:pPr>
    </w:p>
    <w:p>
      <w:pPr>
        <w:snapToGrid w:val="0"/>
        <w:spacing w:before="156" w:beforeLines="50" w:after="50" w:line="360" w:lineRule="exact"/>
        <w:jc w:val="center"/>
        <w:outlineLvl w:val="0"/>
        <w:rPr>
          <w:rFonts w:hint="eastAsia" w:ascii="宋体" w:hAnsi="宋体"/>
          <w:bCs/>
          <w:color w:val="000000" w:themeColor="text1"/>
          <w:sz w:val="24"/>
          <w:highlight w:val="none"/>
          <w14:textFill>
            <w14:solidFill>
              <w14:schemeClr w14:val="tx1"/>
            </w14:solidFill>
          </w14:textFill>
        </w:rPr>
      </w:pPr>
    </w:p>
    <w:p>
      <w:pPr>
        <w:snapToGrid w:val="0"/>
        <w:spacing w:before="156" w:beforeLines="50" w:after="50" w:line="360" w:lineRule="exact"/>
        <w:jc w:val="center"/>
        <w:outlineLvl w:val="0"/>
        <w:rPr>
          <w:rFonts w:hint="eastAsia" w:ascii="宋体" w:hAnsi="宋体"/>
          <w:bCs/>
          <w:color w:val="000000" w:themeColor="text1"/>
          <w:sz w:val="24"/>
          <w:highlight w:val="none"/>
          <w14:textFill>
            <w14:solidFill>
              <w14:schemeClr w14:val="tx1"/>
            </w14:solidFill>
          </w14:textFill>
        </w:rPr>
      </w:pPr>
    </w:p>
    <w:p>
      <w:pPr>
        <w:snapToGrid w:val="0"/>
        <w:spacing w:before="156" w:beforeLines="50" w:after="50" w:line="360" w:lineRule="exact"/>
        <w:jc w:val="center"/>
        <w:outlineLvl w:val="0"/>
        <w:rPr>
          <w:rFonts w:hint="eastAsia" w:ascii="宋体" w:hAnsi="宋体"/>
          <w:bCs/>
          <w:color w:val="000000" w:themeColor="text1"/>
          <w:sz w:val="24"/>
          <w:highlight w:val="none"/>
          <w14:textFill>
            <w14:solidFill>
              <w14:schemeClr w14:val="tx1"/>
            </w14:solidFill>
          </w14:textFill>
        </w:rPr>
      </w:pPr>
    </w:p>
    <w:p>
      <w:pPr>
        <w:snapToGrid w:val="0"/>
        <w:spacing w:before="156" w:beforeLines="50" w:after="50" w:line="360" w:lineRule="exact"/>
        <w:jc w:val="center"/>
        <w:outlineLvl w:val="0"/>
        <w:rPr>
          <w:rFonts w:hint="eastAsia" w:ascii="宋体" w:hAnsi="宋体"/>
          <w:bCs/>
          <w:color w:val="000000" w:themeColor="text1"/>
          <w:sz w:val="24"/>
          <w:highlight w:val="none"/>
          <w14:textFill>
            <w14:solidFill>
              <w14:schemeClr w14:val="tx1"/>
            </w14:solidFill>
          </w14:textFill>
        </w:rPr>
      </w:pPr>
    </w:p>
    <w:p>
      <w:pPr>
        <w:snapToGrid w:val="0"/>
        <w:spacing w:before="156" w:beforeLines="50" w:after="50" w:line="360" w:lineRule="exact"/>
        <w:jc w:val="center"/>
        <w:outlineLvl w:val="0"/>
        <w:rPr>
          <w:rFonts w:hint="eastAsia" w:ascii="宋体" w:hAnsi="宋体"/>
          <w:bCs/>
          <w:color w:val="000000" w:themeColor="text1"/>
          <w:sz w:val="24"/>
          <w:highlight w:val="none"/>
          <w14:textFill>
            <w14:solidFill>
              <w14:schemeClr w14:val="tx1"/>
            </w14:solidFill>
          </w14:textFill>
        </w:rPr>
      </w:pPr>
    </w:p>
    <w:p>
      <w:pPr>
        <w:snapToGrid w:val="0"/>
        <w:spacing w:before="156" w:beforeLines="50" w:after="50" w:line="360" w:lineRule="exact"/>
        <w:jc w:val="center"/>
        <w:outlineLvl w:val="0"/>
        <w:rPr>
          <w:rFonts w:hint="eastAsia" w:ascii="宋体" w:hAnsi="宋体"/>
          <w:bCs/>
          <w:color w:val="000000" w:themeColor="text1"/>
          <w:sz w:val="24"/>
          <w:highlight w:val="none"/>
          <w14:textFill>
            <w14:solidFill>
              <w14:schemeClr w14:val="tx1"/>
            </w14:solidFill>
          </w14:textFill>
        </w:rPr>
      </w:pPr>
    </w:p>
    <w:p>
      <w:pPr>
        <w:snapToGrid w:val="0"/>
        <w:spacing w:before="156" w:beforeLines="50" w:after="50" w:line="360" w:lineRule="exact"/>
        <w:jc w:val="center"/>
        <w:outlineLvl w:val="0"/>
        <w:rPr>
          <w:rFonts w:hint="eastAsia" w:ascii="宋体" w:hAnsi="宋体"/>
          <w:bCs/>
          <w:color w:val="000000" w:themeColor="text1"/>
          <w:sz w:val="24"/>
          <w:highlight w:val="none"/>
          <w14:textFill>
            <w14:solidFill>
              <w14:schemeClr w14:val="tx1"/>
            </w14:solidFill>
          </w14:textFill>
        </w:rPr>
      </w:pPr>
    </w:p>
    <w:p>
      <w:pPr>
        <w:snapToGrid w:val="0"/>
        <w:spacing w:before="156" w:beforeLines="50" w:after="50" w:line="360" w:lineRule="exact"/>
        <w:jc w:val="center"/>
        <w:outlineLvl w:val="0"/>
        <w:rPr>
          <w:rFonts w:hint="eastAsia" w:ascii="宋体" w:hAnsi="宋体"/>
          <w:bCs/>
          <w:color w:val="000000" w:themeColor="text1"/>
          <w:sz w:val="24"/>
          <w:highlight w:val="none"/>
          <w14:textFill>
            <w14:solidFill>
              <w14:schemeClr w14:val="tx1"/>
            </w14:solidFill>
          </w14:textFill>
        </w:rPr>
      </w:pPr>
    </w:p>
    <w:p>
      <w:pPr>
        <w:pageBreakBefore/>
        <w:jc w:val="center"/>
        <w:rPr>
          <w:rFonts w:hint="eastAsia"/>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二、投标文件目录</w:t>
      </w:r>
    </w:p>
    <w:p>
      <w:pPr>
        <w:adjustRightInd w:val="0"/>
        <w:snapToGrid w:val="0"/>
        <w:spacing w:line="440" w:lineRule="exact"/>
        <w:ind w:firstLine="411" w:firstLineChars="196"/>
        <w:jc w:val="lef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1.资格文件：</w:t>
      </w:r>
    </w:p>
    <w:p>
      <w:pPr>
        <w:adjustRightInd w:val="0"/>
        <w:snapToGrid w:val="0"/>
        <w:spacing w:line="440" w:lineRule="exact"/>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（1）有效</w:t>
      </w:r>
      <w:r>
        <w:rPr>
          <w:rFonts w:hint="eastAsia" w:ascii="宋体" w:hAnsi="宋体"/>
          <w:color w:val="000000" w:themeColor="text1"/>
          <w:szCs w:val="21"/>
          <w:highlight w:val="none"/>
          <w14:textFill>
            <w14:solidFill>
              <w14:schemeClr w14:val="tx1"/>
            </w14:solidFill>
          </w14:textFill>
        </w:rPr>
        <w:t>的营业执照等证明文件；</w:t>
      </w:r>
    </w:p>
    <w:p>
      <w:pPr>
        <w:pStyle w:val="30"/>
        <w:adjustRightInd w:val="0"/>
        <w:snapToGrid w:val="0"/>
        <w:spacing w:line="440" w:lineRule="exact"/>
        <w:ind w:firstLine="525" w:firstLineChars="250"/>
        <w:rPr>
          <w:rFonts w:hint="eastAsia" w:hAnsi="宋体"/>
          <w:b/>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①投标人有效的营业执照等证明文件扫描件或其他电子文件，同时要加盖单位公章</w:t>
      </w:r>
      <w:r>
        <w:rPr>
          <w:rFonts w:hint="eastAsia" w:hAnsi="宋体"/>
          <w:b/>
          <w:color w:val="000000" w:themeColor="text1"/>
          <w:highlight w:val="none"/>
          <w14:textFill>
            <w14:solidFill>
              <w14:schemeClr w14:val="tx1"/>
            </w14:solidFill>
          </w14:textFill>
        </w:rPr>
        <w:t>（必须提供）</w:t>
      </w:r>
      <w:r>
        <w:rPr>
          <w:rFonts w:hint="eastAsia" w:hAnsi="宋体"/>
          <w:color w:val="000000" w:themeColor="text1"/>
          <w:highlight w:val="none"/>
          <w14:textFill>
            <w14:solidFill>
              <w14:schemeClr w14:val="tx1"/>
            </w14:solidFill>
          </w14:textFill>
        </w:rPr>
        <w:t>；</w:t>
      </w:r>
    </w:p>
    <w:p>
      <w:pPr>
        <w:pStyle w:val="30"/>
        <w:adjustRightInd w:val="0"/>
        <w:snapToGrid w:val="0"/>
        <w:spacing w:line="440" w:lineRule="exact"/>
        <w:ind w:firstLine="525" w:firstLineChars="250"/>
        <w:rPr>
          <w:rFonts w:hint="eastAsia" w:hAnsi="宋体"/>
          <w:b/>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②对于有经营资质要求的，投标人必须提供有效的经营资质证书副本内页扫描件或其他电子文件，同时要加盖单位公章。</w:t>
      </w:r>
    </w:p>
    <w:p>
      <w:pPr>
        <w:adjustRightInd w:val="0"/>
        <w:snapToGrid w:val="0"/>
        <w:spacing w:line="440" w:lineRule="exact"/>
        <w:ind w:firstLine="411" w:firstLineChars="196"/>
        <w:jc w:val="left"/>
        <w:rPr>
          <w:rFonts w:ascii="宋体" w:hAnsi="宋体"/>
          <w:b/>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w:t>
      </w:r>
      <w:r>
        <w:rPr>
          <w:rFonts w:hint="eastAsia" w:ascii="宋体" w:hAnsi="宋体" w:cs="宋体"/>
          <w:bCs/>
          <w:color w:val="000000" w:themeColor="text1"/>
          <w:kern w:val="0"/>
          <w:szCs w:val="21"/>
          <w:highlight w:val="none"/>
          <w14:textFill>
            <w14:solidFill>
              <w14:schemeClr w14:val="tx1"/>
            </w14:solidFill>
          </w14:textFill>
        </w:rPr>
        <w:t>参加政</w:t>
      </w:r>
      <w:r>
        <w:rPr>
          <w:rFonts w:hint="eastAsia" w:ascii="宋体" w:hAnsi="宋体" w:cs="宋体"/>
          <w:color w:val="000000" w:themeColor="text1"/>
          <w:kern w:val="0"/>
          <w:szCs w:val="21"/>
          <w:highlight w:val="none"/>
          <w14:textFill>
            <w14:solidFill>
              <w14:schemeClr w14:val="tx1"/>
            </w14:solidFill>
          </w14:textFill>
        </w:rPr>
        <w:t>府采购活动前三年内在经营活动中没有</w:t>
      </w:r>
      <w:r>
        <w:rPr>
          <w:rFonts w:hint="eastAsia" w:ascii="宋体" w:hAnsi="宋体" w:cs="宋体"/>
          <w:b/>
          <w:color w:val="000000" w:themeColor="text1"/>
          <w:kern w:val="0"/>
          <w:szCs w:val="21"/>
          <w:highlight w:val="none"/>
          <w14:textFill>
            <w14:solidFill>
              <w14:schemeClr w14:val="tx1"/>
            </w14:solidFill>
          </w14:textFill>
        </w:rPr>
        <w:t>重大违法记录的书面声明</w:t>
      </w:r>
      <w:r>
        <w:rPr>
          <w:rFonts w:hint="eastAsia" w:ascii="宋体" w:hAnsi="宋体"/>
          <w:b/>
          <w:color w:val="000000" w:themeColor="text1"/>
          <w:szCs w:val="21"/>
          <w:highlight w:val="none"/>
          <w14:textFill>
            <w14:solidFill>
              <w14:schemeClr w14:val="tx1"/>
            </w14:solidFill>
          </w14:textFill>
        </w:rPr>
        <w:t>和信用记录查询方法；</w:t>
      </w:r>
    </w:p>
    <w:p>
      <w:pPr>
        <w:adjustRightInd w:val="0"/>
        <w:snapToGrid w:val="0"/>
        <w:spacing w:line="440" w:lineRule="exact"/>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w:t>
      </w:r>
      <w:r>
        <w:rPr>
          <w:rFonts w:hint="eastAsia" w:ascii="宋体" w:hAnsi="宋体" w:cs="宋体"/>
          <w:color w:val="000000" w:themeColor="text1"/>
          <w:kern w:val="0"/>
          <w:szCs w:val="21"/>
          <w:highlight w:val="none"/>
          <w14:textFill>
            <w14:solidFill>
              <w14:schemeClr w14:val="tx1"/>
            </w14:solidFill>
          </w14:textFill>
        </w:rPr>
        <w:t>参加政府采购活动前三年内在经营活动中没有</w:t>
      </w:r>
      <w:r>
        <w:rPr>
          <w:rFonts w:hint="eastAsia" w:ascii="宋体" w:hAnsi="宋体" w:cs="宋体"/>
          <w:b/>
          <w:color w:val="000000" w:themeColor="text1"/>
          <w:kern w:val="0"/>
          <w:szCs w:val="21"/>
          <w:highlight w:val="none"/>
          <w14:textFill>
            <w14:solidFill>
              <w14:schemeClr w14:val="tx1"/>
            </w14:solidFill>
          </w14:textFill>
        </w:rPr>
        <w:t>重大违法记录的书面声明</w:t>
      </w:r>
      <w:r>
        <w:rPr>
          <w:rFonts w:hint="eastAsia" w:ascii="宋体" w:hAnsi="宋体"/>
          <w:color w:val="000000" w:themeColor="text1"/>
          <w:szCs w:val="21"/>
          <w:highlight w:val="none"/>
          <w14:textFill>
            <w14:solidFill>
              <w14:schemeClr w14:val="tx1"/>
            </w14:solidFill>
          </w14:textFill>
        </w:rPr>
        <w:t>（格式自拟，必须提供）；</w:t>
      </w:r>
    </w:p>
    <w:p>
      <w:pPr>
        <w:adjustRightInd w:val="0"/>
        <w:snapToGrid w:val="0"/>
        <w:spacing w:line="440" w:lineRule="exact"/>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②供应商可在“信用中国”网站（www.creditchina.gov.cn）、中国政府采购网（www.ccgp.gov.cn）查询相关供应商主体信用记录。</w:t>
      </w:r>
    </w:p>
    <w:p>
      <w:pPr>
        <w:adjustRightInd w:val="0"/>
        <w:snapToGrid w:val="0"/>
        <w:spacing w:line="440" w:lineRule="exact"/>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“信用中国”网站查询方法：投标人在本项目投标截止时间前10日内,进入投标人基本信息页面，点击“下载信用报告”后点击“下载”。</w:t>
      </w:r>
    </w:p>
    <w:p>
      <w:pPr>
        <w:adjustRightInd w:val="0"/>
        <w:snapToGrid w:val="0"/>
        <w:spacing w:line="440" w:lineRule="exact"/>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adjustRightInd w:val="0"/>
        <w:snapToGrid w:val="0"/>
        <w:spacing w:line="440" w:lineRule="exact"/>
        <w:ind w:firstLine="411" w:firstLineChars="196"/>
        <w:jc w:val="left"/>
        <w:rPr>
          <w:rFonts w:hint="eastAsia" w:hAns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adjustRightInd w:val="0"/>
        <w:snapToGrid w:val="0"/>
        <w:spacing w:line="440" w:lineRule="exact"/>
        <w:ind w:firstLine="411" w:firstLineChars="196"/>
        <w:jc w:val="lef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w:t>
      </w:r>
      <w:r>
        <w:rPr>
          <w:rFonts w:hint="eastAsia" w:ascii="宋体"/>
          <w:b/>
          <w:color w:val="000000" w:themeColor="text1"/>
          <w:szCs w:val="21"/>
          <w:highlight w:val="none"/>
          <w14:textFill>
            <w14:solidFill>
              <w14:schemeClr w14:val="tx1"/>
            </w14:solidFill>
          </w14:textFill>
        </w:rPr>
        <w:t>商务技术文件</w:t>
      </w:r>
      <w:r>
        <w:rPr>
          <w:rFonts w:hint="eastAsia" w:ascii="宋体" w:hAnsi="宋体"/>
          <w:b/>
          <w:color w:val="000000" w:themeColor="text1"/>
          <w:szCs w:val="21"/>
          <w:highlight w:val="none"/>
          <w14:textFill>
            <w14:solidFill>
              <w14:schemeClr w14:val="tx1"/>
            </w14:solidFill>
          </w14:textFill>
        </w:rPr>
        <w:t>：</w:t>
      </w:r>
    </w:p>
    <w:p>
      <w:pPr>
        <w:adjustRightInd w:val="0"/>
        <w:snapToGrid w:val="0"/>
        <w:spacing w:line="440" w:lineRule="exact"/>
        <w:ind w:firstLine="411" w:firstLineChars="196"/>
        <w:jc w:val="lef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2.1商务文件：</w:t>
      </w:r>
    </w:p>
    <w:p>
      <w:pPr>
        <w:adjustRightInd w:val="0"/>
        <w:snapToGrid w:val="0"/>
        <w:spacing w:line="440" w:lineRule="exact"/>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投标保证金的相关证明扫描件或其他电子文件</w:t>
      </w:r>
      <w:r>
        <w:rPr>
          <w:rFonts w:hint="eastAsia" w:ascii="宋体" w:hAnsi="宋体"/>
          <w:b/>
          <w:color w:val="000000" w:themeColor="text1"/>
          <w:szCs w:val="21"/>
          <w:highlight w:val="none"/>
          <w14:textFill>
            <w14:solidFill>
              <w14:schemeClr w14:val="tx1"/>
            </w14:solidFill>
          </w14:textFill>
        </w:rPr>
        <w:t>（必须提供）</w:t>
      </w:r>
      <w:r>
        <w:rPr>
          <w:rFonts w:hint="eastAsia" w:ascii="宋体" w:hAnsi="宋体"/>
          <w:color w:val="000000" w:themeColor="text1"/>
          <w:szCs w:val="21"/>
          <w:highlight w:val="none"/>
          <w14:textFill>
            <w14:solidFill>
              <w14:schemeClr w14:val="tx1"/>
            </w14:solidFill>
          </w14:textFill>
        </w:rPr>
        <w:t>；</w:t>
      </w:r>
    </w:p>
    <w:p>
      <w:pPr>
        <w:adjustRightInd w:val="0"/>
        <w:snapToGrid w:val="0"/>
        <w:spacing w:line="440" w:lineRule="exact"/>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投标声明书 (格式见第六章)</w:t>
      </w:r>
      <w:r>
        <w:rPr>
          <w:rFonts w:hint="eastAsia" w:ascii="宋体" w:hAnsi="宋体"/>
          <w:b/>
          <w:color w:val="000000" w:themeColor="text1"/>
          <w:szCs w:val="21"/>
          <w:highlight w:val="none"/>
          <w14:textFill>
            <w14:solidFill>
              <w14:schemeClr w14:val="tx1"/>
            </w14:solidFill>
          </w14:textFill>
        </w:rPr>
        <w:t>（必须提供）</w:t>
      </w:r>
      <w:r>
        <w:rPr>
          <w:rFonts w:hint="eastAsia" w:ascii="宋体" w:hAnsi="宋体"/>
          <w:color w:val="000000" w:themeColor="text1"/>
          <w:szCs w:val="21"/>
          <w:highlight w:val="none"/>
          <w14:textFill>
            <w14:solidFill>
              <w14:schemeClr w14:val="tx1"/>
            </w14:solidFill>
          </w14:textFill>
        </w:rPr>
        <w:t>；</w:t>
      </w:r>
    </w:p>
    <w:p>
      <w:pPr>
        <w:adjustRightInd w:val="0"/>
        <w:snapToGrid w:val="0"/>
        <w:spacing w:line="440" w:lineRule="exact"/>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法定代表人授权委托书和委托代理人身份证扫描件（格式见第六章)</w:t>
      </w:r>
      <w:r>
        <w:rPr>
          <w:rFonts w:hint="eastAsia" w:ascii="宋体" w:hAnsi="宋体"/>
          <w:b/>
          <w:color w:val="000000" w:themeColor="text1"/>
          <w:szCs w:val="21"/>
          <w:highlight w:val="none"/>
          <w14:textFill>
            <w14:solidFill>
              <w14:schemeClr w14:val="tx1"/>
            </w14:solidFill>
          </w14:textFill>
        </w:rPr>
        <w:t>（必须提供）</w:t>
      </w:r>
      <w:r>
        <w:rPr>
          <w:rFonts w:hint="eastAsia" w:ascii="宋体" w:hAnsi="宋体"/>
          <w:color w:val="000000" w:themeColor="text1"/>
          <w:szCs w:val="21"/>
          <w:highlight w:val="none"/>
          <w14:textFill>
            <w14:solidFill>
              <w14:schemeClr w14:val="tx1"/>
            </w14:solidFill>
          </w14:textFill>
        </w:rPr>
        <w:t>；联合体投标时还必须提供《联合投标协议书》、《联合投标授权委托书》（格式见第六章)；当法定代表人参加投标时，</w:t>
      </w:r>
      <w:r>
        <w:rPr>
          <w:rFonts w:hint="eastAsia" w:ascii="宋体" w:hAnsi="宋体" w:cs="宋体"/>
          <w:color w:val="000000" w:themeColor="text1"/>
          <w:kern w:val="0"/>
          <w:szCs w:val="21"/>
          <w:highlight w:val="none"/>
          <w14:textFill>
            <w14:solidFill>
              <w14:schemeClr w14:val="tx1"/>
            </w14:solidFill>
          </w14:textFill>
        </w:rPr>
        <w:t>仅需提供法定代表人的身份证扫描件</w:t>
      </w:r>
      <w:r>
        <w:rPr>
          <w:rFonts w:hint="eastAsia" w:ascii="宋体" w:hAnsi="宋体"/>
          <w:color w:val="000000" w:themeColor="text1"/>
          <w:szCs w:val="21"/>
          <w:highlight w:val="none"/>
          <w14:textFill>
            <w14:solidFill>
              <w14:schemeClr w14:val="tx1"/>
            </w14:solidFill>
          </w14:textFill>
        </w:rPr>
        <w:t>；</w:t>
      </w:r>
    </w:p>
    <w:p>
      <w:pPr>
        <w:adjustRightInd w:val="0"/>
        <w:snapToGrid w:val="0"/>
        <w:spacing w:line="440" w:lineRule="exact"/>
        <w:ind w:firstLine="411" w:firstLineChars="196"/>
        <w:jc w:val="lef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（4）投标截止之日前半年内投标人连续三个月</w:t>
      </w:r>
      <w:r>
        <w:rPr>
          <w:rFonts w:hint="eastAsia" w:ascii="宋体" w:hAnsi="宋体"/>
          <w:color w:val="000000" w:themeColor="text1"/>
          <w:szCs w:val="21"/>
          <w:highlight w:val="none"/>
          <w14:textFill>
            <w14:solidFill>
              <w14:schemeClr w14:val="tx1"/>
            </w14:solidFill>
          </w14:textFill>
        </w:rPr>
        <w:t>依法纳税的依法缴纳税费或依法免缴税费的证明</w:t>
      </w:r>
      <w:r>
        <w:rPr>
          <w:rFonts w:hint="eastAsia" w:ascii="宋体" w:hAnsi="宋体"/>
          <w:b/>
          <w:color w:val="000000" w:themeColor="text1"/>
          <w:szCs w:val="21"/>
          <w:highlight w:val="none"/>
          <w14:textFill>
            <w14:solidFill>
              <w14:schemeClr w14:val="tx1"/>
            </w14:solidFill>
          </w14:textFill>
        </w:rPr>
        <w:t>（扫描件或其他电子文件，格式自拟）（必须提供）；</w:t>
      </w:r>
      <w:r>
        <w:rPr>
          <w:rFonts w:hint="eastAsia" w:ascii="宋体" w:hAnsi="宋体"/>
          <w:color w:val="000000" w:themeColor="text1"/>
          <w:szCs w:val="21"/>
          <w:highlight w:val="none"/>
          <w14:textFill>
            <w14:solidFill>
              <w14:schemeClr w14:val="tx1"/>
            </w14:solidFill>
          </w14:textFill>
        </w:rPr>
        <w:t>无纳税记录的，应提供由投标人所在地主管国税或地税部门出具的《依法纳税或依法免税证明》（格式自拟，扫描件或其他电子文件）</w:t>
      </w:r>
      <w:r>
        <w:rPr>
          <w:rFonts w:hint="eastAsia" w:ascii="宋体" w:hAnsi="宋体"/>
          <w:b/>
          <w:color w:val="000000" w:themeColor="text1"/>
          <w:szCs w:val="21"/>
          <w:highlight w:val="none"/>
          <w14:textFill>
            <w14:solidFill>
              <w14:schemeClr w14:val="tx1"/>
            </w14:solidFill>
          </w14:textFill>
        </w:rPr>
        <w:t>。</w:t>
      </w:r>
    </w:p>
    <w:p>
      <w:pPr>
        <w:adjustRightInd w:val="0"/>
        <w:snapToGrid w:val="0"/>
        <w:spacing w:line="440" w:lineRule="exact"/>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    （5）</w:t>
      </w:r>
      <w:r>
        <w:rPr>
          <w:rFonts w:hint="eastAsia" w:ascii="宋体" w:hAnsi="宋体"/>
          <w:color w:val="000000" w:themeColor="text1"/>
          <w:szCs w:val="21"/>
          <w:highlight w:val="none"/>
          <w14:textFill>
            <w14:solidFill>
              <w14:schemeClr w14:val="tx1"/>
            </w14:solidFill>
          </w14:textFill>
        </w:rPr>
        <w:t>投标截止之日前半年内投标人连续三个月的依法缴纳社保费的缴费凭证（</w:t>
      </w:r>
      <w:r>
        <w:rPr>
          <w:rFonts w:hint="eastAsia" w:ascii="宋体" w:hAnsi="宋体"/>
          <w:b/>
          <w:color w:val="000000" w:themeColor="text1"/>
          <w:szCs w:val="21"/>
          <w:highlight w:val="none"/>
          <w14:textFill>
            <w14:solidFill>
              <w14:schemeClr w14:val="tx1"/>
            </w14:solidFill>
          </w14:textFill>
        </w:rPr>
        <w:t>扫描件或其他电子文件，原件备查，格式自拟）（必须提供）；</w:t>
      </w:r>
      <w:r>
        <w:rPr>
          <w:rFonts w:hint="eastAsia" w:ascii="宋体" w:hAnsi="宋体"/>
          <w:color w:val="000000" w:themeColor="text1"/>
          <w:szCs w:val="21"/>
          <w:highlight w:val="none"/>
          <w14:textFill>
            <w14:solidFill>
              <w14:schemeClr w14:val="tx1"/>
            </w14:solidFill>
          </w14:textFill>
        </w:rPr>
        <w:t>无缴费记录的，应提供由投标人所在地社保部门出具的《依法缴纳或依法免缴社保费证明》（格式自拟，扫描件或其他电子文件）。</w:t>
      </w:r>
    </w:p>
    <w:p>
      <w:pPr>
        <w:adjustRightInd w:val="0"/>
        <w:snapToGrid w:val="0"/>
        <w:spacing w:line="440" w:lineRule="exact"/>
        <w:jc w:val="lef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    （6）</w:t>
      </w:r>
      <w:r>
        <w:rPr>
          <w:rFonts w:hint="eastAsia" w:ascii="宋体" w:hAnsi="宋体"/>
          <w:color w:val="000000" w:themeColor="text1"/>
          <w:szCs w:val="21"/>
          <w:highlight w:val="none"/>
          <w14:textFill>
            <w14:solidFill>
              <w14:schemeClr w14:val="tx1"/>
            </w14:solidFill>
          </w14:textFill>
        </w:rPr>
        <w:t>财务状况报告</w:t>
      </w:r>
      <w:r>
        <w:rPr>
          <w:rFonts w:hint="eastAsia" w:ascii="宋体" w:hAnsi="宋体"/>
          <w:b/>
          <w:color w:val="000000" w:themeColor="text1"/>
          <w:szCs w:val="21"/>
          <w:highlight w:val="none"/>
          <w14:textFill>
            <w14:solidFill>
              <w14:schemeClr w14:val="tx1"/>
            </w14:solidFill>
          </w14:textFill>
        </w:rPr>
        <w:t>（必须提供）；</w:t>
      </w:r>
    </w:p>
    <w:p>
      <w:pPr>
        <w:adjustRightInd w:val="0"/>
        <w:snapToGrid w:val="0"/>
        <w:spacing w:line="440" w:lineRule="exact"/>
        <w:ind w:firstLine="411" w:firstLineChars="196"/>
        <w:jc w:val="left"/>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具备履行合同所必需的设备和专业技术能力的证明材料</w:t>
      </w:r>
      <w:r>
        <w:rPr>
          <w:rFonts w:hint="eastAsia" w:ascii="宋体" w:hAnsi="宋体"/>
          <w:b/>
          <w:color w:val="000000" w:themeColor="text1"/>
          <w:szCs w:val="21"/>
          <w:highlight w:val="none"/>
          <w14:textFill>
            <w14:solidFill>
              <w14:schemeClr w14:val="tx1"/>
            </w14:solidFill>
          </w14:textFill>
        </w:rPr>
        <w:t>（格式自拟,必须提供）</w:t>
      </w:r>
      <w:r>
        <w:rPr>
          <w:rFonts w:hint="eastAsia" w:ascii="宋体" w:hAnsi="宋体" w:cs="宋体"/>
          <w:b/>
          <w:color w:val="000000" w:themeColor="text1"/>
          <w:kern w:val="0"/>
          <w:szCs w:val="21"/>
          <w:highlight w:val="none"/>
          <w14:textFill>
            <w14:solidFill>
              <w14:schemeClr w14:val="tx1"/>
            </w14:solidFill>
          </w14:textFill>
        </w:rPr>
        <w:t>；</w:t>
      </w:r>
    </w:p>
    <w:p>
      <w:pPr>
        <w:adjustRightInd w:val="0"/>
        <w:snapToGrid w:val="0"/>
        <w:spacing w:line="440" w:lineRule="exact"/>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（8）税务登记证扫描件（如有）；</w:t>
      </w:r>
    </w:p>
    <w:p>
      <w:pPr>
        <w:adjustRightInd w:val="0"/>
        <w:snapToGrid w:val="0"/>
        <w:spacing w:line="440" w:lineRule="exact"/>
        <w:ind w:firstLine="411" w:firstLineChars="196"/>
        <w:jc w:val="left"/>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（9）商务响应表（格式见第六章）</w:t>
      </w:r>
      <w:r>
        <w:rPr>
          <w:rFonts w:hint="eastAsia" w:ascii="宋体" w:hAnsi="宋体"/>
          <w:b/>
          <w:color w:val="000000" w:themeColor="text1"/>
          <w:szCs w:val="21"/>
          <w:highlight w:val="none"/>
          <w14:textFill>
            <w14:solidFill>
              <w14:schemeClr w14:val="tx1"/>
            </w14:solidFill>
          </w14:textFill>
        </w:rPr>
        <w:t>（必须提供）；</w:t>
      </w:r>
    </w:p>
    <w:p>
      <w:pPr>
        <w:adjustRightInd w:val="0"/>
        <w:snapToGrid w:val="0"/>
        <w:spacing w:line="440" w:lineRule="exact"/>
        <w:ind w:firstLine="411" w:firstLineChars="196"/>
        <w:jc w:val="left"/>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（10）招标项目采购需求中要求必须提供的材料等；</w:t>
      </w:r>
    </w:p>
    <w:p>
      <w:pPr>
        <w:adjustRightInd w:val="0"/>
        <w:snapToGrid w:val="0"/>
        <w:spacing w:line="440" w:lineRule="exact"/>
        <w:ind w:firstLine="411" w:firstLineChars="196"/>
        <w:jc w:val="left"/>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（11）具备法律、行政法规规定的其他条件的证明材料</w:t>
      </w:r>
      <w:r>
        <w:rPr>
          <w:rFonts w:hint="eastAsia" w:ascii="宋体" w:hAnsi="宋体"/>
          <w:b/>
          <w:color w:val="000000" w:themeColor="text1"/>
          <w:szCs w:val="21"/>
          <w:highlight w:val="none"/>
          <w14:textFill>
            <w14:solidFill>
              <w14:schemeClr w14:val="tx1"/>
            </w14:solidFill>
          </w14:textFill>
        </w:rPr>
        <w:t>(如有规定,则必须提供)。</w:t>
      </w:r>
    </w:p>
    <w:p>
      <w:pPr>
        <w:adjustRightInd w:val="0"/>
        <w:snapToGrid w:val="0"/>
        <w:spacing w:line="440" w:lineRule="exact"/>
        <w:ind w:firstLine="411" w:firstLineChars="196"/>
        <w:jc w:val="left"/>
        <w:rPr>
          <w:rFonts w:hint="eastAsia" w:ascii="宋体" w:hAnsi="宋体"/>
          <w:b/>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 xml:space="preserve">可作为投标人资信评分的资质证明材料（可选）  </w:t>
      </w:r>
    </w:p>
    <w:p>
      <w:pPr>
        <w:adjustRightInd w:val="0"/>
        <w:snapToGrid w:val="0"/>
        <w:spacing w:line="440" w:lineRule="exact"/>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（12）类似案例成功的业绩（投标人同类项目实施情况一览表、合同</w:t>
      </w:r>
      <w:r>
        <w:rPr>
          <w:rFonts w:hint="eastAsia" w:hAnsi="宋体"/>
          <w:color w:val="000000" w:themeColor="text1"/>
          <w:highlight w:val="none"/>
          <w14:textFill>
            <w14:solidFill>
              <w14:schemeClr w14:val="tx1"/>
            </w14:solidFill>
          </w14:textFill>
        </w:rPr>
        <w:t>扫描件</w:t>
      </w:r>
      <w:r>
        <w:rPr>
          <w:rFonts w:hint="eastAsia" w:ascii="宋体" w:hAnsi="宋体"/>
          <w:color w:val="000000" w:themeColor="text1"/>
          <w:szCs w:val="21"/>
          <w:highlight w:val="none"/>
          <w14:textFill>
            <w14:solidFill>
              <w14:schemeClr w14:val="tx1"/>
            </w14:solidFill>
          </w14:textFill>
        </w:rPr>
        <w:t>、用户验收报告、用户评价）；</w:t>
      </w:r>
    </w:p>
    <w:p>
      <w:pPr>
        <w:adjustRightInd w:val="0"/>
        <w:snapToGrid w:val="0"/>
        <w:spacing w:line="44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（13）其他特殊资质证书（如本地化服务能力等）；</w:t>
      </w:r>
    </w:p>
    <w:p>
      <w:pPr>
        <w:adjustRightInd w:val="0"/>
        <w:snapToGrid w:val="0"/>
        <w:spacing w:line="440" w:lineRule="exact"/>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（14）投标</w:t>
      </w:r>
      <w:r>
        <w:rPr>
          <w:rFonts w:hint="eastAsia" w:ascii="宋体" w:hAnsi="宋体"/>
          <w:color w:val="000000" w:themeColor="text1"/>
          <w:szCs w:val="21"/>
          <w:highlight w:val="none"/>
          <w14:textFill>
            <w14:solidFill>
              <w14:schemeClr w14:val="tx1"/>
            </w14:solidFill>
          </w14:textFill>
        </w:rPr>
        <w:t>人质量管理和质量保证体系等方面的认证证书；</w:t>
      </w:r>
    </w:p>
    <w:p>
      <w:pPr>
        <w:adjustRightInd w:val="0"/>
        <w:snapToGrid w:val="0"/>
        <w:spacing w:line="440" w:lineRule="exact"/>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（15）投标人认为可以证明其能力或业绩的其他材料；</w:t>
      </w:r>
    </w:p>
    <w:p>
      <w:pPr>
        <w:adjustRightInd w:val="0"/>
        <w:snapToGrid w:val="0"/>
        <w:spacing w:line="440" w:lineRule="exact"/>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（16）投标人关于服务升级及本单位债务纠纷、违法违规记录等方面的情况（内容见投标声明书）；</w:t>
      </w:r>
    </w:p>
    <w:p>
      <w:pPr>
        <w:adjustRightInd w:val="0"/>
        <w:snapToGrid w:val="0"/>
        <w:spacing w:line="440" w:lineRule="exact"/>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（17）投标人情况介绍。</w:t>
      </w:r>
    </w:p>
    <w:p>
      <w:pPr>
        <w:adjustRightInd w:val="0"/>
        <w:snapToGrid w:val="0"/>
        <w:spacing w:line="440" w:lineRule="exact"/>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（18）中小企业声明函。（如有，请提供）</w:t>
      </w:r>
    </w:p>
    <w:p>
      <w:pPr>
        <w:adjustRightInd w:val="0"/>
        <w:snapToGrid w:val="0"/>
        <w:spacing w:line="440" w:lineRule="exact"/>
        <w:ind w:firstLine="411" w:firstLineChars="196"/>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2.2技术文件</w:t>
      </w:r>
    </w:p>
    <w:p>
      <w:pPr>
        <w:adjustRightInd w:val="0"/>
        <w:snapToGrid w:val="0"/>
        <w:spacing w:line="440" w:lineRule="exact"/>
        <w:ind w:firstLine="621" w:firstLineChars="296"/>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服务类项目的投标技术文件（服务方案）；</w:t>
      </w:r>
    </w:p>
    <w:p>
      <w:pPr>
        <w:adjustRightInd w:val="0"/>
        <w:snapToGrid w:val="0"/>
        <w:spacing w:line="44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r>
        <w:rPr>
          <w:rFonts w:hint="eastAsia" w:ascii="宋体" w:hAnsi="宋体"/>
          <w:b/>
          <w:bCs/>
          <w:color w:val="000000" w:themeColor="text1"/>
          <w:szCs w:val="21"/>
          <w:highlight w:val="none"/>
          <w14:textFill>
            <w14:solidFill>
              <w14:schemeClr w14:val="tx1"/>
            </w14:solidFill>
          </w14:textFill>
        </w:rPr>
        <w:t>服务类项目的投标技术文件(内容和格式见第六章要求)。</w:t>
      </w:r>
    </w:p>
    <w:p>
      <w:pPr>
        <w:adjustRightInd w:val="0"/>
        <w:snapToGrid w:val="0"/>
        <w:spacing w:line="440" w:lineRule="exact"/>
        <w:ind w:firstLine="411" w:firstLineChars="196"/>
        <w:jc w:val="lef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3.报价文件：</w:t>
      </w:r>
    </w:p>
    <w:p>
      <w:pPr>
        <w:tabs>
          <w:tab w:val="left" w:pos="3870"/>
          <w:tab w:val="left" w:pos="4085"/>
        </w:tabs>
        <w:adjustRightInd w:val="0"/>
        <w:snapToGrid w:val="0"/>
        <w:spacing w:line="44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（1）投标函（格式见第六章）； </w:t>
      </w:r>
    </w:p>
    <w:p>
      <w:pPr>
        <w:tabs>
          <w:tab w:val="left" w:pos="3870"/>
          <w:tab w:val="left" w:pos="4085"/>
        </w:tabs>
        <w:adjustRightInd w:val="0"/>
        <w:snapToGrid w:val="0"/>
        <w:spacing w:line="44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（2）投标报价明细表（格式见第六章）；</w:t>
      </w:r>
    </w:p>
    <w:p>
      <w:pPr>
        <w:tabs>
          <w:tab w:val="left" w:pos="3870"/>
          <w:tab w:val="left" w:pos="4085"/>
        </w:tabs>
        <w:adjustRightInd w:val="0"/>
        <w:snapToGrid w:val="0"/>
        <w:spacing w:line="44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（3）投标人针对报价需要说明的其他文件和说明（格式自拟）；</w:t>
      </w:r>
    </w:p>
    <w:p>
      <w:pPr>
        <w:tabs>
          <w:tab w:val="left" w:pos="3870"/>
          <w:tab w:val="left" w:pos="4085"/>
        </w:tabs>
        <w:adjustRightInd w:val="0"/>
        <w:snapToGrid w:val="0"/>
        <w:spacing w:line="44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（4）开标一览表（格式见第六章），联合体投标时还必须附《联合投标协议书》。</w:t>
      </w:r>
    </w:p>
    <w:p>
      <w:pPr>
        <w:pStyle w:val="49"/>
        <w:adjustRightInd w:val="0"/>
        <w:snapToGrid w:val="0"/>
        <w:spacing w:after="0" w:line="44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注：法定代表人授权委托书、投标声明书、投标函、开标一览表必须招标文件格式要求签署和加盖单位公章。</w:t>
      </w:r>
    </w:p>
    <w:p>
      <w:pPr>
        <w:snapToGrid w:val="0"/>
        <w:spacing w:before="50" w:after="156" w:afterLines="50" w:line="360" w:lineRule="exact"/>
        <w:ind w:firstLine="3880" w:firstLineChars="1617"/>
        <w:jc w:val="left"/>
        <w:rPr>
          <w:rFonts w:hint="eastAsia" w:ascii="宋体" w:hAnsi="宋体"/>
          <w:b/>
          <w:color w:val="000000" w:themeColor="text1"/>
          <w:sz w:val="24"/>
          <w:highlight w:val="none"/>
          <w14:textFill>
            <w14:solidFill>
              <w14:schemeClr w14:val="tx1"/>
            </w14:solidFill>
          </w14:textFill>
        </w:rPr>
      </w:pPr>
    </w:p>
    <w:p>
      <w:pPr>
        <w:snapToGrid w:val="0"/>
        <w:spacing w:before="50" w:after="156" w:afterLines="50" w:line="360" w:lineRule="exact"/>
        <w:ind w:firstLine="3880" w:firstLineChars="1617"/>
        <w:jc w:val="left"/>
        <w:rPr>
          <w:rFonts w:hint="eastAsia" w:ascii="宋体" w:hAnsi="宋体"/>
          <w:b/>
          <w:color w:val="000000" w:themeColor="text1"/>
          <w:sz w:val="24"/>
          <w:highlight w:val="none"/>
          <w14:textFill>
            <w14:solidFill>
              <w14:schemeClr w14:val="tx1"/>
            </w14:solidFill>
          </w14:textFill>
        </w:rPr>
      </w:pPr>
    </w:p>
    <w:p>
      <w:pPr>
        <w:snapToGrid w:val="0"/>
        <w:spacing w:before="50" w:after="156" w:afterLines="50" w:line="360" w:lineRule="exact"/>
        <w:ind w:firstLine="3880" w:firstLineChars="1617"/>
        <w:jc w:val="left"/>
        <w:outlineLvl w:val="0"/>
        <w:rPr>
          <w:rFonts w:hint="eastAsia" w:ascii="宋体" w:hAnsi="宋体"/>
          <w:b/>
          <w:color w:val="000000" w:themeColor="text1"/>
          <w:sz w:val="24"/>
          <w:highlight w:val="none"/>
          <w14:textFill>
            <w14:solidFill>
              <w14:schemeClr w14:val="tx1"/>
            </w14:solidFill>
          </w14:textFill>
        </w:rPr>
      </w:pPr>
    </w:p>
    <w:p>
      <w:pPr>
        <w:pageBreakBefore/>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三、投标文件格式</w:t>
      </w:r>
    </w:p>
    <w:p>
      <w:pPr>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一）资格文件部分（格式）</w:t>
      </w:r>
    </w:p>
    <w:p>
      <w:pPr>
        <w:snapToGrid w:val="0"/>
        <w:spacing w:line="360" w:lineRule="exact"/>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（1）有</w:t>
      </w:r>
      <w:r>
        <w:rPr>
          <w:rFonts w:hint="eastAsia" w:ascii="宋体" w:hAnsi="宋体"/>
          <w:color w:val="000000" w:themeColor="text1"/>
          <w:szCs w:val="21"/>
          <w:highlight w:val="none"/>
          <w14:textFill>
            <w14:solidFill>
              <w14:schemeClr w14:val="tx1"/>
            </w14:solidFill>
          </w14:textFill>
        </w:rPr>
        <w:t>效的营业执照等证明文件；</w:t>
      </w:r>
    </w:p>
    <w:p>
      <w:pPr>
        <w:pStyle w:val="30"/>
        <w:ind w:firstLine="525" w:firstLineChars="250"/>
        <w:rPr>
          <w:rFonts w:hint="eastAsia" w:hAnsi="宋体"/>
          <w:b/>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①投标人有效的营业执照等证明文件扫描件或其他电子文件，同时要加盖单位公章</w:t>
      </w:r>
      <w:r>
        <w:rPr>
          <w:rFonts w:hint="eastAsia" w:hAnsi="宋体"/>
          <w:b/>
          <w:color w:val="000000" w:themeColor="text1"/>
          <w:highlight w:val="none"/>
          <w14:textFill>
            <w14:solidFill>
              <w14:schemeClr w14:val="tx1"/>
            </w14:solidFill>
          </w14:textFill>
        </w:rPr>
        <w:t>（必须提供）</w:t>
      </w:r>
      <w:r>
        <w:rPr>
          <w:rFonts w:hint="eastAsia" w:hAnsi="宋体"/>
          <w:color w:val="000000" w:themeColor="text1"/>
          <w:highlight w:val="none"/>
          <w14:textFill>
            <w14:solidFill>
              <w14:schemeClr w14:val="tx1"/>
            </w14:solidFill>
          </w14:textFill>
        </w:rPr>
        <w:t>；</w:t>
      </w:r>
    </w:p>
    <w:p>
      <w:pPr>
        <w:pStyle w:val="30"/>
        <w:spacing w:line="440" w:lineRule="exact"/>
        <w:ind w:firstLine="525" w:firstLineChars="250"/>
        <w:rPr>
          <w:rFonts w:hint="eastAsia" w:hAnsi="宋体"/>
          <w:b/>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②对于有经营资质要求的，投标人必须提供有效的经营资质证书副本内页扫描件或其他电子文件，同时要加盖单位公章。</w:t>
      </w:r>
    </w:p>
    <w:p>
      <w:pPr>
        <w:snapToGrid w:val="0"/>
        <w:spacing w:line="360" w:lineRule="exact"/>
        <w:ind w:firstLine="411" w:firstLineChars="196"/>
        <w:jc w:val="left"/>
        <w:rPr>
          <w:rFonts w:ascii="宋体" w:hAnsi="宋体"/>
          <w:b/>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w:t>
      </w:r>
      <w:r>
        <w:rPr>
          <w:rFonts w:hint="eastAsia" w:ascii="宋体" w:hAnsi="宋体" w:cs="宋体"/>
          <w:bCs/>
          <w:color w:val="000000" w:themeColor="text1"/>
          <w:kern w:val="0"/>
          <w:szCs w:val="21"/>
          <w:highlight w:val="none"/>
          <w14:textFill>
            <w14:solidFill>
              <w14:schemeClr w14:val="tx1"/>
            </w14:solidFill>
          </w14:textFill>
        </w:rPr>
        <w:t>参加</w:t>
      </w:r>
      <w:r>
        <w:rPr>
          <w:rFonts w:hint="eastAsia" w:ascii="宋体" w:hAnsi="宋体" w:cs="宋体"/>
          <w:color w:val="000000" w:themeColor="text1"/>
          <w:kern w:val="0"/>
          <w:szCs w:val="21"/>
          <w:highlight w:val="none"/>
          <w14:textFill>
            <w14:solidFill>
              <w14:schemeClr w14:val="tx1"/>
            </w14:solidFill>
          </w14:textFill>
        </w:rPr>
        <w:t>政府采购活动前三年内在经营活动中没有</w:t>
      </w:r>
      <w:r>
        <w:rPr>
          <w:rFonts w:hint="eastAsia" w:ascii="宋体" w:hAnsi="宋体" w:cs="宋体"/>
          <w:b/>
          <w:color w:val="000000" w:themeColor="text1"/>
          <w:kern w:val="0"/>
          <w:szCs w:val="21"/>
          <w:highlight w:val="none"/>
          <w14:textFill>
            <w14:solidFill>
              <w14:schemeClr w14:val="tx1"/>
            </w14:solidFill>
          </w14:textFill>
        </w:rPr>
        <w:t>重大违法记录的书面声明</w:t>
      </w:r>
      <w:r>
        <w:rPr>
          <w:rFonts w:hint="eastAsia" w:ascii="宋体" w:hAnsi="宋体"/>
          <w:b/>
          <w:color w:val="000000" w:themeColor="text1"/>
          <w:szCs w:val="21"/>
          <w:highlight w:val="none"/>
          <w14:textFill>
            <w14:solidFill>
              <w14:schemeClr w14:val="tx1"/>
            </w14:solidFill>
          </w14:textFill>
        </w:rPr>
        <w:t>和信用记录查询方法；</w:t>
      </w:r>
    </w:p>
    <w:p>
      <w:pPr>
        <w:snapToGrid w:val="0"/>
        <w:spacing w:line="360" w:lineRule="exact"/>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w:t>
      </w:r>
      <w:r>
        <w:rPr>
          <w:rFonts w:hint="eastAsia" w:ascii="宋体" w:hAnsi="宋体" w:cs="宋体"/>
          <w:color w:val="000000" w:themeColor="text1"/>
          <w:kern w:val="0"/>
          <w:szCs w:val="21"/>
          <w:highlight w:val="none"/>
          <w14:textFill>
            <w14:solidFill>
              <w14:schemeClr w14:val="tx1"/>
            </w14:solidFill>
          </w14:textFill>
        </w:rPr>
        <w:t>参加政府采购活动前三年内在经营活动中没有</w:t>
      </w:r>
      <w:r>
        <w:rPr>
          <w:rFonts w:hint="eastAsia" w:ascii="宋体" w:hAnsi="宋体" w:cs="宋体"/>
          <w:b/>
          <w:color w:val="000000" w:themeColor="text1"/>
          <w:kern w:val="0"/>
          <w:szCs w:val="21"/>
          <w:highlight w:val="none"/>
          <w14:textFill>
            <w14:solidFill>
              <w14:schemeClr w14:val="tx1"/>
            </w14:solidFill>
          </w14:textFill>
        </w:rPr>
        <w:t>重大违法记录的书面声明</w:t>
      </w:r>
      <w:r>
        <w:rPr>
          <w:rFonts w:hint="eastAsia" w:ascii="宋体" w:hAnsi="宋体"/>
          <w:color w:val="000000" w:themeColor="text1"/>
          <w:szCs w:val="21"/>
          <w:highlight w:val="none"/>
          <w14:textFill>
            <w14:solidFill>
              <w14:schemeClr w14:val="tx1"/>
            </w14:solidFill>
          </w14:textFill>
        </w:rPr>
        <w:t>（格式自拟，必须提供）；</w:t>
      </w:r>
    </w:p>
    <w:p>
      <w:pPr>
        <w:snapToGrid w:val="0"/>
        <w:spacing w:line="360" w:lineRule="exact"/>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②供应商可在“信用中国”网站（www.creditchina.gov.cn）、中国政府采购网（www.ccgp.gov.cn）查询相关供应商主体信用记录。</w:t>
      </w:r>
    </w:p>
    <w:p>
      <w:pPr>
        <w:snapToGrid w:val="0"/>
        <w:spacing w:line="360" w:lineRule="exact"/>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hint="eastAsia" w:hAns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before="50" w:after="156" w:afterLines="50" w:line="360" w:lineRule="exact"/>
        <w:jc w:val="left"/>
        <w:outlineLvl w:val="0"/>
        <w:rPr>
          <w:rFonts w:hint="eastAsia" w:ascii="宋体" w:hAnsi="宋体"/>
          <w:b/>
          <w:color w:val="000000" w:themeColor="text1"/>
          <w:szCs w:val="21"/>
          <w:highlight w:val="none"/>
          <w14:textFill>
            <w14:solidFill>
              <w14:schemeClr w14:val="tx1"/>
            </w14:solidFill>
          </w14:textFill>
        </w:rPr>
      </w:pPr>
    </w:p>
    <w:p>
      <w:pPr>
        <w:snapToGrid w:val="0"/>
        <w:spacing w:before="50" w:after="156" w:afterLines="50" w:line="360" w:lineRule="exact"/>
        <w:jc w:val="left"/>
        <w:outlineLvl w:val="0"/>
        <w:rPr>
          <w:rFonts w:hint="eastAsia" w:ascii="宋体" w:hAnsi="宋体"/>
          <w:b/>
          <w:color w:val="000000" w:themeColor="text1"/>
          <w:szCs w:val="21"/>
          <w:highlight w:val="none"/>
          <w14:textFill>
            <w14:solidFill>
              <w14:schemeClr w14:val="tx1"/>
            </w14:solidFill>
          </w14:textFill>
        </w:rPr>
      </w:pPr>
    </w:p>
    <w:p>
      <w:pPr>
        <w:snapToGrid w:val="0"/>
        <w:spacing w:before="50" w:after="156" w:afterLines="50" w:line="360" w:lineRule="exact"/>
        <w:jc w:val="left"/>
        <w:outlineLvl w:val="0"/>
        <w:rPr>
          <w:rFonts w:hint="eastAsia" w:ascii="宋体" w:hAnsi="宋体"/>
          <w:b/>
          <w:color w:val="000000" w:themeColor="text1"/>
          <w:szCs w:val="21"/>
          <w:highlight w:val="none"/>
          <w14:textFill>
            <w14:solidFill>
              <w14:schemeClr w14:val="tx1"/>
            </w14:solidFill>
          </w14:textFill>
        </w:rPr>
      </w:pPr>
    </w:p>
    <w:p>
      <w:pPr>
        <w:snapToGrid w:val="0"/>
        <w:spacing w:before="50" w:after="156" w:afterLines="50" w:line="360" w:lineRule="exact"/>
        <w:jc w:val="left"/>
        <w:outlineLvl w:val="0"/>
        <w:rPr>
          <w:rFonts w:hint="eastAsia" w:ascii="宋体" w:hAnsi="宋体"/>
          <w:b/>
          <w:color w:val="000000" w:themeColor="text1"/>
          <w:szCs w:val="21"/>
          <w:highlight w:val="none"/>
          <w14:textFill>
            <w14:solidFill>
              <w14:schemeClr w14:val="tx1"/>
            </w14:solidFill>
          </w14:textFill>
        </w:rPr>
      </w:pPr>
    </w:p>
    <w:p>
      <w:pPr>
        <w:snapToGrid w:val="0"/>
        <w:spacing w:before="50" w:after="156" w:afterLines="50" w:line="360" w:lineRule="exact"/>
        <w:jc w:val="left"/>
        <w:outlineLvl w:val="0"/>
        <w:rPr>
          <w:rFonts w:hint="eastAsia" w:ascii="宋体" w:hAnsi="宋体"/>
          <w:b/>
          <w:color w:val="000000" w:themeColor="text1"/>
          <w:szCs w:val="21"/>
          <w:highlight w:val="none"/>
          <w14:textFill>
            <w14:solidFill>
              <w14:schemeClr w14:val="tx1"/>
            </w14:solidFill>
          </w14:textFill>
        </w:rPr>
      </w:pPr>
    </w:p>
    <w:p>
      <w:pPr>
        <w:snapToGrid w:val="0"/>
        <w:spacing w:before="50" w:after="156" w:afterLines="50" w:line="360" w:lineRule="exact"/>
        <w:jc w:val="left"/>
        <w:outlineLvl w:val="0"/>
        <w:rPr>
          <w:rFonts w:hint="eastAsia" w:ascii="宋体" w:hAnsi="宋体"/>
          <w:b/>
          <w:color w:val="000000" w:themeColor="text1"/>
          <w:szCs w:val="21"/>
          <w:highlight w:val="none"/>
          <w14:textFill>
            <w14:solidFill>
              <w14:schemeClr w14:val="tx1"/>
            </w14:solidFill>
          </w14:textFill>
        </w:rPr>
      </w:pPr>
    </w:p>
    <w:p>
      <w:pPr>
        <w:snapToGrid w:val="0"/>
        <w:spacing w:before="50" w:after="156" w:afterLines="50" w:line="360" w:lineRule="exact"/>
        <w:jc w:val="left"/>
        <w:outlineLvl w:val="0"/>
        <w:rPr>
          <w:rFonts w:hint="eastAsia" w:ascii="宋体" w:hAnsi="宋体"/>
          <w:b/>
          <w:color w:val="000000" w:themeColor="text1"/>
          <w:szCs w:val="21"/>
          <w:highlight w:val="none"/>
          <w14:textFill>
            <w14:solidFill>
              <w14:schemeClr w14:val="tx1"/>
            </w14:solidFill>
          </w14:textFill>
        </w:rPr>
      </w:pPr>
    </w:p>
    <w:p>
      <w:pPr>
        <w:snapToGrid w:val="0"/>
        <w:spacing w:before="50" w:after="156" w:afterLines="50" w:line="360" w:lineRule="exact"/>
        <w:jc w:val="left"/>
        <w:outlineLvl w:val="0"/>
        <w:rPr>
          <w:rFonts w:hint="eastAsia" w:ascii="宋体" w:hAnsi="宋体"/>
          <w:b/>
          <w:color w:val="000000" w:themeColor="text1"/>
          <w:szCs w:val="21"/>
          <w:highlight w:val="none"/>
          <w14:textFill>
            <w14:solidFill>
              <w14:schemeClr w14:val="tx1"/>
            </w14:solidFill>
          </w14:textFill>
        </w:rPr>
      </w:pPr>
    </w:p>
    <w:p>
      <w:pPr>
        <w:snapToGrid w:val="0"/>
        <w:spacing w:before="50" w:after="156" w:afterLines="50" w:line="360" w:lineRule="exact"/>
        <w:jc w:val="left"/>
        <w:outlineLvl w:val="0"/>
        <w:rPr>
          <w:rFonts w:hint="eastAsia" w:ascii="宋体" w:hAnsi="宋体"/>
          <w:b/>
          <w:color w:val="000000" w:themeColor="text1"/>
          <w:szCs w:val="21"/>
          <w:highlight w:val="none"/>
          <w14:textFill>
            <w14:solidFill>
              <w14:schemeClr w14:val="tx1"/>
            </w14:solidFill>
          </w14:textFill>
        </w:rPr>
      </w:pPr>
    </w:p>
    <w:p>
      <w:pPr>
        <w:snapToGrid w:val="0"/>
        <w:spacing w:before="50" w:after="156" w:afterLines="50" w:line="360" w:lineRule="exact"/>
        <w:jc w:val="left"/>
        <w:outlineLvl w:val="0"/>
        <w:rPr>
          <w:rFonts w:hint="eastAsia" w:ascii="宋体" w:hAnsi="宋体"/>
          <w:b/>
          <w:color w:val="000000" w:themeColor="text1"/>
          <w:szCs w:val="21"/>
          <w:highlight w:val="none"/>
          <w14:textFill>
            <w14:solidFill>
              <w14:schemeClr w14:val="tx1"/>
            </w14:solidFill>
          </w14:textFill>
        </w:rPr>
      </w:pPr>
    </w:p>
    <w:p>
      <w:pPr>
        <w:pageBreakBefore/>
        <w:snapToGrid w:val="0"/>
        <w:spacing w:before="50" w:after="156" w:afterLines="50" w:line="360" w:lineRule="exact"/>
        <w:jc w:val="left"/>
        <w:outlineLvl w:val="0"/>
        <w:rPr>
          <w:rFonts w:hint="eastAsia" w:ascii="宋体" w:hAnsi="宋体"/>
          <w:b/>
          <w:color w:val="000000" w:themeColor="text1"/>
          <w:szCs w:val="21"/>
          <w:highlight w:val="none"/>
          <w14:textFill>
            <w14:solidFill>
              <w14:schemeClr w14:val="tx1"/>
            </w14:solidFill>
          </w14:textFill>
        </w:rPr>
      </w:pPr>
    </w:p>
    <w:p>
      <w:pPr>
        <w:snapToGrid w:val="0"/>
        <w:spacing w:line="360" w:lineRule="exact"/>
        <w:jc w:val="center"/>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参加政府采购活动前三年内在经营活动中没有</w:t>
      </w:r>
      <w:r>
        <w:rPr>
          <w:rFonts w:hint="eastAsia" w:ascii="宋体" w:hAnsi="宋体" w:cs="宋体"/>
          <w:b/>
          <w:color w:val="000000" w:themeColor="text1"/>
          <w:kern w:val="0"/>
          <w:sz w:val="28"/>
          <w:szCs w:val="28"/>
          <w:highlight w:val="none"/>
          <w14:textFill>
            <w14:solidFill>
              <w14:schemeClr w14:val="tx1"/>
            </w14:solidFill>
          </w14:textFill>
        </w:rPr>
        <w:t>重大违法记录的书面声明</w:t>
      </w:r>
    </w:p>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（格式自拟，必须提供）</w:t>
      </w:r>
    </w:p>
    <w:p>
      <w:pPr>
        <w:snapToGrid w:val="0"/>
        <w:spacing w:line="360" w:lineRule="exact"/>
        <w:ind w:firstLine="411" w:firstLineChars="196"/>
        <w:jc w:val="center"/>
        <w:rPr>
          <w:rFonts w:hint="eastAsia" w:ascii="宋体" w:hAnsi="宋体"/>
          <w:color w:val="000000" w:themeColor="text1"/>
          <w:szCs w:val="21"/>
          <w:highlight w:val="none"/>
          <w14:textFill>
            <w14:solidFill>
              <w14:schemeClr w14:val="tx1"/>
            </w14:solidFill>
          </w14:textFill>
        </w:rPr>
      </w:pPr>
    </w:p>
    <w:p>
      <w:pPr>
        <w:pStyle w:val="30"/>
        <w:tabs>
          <w:tab w:val="left" w:pos="5580"/>
        </w:tabs>
        <w:spacing w:line="360" w:lineRule="auto"/>
        <w:ind w:left="1079" w:leftChars="257" w:hanging="540"/>
        <w:rPr>
          <w:rFonts w:hint="eastAsia" w:ascii="仿宋_GB2312" w:hAnsi="宋体" w:eastAsia="仿宋_GB2312"/>
          <w:color w:val="000000" w:themeColor="text1"/>
          <w:sz w:val="24"/>
          <w:highlight w:val="none"/>
          <w14:textFill>
            <w14:solidFill>
              <w14:schemeClr w14:val="tx1"/>
            </w14:solidFill>
          </w14:textFill>
        </w:rPr>
      </w:pPr>
    </w:p>
    <w:p>
      <w:pPr>
        <w:snapToGrid w:val="0"/>
        <w:spacing w:line="360" w:lineRule="exact"/>
        <w:ind w:firstLine="567" w:firstLineChars="27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说明：1.投标人应按照相关法规规定如实做出声明。</w:t>
      </w:r>
    </w:p>
    <w:p>
      <w:pPr>
        <w:snapToGrid w:val="0"/>
        <w:spacing w:line="360" w:lineRule="exact"/>
        <w:ind w:firstLine="1134" w:firstLineChars="54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2.按照采购文件的规定盖章（自然人投标的无需盖章，需要签字）。</w:t>
      </w:r>
    </w:p>
    <w:p>
      <w:pPr>
        <w:snapToGrid w:val="0"/>
        <w:spacing w:line="360" w:lineRule="exact"/>
        <w:ind w:firstLine="1134" w:firstLineChars="54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3.如果是联合体投标，联合体各方均需提供上述声明。</w:t>
      </w:r>
    </w:p>
    <w:p>
      <w:pPr>
        <w:snapToGrid w:val="0"/>
        <w:spacing w:before="50" w:after="156" w:afterLines="50" w:line="360" w:lineRule="exact"/>
        <w:jc w:val="left"/>
        <w:outlineLvl w:val="0"/>
        <w:rPr>
          <w:rFonts w:hint="eastAsia" w:ascii="宋体" w:hAnsi="宋体"/>
          <w:b/>
          <w:color w:val="000000" w:themeColor="text1"/>
          <w:szCs w:val="21"/>
          <w:highlight w:val="none"/>
          <w14:textFill>
            <w14:solidFill>
              <w14:schemeClr w14:val="tx1"/>
            </w14:solidFill>
          </w14:textFill>
        </w:rPr>
      </w:pPr>
    </w:p>
    <w:p>
      <w:pPr>
        <w:pageBreakBefore/>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二）商务技术文件部分（格式）</w:t>
      </w:r>
    </w:p>
    <w:p>
      <w:pPr>
        <w:snapToGrid w:val="0"/>
        <w:spacing w:before="50" w:after="156" w:afterLines="50" w:line="360" w:lineRule="exact"/>
        <w:ind w:firstLine="203" w:firstLineChars="97"/>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商务文件部分</w:t>
      </w:r>
      <w:r>
        <w:rPr>
          <w:rFonts w:hint="eastAsia"/>
          <w:b/>
          <w:color w:val="000000" w:themeColor="text1"/>
          <w:highlight w:val="none"/>
          <w14:textFill>
            <w14:solidFill>
              <w14:schemeClr w14:val="tx1"/>
            </w14:solidFill>
          </w14:textFill>
        </w:rPr>
        <w:t>（格式）</w:t>
      </w:r>
      <w:r>
        <w:rPr>
          <w:rFonts w:hint="eastAsia" w:ascii="宋体" w:hAnsi="宋体"/>
          <w:b/>
          <w:bCs/>
          <w:color w:val="000000" w:themeColor="text1"/>
          <w:szCs w:val="21"/>
          <w:highlight w:val="none"/>
          <w14:textFill>
            <w14:solidFill>
              <w14:schemeClr w14:val="tx1"/>
            </w14:solidFill>
          </w14:textFill>
        </w:rPr>
        <w:t>：</w:t>
      </w:r>
    </w:p>
    <w:p>
      <w:pPr>
        <w:snapToGrid w:val="0"/>
        <w:spacing w:before="50" w:after="156" w:afterLines="50" w:line="360" w:lineRule="exact"/>
        <w:ind w:firstLine="203" w:firstLineChars="97"/>
        <w:jc w:val="left"/>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（1）投标保证金的相关证明扫描件或其他电子文件</w:t>
      </w:r>
    </w:p>
    <w:p>
      <w:pPr>
        <w:snapToGrid w:val="0"/>
        <w:spacing w:before="50" w:after="156" w:afterLines="50" w:line="360" w:lineRule="exact"/>
        <w:ind w:firstLine="203" w:firstLineChars="97"/>
        <w:jc w:val="lef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（2）投标声明书格式：</w:t>
      </w:r>
    </w:p>
    <w:p>
      <w:pPr>
        <w:snapToGrid w:val="0"/>
        <w:spacing w:before="156" w:beforeLines="50" w:after="50" w:line="360" w:lineRule="exact"/>
        <w:jc w:val="center"/>
        <w:rPr>
          <w:rFonts w:hint="eastAsia"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投标声明书</w:t>
      </w:r>
    </w:p>
    <w:p>
      <w:pPr>
        <w:snapToGrid w:val="0"/>
        <w:spacing w:before="156" w:beforeLines="50" w:after="50" w:line="34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highlight w:val="none"/>
          <w:u w:val="single"/>
          <w14:textFill>
            <w14:solidFill>
              <w14:schemeClr w14:val="tx1"/>
            </w14:solidFill>
          </w14:textFill>
        </w:rPr>
        <w:t>广西壮族自治区政府采购中心</w:t>
      </w:r>
      <w:r>
        <w:rPr>
          <w:rFonts w:hint="eastAsia" w:ascii="宋体" w:hAnsi="宋体"/>
          <w:color w:val="000000" w:themeColor="text1"/>
          <w:szCs w:val="21"/>
          <w:highlight w:val="none"/>
          <w14:textFill>
            <w14:solidFill>
              <w14:schemeClr w14:val="tx1"/>
            </w14:solidFill>
          </w14:textFill>
        </w:rPr>
        <w:t>：</w:t>
      </w:r>
    </w:p>
    <w:p>
      <w:pPr>
        <w:snapToGrid w:val="0"/>
        <w:spacing w:before="156" w:beforeLines="50" w:after="50" w:line="340" w:lineRule="exact"/>
        <w:ind w:firstLine="630" w:firstLineChars="3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（投标人名称）系中华人民共和国合法企业，经营地址</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pPr>
        <w:snapToGrid w:val="0"/>
        <w:spacing w:before="156" w:beforeLines="50" w:after="50" w:line="340" w:lineRule="exact"/>
        <w:ind w:firstLine="645"/>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（姓名）系</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（投标人名称）的法定代表人(负责人)，我方愿意参加贵方组织的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项目的投标，为便于贵方公正、择优地确定中标人及其投标产品和服务，我方就本次投标有关事项郑重声明如下：</w:t>
      </w:r>
    </w:p>
    <w:p>
      <w:pPr>
        <w:snapToGrid w:val="0"/>
        <w:spacing w:line="34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1.我方向贵方提交的所有投标文件、资料都是准确的和真实的。</w:t>
      </w:r>
    </w:p>
    <w:p>
      <w:pPr>
        <w:snapToGrid w:val="0"/>
        <w:spacing w:before="156" w:beforeLines="50" w:line="34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2.我方不是采购人的附属机构；在获知本项目采购信息后，与采购人聘请的为此项目提供咨询服务的公司及其附属机构没有任何联系。</w:t>
      </w:r>
    </w:p>
    <w:p>
      <w:pPr>
        <w:snapToGrid w:val="0"/>
        <w:spacing w:before="156" w:beforeLines="50" w:line="34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3.我方诚意提请贵方关注：近期有关该型号产品的生产、供货、售后服务以及性能等方面的重大决策和事项有：</w:t>
      </w:r>
    </w:p>
    <w:p>
      <w:pPr>
        <w:snapToGrid w:val="0"/>
        <w:spacing w:before="156" w:beforeLines="50" w:line="340" w:lineRule="exact"/>
        <w:ind w:firstLine="420" w:firstLineChars="200"/>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w:t>
      </w:r>
    </w:p>
    <w:p>
      <w:pPr>
        <w:snapToGrid w:val="0"/>
        <w:spacing w:before="156" w:beforeLines="50" w:line="34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w:t>
      </w:r>
    </w:p>
    <w:p>
      <w:pPr>
        <w:pStyle w:val="23"/>
        <w:snapToGrid w:val="0"/>
        <w:spacing w:line="340" w:lineRule="exact"/>
        <w:ind w:left="630" w:leftChars="200" w:hanging="210" w:hangingChars="100"/>
        <w:rPr>
          <w:rFonts w:hint="eastAsia"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4.我方参加政府采购活动前三年内在经营活动中重大违法记录和不良信用记录情况：</w:t>
      </w:r>
    </w:p>
    <w:p>
      <w:pPr>
        <w:snapToGrid w:val="0"/>
        <w:spacing w:before="156" w:beforeLines="50" w:line="340" w:lineRule="exact"/>
        <w:ind w:firstLine="420" w:firstLineChars="200"/>
        <w:rPr>
          <w:rFonts w:hint="eastAsia" w:ascii="宋体" w:hAnsi="宋体"/>
          <w:color w:val="000000" w:themeColor="text1"/>
          <w:szCs w:val="21"/>
          <w:highlight w:val="none"/>
          <w:u w:val="single"/>
          <w14:textFill>
            <w14:solidFill>
              <w14:schemeClr w14:val="tx1"/>
            </w14:solidFill>
          </w14:textFill>
        </w:rPr>
      </w:pPr>
      <w:r>
        <w:rPr>
          <w:rFonts w:hint="eastAsia" w:ascii="宋体" w:hAnsi="宋体"/>
          <w:b/>
          <w:color w:val="000000" w:themeColor="text1"/>
          <w:szCs w:val="21"/>
          <w:highlight w:val="none"/>
          <w:u w:val="single"/>
          <w14:textFill>
            <w14:solidFill>
              <w14:schemeClr w14:val="tx1"/>
            </w14:solidFill>
          </w14:textFill>
        </w:rPr>
        <w:t>　　　　　　</w:t>
      </w:r>
      <w:r>
        <w:rPr>
          <w:rFonts w:hint="eastAsia" w:ascii="宋体" w:hAnsi="宋体"/>
          <w:color w:val="000000" w:themeColor="text1"/>
          <w:szCs w:val="21"/>
          <w:highlight w:val="none"/>
          <w:u w:val="single"/>
          <w14:textFill>
            <w14:solidFill>
              <w14:schemeClr w14:val="tx1"/>
            </w14:solidFill>
          </w14:textFill>
        </w:rPr>
        <w:t>　　　　　　　　　　　　　　　　　　　　　</w:t>
      </w:r>
    </w:p>
    <w:p>
      <w:pPr>
        <w:snapToGrid w:val="0"/>
        <w:spacing w:before="156" w:beforeLines="50" w:line="34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5.以上事项如有虚假或隐瞒，我方愿意承担一切后果。</w:t>
      </w:r>
    </w:p>
    <w:p>
      <w:pPr>
        <w:snapToGrid w:val="0"/>
        <w:spacing w:before="156" w:beforeLines="50" w:line="340" w:lineRule="exact"/>
        <w:ind w:firstLine="3509" w:firstLineChars="1671"/>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法定代表人(负责人)</w:t>
      </w:r>
      <w:r>
        <w:rPr>
          <w:rFonts w:hint="eastAsia" w:ascii="宋体" w:hAnsi="宋体"/>
          <w:color w:val="000000" w:themeColor="text1"/>
          <w:highlight w:val="none"/>
          <w14:textFill>
            <w14:solidFill>
              <w14:schemeClr w14:val="tx1"/>
            </w14:solidFill>
          </w14:textFill>
        </w:rPr>
        <w:t xml:space="preserve"> 或委托代理人</w:t>
      </w:r>
      <w:r>
        <w:rPr>
          <w:rFonts w:hint="eastAsia" w:ascii="宋体" w:hAnsi="宋体"/>
          <w:color w:val="000000" w:themeColor="text1"/>
          <w:szCs w:val="21"/>
          <w:highlight w:val="none"/>
          <w14:textFill>
            <w14:solidFill>
              <w14:schemeClr w14:val="tx1"/>
            </w14:solidFill>
          </w14:textFill>
        </w:rPr>
        <w:t>签字：</w:t>
      </w:r>
      <w:r>
        <w:rPr>
          <w:rFonts w:hint="eastAsia" w:ascii="宋体" w:hAnsi="宋体"/>
          <w:color w:val="000000" w:themeColor="text1"/>
          <w:szCs w:val="21"/>
          <w:highlight w:val="none"/>
          <w:u w:val="single"/>
          <w14:textFill>
            <w14:solidFill>
              <w14:schemeClr w14:val="tx1"/>
            </w14:solidFill>
          </w14:textFill>
        </w:rPr>
        <w:t xml:space="preserve">             </w:t>
      </w:r>
    </w:p>
    <w:p>
      <w:pPr>
        <w:snapToGrid w:val="0"/>
        <w:spacing w:before="156" w:beforeLines="50" w:after="50" w:line="340" w:lineRule="exact"/>
        <w:ind w:firstLine="3570" w:firstLineChars="17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投标人公章：</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pPr>
        <w:snapToGrid w:val="0"/>
        <w:spacing w:before="156" w:beforeLines="50" w:after="50" w:line="340" w:lineRule="exact"/>
        <w:ind w:firstLine="210" w:firstLineChars="1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年    月    日</w:t>
      </w:r>
    </w:p>
    <w:p>
      <w:pPr>
        <w:widowControl/>
        <w:spacing w:before="100" w:beforeAutospacing="1" w:after="100" w:afterAutospacing="1" w:line="432" w:lineRule="auto"/>
        <w:jc w:val="lef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※重大违法记录，是指供应商因违法经营受到刑事处罚或者责令停产停业、吊销许可证或者执照、较大数额罚款等行政处罚。</w:t>
      </w:r>
    </w:p>
    <w:p>
      <w:pPr>
        <w:widowControl/>
        <w:spacing w:before="100" w:beforeAutospacing="1" w:after="100" w:afterAutospacing="1" w:line="432" w:lineRule="auto"/>
        <w:jc w:val="left"/>
        <w:rPr>
          <w:rFonts w:hint="eastAsia" w:ascii="宋体" w:hAnsi="宋体"/>
          <w:b/>
          <w:color w:val="000000" w:themeColor="text1"/>
          <w:szCs w:val="21"/>
          <w:highlight w:val="none"/>
          <w14:textFill>
            <w14:solidFill>
              <w14:schemeClr w14:val="tx1"/>
            </w14:solidFill>
          </w14:textFill>
        </w:rPr>
      </w:pPr>
    </w:p>
    <w:p>
      <w:pPr>
        <w:widowControl/>
        <w:spacing w:before="100" w:beforeAutospacing="1" w:after="100" w:afterAutospacing="1" w:line="432" w:lineRule="auto"/>
        <w:jc w:val="left"/>
        <w:rPr>
          <w:rFonts w:hint="eastAsia" w:ascii="宋体" w:hAnsi="宋体"/>
          <w:b/>
          <w:color w:val="000000" w:themeColor="text1"/>
          <w:szCs w:val="21"/>
          <w:highlight w:val="none"/>
          <w14:textFill>
            <w14:solidFill>
              <w14:schemeClr w14:val="tx1"/>
            </w14:solidFill>
          </w14:textFill>
        </w:rPr>
      </w:pPr>
    </w:p>
    <w:p>
      <w:pPr>
        <w:snapToGrid w:val="0"/>
        <w:spacing w:before="50" w:after="156" w:afterLines="50" w:line="340" w:lineRule="exact"/>
        <w:jc w:val="left"/>
        <w:rPr>
          <w:rFonts w:hint="eastAsia" w:ascii="宋体" w:hAnsi="宋体"/>
          <w:b/>
          <w:color w:val="000000" w:themeColor="text1"/>
          <w:szCs w:val="21"/>
          <w:highlight w:val="none"/>
          <w14:textFill>
            <w14:solidFill>
              <w14:schemeClr w14:val="tx1"/>
            </w14:solidFill>
          </w14:textFill>
        </w:rPr>
      </w:pPr>
    </w:p>
    <w:p>
      <w:pPr>
        <w:pageBreakBefore/>
        <w:snapToGrid w:val="0"/>
        <w:spacing w:before="50" w:after="156" w:afterLines="50" w:line="340" w:lineRule="exact"/>
        <w:jc w:val="lef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（3）法定代表人(负责人)授权委托书格式：</w:t>
      </w:r>
    </w:p>
    <w:p>
      <w:pPr>
        <w:snapToGrid w:val="0"/>
        <w:spacing w:before="50" w:after="156" w:afterLines="50" w:line="340" w:lineRule="exact"/>
        <w:jc w:val="left"/>
        <w:rPr>
          <w:rFonts w:ascii="宋体" w:hAnsi="宋体"/>
          <w:b/>
          <w:color w:val="000000" w:themeColor="text1"/>
          <w:szCs w:val="21"/>
          <w:highlight w:val="none"/>
          <w14:textFill>
            <w14:solidFill>
              <w14:schemeClr w14:val="tx1"/>
            </w14:solidFill>
          </w14:textFill>
        </w:rPr>
      </w:pPr>
    </w:p>
    <w:p>
      <w:pPr>
        <w:snapToGrid w:val="0"/>
        <w:spacing w:before="156" w:beforeLines="50" w:after="50" w:line="340" w:lineRule="exact"/>
        <w:jc w:val="center"/>
        <w:rPr>
          <w:rFonts w:hint="eastAsia"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法定代表人(负责人)授权委托书</w:t>
      </w:r>
    </w:p>
    <w:p>
      <w:pPr>
        <w:snapToGrid w:val="0"/>
        <w:spacing w:before="156" w:beforeLines="50" w:after="50" w:line="340" w:lineRule="exact"/>
        <w:rPr>
          <w:rFonts w:hint="eastAsia" w:ascii="宋体" w:hAnsi="宋体"/>
          <w:b/>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致：</w:t>
      </w:r>
      <w:r>
        <w:rPr>
          <w:rFonts w:hint="eastAsia" w:ascii="宋体" w:hAnsi="宋体"/>
          <w:color w:val="000000" w:themeColor="text1"/>
          <w:highlight w:val="none"/>
          <w:u w:val="single"/>
          <w14:textFill>
            <w14:solidFill>
              <w14:schemeClr w14:val="tx1"/>
            </w14:solidFill>
          </w14:textFill>
        </w:rPr>
        <w:t>广西壮族自治区政府采购中心</w:t>
      </w:r>
    </w:p>
    <w:p>
      <w:pPr>
        <w:snapToGrid w:val="0"/>
        <w:spacing w:before="156" w:beforeLines="50" w:after="50" w:line="340" w:lineRule="exact"/>
        <w:ind w:firstLine="630" w:firstLineChars="3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（姓名）系</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（投标人名称）的法定代表人(负责人)，现授权委托本单位在职职工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（姓名）以我方的名义参加</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项目的投标活动，并代表我方全权办理针对上述项目的投标、开标、评标、签约等具体事务和签署相关文件。</w:t>
      </w:r>
    </w:p>
    <w:p>
      <w:pPr>
        <w:snapToGrid w:val="0"/>
        <w:spacing w:before="156" w:beforeLines="50" w:after="50" w:line="34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我方对被授权人的签字事项负全部责任。</w:t>
      </w:r>
    </w:p>
    <w:p>
      <w:pPr>
        <w:snapToGrid w:val="0"/>
        <w:spacing w:before="156" w:beforeLines="50" w:after="50" w:line="340" w:lineRule="exact"/>
        <w:ind w:firstLine="48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在撤销授权的书面通知以前，本授权书一直有效。</w:t>
      </w:r>
      <w:r>
        <w:rPr>
          <w:rFonts w:hint="eastAsia" w:ascii="宋体" w:hAnsi="宋体"/>
          <w:color w:val="000000" w:themeColor="text1"/>
          <w:szCs w:val="21"/>
          <w:highlight w:val="none"/>
          <w14:textFill>
            <w14:solidFill>
              <w14:schemeClr w14:val="tx1"/>
            </w14:solidFill>
          </w14:textFill>
        </w:rPr>
        <w:t>被授权人在授权书有效期内签署的所有文件不因授权的撤销而失效。</w:t>
      </w:r>
    </w:p>
    <w:p>
      <w:pPr>
        <w:snapToGrid w:val="0"/>
        <w:spacing w:before="156" w:beforeLines="50" w:after="50" w:line="340" w:lineRule="exact"/>
        <w:ind w:firstLine="48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被授权人无转委托权，特此委托。</w:t>
      </w:r>
    </w:p>
    <w:p>
      <w:pPr>
        <w:snapToGrid w:val="0"/>
        <w:spacing w:before="156" w:beforeLines="50" w:after="50" w:line="340" w:lineRule="exact"/>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被授权人签字：</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法定代表人(负责人)签字：</w:t>
      </w:r>
      <w:r>
        <w:rPr>
          <w:rFonts w:hint="eastAsia" w:ascii="宋体" w:hAnsi="宋体"/>
          <w:color w:val="000000" w:themeColor="text1"/>
          <w:szCs w:val="21"/>
          <w:highlight w:val="none"/>
          <w:u w:val="single"/>
          <w14:textFill>
            <w14:solidFill>
              <w14:schemeClr w14:val="tx1"/>
            </w14:solidFill>
          </w14:textFill>
        </w:rPr>
        <w:t xml:space="preserve">          </w:t>
      </w:r>
    </w:p>
    <w:p>
      <w:pPr>
        <w:snapToGrid w:val="0"/>
        <w:spacing w:before="156" w:beforeLines="50" w:after="50" w:line="34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所在部门职务：</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职务：</w:t>
      </w:r>
      <w:r>
        <w:rPr>
          <w:rFonts w:hint="eastAsia" w:ascii="宋体" w:hAnsi="宋体"/>
          <w:color w:val="000000" w:themeColor="text1"/>
          <w:szCs w:val="21"/>
          <w:highlight w:val="none"/>
          <w:u w:val="single"/>
          <w14:textFill>
            <w14:solidFill>
              <w14:schemeClr w14:val="tx1"/>
            </w14:solidFill>
          </w14:textFill>
        </w:rPr>
        <w:t xml:space="preserve">           </w:t>
      </w:r>
    </w:p>
    <w:p>
      <w:pPr>
        <w:snapToGrid w:val="0"/>
        <w:spacing w:before="156" w:beforeLines="50" w:after="50" w:line="34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被授权人身份证号码：</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tbl>
      <w:tblPr>
        <w:tblStyle w:val="54"/>
        <w:tblW w:w="5124" w:type="dxa"/>
        <w:tblInd w:w="0" w:type="dxa"/>
        <w:tblLayout w:type="fixed"/>
        <w:tblCellMar>
          <w:top w:w="0" w:type="dxa"/>
          <w:left w:w="108" w:type="dxa"/>
          <w:bottom w:w="0" w:type="dxa"/>
          <w:right w:w="108" w:type="dxa"/>
        </w:tblCellMar>
      </w:tblPr>
      <w:tblGrid>
        <w:gridCol w:w="5124"/>
      </w:tblGrid>
      <w:tr>
        <w:tblPrEx>
          <w:tblCellMar>
            <w:top w:w="0" w:type="dxa"/>
            <w:left w:w="108" w:type="dxa"/>
            <w:bottom w:w="0" w:type="dxa"/>
            <w:right w:w="108" w:type="dxa"/>
          </w:tblCellMar>
        </w:tblPrEx>
        <w:trPr>
          <w:trHeight w:val="1016" w:hRule="atLeast"/>
        </w:trPr>
        <w:tc>
          <w:tcPr>
            <w:tcW w:w="5124" w:type="dxa"/>
            <w:vAlign w:val="top"/>
          </w:tcPr>
          <w:p>
            <w:pPr>
              <w:snapToGrid w:val="0"/>
              <w:spacing w:before="156" w:beforeLines="50" w:after="50"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贴附“</w:t>
            </w:r>
            <w:r>
              <w:rPr>
                <w:rFonts w:hint="eastAsia" w:ascii="宋体" w:hAnsi="宋体"/>
                <w:color w:val="000000" w:themeColor="text1"/>
                <w:highlight w:val="none"/>
                <w14:textFill>
                  <w14:solidFill>
                    <w14:schemeClr w14:val="tx1"/>
                  </w14:solidFill>
                </w14:textFill>
              </w:rPr>
              <w:t>委托代理人身份证</w:t>
            </w:r>
            <w:r>
              <w:rPr>
                <w:rFonts w:hint="eastAsia" w:hAnsi="宋体"/>
                <w:color w:val="000000" w:themeColor="text1"/>
                <w:highlight w:val="none"/>
                <w14:textFill>
                  <w14:solidFill>
                    <w14:schemeClr w14:val="tx1"/>
                  </w14:solidFill>
                </w14:textFill>
              </w:rPr>
              <w:t>扫描件</w:t>
            </w:r>
            <w:r>
              <w:rPr>
                <w:rFonts w:hint="eastAsia" w:ascii="宋体" w:hAnsi="宋体"/>
                <w:color w:val="000000" w:themeColor="text1"/>
                <w:highlight w:val="none"/>
                <w14:textFill>
                  <w14:solidFill>
                    <w14:schemeClr w14:val="tx1"/>
                  </w14:solidFill>
                </w14:textFill>
              </w:rPr>
              <w:t>”（正反两面）</w:t>
            </w:r>
          </w:p>
        </w:tc>
      </w:tr>
    </w:tbl>
    <w:p>
      <w:pPr>
        <w:snapToGrid w:val="0"/>
        <w:spacing w:before="156" w:beforeLines="50" w:after="50" w:line="340" w:lineRule="exact"/>
        <w:ind w:firstLine="4620" w:firstLineChars="2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投标人公章：</w:t>
      </w:r>
    </w:p>
    <w:p>
      <w:pPr>
        <w:snapToGrid w:val="0"/>
        <w:spacing w:before="156" w:beforeLines="50" w:after="50" w:line="3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年    月    日</w:t>
      </w:r>
    </w:p>
    <w:p>
      <w:pPr>
        <w:snapToGrid w:val="0"/>
        <w:spacing w:line="360" w:lineRule="exact"/>
        <w:jc w:val="left"/>
        <w:rPr>
          <w:rFonts w:hint="eastAsia" w:ascii="宋体" w:hAnsi="宋体"/>
          <w:b/>
          <w:color w:val="000000" w:themeColor="text1"/>
          <w:szCs w:val="21"/>
          <w:highlight w:val="none"/>
          <w14:textFill>
            <w14:solidFill>
              <w14:schemeClr w14:val="tx1"/>
            </w14:solidFill>
          </w14:textFill>
        </w:rPr>
      </w:pPr>
    </w:p>
    <w:p>
      <w:pPr>
        <w:snapToGrid w:val="0"/>
        <w:spacing w:before="50" w:after="156" w:afterLines="50" w:line="360" w:lineRule="exact"/>
        <w:ind w:firstLine="203" w:firstLineChars="97"/>
        <w:jc w:val="lef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（4）投标截止之日前半年内投标人连续三个月</w:t>
      </w:r>
      <w:r>
        <w:rPr>
          <w:rFonts w:hint="eastAsia" w:ascii="宋体" w:hAnsi="宋体"/>
          <w:color w:val="000000" w:themeColor="text1"/>
          <w:szCs w:val="21"/>
          <w:highlight w:val="none"/>
          <w14:textFill>
            <w14:solidFill>
              <w14:schemeClr w14:val="tx1"/>
            </w14:solidFill>
          </w14:textFill>
        </w:rPr>
        <w:t>依法纳税的依法缴纳税费或依法免缴税费的证明</w:t>
      </w:r>
      <w:r>
        <w:rPr>
          <w:rFonts w:hint="eastAsia" w:ascii="宋体" w:hAnsi="宋体"/>
          <w:b/>
          <w:color w:val="000000" w:themeColor="text1"/>
          <w:szCs w:val="21"/>
          <w:highlight w:val="none"/>
          <w14:textFill>
            <w14:solidFill>
              <w14:schemeClr w14:val="tx1"/>
            </w14:solidFill>
          </w14:textFill>
        </w:rPr>
        <w:t>（扫描件或其他电子文件，格式自拟）（必须提供）；</w:t>
      </w:r>
      <w:r>
        <w:rPr>
          <w:rFonts w:hint="eastAsia" w:ascii="宋体" w:hAnsi="宋体"/>
          <w:color w:val="000000" w:themeColor="text1"/>
          <w:szCs w:val="21"/>
          <w:highlight w:val="none"/>
          <w14:textFill>
            <w14:solidFill>
              <w14:schemeClr w14:val="tx1"/>
            </w14:solidFill>
          </w14:textFill>
        </w:rPr>
        <w:t>无纳税记录的，应提供由投标人所在地主管国税或地税部门出具的《依法纳税或依法免税证明》（格式自拟，扫描件或其他电子文件）</w:t>
      </w:r>
      <w:r>
        <w:rPr>
          <w:rFonts w:hint="eastAsia" w:ascii="宋体" w:hAnsi="宋体"/>
          <w:b/>
          <w:color w:val="000000" w:themeColor="text1"/>
          <w:szCs w:val="21"/>
          <w:highlight w:val="none"/>
          <w14:textFill>
            <w14:solidFill>
              <w14:schemeClr w14:val="tx1"/>
            </w14:solidFill>
          </w14:textFill>
        </w:rPr>
        <w:t>。</w:t>
      </w:r>
    </w:p>
    <w:p>
      <w:pPr>
        <w:snapToGrid w:val="0"/>
        <w:spacing w:before="50" w:after="156" w:afterLines="50" w:line="360" w:lineRule="exact"/>
        <w:ind w:firstLine="203" w:firstLineChars="97"/>
        <w:jc w:val="left"/>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投标截止之日前半年内投标人连续三个月的依法缴纳社保费的缴费凭证（</w:t>
      </w:r>
      <w:r>
        <w:rPr>
          <w:rFonts w:hint="eastAsia" w:ascii="宋体" w:hAnsi="宋体"/>
          <w:b/>
          <w:color w:val="000000" w:themeColor="text1"/>
          <w:szCs w:val="21"/>
          <w:highlight w:val="none"/>
          <w14:textFill>
            <w14:solidFill>
              <w14:schemeClr w14:val="tx1"/>
            </w14:solidFill>
          </w14:textFill>
        </w:rPr>
        <w:t>扫描件或其他电子文件，格式自拟）（必须提供）；</w:t>
      </w:r>
      <w:r>
        <w:rPr>
          <w:rFonts w:hint="eastAsia" w:ascii="宋体" w:hAnsi="宋体"/>
          <w:color w:val="000000" w:themeColor="text1"/>
          <w:szCs w:val="21"/>
          <w:highlight w:val="none"/>
          <w14:textFill>
            <w14:solidFill>
              <w14:schemeClr w14:val="tx1"/>
            </w14:solidFill>
          </w14:textFill>
        </w:rPr>
        <w:t>无缴费记录的，应提供由投标人所在地社保部门出具的《依法缴纳或依法免缴社保费证明》（格式自拟，扫描件或其他电子文件，原件备查）。</w:t>
      </w:r>
    </w:p>
    <w:p>
      <w:pPr>
        <w:snapToGrid w:val="0"/>
        <w:spacing w:before="50" w:after="156" w:afterLines="50" w:line="360" w:lineRule="exact"/>
        <w:jc w:val="lef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  （6）</w:t>
      </w:r>
      <w:r>
        <w:rPr>
          <w:rFonts w:hint="eastAsia" w:ascii="宋体" w:hAnsi="宋体"/>
          <w:color w:val="000000" w:themeColor="text1"/>
          <w:szCs w:val="21"/>
          <w:highlight w:val="none"/>
          <w14:textFill>
            <w14:solidFill>
              <w14:schemeClr w14:val="tx1"/>
            </w14:solidFill>
          </w14:textFill>
        </w:rPr>
        <w:t>财务状况报告</w:t>
      </w:r>
      <w:r>
        <w:rPr>
          <w:rFonts w:hint="eastAsia" w:ascii="宋体" w:hAnsi="宋体"/>
          <w:b/>
          <w:color w:val="000000" w:themeColor="text1"/>
          <w:szCs w:val="21"/>
          <w:highlight w:val="none"/>
          <w14:textFill>
            <w14:solidFill>
              <w14:schemeClr w14:val="tx1"/>
            </w14:solidFill>
          </w14:textFill>
        </w:rPr>
        <w:t>；（必须提供）</w:t>
      </w:r>
    </w:p>
    <w:p>
      <w:pPr>
        <w:snapToGrid w:val="0"/>
        <w:spacing w:before="50" w:after="156" w:afterLines="50" w:line="360" w:lineRule="exact"/>
        <w:ind w:firstLine="203" w:firstLineChars="97"/>
        <w:jc w:val="left"/>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具备履行合同所必需的设备和专业技术能力的证明材料</w:t>
      </w:r>
      <w:r>
        <w:rPr>
          <w:rFonts w:hint="eastAsia" w:ascii="宋体" w:hAnsi="宋体"/>
          <w:b/>
          <w:color w:val="000000" w:themeColor="text1"/>
          <w:szCs w:val="21"/>
          <w:highlight w:val="none"/>
          <w14:textFill>
            <w14:solidFill>
              <w14:schemeClr w14:val="tx1"/>
            </w14:solidFill>
          </w14:textFill>
        </w:rPr>
        <w:t>（格式自拟,必须提供）</w:t>
      </w:r>
      <w:r>
        <w:rPr>
          <w:rFonts w:hint="eastAsia" w:ascii="宋体" w:hAnsi="宋体" w:cs="宋体"/>
          <w:b/>
          <w:color w:val="000000" w:themeColor="text1"/>
          <w:kern w:val="0"/>
          <w:szCs w:val="21"/>
          <w:highlight w:val="none"/>
          <w14:textFill>
            <w14:solidFill>
              <w14:schemeClr w14:val="tx1"/>
            </w14:solidFill>
          </w14:textFill>
        </w:rPr>
        <w:t>；</w:t>
      </w:r>
    </w:p>
    <w:p>
      <w:pPr>
        <w:snapToGrid w:val="0"/>
        <w:spacing w:before="50" w:after="156" w:afterLines="50" w:line="360" w:lineRule="exact"/>
        <w:ind w:firstLine="203" w:firstLineChars="97"/>
        <w:jc w:val="left"/>
        <w:rPr>
          <w:rFonts w:hint="eastAsia"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（8）税务</w:t>
      </w:r>
      <w:r>
        <w:rPr>
          <w:rFonts w:hint="eastAsia" w:ascii="宋体" w:hAnsi="宋体"/>
          <w:color w:val="000000" w:themeColor="text1"/>
          <w:szCs w:val="21"/>
          <w:highlight w:val="none"/>
          <w14:textFill>
            <w14:solidFill>
              <w14:schemeClr w14:val="tx1"/>
            </w14:solidFill>
          </w14:textFill>
        </w:rPr>
        <w:t>登记证扫描件（副本）（如有）</w:t>
      </w:r>
    </w:p>
    <w:bookmarkEnd w:id="63"/>
    <w:bookmarkEnd w:id="64"/>
    <w:p>
      <w:pPr>
        <w:snapToGrid w:val="0"/>
        <w:spacing w:before="50" w:after="156" w:afterLines="50" w:line="360" w:lineRule="exact"/>
        <w:ind w:firstLine="203" w:firstLineChars="97"/>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br w:type="page"/>
      </w:r>
      <w:r>
        <w:rPr>
          <w:rFonts w:hint="eastAsia" w:ascii="宋体" w:hAnsi="宋体"/>
          <w:b/>
          <w:color w:val="000000" w:themeColor="text1"/>
          <w:szCs w:val="21"/>
          <w:highlight w:val="none"/>
          <w14:textFill>
            <w14:solidFill>
              <w14:schemeClr w14:val="tx1"/>
            </w14:solidFill>
          </w14:textFill>
        </w:rPr>
        <w:t>（9）商务响应表格式：</w:t>
      </w:r>
    </w:p>
    <w:tbl>
      <w:tblPr>
        <w:tblStyle w:val="54"/>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600"/>
        <w:gridCol w:w="1440"/>
        <w:gridCol w:w="28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54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3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w:t>
            </w:r>
          </w:p>
        </w:tc>
        <w:tc>
          <w:tcPr>
            <w:tcW w:w="360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3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招标文件要求</w:t>
            </w:r>
          </w:p>
        </w:tc>
        <w:tc>
          <w:tcPr>
            <w:tcW w:w="144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3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是否响应</w:t>
            </w:r>
          </w:p>
        </w:tc>
        <w:tc>
          <w:tcPr>
            <w:tcW w:w="288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3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服务期</w:t>
            </w:r>
          </w:p>
        </w:tc>
        <w:tc>
          <w:tcPr>
            <w:tcW w:w="360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360" w:lineRule="exact"/>
              <w:rPr>
                <w:rFonts w:ascii="宋体" w:hAnsi="宋体"/>
                <w:color w:val="000000" w:themeColor="text1"/>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360" w:lineRule="exact"/>
              <w:rPr>
                <w:rFonts w:ascii="宋体" w:hAnsi="宋体"/>
                <w:color w:val="000000" w:themeColor="text1"/>
                <w:szCs w:val="21"/>
                <w:highlight w:val="none"/>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36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olor w:val="000000" w:themeColor="text1"/>
                <w:szCs w:val="21"/>
                <w:highlight w:val="none"/>
                <w14:textFill>
                  <w14:solidFill>
                    <w14:schemeClr w14:val="tx1"/>
                  </w14:solidFill>
                </w14:textFill>
              </w:rPr>
            </w:pPr>
          </w:p>
        </w:tc>
        <w:tc>
          <w:tcPr>
            <w:tcW w:w="360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360" w:lineRule="exact"/>
              <w:rPr>
                <w:rFonts w:ascii="宋体" w:hAnsi="宋体"/>
                <w:color w:val="000000" w:themeColor="text1"/>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360" w:lineRule="exact"/>
              <w:rPr>
                <w:rFonts w:ascii="宋体" w:hAnsi="宋体"/>
                <w:color w:val="000000" w:themeColor="text1"/>
                <w:szCs w:val="21"/>
                <w:highlight w:val="none"/>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36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olor w:val="000000" w:themeColor="text1"/>
                <w:szCs w:val="21"/>
                <w:highlight w:val="none"/>
                <w14:textFill>
                  <w14:solidFill>
                    <w14:schemeClr w14:val="tx1"/>
                  </w14:solidFill>
                </w14:textFill>
              </w:rPr>
            </w:pPr>
          </w:p>
        </w:tc>
        <w:tc>
          <w:tcPr>
            <w:tcW w:w="360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360" w:lineRule="exact"/>
              <w:rPr>
                <w:rFonts w:ascii="宋体" w:hAnsi="宋体"/>
                <w:color w:val="000000" w:themeColor="text1"/>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360" w:lineRule="exact"/>
              <w:ind w:left="86"/>
              <w:rPr>
                <w:rFonts w:ascii="宋体" w:hAnsi="宋体"/>
                <w:color w:val="000000" w:themeColor="text1"/>
                <w:szCs w:val="21"/>
                <w:highlight w:val="none"/>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360" w:lineRule="exact"/>
              <w:ind w:left="86"/>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olor w:val="000000" w:themeColor="text1"/>
                <w:szCs w:val="21"/>
                <w:highlight w:val="none"/>
                <w14:textFill>
                  <w14:solidFill>
                    <w14:schemeClr w14:val="tx1"/>
                  </w14:solidFill>
                </w14:textFill>
              </w:rPr>
            </w:pPr>
          </w:p>
        </w:tc>
        <w:tc>
          <w:tcPr>
            <w:tcW w:w="360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360" w:lineRule="exact"/>
              <w:ind w:left="105" w:hanging="105" w:hangingChars="50"/>
              <w:rPr>
                <w:rFonts w:ascii="宋体" w:hAnsi="宋体"/>
                <w:color w:val="000000" w:themeColor="text1"/>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360" w:lineRule="exact"/>
              <w:rPr>
                <w:rFonts w:ascii="宋体" w:hAnsi="宋体"/>
                <w:color w:val="000000" w:themeColor="text1"/>
                <w:szCs w:val="21"/>
                <w:highlight w:val="none"/>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36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olor w:val="000000" w:themeColor="text1"/>
                <w:szCs w:val="21"/>
                <w:highlight w:val="none"/>
                <w14:textFill>
                  <w14:solidFill>
                    <w14:schemeClr w14:val="tx1"/>
                  </w14:solidFill>
                </w14:textFill>
              </w:rPr>
            </w:pPr>
          </w:p>
        </w:tc>
        <w:tc>
          <w:tcPr>
            <w:tcW w:w="360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360" w:lineRule="exact"/>
              <w:rPr>
                <w:rFonts w:ascii="宋体" w:hAnsi="宋体"/>
                <w:color w:val="000000" w:themeColor="text1"/>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360" w:lineRule="exact"/>
              <w:rPr>
                <w:rFonts w:ascii="宋体" w:hAnsi="宋体"/>
                <w:color w:val="000000" w:themeColor="text1"/>
                <w:szCs w:val="21"/>
                <w:highlight w:val="none"/>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36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3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360" w:lineRule="exact"/>
              <w:rPr>
                <w:rFonts w:ascii="宋体" w:hAnsi="宋体"/>
                <w:color w:val="000000" w:themeColor="text1"/>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360" w:lineRule="exact"/>
              <w:rPr>
                <w:rFonts w:ascii="宋体" w:hAnsi="宋体"/>
                <w:color w:val="000000" w:themeColor="text1"/>
                <w:szCs w:val="21"/>
                <w:highlight w:val="none"/>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360" w:lineRule="exact"/>
              <w:rPr>
                <w:rFonts w:ascii="宋体" w:hAnsi="宋体"/>
                <w:color w:val="000000" w:themeColor="text1"/>
                <w:szCs w:val="21"/>
                <w:highlight w:val="none"/>
                <w14:textFill>
                  <w14:solidFill>
                    <w14:schemeClr w14:val="tx1"/>
                  </w14:solidFill>
                </w14:textFill>
              </w:rPr>
            </w:pPr>
          </w:p>
        </w:tc>
      </w:tr>
    </w:tbl>
    <w:p>
      <w:pPr>
        <w:snapToGrid w:val="0"/>
        <w:spacing w:before="50" w:after="50" w:line="360" w:lineRule="exact"/>
        <w:rPr>
          <w:rFonts w:hint="eastAsia" w:ascii="宋体" w:hAnsi="宋体"/>
          <w:color w:val="000000" w:themeColor="text1"/>
          <w:spacing w:val="20"/>
          <w:szCs w:val="21"/>
          <w:highlight w:val="none"/>
          <w14:textFill>
            <w14:solidFill>
              <w14:schemeClr w14:val="tx1"/>
            </w14:solidFill>
          </w14:textFill>
        </w:rPr>
      </w:pPr>
    </w:p>
    <w:p>
      <w:pPr>
        <w:snapToGrid w:val="0"/>
        <w:spacing w:before="50" w:after="50" w:line="360" w:lineRule="exact"/>
        <w:ind w:firstLine="210" w:firstLineChars="100"/>
        <w:rPr>
          <w:rFonts w:hint="eastAsia" w:ascii="宋体" w:hAnsi="宋体"/>
          <w:color w:val="000000" w:themeColor="text1"/>
          <w:spacing w:val="20"/>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委托代理人签字</w:t>
      </w:r>
      <w:r>
        <w:rPr>
          <w:rFonts w:hint="eastAsia" w:ascii="宋体" w:hAnsi="宋体"/>
          <w:color w:val="000000" w:themeColor="text1"/>
          <w:spacing w:val="20"/>
          <w:szCs w:val="21"/>
          <w:highlight w:val="none"/>
          <w14:textFill>
            <w14:solidFill>
              <w14:schemeClr w14:val="tx1"/>
            </w14:solidFill>
          </w14:textFill>
        </w:rPr>
        <w:t>：</w:t>
      </w:r>
      <w:r>
        <w:rPr>
          <w:rFonts w:hint="eastAsia" w:ascii="宋体" w:hAnsi="宋体"/>
          <w:color w:val="000000" w:themeColor="text1"/>
          <w:spacing w:val="20"/>
          <w:szCs w:val="21"/>
          <w:highlight w:val="none"/>
          <w:u w:val="single"/>
          <w14:textFill>
            <w14:solidFill>
              <w14:schemeClr w14:val="tx1"/>
            </w14:solidFill>
          </w14:textFill>
        </w:rPr>
        <w:t xml:space="preserve">        </w:t>
      </w:r>
    </w:p>
    <w:p>
      <w:pPr>
        <w:snapToGrid w:val="0"/>
        <w:spacing w:line="360" w:lineRule="exact"/>
        <w:ind w:firstLine="245" w:firstLineChars="98"/>
        <w:jc w:val="left"/>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spacing w:val="20"/>
          <w:szCs w:val="21"/>
          <w:highlight w:val="none"/>
          <w14:textFill>
            <w14:solidFill>
              <w14:schemeClr w14:val="tx1"/>
            </w14:solidFill>
          </w14:textFill>
        </w:rPr>
        <w:t>投标人盖章：</w:t>
      </w:r>
      <w:r>
        <w:rPr>
          <w:rFonts w:hint="eastAsia" w:ascii="宋体" w:hAnsi="宋体"/>
          <w:color w:val="000000" w:themeColor="text1"/>
          <w:spacing w:val="20"/>
          <w:szCs w:val="21"/>
          <w:highlight w:val="none"/>
          <w:u w:val="single"/>
          <w14:textFill>
            <w14:solidFill>
              <w14:schemeClr w14:val="tx1"/>
            </w14:solidFill>
          </w14:textFill>
        </w:rPr>
        <w:t xml:space="preserve">            </w:t>
      </w:r>
      <w:r>
        <w:rPr>
          <w:rFonts w:hint="eastAsia" w:ascii="宋体" w:hAnsi="宋体"/>
          <w:color w:val="000000" w:themeColor="text1"/>
          <w:spacing w:val="20"/>
          <w:szCs w:val="21"/>
          <w:highlight w:val="none"/>
          <w14:textFill>
            <w14:solidFill>
              <w14:schemeClr w14:val="tx1"/>
            </w14:solidFill>
          </w14:textFill>
        </w:rPr>
        <w:t xml:space="preserve">              日 期：</w:t>
      </w:r>
      <w:r>
        <w:rPr>
          <w:rFonts w:hint="eastAsia" w:ascii="宋体" w:hAnsi="宋体"/>
          <w:color w:val="000000" w:themeColor="text1"/>
          <w:spacing w:val="20"/>
          <w:szCs w:val="21"/>
          <w:highlight w:val="none"/>
          <w:u w:val="single"/>
          <w14:textFill>
            <w14:solidFill>
              <w14:schemeClr w14:val="tx1"/>
            </w14:solidFill>
          </w14:textFill>
        </w:rPr>
        <w:t xml:space="preserve">          </w:t>
      </w:r>
    </w:p>
    <w:p>
      <w:pPr>
        <w:snapToGrid w:val="0"/>
        <w:spacing w:line="360" w:lineRule="exact"/>
        <w:ind w:firstLine="205" w:firstLineChars="98"/>
        <w:jc w:val="left"/>
        <w:rPr>
          <w:rFonts w:hint="eastAsia" w:ascii="宋体" w:hAnsi="宋体"/>
          <w:b/>
          <w:color w:val="000000" w:themeColor="text1"/>
          <w:szCs w:val="21"/>
          <w:highlight w:val="none"/>
          <w14:textFill>
            <w14:solidFill>
              <w14:schemeClr w14:val="tx1"/>
            </w14:solidFill>
          </w14:textFill>
        </w:rPr>
      </w:pPr>
    </w:p>
    <w:p>
      <w:pPr>
        <w:snapToGrid w:val="0"/>
        <w:spacing w:line="360" w:lineRule="exact"/>
        <w:ind w:left="840" w:hanging="840" w:hangingChars="400"/>
        <w:jc w:val="left"/>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（10）招标项目采购需求中要求必须提供的材料等；</w:t>
      </w:r>
      <w:r>
        <w:rPr>
          <w:rFonts w:hint="eastAsia" w:ascii="宋体" w:hAnsi="宋体"/>
          <w:color w:val="000000" w:themeColor="text1"/>
          <w:szCs w:val="21"/>
          <w:highlight w:val="none"/>
          <w14:textFill>
            <w14:solidFill>
              <w14:schemeClr w14:val="tx1"/>
            </w14:solidFill>
          </w14:textFill>
        </w:rPr>
        <w:t>（招标项目采购需求中要求必须提供的材料，据实提供）</w:t>
      </w:r>
    </w:p>
    <w:p>
      <w:pPr>
        <w:snapToGrid w:val="0"/>
        <w:spacing w:line="360" w:lineRule="exact"/>
        <w:ind w:firstLine="205" w:firstLineChars="98"/>
        <w:jc w:val="left"/>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（11）具备法律、行政法规规定的其他条件的证明材料；（格式自拟）</w:t>
      </w:r>
    </w:p>
    <w:p>
      <w:pPr>
        <w:snapToGrid w:val="0"/>
        <w:spacing w:before="50" w:after="156" w:afterLines="50" w:line="360" w:lineRule="exact"/>
        <w:ind w:firstLine="205" w:firstLineChars="98"/>
        <w:jc w:val="left"/>
        <w:rPr>
          <w:rFonts w:hint="eastAsia" w:ascii="宋体" w:hAnsi="宋体"/>
          <w:b/>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（12）投标人</w:t>
      </w:r>
      <w:r>
        <w:rPr>
          <w:rFonts w:hint="eastAsia" w:ascii="宋体" w:hAnsi="宋体"/>
          <w:color w:val="000000" w:themeColor="text1"/>
          <w:szCs w:val="21"/>
          <w:highlight w:val="none"/>
          <w14:textFill>
            <w14:solidFill>
              <w14:schemeClr w14:val="tx1"/>
            </w14:solidFill>
          </w14:textFill>
        </w:rPr>
        <w:t>的类似成功案例的业绩证明文件：</w:t>
      </w:r>
    </w:p>
    <w:p>
      <w:pPr>
        <w:pStyle w:val="41"/>
        <w:snapToGrid w:val="0"/>
        <w:spacing w:line="360" w:lineRule="exact"/>
        <w:ind w:left="96" w:leftChars="46"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投标人同类项目实施情况一览表格式：（投标人同类项目合同扫描件、用户验收报告、用户评价意见格式自拟）</w:t>
      </w:r>
    </w:p>
    <w:tbl>
      <w:tblPr>
        <w:tblStyle w:val="54"/>
        <w:tblpPr w:leftFromText="180" w:rightFromText="180" w:vertAnchor="text" w:horzAnchor="margin" w:tblpXSpec="center" w:tblpY="215"/>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900"/>
        <w:gridCol w:w="1620"/>
        <w:gridCol w:w="720"/>
        <w:gridCol w:w="900"/>
        <w:gridCol w:w="540"/>
        <w:gridCol w:w="720"/>
        <w:gridCol w:w="108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采购单位名称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服务项目名称</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服务数量</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单价</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w:t>
            </w:r>
          </w:p>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金额</w:t>
            </w:r>
          </w:p>
          <w:p>
            <w:pPr>
              <w:snapToGrid w:val="0"/>
              <w:spacing w:line="3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（万元）</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附件页码</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采购单位联系人及</w:t>
            </w:r>
          </w:p>
          <w:p>
            <w:pPr>
              <w:snapToGrid w:val="0"/>
              <w:spacing w:line="3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Cs w:val="21"/>
                <w:highlight w:val="none"/>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Cs w:val="21"/>
                <w:highlight w:val="none"/>
                <w14:textFill>
                  <w14:solidFill>
                    <w14:schemeClr w14:val="tx1"/>
                  </w14:solidFill>
                </w14:textFill>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Cs w:val="21"/>
                <w:highlight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Cs w:val="21"/>
                <w:highlight w:val="none"/>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Cs w:val="21"/>
                <w:highlight w:val="none"/>
                <w14:textFill>
                  <w14:solidFill>
                    <w14:schemeClr w14:val="tx1"/>
                  </w14:solidFill>
                </w14:textFill>
              </w:rPr>
            </w:pPr>
          </w:p>
        </w:tc>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验收报告</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用户评价</w:t>
            </w: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80" w:type="dxa"/>
            <w:tcBorders>
              <w:top w:val="single" w:color="auto" w:sz="4" w:space="0"/>
              <w:left w:val="single" w:color="auto" w:sz="4" w:space="0"/>
              <w:bottom w:val="single" w:color="auto" w:sz="4" w:space="0"/>
              <w:right w:val="single" w:color="auto" w:sz="4" w:space="0"/>
            </w:tcBorders>
            <w:vAlign w:val="top"/>
          </w:tcPr>
          <w:p>
            <w:pPr>
              <w:snapToGrid w:val="0"/>
              <w:spacing w:line="360" w:lineRule="exact"/>
              <w:jc w:val="left"/>
              <w:rPr>
                <w:rFonts w:ascii="宋体" w:hAnsi="宋体"/>
                <w:color w:val="000000" w:themeColor="text1"/>
                <w:szCs w:val="21"/>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top"/>
          </w:tcPr>
          <w:p>
            <w:pPr>
              <w:snapToGrid w:val="0"/>
              <w:spacing w:line="360" w:lineRule="exact"/>
              <w:jc w:val="left"/>
              <w:rPr>
                <w:rFonts w:ascii="宋体" w:hAnsi="宋体"/>
                <w:color w:val="000000" w:themeColor="text1"/>
                <w:szCs w:val="21"/>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top"/>
          </w:tcPr>
          <w:p>
            <w:pPr>
              <w:snapToGrid w:val="0"/>
              <w:spacing w:line="360" w:lineRule="exact"/>
              <w:jc w:val="left"/>
              <w:rPr>
                <w:rFonts w:ascii="宋体" w:hAnsi="宋体"/>
                <w:color w:val="000000" w:themeColor="text1"/>
                <w:szCs w:val="21"/>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top"/>
          </w:tcPr>
          <w:p>
            <w:pPr>
              <w:snapToGrid w:val="0"/>
              <w:spacing w:line="360" w:lineRule="exact"/>
              <w:jc w:val="left"/>
              <w:rPr>
                <w:rFonts w:ascii="宋体" w:hAnsi="宋体"/>
                <w:color w:val="000000" w:themeColor="text1"/>
                <w:szCs w:val="21"/>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top"/>
          </w:tcPr>
          <w:p>
            <w:pPr>
              <w:snapToGrid w:val="0"/>
              <w:spacing w:line="360" w:lineRule="exact"/>
              <w:jc w:val="left"/>
              <w:rPr>
                <w:rFonts w:ascii="宋体" w:hAnsi="宋体"/>
                <w:color w:val="000000" w:themeColor="text1"/>
                <w:szCs w:val="21"/>
                <w:highlight w:val="none"/>
                <w14:textFill>
                  <w14:solidFill>
                    <w14:schemeClr w14:val="tx1"/>
                  </w14:solidFill>
                </w14:textFill>
              </w:rPr>
            </w:pPr>
          </w:p>
        </w:tc>
        <w:tc>
          <w:tcPr>
            <w:tcW w:w="540" w:type="dxa"/>
            <w:tcBorders>
              <w:top w:val="single" w:color="auto" w:sz="4" w:space="0"/>
              <w:left w:val="single" w:color="auto" w:sz="4" w:space="0"/>
              <w:bottom w:val="single" w:color="auto" w:sz="4" w:space="0"/>
              <w:right w:val="single" w:color="auto" w:sz="4" w:space="0"/>
            </w:tcBorders>
            <w:vAlign w:val="top"/>
          </w:tcPr>
          <w:p>
            <w:pPr>
              <w:snapToGrid w:val="0"/>
              <w:spacing w:line="360" w:lineRule="exact"/>
              <w:jc w:val="left"/>
              <w:rPr>
                <w:rFonts w:ascii="宋体" w:hAnsi="宋体"/>
                <w:color w:val="000000" w:themeColor="text1"/>
                <w:szCs w:val="21"/>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top"/>
          </w:tcPr>
          <w:p>
            <w:pPr>
              <w:snapToGrid w:val="0"/>
              <w:spacing w:line="360" w:lineRule="exact"/>
              <w:jc w:val="left"/>
              <w:rPr>
                <w:rFonts w:ascii="宋体" w:hAnsi="宋体"/>
                <w:color w:val="000000" w:themeColor="text1"/>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top"/>
          </w:tcPr>
          <w:p>
            <w:pPr>
              <w:snapToGrid w:val="0"/>
              <w:spacing w:line="360" w:lineRule="exact"/>
              <w:jc w:val="left"/>
              <w:rPr>
                <w:rFonts w:ascii="宋体" w:hAnsi="宋体"/>
                <w:color w:val="000000" w:themeColor="text1"/>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top"/>
          </w:tcPr>
          <w:p>
            <w:pPr>
              <w:snapToGrid w:val="0"/>
              <w:spacing w:line="360" w:lineRule="exact"/>
              <w:jc w:val="lef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left w:val="single" w:color="auto" w:sz="4" w:space="0"/>
              <w:bottom w:val="single" w:color="auto" w:sz="4" w:space="0"/>
              <w:right w:val="single" w:color="auto" w:sz="4" w:space="0"/>
            </w:tcBorders>
            <w:vAlign w:val="top"/>
          </w:tcPr>
          <w:p>
            <w:pPr>
              <w:snapToGrid w:val="0"/>
              <w:spacing w:before="50" w:after="156" w:afterLines="50" w:line="360" w:lineRule="exact"/>
              <w:jc w:val="left"/>
              <w:rPr>
                <w:rFonts w:ascii="宋体" w:hAnsi="宋体"/>
                <w:color w:val="000000" w:themeColor="text1"/>
                <w:szCs w:val="21"/>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top"/>
          </w:tcPr>
          <w:p>
            <w:pPr>
              <w:snapToGrid w:val="0"/>
              <w:spacing w:before="50" w:after="156" w:afterLines="50" w:line="360" w:lineRule="exact"/>
              <w:jc w:val="left"/>
              <w:rPr>
                <w:rFonts w:ascii="宋体" w:hAnsi="宋体"/>
                <w:color w:val="000000" w:themeColor="text1"/>
                <w:szCs w:val="21"/>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top"/>
          </w:tcPr>
          <w:p>
            <w:pPr>
              <w:snapToGrid w:val="0"/>
              <w:spacing w:before="50" w:after="156" w:afterLines="50" w:line="360" w:lineRule="exact"/>
              <w:jc w:val="left"/>
              <w:rPr>
                <w:rFonts w:ascii="宋体" w:hAnsi="宋体"/>
                <w:color w:val="000000" w:themeColor="text1"/>
                <w:szCs w:val="21"/>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top"/>
          </w:tcPr>
          <w:p>
            <w:pPr>
              <w:snapToGrid w:val="0"/>
              <w:spacing w:before="50" w:after="156" w:afterLines="50" w:line="360" w:lineRule="exact"/>
              <w:jc w:val="left"/>
              <w:rPr>
                <w:rFonts w:ascii="宋体" w:hAnsi="宋体"/>
                <w:color w:val="000000" w:themeColor="text1"/>
                <w:szCs w:val="21"/>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top"/>
          </w:tcPr>
          <w:p>
            <w:pPr>
              <w:snapToGrid w:val="0"/>
              <w:spacing w:before="50" w:after="156" w:afterLines="50" w:line="360" w:lineRule="exact"/>
              <w:jc w:val="left"/>
              <w:rPr>
                <w:rFonts w:ascii="宋体" w:hAnsi="宋体"/>
                <w:color w:val="000000" w:themeColor="text1"/>
                <w:szCs w:val="21"/>
                <w:highlight w:val="none"/>
                <w14:textFill>
                  <w14:solidFill>
                    <w14:schemeClr w14:val="tx1"/>
                  </w14:solidFill>
                </w14:textFill>
              </w:rPr>
            </w:pPr>
          </w:p>
        </w:tc>
        <w:tc>
          <w:tcPr>
            <w:tcW w:w="540" w:type="dxa"/>
            <w:tcBorders>
              <w:top w:val="single" w:color="auto" w:sz="4" w:space="0"/>
              <w:left w:val="single" w:color="auto" w:sz="4" w:space="0"/>
              <w:bottom w:val="single" w:color="auto" w:sz="4" w:space="0"/>
              <w:right w:val="single" w:color="auto" w:sz="4" w:space="0"/>
            </w:tcBorders>
            <w:vAlign w:val="top"/>
          </w:tcPr>
          <w:p>
            <w:pPr>
              <w:snapToGrid w:val="0"/>
              <w:spacing w:before="50" w:after="156" w:afterLines="50" w:line="360" w:lineRule="exact"/>
              <w:jc w:val="left"/>
              <w:rPr>
                <w:rFonts w:ascii="宋体" w:hAnsi="宋体"/>
                <w:color w:val="000000" w:themeColor="text1"/>
                <w:szCs w:val="21"/>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top"/>
          </w:tcPr>
          <w:p>
            <w:pPr>
              <w:snapToGrid w:val="0"/>
              <w:spacing w:before="50" w:after="156" w:afterLines="50" w:line="360" w:lineRule="exact"/>
              <w:jc w:val="left"/>
              <w:rPr>
                <w:rFonts w:ascii="宋体" w:hAnsi="宋体"/>
                <w:color w:val="000000" w:themeColor="text1"/>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top"/>
          </w:tcPr>
          <w:p>
            <w:pPr>
              <w:snapToGrid w:val="0"/>
              <w:spacing w:before="50" w:after="156" w:afterLines="50" w:line="360" w:lineRule="exact"/>
              <w:jc w:val="left"/>
              <w:rPr>
                <w:rFonts w:ascii="宋体" w:hAnsi="宋体"/>
                <w:color w:val="000000" w:themeColor="text1"/>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top"/>
          </w:tcPr>
          <w:p>
            <w:pPr>
              <w:snapToGrid w:val="0"/>
              <w:spacing w:before="50" w:after="156" w:afterLines="50" w:line="360" w:lineRule="exact"/>
              <w:jc w:val="left"/>
              <w:rPr>
                <w:rFonts w:ascii="宋体" w:hAnsi="宋体"/>
                <w:color w:val="000000" w:themeColor="text1"/>
                <w:szCs w:val="21"/>
                <w:highlight w:val="none"/>
                <w14:textFill>
                  <w14:solidFill>
                    <w14:schemeClr w14:val="tx1"/>
                  </w14:solidFill>
                </w14:textFill>
              </w:rPr>
            </w:pPr>
          </w:p>
        </w:tc>
      </w:tr>
    </w:tbl>
    <w:p>
      <w:pPr>
        <w:pStyle w:val="15"/>
        <w:snapToGrid w:val="0"/>
        <w:spacing w:line="360" w:lineRule="exact"/>
        <w:rPr>
          <w:rFonts w:hint="eastAsia" w:ascii="宋体" w:hAnsi="宋体" w:eastAsia="宋体"/>
          <w:color w:val="000000" w:themeColor="text1"/>
          <w:sz w:val="21"/>
          <w:szCs w:val="21"/>
          <w:highlight w:val="none"/>
          <w:u w:val="singl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法定代表人(负责人) 或委托代理人签字：</w:t>
      </w:r>
      <w:r>
        <w:rPr>
          <w:rFonts w:hint="eastAsia" w:ascii="宋体" w:hAnsi="宋体" w:eastAsia="宋体"/>
          <w:color w:val="000000" w:themeColor="text1"/>
          <w:sz w:val="21"/>
          <w:szCs w:val="21"/>
          <w:highlight w:val="none"/>
          <w:u w:val="single"/>
          <w14:textFill>
            <w14:solidFill>
              <w14:schemeClr w14:val="tx1"/>
            </w14:solidFill>
          </w14:textFill>
        </w:rPr>
        <w:t>　　　　　</w:t>
      </w:r>
    </w:p>
    <w:p>
      <w:pPr>
        <w:snapToGrid w:val="0"/>
        <w:spacing w:before="50" w:line="36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投标人公章：</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年    月  日</w:t>
      </w:r>
    </w:p>
    <w:p>
      <w:pPr>
        <w:snapToGrid w:val="0"/>
        <w:spacing w:before="50" w:line="360" w:lineRule="exact"/>
        <w:ind w:firstLine="281" w:firstLineChars="134"/>
        <w:jc w:val="left"/>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（13）其他特殊资质证书（如本地化服务能力等）；（按要求提供）</w:t>
      </w:r>
    </w:p>
    <w:p>
      <w:pPr>
        <w:snapToGrid w:val="0"/>
        <w:spacing w:line="360" w:lineRule="exact"/>
        <w:ind w:firstLine="281" w:firstLineChars="134"/>
        <w:jc w:val="left"/>
        <w:rPr>
          <w:rFonts w:hint="eastAsia"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（14）投</w:t>
      </w:r>
      <w:r>
        <w:rPr>
          <w:rFonts w:hint="eastAsia" w:ascii="宋体" w:hAnsi="宋体"/>
          <w:color w:val="000000" w:themeColor="text1"/>
          <w:szCs w:val="21"/>
          <w:highlight w:val="none"/>
          <w14:textFill>
            <w14:solidFill>
              <w14:schemeClr w14:val="tx1"/>
            </w14:solidFill>
          </w14:textFill>
        </w:rPr>
        <w:t>标人质量管理和质量保证体系等方面的认证证书；（按要求提供）</w:t>
      </w:r>
    </w:p>
    <w:p>
      <w:pPr>
        <w:snapToGrid w:val="0"/>
        <w:spacing w:line="360" w:lineRule="exact"/>
        <w:ind w:firstLine="281" w:firstLineChars="134"/>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（15）投标人认为可以证明其能力或业绩的其他材料；格式自拟</w:t>
      </w:r>
    </w:p>
    <w:p>
      <w:pPr>
        <w:snapToGrid w:val="0"/>
        <w:spacing w:line="360" w:lineRule="exact"/>
        <w:ind w:firstLine="281" w:firstLineChars="134"/>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（16）投标人关于服务升级及本单位债务纠纷、违法违规记录等方面的情况（内容见投标声明书）；</w:t>
      </w:r>
    </w:p>
    <w:p>
      <w:pPr>
        <w:snapToGrid w:val="0"/>
        <w:spacing w:line="360" w:lineRule="exact"/>
        <w:ind w:firstLine="283" w:firstLineChars="135"/>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（17）投标人情况介绍。（主要服务能力、规模、经营业绩等，格式自拟）</w:t>
      </w:r>
    </w:p>
    <w:p>
      <w:pPr>
        <w:snapToGrid w:val="0"/>
        <w:spacing w:line="360" w:lineRule="exact"/>
        <w:ind w:firstLine="411" w:firstLineChars="196"/>
        <w:jc w:val="left"/>
        <w:rPr>
          <w:rFonts w:hint="eastAsia" w:ascii="宋体" w:hAnsi="宋体"/>
          <w:color w:val="000000" w:themeColor="text1"/>
          <w:szCs w:val="21"/>
          <w:highlight w:val="none"/>
          <w14:textFill>
            <w14:solidFill>
              <w14:schemeClr w14:val="tx1"/>
            </w14:solidFill>
          </w14:textFill>
        </w:rPr>
      </w:pPr>
    </w:p>
    <w:p>
      <w:pPr>
        <w:snapToGrid w:val="0"/>
        <w:spacing w:line="360" w:lineRule="exact"/>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（18）中小企业声明函：</w:t>
      </w:r>
    </w:p>
    <w:p>
      <w:pPr>
        <w:pStyle w:val="330"/>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中小企业声明函</w:t>
      </w:r>
    </w:p>
    <w:p>
      <w:pPr>
        <w:pStyle w:val="330"/>
        <w:spacing w:after="0"/>
        <w:rPr>
          <w:color w:val="000000" w:themeColor="text1"/>
          <w:highlight w:val="none"/>
          <w14:textFill>
            <w14:solidFill>
              <w14:schemeClr w14:val="tx1"/>
            </w14:solidFill>
          </w14:textFill>
        </w:rPr>
      </w:pPr>
    </w:p>
    <w:p>
      <w:pPr>
        <w:pStyle w:val="332"/>
        <w:spacing w:line="506" w:lineRule="exact"/>
        <w:ind w:firstLine="640"/>
        <w:jc w:val="both"/>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本公司</w:t>
      </w:r>
      <w:r>
        <w:rPr>
          <w:rFonts w:hint="eastAsia"/>
          <w:color w:val="000000" w:themeColor="text1"/>
          <w:sz w:val="21"/>
          <w:szCs w:val="21"/>
          <w:highlight w:val="none"/>
          <w14:textFill>
            <w14:solidFill>
              <w14:schemeClr w14:val="tx1"/>
            </w14:solidFill>
          </w14:textFill>
        </w:rPr>
        <w:t>（联合体）</w:t>
      </w:r>
      <w:r>
        <w:rPr>
          <w:color w:val="000000" w:themeColor="text1"/>
          <w:sz w:val="21"/>
          <w:szCs w:val="21"/>
          <w:highlight w:val="none"/>
          <w14:textFill>
            <w14:solidFill>
              <w14:schemeClr w14:val="tx1"/>
            </w14:solidFill>
          </w14:textFill>
        </w:rPr>
        <w:t>郑重声明，根据《政府采购促进中小企业发展管理办法》（财库〔2020 〕46号）的规定，本公司（联合体）参加</w:t>
      </w:r>
      <w:r>
        <w:rPr>
          <w:color w:val="000000" w:themeColor="text1"/>
          <w:sz w:val="21"/>
          <w:szCs w:val="21"/>
          <w:highlight w:val="none"/>
          <w:u w:val="single"/>
          <w14:textFill>
            <w14:solidFill>
              <w14:schemeClr w14:val="tx1"/>
            </w14:solidFill>
          </w14:textFill>
        </w:rPr>
        <w:t>（项目名称</w:t>
      </w:r>
      <w:r>
        <w:rPr>
          <w:rFonts w:hint="eastAsia"/>
          <w:color w:val="000000" w:themeColor="text1"/>
          <w:sz w:val="21"/>
          <w:szCs w:val="21"/>
          <w:highlight w:val="none"/>
          <w:u w:val="single"/>
          <w14:textFill>
            <w14:solidFill>
              <w14:schemeClr w14:val="tx1"/>
            </w14:solidFill>
          </w14:textFill>
        </w:rPr>
        <w:t>及项目编号</w:t>
      </w:r>
      <w:r>
        <w:rPr>
          <w:color w:val="000000" w:themeColor="text1"/>
          <w:sz w:val="21"/>
          <w:szCs w:val="21"/>
          <w:highlight w:val="none"/>
          <w:u w:val="single"/>
          <w14:textFill>
            <w14:solidFill>
              <w14:schemeClr w14:val="tx1"/>
            </w14:solidFill>
          </w14:textFill>
        </w:rPr>
        <w:t>）</w:t>
      </w:r>
      <w:r>
        <w:rPr>
          <w:rFonts w:hint="eastAsia"/>
          <w:color w:val="000000" w:themeColor="text1"/>
          <w:sz w:val="21"/>
          <w:szCs w:val="21"/>
          <w:highlight w:val="none"/>
          <w14:textFill>
            <w14:solidFill>
              <w14:schemeClr w14:val="tx1"/>
            </w14:solidFill>
          </w14:textFill>
        </w:rPr>
        <w:t>项目</w:t>
      </w:r>
      <w:r>
        <w:rPr>
          <w:color w:val="000000" w:themeColor="text1"/>
          <w:sz w:val="21"/>
          <w:szCs w:val="21"/>
          <w:highlight w:val="none"/>
          <w14:textFill>
            <w14:solidFill>
              <w14:schemeClr w14:val="tx1"/>
            </w14:solidFill>
          </w14:textFill>
        </w:rPr>
        <w:t>釆购活动,服务全部由符合政策要求的中小企业承接。相关企业（含联合体中的中小企业、签订分包意向协议的中小企业） 的具体情况如下</w:t>
      </w:r>
      <w:r>
        <w:rPr>
          <w:rFonts w:hint="eastAsia"/>
          <w:color w:val="000000" w:themeColor="text1"/>
          <w:sz w:val="21"/>
          <w:szCs w:val="21"/>
          <w:highlight w:val="none"/>
          <w14:textFill>
            <w14:solidFill>
              <w14:schemeClr w14:val="tx1"/>
            </w14:solidFill>
          </w14:textFill>
        </w:rPr>
        <w:t>：</w:t>
      </w:r>
    </w:p>
    <w:p>
      <w:pPr>
        <w:pStyle w:val="332"/>
        <w:spacing w:line="506" w:lineRule="exact"/>
        <w:ind w:firstLine="64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标的名称</w:t>
      </w:r>
      <w:r>
        <w:rPr>
          <w:rFonts w:hint="eastAsia"/>
          <w:color w:val="000000" w:themeColor="text1"/>
          <w:sz w:val="21"/>
          <w:szCs w:val="21"/>
          <w:highlight w:val="none"/>
          <w:u w:val="single"/>
          <w14:textFill>
            <w14:solidFill>
              <w14:schemeClr w14:val="tx1"/>
            </w14:solidFill>
          </w14:textFill>
        </w:rPr>
        <w:t>）</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属于</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（釆购文件中明确的所属行业）行业</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承建（承接）企业为</w:t>
      </w:r>
      <w:r>
        <w:rPr>
          <w:color w:val="000000" w:themeColor="text1"/>
          <w:sz w:val="21"/>
          <w:szCs w:val="21"/>
          <w:highlight w:val="none"/>
          <w:u w:val="single"/>
          <w14:textFill>
            <w14:solidFill>
              <w14:schemeClr w14:val="tx1"/>
            </w14:solidFill>
          </w14:textFill>
        </w:rPr>
        <w:t>（企业名称）</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从业人员</w:t>
      </w:r>
      <w:r>
        <w:rPr>
          <w:color w:val="000000" w:themeColor="text1"/>
          <w:sz w:val="21"/>
          <w:szCs w:val="21"/>
          <w:highlight w:val="none"/>
          <w:u w:val="single"/>
          <w14:textFill>
            <w14:solidFill>
              <w14:schemeClr w14:val="tx1"/>
            </w14:solidFill>
          </w14:textFill>
        </w:rPr>
        <w:tab/>
      </w:r>
      <w:r>
        <w:rPr>
          <w:color w:val="000000" w:themeColor="text1"/>
          <w:sz w:val="21"/>
          <w:szCs w:val="21"/>
          <w:highlight w:val="none"/>
          <w:u w:val="single"/>
          <w14:textFill>
            <w14:solidFill>
              <w14:schemeClr w14:val="tx1"/>
            </w14:solidFill>
          </w14:textFill>
        </w:rPr>
        <w:tab/>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14:textFill>
            <w14:solidFill>
              <w14:schemeClr w14:val="tx1"/>
            </w14:solidFill>
          </w14:textFill>
        </w:rPr>
        <w:t>人，营业收入为</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14:textFill>
            <w14:solidFill>
              <w14:schemeClr w14:val="tx1"/>
            </w14:solidFill>
          </w14:textFill>
        </w:rPr>
        <w:t>万元，资产总额为</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14:textFill>
            <w14:solidFill>
              <w14:schemeClr w14:val="tx1"/>
            </w14:solidFill>
          </w14:textFill>
        </w:rPr>
        <w:t>万元</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属于</w:t>
      </w:r>
      <w:r>
        <w:rPr>
          <w:color w:val="000000" w:themeColor="text1"/>
          <w:sz w:val="21"/>
          <w:szCs w:val="21"/>
          <w:highlight w:val="none"/>
          <w:u w:val="single"/>
          <w14:textFill>
            <w14:solidFill>
              <w14:schemeClr w14:val="tx1"/>
            </w14:solidFill>
          </w14:textFill>
        </w:rPr>
        <w:t>（中型企业、小型企业、微型企业）</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 xml:space="preserve"> </w:t>
      </w:r>
    </w:p>
    <w:p>
      <w:pPr>
        <w:pStyle w:val="332"/>
        <w:spacing w:line="506" w:lineRule="exact"/>
        <w:ind w:firstLine="64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（标的名称）</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属于</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（釆购文件中明确的所属行业）行业</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承建（承接）企业为</w:t>
      </w:r>
      <w:r>
        <w:rPr>
          <w:color w:val="000000" w:themeColor="text1"/>
          <w:sz w:val="21"/>
          <w:szCs w:val="21"/>
          <w:highlight w:val="none"/>
          <w:u w:val="single"/>
          <w14:textFill>
            <w14:solidFill>
              <w14:schemeClr w14:val="tx1"/>
            </w14:solidFill>
          </w14:textFill>
        </w:rPr>
        <w:t>（企业名称）</w:t>
      </w:r>
      <w:r>
        <w:rPr>
          <w:color w:val="000000" w:themeColor="text1"/>
          <w:sz w:val="21"/>
          <w:szCs w:val="21"/>
          <w:highlight w:val="none"/>
          <w14:textFill>
            <w14:solidFill>
              <w14:schemeClr w14:val="tx1"/>
            </w14:solidFill>
          </w14:textFill>
        </w:rPr>
        <w:t>、从业人员</w:t>
      </w:r>
      <w:r>
        <w:rPr>
          <w:color w:val="000000" w:themeColor="text1"/>
          <w:sz w:val="21"/>
          <w:szCs w:val="21"/>
          <w:highlight w:val="none"/>
          <w:u w:val="single"/>
          <w14:textFill>
            <w14:solidFill>
              <w14:schemeClr w14:val="tx1"/>
            </w14:solidFill>
          </w14:textFill>
        </w:rPr>
        <w:tab/>
      </w:r>
      <w:r>
        <w:rPr>
          <w:color w:val="000000" w:themeColor="text1"/>
          <w:sz w:val="21"/>
          <w:szCs w:val="21"/>
          <w:highlight w:val="none"/>
          <w:u w:val="single"/>
          <w14:textFill>
            <w14:solidFill>
              <w14:schemeClr w14:val="tx1"/>
            </w14:solidFill>
          </w14:textFill>
        </w:rPr>
        <w:tab/>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ab/>
      </w:r>
      <w:r>
        <w:rPr>
          <w:color w:val="000000" w:themeColor="text1"/>
          <w:sz w:val="21"/>
          <w:szCs w:val="21"/>
          <w:highlight w:val="none"/>
          <w14:textFill>
            <w14:solidFill>
              <w14:schemeClr w14:val="tx1"/>
            </w14:solidFill>
          </w14:textFill>
        </w:rPr>
        <w:t>人，营业收入为</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14:textFill>
            <w14:solidFill>
              <w14:schemeClr w14:val="tx1"/>
            </w14:solidFill>
          </w14:textFill>
        </w:rPr>
        <w:t>万元，资产总额为</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14:textFill>
            <w14:solidFill>
              <w14:schemeClr w14:val="tx1"/>
            </w14:solidFill>
          </w14:textFill>
        </w:rPr>
        <w:t>万元，属于</w:t>
      </w:r>
      <w:r>
        <w:rPr>
          <w:color w:val="000000" w:themeColor="text1"/>
          <w:sz w:val="21"/>
          <w:szCs w:val="21"/>
          <w:highlight w:val="none"/>
          <w:u w:val="single"/>
          <w14:textFill>
            <w14:solidFill>
              <w14:schemeClr w14:val="tx1"/>
            </w14:solidFill>
          </w14:textFill>
        </w:rPr>
        <w:t>（中型企业、小型企业、微型企业）</w:t>
      </w:r>
      <w:r>
        <w:rPr>
          <w:rFonts w:hint="eastAsia"/>
          <w:color w:val="000000" w:themeColor="text1"/>
          <w:sz w:val="21"/>
          <w:szCs w:val="21"/>
          <w:highlight w:val="none"/>
          <w14:textFill>
            <w14:solidFill>
              <w14:schemeClr w14:val="tx1"/>
            </w14:solidFill>
          </w14:textFill>
        </w:rPr>
        <w:t>；</w:t>
      </w:r>
    </w:p>
    <w:p>
      <w:pPr>
        <w:pStyle w:val="332"/>
        <w:spacing w:line="506" w:lineRule="exact"/>
        <w:ind w:firstLine="64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w:t>
      </w:r>
    </w:p>
    <w:p>
      <w:pPr>
        <w:pStyle w:val="332"/>
        <w:spacing w:line="499" w:lineRule="exact"/>
        <w:ind w:firstLine="640"/>
        <w:jc w:val="both"/>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以上企业，不属于大企业的分支机构，不存在控股股东为大企业的情形，也不存在与大企业的负责人为同一人的情形。</w:t>
      </w:r>
    </w:p>
    <w:p>
      <w:pPr>
        <w:pStyle w:val="332"/>
        <w:spacing w:after="40" w:line="499" w:lineRule="exact"/>
        <w:ind w:firstLine="640"/>
        <w:jc w:val="both"/>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本企业对上述声明内容的真实性</w:t>
      </w:r>
      <w:r>
        <w:rPr>
          <w:rFonts w:hint="eastAsia"/>
          <w:color w:val="000000" w:themeColor="text1"/>
          <w:sz w:val="21"/>
          <w:szCs w:val="21"/>
          <w:highlight w:val="none"/>
          <w14:textFill>
            <w14:solidFill>
              <w14:schemeClr w14:val="tx1"/>
            </w14:solidFill>
          </w14:textFill>
        </w:rPr>
        <w:t>负责</w:t>
      </w:r>
      <w:r>
        <w:rPr>
          <w:color w:val="000000" w:themeColor="text1"/>
          <w:sz w:val="21"/>
          <w:szCs w:val="21"/>
          <w:highlight w:val="none"/>
          <w14:textFill>
            <w14:solidFill>
              <w14:schemeClr w14:val="tx1"/>
            </w14:solidFill>
          </w14:textFill>
        </w:rPr>
        <w:t>。如有虚假，将依法承担相应责任。</w:t>
      </w:r>
    </w:p>
    <w:p>
      <w:pPr>
        <w:pStyle w:val="332"/>
        <w:spacing w:after="40" w:line="499" w:lineRule="exact"/>
        <w:ind w:firstLine="640"/>
        <w:jc w:val="both"/>
        <w:rPr>
          <w:color w:val="000000" w:themeColor="text1"/>
          <w:sz w:val="21"/>
          <w:szCs w:val="21"/>
          <w:highlight w:val="none"/>
          <w14:textFill>
            <w14:solidFill>
              <w14:schemeClr w14:val="tx1"/>
            </w14:solidFill>
          </w14:textFill>
        </w:rPr>
      </w:pPr>
    </w:p>
    <w:p>
      <w:pPr>
        <w:pStyle w:val="332"/>
        <w:spacing w:line="506" w:lineRule="exact"/>
        <w:ind w:firstLine="64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企业名称（盖章）：</w:t>
      </w:r>
    </w:p>
    <w:p>
      <w:pPr>
        <w:pStyle w:val="332"/>
        <w:spacing w:line="506" w:lineRule="exact"/>
        <w:ind w:firstLine="64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                          日期：</w:t>
      </w:r>
    </w:p>
    <w:p>
      <w:pPr>
        <w:pStyle w:val="330"/>
        <w:spacing w:after="0"/>
        <w:rPr>
          <w:rFonts w:hint="eastAsia"/>
          <w:color w:val="000000" w:themeColor="text1"/>
          <w:highlight w:val="none"/>
          <w14:textFill>
            <w14:solidFill>
              <w14:schemeClr w14:val="tx1"/>
            </w14:solidFill>
          </w14:textFill>
        </w:rPr>
      </w:pPr>
    </w:p>
    <w:p>
      <w:pPr>
        <w:pStyle w:val="330"/>
        <w:adjustRightInd w:val="0"/>
        <w:snapToGrid w:val="0"/>
        <w:spacing w:after="0" w:line="360" w:lineRule="exact"/>
        <w:jc w:val="left"/>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备注：</w:t>
      </w:r>
    </w:p>
    <w:p>
      <w:pPr>
        <w:pStyle w:val="330"/>
        <w:adjustRightInd w:val="0"/>
        <w:snapToGrid w:val="0"/>
        <w:spacing w:after="0" w:line="360" w:lineRule="exact"/>
        <w:jc w:val="left"/>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r>
        <w:rPr>
          <w:color w:val="000000" w:themeColor="text1"/>
          <w:sz w:val="21"/>
          <w:szCs w:val="21"/>
          <w:highlight w:val="none"/>
          <w14:textFill>
            <w14:solidFill>
              <w14:schemeClr w14:val="tx1"/>
            </w14:solidFill>
          </w14:textFill>
        </w:rPr>
        <w:t>从业人员、营业收入、资产总额填报上一年度数据，无上一年度数据的新成立企业可不填报</w:t>
      </w:r>
      <w:r>
        <w:rPr>
          <w:rFonts w:hint="eastAsia"/>
          <w:color w:val="000000" w:themeColor="text1"/>
          <w:sz w:val="21"/>
          <w:szCs w:val="21"/>
          <w:highlight w:val="none"/>
          <w14:textFill>
            <w14:solidFill>
              <w14:schemeClr w14:val="tx1"/>
            </w14:solidFill>
          </w14:textFill>
        </w:rPr>
        <w:t>相关数据</w:t>
      </w:r>
      <w:r>
        <w:rPr>
          <w:color w:val="000000" w:themeColor="text1"/>
          <w:sz w:val="21"/>
          <w:szCs w:val="21"/>
          <w:highlight w:val="none"/>
          <w14:textFill>
            <w14:solidFill>
              <w14:schemeClr w14:val="tx1"/>
            </w14:solidFill>
          </w14:textFill>
        </w:rPr>
        <w:t>。</w:t>
      </w:r>
    </w:p>
    <w:p>
      <w:pPr>
        <w:pStyle w:val="330"/>
        <w:spacing w:after="0"/>
        <w:jc w:val="left"/>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2、采购文件中明确的所属行业名称是根据《关于印发中小企业划型标准规定的通知》（工信部联企业[2011]300号）规定确定。</w:t>
      </w:r>
    </w:p>
    <w:p>
      <w:pPr>
        <w:snapToGrid w:val="0"/>
        <w:spacing w:line="360" w:lineRule="exact"/>
        <w:ind w:firstLine="283" w:firstLineChars="135"/>
        <w:jc w:val="left"/>
        <w:rPr>
          <w:rFonts w:hint="eastAsia" w:ascii="宋体" w:hAnsi="宋体"/>
          <w:b/>
          <w:color w:val="000000" w:themeColor="text1"/>
          <w:szCs w:val="21"/>
          <w:highlight w:val="none"/>
          <w14:textFill>
            <w14:solidFill>
              <w14:schemeClr w14:val="tx1"/>
            </w14:solidFill>
          </w14:textFill>
        </w:rPr>
      </w:pPr>
    </w:p>
    <w:p>
      <w:pPr>
        <w:pageBreakBefore/>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技术文件部分（格式）：</w:t>
      </w:r>
    </w:p>
    <w:p>
      <w:pPr>
        <w:adjustRightInd w:val="0"/>
        <w:snapToGrid w:val="0"/>
        <w:spacing w:line="440" w:lineRule="exact"/>
        <w:ind w:firstLine="411" w:firstLineChars="196"/>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投标技术文件（服务方案）</w:t>
      </w:r>
    </w:p>
    <w:p>
      <w:pPr>
        <w:pStyle w:val="30"/>
        <w:adjustRightInd w:val="0"/>
        <w:snapToGrid w:val="0"/>
        <w:spacing w:line="440" w:lineRule="exact"/>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投标文件中的服务方案必须符合《招标项目采购需求》中的所有内容及技术规范要求。本方案还应包含以下内容：</w:t>
      </w:r>
    </w:p>
    <w:p>
      <w:pPr>
        <w:pStyle w:val="30"/>
        <w:adjustRightInd w:val="0"/>
        <w:snapToGrid w:val="0"/>
        <w:spacing w:line="440" w:lineRule="exact"/>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投标单位简介[应包括该机构成立年限、营业执照、资质情况的批准时间、截止时间、经营状况、有关部门资信评价（若有）、办公地点、是否购买或租用、面积多少、办公条件（车辆、电脑等硬件）、经营业绩、有无违反国家政策、法规情况，是否有过不良记录等内容]；</w:t>
      </w:r>
    </w:p>
    <w:p>
      <w:pPr>
        <w:pStyle w:val="30"/>
        <w:adjustRightInd w:val="0"/>
        <w:snapToGrid w:val="0"/>
        <w:spacing w:line="440" w:lineRule="exact"/>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拟投入人员数量以及人员详细工资和费用计划（其工资应不低于项目所在地最低工资标准。同时所有从业人员每年应有福利费、加班者有加班费、物业公司必须按国家规定为每位从业人员交各种社会保险。）</w:t>
      </w:r>
    </w:p>
    <w:p>
      <w:pPr>
        <w:adjustRightInd w:val="0"/>
        <w:snapToGrid w:val="0"/>
        <w:spacing w:line="44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（3）投标单位响应本项目</w:t>
      </w:r>
      <w:r>
        <w:rPr>
          <w:rFonts w:hint="eastAsia" w:ascii="宋体" w:hAnsi="宋体"/>
          <w:color w:val="000000" w:themeColor="text1"/>
          <w:highlight w:val="none"/>
          <w14:textFill>
            <w14:solidFill>
              <w14:schemeClr w14:val="tx1"/>
            </w14:solidFill>
          </w14:textFill>
        </w:rPr>
        <w:t>《项目需求和说明》中的所有内容及技术规范要求的承诺。</w:t>
      </w:r>
    </w:p>
    <w:p>
      <w:pPr>
        <w:adjustRightInd w:val="0"/>
        <w:snapToGrid w:val="0"/>
        <w:spacing w:line="44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（4）投标人对本项目的合理化建议和改进措施；</w:t>
      </w:r>
    </w:p>
    <w:p>
      <w:pPr>
        <w:snapToGrid w:val="0"/>
        <w:spacing w:line="36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（5）投标人需要说明的其他文件和说明（格式自拟）。</w:t>
      </w:r>
    </w:p>
    <w:p>
      <w:pPr>
        <w:snapToGrid w:val="0"/>
        <w:spacing w:before="156" w:beforeLines="50" w:after="50" w:line="360" w:lineRule="exact"/>
        <w:outlineLvl w:val="0"/>
        <w:rPr>
          <w:rFonts w:hint="eastAsia" w:ascii="宋体" w:hAnsi="宋体"/>
          <w:color w:val="000000" w:themeColor="text1"/>
          <w:szCs w:val="21"/>
          <w:highlight w:val="none"/>
          <w14:textFill>
            <w14:solidFill>
              <w14:schemeClr w14:val="tx1"/>
            </w14:solidFill>
          </w14:textFill>
        </w:rPr>
      </w:pPr>
    </w:p>
    <w:p>
      <w:pPr>
        <w:snapToGrid w:val="0"/>
        <w:spacing w:before="156" w:beforeLines="50" w:after="50" w:line="360" w:lineRule="exact"/>
        <w:outlineLvl w:val="0"/>
        <w:rPr>
          <w:rFonts w:hint="eastAsia" w:ascii="宋体" w:hAnsi="宋体"/>
          <w:color w:val="000000" w:themeColor="text1"/>
          <w:szCs w:val="21"/>
          <w:highlight w:val="none"/>
          <w14:textFill>
            <w14:solidFill>
              <w14:schemeClr w14:val="tx1"/>
            </w14:solidFill>
          </w14:textFill>
        </w:rPr>
      </w:pPr>
    </w:p>
    <w:p>
      <w:pPr>
        <w:snapToGrid w:val="0"/>
        <w:spacing w:before="156" w:beforeLines="50" w:after="50" w:line="360" w:lineRule="exact"/>
        <w:outlineLvl w:val="0"/>
        <w:rPr>
          <w:rFonts w:hint="eastAsia" w:ascii="宋体" w:hAnsi="宋体"/>
          <w:color w:val="000000" w:themeColor="text1"/>
          <w:szCs w:val="21"/>
          <w:highlight w:val="none"/>
          <w14:textFill>
            <w14:solidFill>
              <w14:schemeClr w14:val="tx1"/>
            </w14:solidFill>
          </w14:textFill>
        </w:rPr>
      </w:pPr>
    </w:p>
    <w:p>
      <w:pPr>
        <w:snapToGrid w:val="0"/>
        <w:spacing w:before="156" w:beforeLines="50" w:after="50" w:line="360" w:lineRule="exact"/>
        <w:outlineLvl w:val="0"/>
        <w:rPr>
          <w:rFonts w:hint="eastAsia" w:ascii="宋体" w:hAnsi="宋体"/>
          <w:color w:val="000000" w:themeColor="text1"/>
          <w:szCs w:val="21"/>
          <w:highlight w:val="none"/>
          <w14:textFill>
            <w14:solidFill>
              <w14:schemeClr w14:val="tx1"/>
            </w14:solidFill>
          </w14:textFill>
        </w:rPr>
      </w:pPr>
    </w:p>
    <w:p>
      <w:pPr>
        <w:snapToGrid w:val="0"/>
        <w:spacing w:before="156" w:beforeLines="50" w:after="50" w:line="360" w:lineRule="exact"/>
        <w:outlineLvl w:val="0"/>
        <w:rPr>
          <w:rFonts w:hint="eastAsia" w:ascii="宋体" w:hAnsi="宋体"/>
          <w:color w:val="000000" w:themeColor="text1"/>
          <w:szCs w:val="21"/>
          <w:highlight w:val="none"/>
          <w14:textFill>
            <w14:solidFill>
              <w14:schemeClr w14:val="tx1"/>
            </w14:solidFill>
          </w14:textFill>
        </w:rPr>
      </w:pPr>
    </w:p>
    <w:p>
      <w:pPr>
        <w:snapToGrid w:val="0"/>
        <w:spacing w:before="156" w:beforeLines="50" w:after="50" w:line="360" w:lineRule="exact"/>
        <w:outlineLvl w:val="0"/>
        <w:rPr>
          <w:rFonts w:hint="eastAsia" w:ascii="宋体" w:hAnsi="宋体"/>
          <w:color w:val="000000" w:themeColor="text1"/>
          <w:szCs w:val="21"/>
          <w:highlight w:val="none"/>
          <w14:textFill>
            <w14:solidFill>
              <w14:schemeClr w14:val="tx1"/>
            </w14:solidFill>
          </w14:textFill>
        </w:rPr>
      </w:pPr>
    </w:p>
    <w:p>
      <w:pPr>
        <w:snapToGrid w:val="0"/>
        <w:spacing w:before="156" w:beforeLines="50" w:after="50" w:line="360" w:lineRule="exact"/>
        <w:outlineLvl w:val="0"/>
        <w:rPr>
          <w:rFonts w:hint="eastAsia" w:ascii="宋体" w:hAnsi="宋体"/>
          <w:color w:val="000000" w:themeColor="text1"/>
          <w:szCs w:val="21"/>
          <w:highlight w:val="none"/>
          <w14:textFill>
            <w14:solidFill>
              <w14:schemeClr w14:val="tx1"/>
            </w14:solidFill>
          </w14:textFill>
        </w:rPr>
      </w:pPr>
    </w:p>
    <w:p>
      <w:pPr>
        <w:snapToGrid w:val="0"/>
        <w:spacing w:before="156" w:beforeLines="50" w:after="50" w:line="360" w:lineRule="exact"/>
        <w:outlineLvl w:val="0"/>
        <w:rPr>
          <w:rFonts w:hint="eastAsia" w:ascii="宋体" w:hAnsi="宋体"/>
          <w:color w:val="000000" w:themeColor="text1"/>
          <w:szCs w:val="21"/>
          <w:highlight w:val="none"/>
          <w14:textFill>
            <w14:solidFill>
              <w14:schemeClr w14:val="tx1"/>
            </w14:solidFill>
          </w14:textFill>
        </w:rPr>
      </w:pPr>
    </w:p>
    <w:p>
      <w:pPr>
        <w:snapToGrid w:val="0"/>
        <w:spacing w:before="156" w:beforeLines="50" w:after="50" w:line="360" w:lineRule="exact"/>
        <w:outlineLvl w:val="0"/>
        <w:rPr>
          <w:rFonts w:hint="eastAsia" w:ascii="宋体" w:hAnsi="宋体"/>
          <w:color w:val="000000" w:themeColor="text1"/>
          <w:szCs w:val="21"/>
          <w:highlight w:val="none"/>
          <w14:textFill>
            <w14:solidFill>
              <w14:schemeClr w14:val="tx1"/>
            </w14:solidFill>
          </w14:textFill>
        </w:rPr>
      </w:pPr>
    </w:p>
    <w:p>
      <w:pPr>
        <w:snapToGrid w:val="0"/>
        <w:spacing w:before="156" w:beforeLines="50" w:after="50" w:line="360" w:lineRule="exact"/>
        <w:outlineLvl w:val="0"/>
        <w:rPr>
          <w:rFonts w:hint="eastAsia" w:ascii="宋体" w:hAnsi="宋体"/>
          <w:color w:val="000000" w:themeColor="text1"/>
          <w:szCs w:val="21"/>
          <w:highlight w:val="none"/>
          <w14:textFill>
            <w14:solidFill>
              <w14:schemeClr w14:val="tx1"/>
            </w14:solidFill>
          </w14:textFill>
        </w:rPr>
      </w:pPr>
    </w:p>
    <w:p>
      <w:pPr>
        <w:snapToGrid w:val="0"/>
        <w:spacing w:before="156" w:beforeLines="50" w:after="50" w:line="360" w:lineRule="exact"/>
        <w:outlineLvl w:val="0"/>
        <w:rPr>
          <w:rFonts w:hint="eastAsia" w:ascii="宋体" w:hAnsi="宋体"/>
          <w:color w:val="000000" w:themeColor="text1"/>
          <w:szCs w:val="21"/>
          <w:highlight w:val="none"/>
          <w14:textFill>
            <w14:solidFill>
              <w14:schemeClr w14:val="tx1"/>
            </w14:solidFill>
          </w14:textFill>
        </w:rPr>
      </w:pPr>
    </w:p>
    <w:p>
      <w:pPr>
        <w:snapToGrid w:val="0"/>
        <w:spacing w:before="156" w:beforeLines="50" w:after="50" w:line="360" w:lineRule="exact"/>
        <w:outlineLvl w:val="0"/>
        <w:rPr>
          <w:rFonts w:hint="eastAsia" w:ascii="宋体" w:hAnsi="宋体"/>
          <w:color w:val="000000" w:themeColor="text1"/>
          <w:szCs w:val="21"/>
          <w:highlight w:val="none"/>
          <w14:textFill>
            <w14:solidFill>
              <w14:schemeClr w14:val="tx1"/>
            </w14:solidFill>
          </w14:textFill>
        </w:rPr>
      </w:pPr>
    </w:p>
    <w:p>
      <w:pPr>
        <w:snapToGrid w:val="0"/>
        <w:spacing w:before="156" w:beforeLines="50" w:after="50" w:line="360" w:lineRule="exact"/>
        <w:outlineLvl w:val="0"/>
        <w:rPr>
          <w:rFonts w:hint="eastAsia" w:ascii="宋体" w:hAnsi="宋体"/>
          <w:color w:val="000000" w:themeColor="text1"/>
          <w:szCs w:val="21"/>
          <w:highlight w:val="none"/>
          <w14:textFill>
            <w14:solidFill>
              <w14:schemeClr w14:val="tx1"/>
            </w14:solidFill>
          </w14:textFill>
        </w:rPr>
      </w:pPr>
    </w:p>
    <w:p>
      <w:pPr>
        <w:snapToGrid w:val="0"/>
        <w:spacing w:before="156" w:beforeLines="50" w:after="50" w:line="360" w:lineRule="exact"/>
        <w:outlineLvl w:val="0"/>
        <w:rPr>
          <w:rFonts w:hint="eastAsia" w:ascii="宋体" w:hAnsi="宋体"/>
          <w:color w:val="000000" w:themeColor="text1"/>
          <w:szCs w:val="21"/>
          <w:highlight w:val="none"/>
          <w14:textFill>
            <w14:solidFill>
              <w14:schemeClr w14:val="tx1"/>
            </w14:solidFill>
          </w14:textFill>
        </w:rPr>
      </w:pPr>
    </w:p>
    <w:p>
      <w:pPr>
        <w:snapToGrid w:val="0"/>
        <w:spacing w:before="156" w:beforeLines="50" w:after="50" w:line="360" w:lineRule="exact"/>
        <w:outlineLvl w:val="0"/>
        <w:rPr>
          <w:rFonts w:hint="eastAsia" w:ascii="宋体" w:hAnsi="宋体"/>
          <w:color w:val="000000" w:themeColor="text1"/>
          <w:szCs w:val="21"/>
          <w:highlight w:val="none"/>
          <w14:textFill>
            <w14:solidFill>
              <w14:schemeClr w14:val="tx1"/>
            </w14:solidFill>
          </w14:textFill>
        </w:rPr>
      </w:pPr>
    </w:p>
    <w:p>
      <w:pPr>
        <w:pageBreakBefore/>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三）报价文件部分 （格式）</w:t>
      </w:r>
    </w:p>
    <w:p>
      <w:pPr>
        <w:snapToGrid w:val="0"/>
        <w:spacing w:before="156" w:beforeLines="50" w:after="50" w:line="360" w:lineRule="exac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（1）投标函格式：</w:t>
      </w:r>
    </w:p>
    <w:p>
      <w:pPr>
        <w:snapToGrid w:val="0"/>
        <w:spacing w:before="156" w:beforeLines="50" w:after="50" w:line="360" w:lineRule="exact"/>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 标 函</w:t>
      </w:r>
    </w:p>
    <w:p>
      <w:pPr>
        <w:snapToGrid w:val="0"/>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highlight w:val="none"/>
          <w:u w:val="single"/>
          <w14:textFill>
            <w14:solidFill>
              <w14:schemeClr w14:val="tx1"/>
            </w14:solidFill>
          </w14:textFill>
        </w:rPr>
        <w:t>广西壮族自治区政府采购中心</w:t>
      </w:r>
      <w:r>
        <w:rPr>
          <w:rFonts w:hint="eastAsia" w:ascii="宋体" w:hAnsi="宋体"/>
          <w:color w:val="000000" w:themeColor="text1"/>
          <w:szCs w:val="21"/>
          <w:highlight w:val="none"/>
          <w14:textFill>
            <w14:solidFill>
              <w14:schemeClr w14:val="tx1"/>
            </w14:solidFill>
          </w14:textFill>
        </w:rPr>
        <w:t>：</w:t>
      </w:r>
    </w:p>
    <w:p>
      <w:pPr>
        <w:snapToGrid w:val="0"/>
        <w:spacing w:line="360" w:lineRule="exact"/>
        <w:ind w:firstLine="48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根据贵方为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项目的招标公告（项目编号：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），签字代表</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（全名）经正式授权并代表投标人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（投标人名称）上传并提交加密的电子投标文件一份。</w:t>
      </w:r>
    </w:p>
    <w:p>
      <w:pPr>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据此函，签字代表宣布同意如下：</w:t>
      </w:r>
    </w:p>
    <w:p>
      <w:pPr>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2.投标人在投标之前已经与贵方进行了充分的沟通，完全理解并接受招标文件的各项规定和要求，对招标文件的合理性、合法性不再有异议。</w:t>
      </w:r>
    </w:p>
    <w:p>
      <w:pPr>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3.本投标有效期自开标日起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个</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日（自然日）。</w:t>
      </w:r>
    </w:p>
    <w:p>
      <w:pPr>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4.如中标，本投标文件至本项目合同履行完毕止均保持有效，本投标人将按“招标文件”及政府采购法律、法规的规定履行合同责任和义务。</w:t>
      </w:r>
    </w:p>
    <w:p>
      <w:pPr>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5.投标人同意按照贵方要求提供与投标有关的一切数据或资料。</w:t>
      </w:r>
    </w:p>
    <w:p>
      <w:pPr>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6.与本投标有关的一切正式往来信函请寄：</w:t>
      </w:r>
    </w:p>
    <w:p>
      <w:pPr>
        <w:snapToGrid w:val="0"/>
        <w:spacing w:line="360" w:lineRule="exact"/>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邮编：</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电话：</w:t>
      </w:r>
      <w:r>
        <w:rPr>
          <w:rFonts w:hint="eastAsia" w:ascii="宋体" w:hAnsi="宋体"/>
          <w:color w:val="000000" w:themeColor="text1"/>
          <w:szCs w:val="21"/>
          <w:highlight w:val="none"/>
          <w:u w:val="single"/>
          <w14:textFill>
            <w14:solidFill>
              <w14:schemeClr w14:val="tx1"/>
            </w14:solidFill>
          </w14:textFill>
        </w:rPr>
        <w:t xml:space="preserve">                 </w:t>
      </w:r>
    </w:p>
    <w:p>
      <w:pPr>
        <w:snapToGrid w:val="0"/>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传真：</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投标人代表姓名：</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职务：</w:t>
      </w:r>
      <w:r>
        <w:rPr>
          <w:rFonts w:hint="eastAsia" w:ascii="宋体" w:hAnsi="宋体"/>
          <w:color w:val="000000" w:themeColor="text1"/>
          <w:szCs w:val="21"/>
          <w:highlight w:val="none"/>
          <w:u w:val="single"/>
          <w14:textFill>
            <w14:solidFill>
              <w14:schemeClr w14:val="tx1"/>
            </w14:solidFill>
          </w14:textFill>
        </w:rPr>
        <w:t xml:space="preserve">                 </w:t>
      </w:r>
    </w:p>
    <w:p>
      <w:pPr>
        <w:snapToGrid w:val="0"/>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投标人名称(公章)：</w:t>
      </w:r>
      <w:r>
        <w:rPr>
          <w:rFonts w:hint="eastAsia" w:ascii="宋体" w:hAnsi="宋体"/>
          <w:color w:val="000000" w:themeColor="text1"/>
          <w:szCs w:val="21"/>
          <w:highlight w:val="none"/>
          <w:u w:val="single"/>
          <w14:textFill>
            <w14:solidFill>
              <w14:schemeClr w14:val="tx1"/>
            </w14:solidFill>
          </w14:textFill>
        </w:rPr>
        <w:t xml:space="preserve">                 </w:t>
      </w:r>
    </w:p>
    <w:p>
      <w:pPr>
        <w:snapToGrid w:val="0"/>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银行帐号：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pPr>
        <w:snapToGrid w:val="0"/>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委托代理人签字：</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日期：</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pPr>
        <w:pStyle w:val="30"/>
        <w:snapToGrid w:val="0"/>
        <w:spacing w:before="295" w:after="295" w:line="360" w:lineRule="exact"/>
        <w:ind w:firstLine="5670" w:firstLineChars="27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(公章)</w:t>
      </w:r>
    </w:p>
    <w:p>
      <w:pPr>
        <w:pStyle w:val="30"/>
        <w:snapToGrid w:val="0"/>
        <w:spacing w:before="295" w:after="295" w:line="360" w:lineRule="exact"/>
        <w:ind w:firstLine="5565" w:firstLineChars="265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年</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w:t>
      </w:r>
    </w:p>
    <w:p>
      <w:pPr>
        <w:snapToGrid w:val="0"/>
        <w:spacing w:before="156" w:beforeLines="50" w:after="50" w:line="360" w:lineRule="exact"/>
        <w:rPr>
          <w:rFonts w:hint="eastAsia" w:ascii="宋体" w:hAnsi="宋体"/>
          <w:b/>
          <w:color w:val="000000" w:themeColor="text1"/>
          <w:szCs w:val="21"/>
          <w:highlight w:val="none"/>
          <w14:textFill>
            <w14:solidFill>
              <w14:schemeClr w14:val="tx1"/>
            </w14:solidFill>
          </w14:textFill>
        </w:rPr>
      </w:pPr>
    </w:p>
    <w:p>
      <w:pPr>
        <w:snapToGrid w:val="0"/>
        <w:spacing w:before="156" w:beforeLines="50" w:after="50" w:line="360" w:lineRule="exact"/>
        <w:rPr>
          <w:rFonts w:hint="eastAsia" w:ascii="宋体" w:hAnsi="宋体"/>
          <w:b/>
          <w:color w:val="000000" w:themeColor="text1"/>
          <w:szCs w:val="21"/>
          <w:highlight w:val="none"/>
          <w14:textFill>
            <w14:solidFill>
              <w14:schemeClr w14:val="tx1"/>
            </w14:solidFill>
          </w14:textFill>
        </w:rPr>
      </w:pPr>
    </w:p>
    <w:p>
      <w:pPr>
        <w:snapToGrid w:val="0"/>
        <w:spacing w:before="156" w:beforeLines="50" w:after="50" w:line="360" w:lineRule="exact"/>
        <w:rPr>
          <w:rFonts w:hint="eastAsia" w:ascii="宋体" w:hAnsi="宋体"/>
          <w:b/>
          <w:color w:val="000000" w:themeColor="text1"/>
          <w:szCs w:val="21"/>
          <w:highlight w:val="none"/>
          <w14:textFill>
            <w14:solidFill>
              <w14:schemeClr w14:val="tx1"/>
            </w14:solidFill>
          </w14:textFill>
        </w:rPr>
      </w:pPr>
    </w:p>
    <w:p>
      <w:pPr>
        <w:snapToGrid w:val="0"/>
        <w:spacing w:before="156" w:beforeLines="50" w:after="50" w:line="360" w:lineRule="exact"/>
        <w:rPr>
          <w:rFonts w:hint="eastAsia" w:ascii="宋体" w:hAnsi="宋体"/>
          <w:b/>
          <w:color w:val="000000" w:themeColor="text1"/>
          <w:szCs w:val="21"/>
          <w:highlight w:val="none"/>
          <w14:textFill>
            <w14:solidFill>
              <w14:schemeClr w14:val="tx1"/>
            </w14:solidFill>
          </w14:textFill>
        </w:rPr>
      </w:pPr>
    </w:p>
    <w:p>
      <w:pPr>
        <w:snapToGrid w:val="0"/>
        <w:spacing w:before="156" w:beforeLines="50" w:after="50" w:line="360" w:lineRule="exact"/>
        <w:rPr>
          <w:rFonts w:hint="eastAsia" w:ascii="宋体" w:hAnsi="宋体"/>
          <w:b/>
          <w:color w:val="000000" w:themeColor="text1"/>
          <w:szCs w:val="21"/>
          <w:highlight w:val="none"/>
          <w14:textFill>
            <w14:solidFill>
              <w14:schemeClr w14:val="tx1"/>
            </w14:solidFill>
          </w14:textFill>
        </w:rPr>
      </w:pPr>
    </w:p>
    <w:p>
      <w:pPr>
        <w:pageBreakBefore/>
        <w:snapToGrid w:val="0"/>
        <w:spacing w:before="156" w:beforeLines="50" w:after="50" w:line="36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（2）投标报价明细表格式</w:t>
      </w:r>
    </w:p>
    <w:p>
      <w:pPr>
        <w:pStyle w:val="30"/>
        <w:snapToGrid w:val="0"/>
        <w:spacing w:before="295" w:after="295" w:line="360" w:lineRule="exact"/>
        <w:jc w:val="center"/>
        <w:rPr>
          <w:rFonts w:hint="eastAsia" w:hAnsi="宋体"/>
          <w:b/>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投标报价明细表</w:t>
      </w:r>
    </w:p>
    <w:p>
      <w:pPr>
        <w:spacing w:line="460" w:lineRule="exact"/>
        <w:rPr>
          <w:rFonts w:hint="eastAsia"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u w:val="single"/>
          <w14:textFill>
            <w14:solidFill>
              <w14:schemeClr w14:val="tx1"/>
            </w14:solidFill>
          </w14:textFill>
        </w:rPr>
        <w:t>本项目</w:t>
      </w:r>
    </w:p>
    <w:tbl>
      <w:tblPr>
        <w:tblStyle w:val="5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560"/>
        <w:gridCol w:w="2505"/>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847"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服务项目名称</w:t>
            </w:r>
          </w:p>
        </w:tc>
        <w:tc>
          <w:tcPr>
            <w:tcW w:w="2560"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服务内容</w:t>
            </w:r>
          </w:p>
        </w:tc>
        <w:tc>
          <w:tcPr>
            <w:tcW w:w="2505"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报</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价（元）</w:t>
            </w:r>
          </w:p>
        </w:tc>
        <w:tc>
          <w:tcPr>
            <w:tcW w:w="1552"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说</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847" w:type="dxa"/>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服务采购</w:t>
            </w:r>
          </w:p>
        </w:tc>
        <w:tc>
          <w:tcPr>
            <w:tcW w:w="2560"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2505"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552"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464" w:type="dxa"/>
            <w:gridSpan w:val="4"/>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总报价（人民币大写）：</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元）</w:t>
            </w:r>
          </w:p>
        </w:tc>
      </w:tr>
    </w:tbl>
    <w:p>
      <w:pPr>
        <w:pStyle w:val="30"/>
        <w:rPr>
          <w:rFonts w:hAnsi="宋体" w:cs="Times New Roman"/>
          <w:color w:val="000000" w:themeColor="text1"/>
          <w:sz w:val="24"/>
          <w:szCs w:val="20"/>
          <w:highlight w:val="none"/>
          <w14:textFill>
            <w14:solidFill>
              <w14:schemeClr w14:val="tx1"/>
            </w14:solidFill>
          </w14:textFill>
        </w:rPr>
      </w:pPr>
    </w:p>
    <w:p>
      <w:pPr>
        <w:pStyle w:val="3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注：1、本项目报价为完成项目需求所有内容的总报价。</w:t>
      </w:r>
    </w:p>
    <w:p>
      <w:pPr>
        <w:pStyle w:val="30"/>
        <w:rPr>
          <w:rFonts w:hint="eastAsia" w:hAnsi="宋体"/>
          <w:color w:val="000000" w:themeColor="text1"/>
          <w:highlight w:val="none"/>
          <w14:textFill>
            <w14:solidFill>
              <w14:schemeClr w14:val="tx1"/>
            </w14:solidFill>
          </w14:textFill>
        </w:rPr>
      </w:pPr>
    </w:p>
    <w:p>
      <w:pPr>
        <w:pStyle w:val="3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投标人盖公章</w:t>
      </w:r>
      <w:r>
        <w:rPr>
          <w:rFonts w:hint="eastAsia" w:hAnsi="宋体"/>
          <w:color w:val="000000" w:themeColor="text1"/>
          <w:highlight w:val="none"/>
          <w:u w:val="single"/>
          <w14:textFill>
            <w14:solidFill>
              <w14:schemeClr w14:val="tx1"/>
            </w14:solidFill>
          </w14:textFill>
        </w:rPr>
        <w:t xml:space="preserve">                                 </w:t>
      </w:r>
    </w:p>
    <w:p>
      <w:pPr>
        <w:pStyle w:val="30"/>
        <w:rPr>
          <w:rFonts w:hint="eastAsia" w:hAnsi="宋体"/>
          <w:color w:val="000000" w:themeColor="text1"/>
          <w:highlight w:val="none"/>
          <w14:textFill>
            <w14:solidFill>
              <w14:schemeClr w14:val="tx1"/>
            </w14:solidFill>
          </w14:textFill>
        </w:rPr>
      </w:pPr>
    </w:p>
    <w:p>
      <w:pPr>
        <w:snapToGrid w:val="0"/>
        <w:spacing w:before="50" w:after="50" w:line="220" w:lineRule="exact"/>
        <w:rPr>
          <w:rFonts w:hint="eastAsia" w:ascii="宋体" w:hAnsi="宋体"/>
          <w:color w:val="000000" w:themeColor="text1"/>
          <w:spacing w:val="20"/>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法定代表人或委托代理人</w:t>
      </w:r>
      <w:r>
        <w:rPr>
          <w:rFonts w:hint="eastAsia" w:ascii="宋体" w:hAnsi="宋体"/>
          <w:color w:val="000000" w:themeColor="text1"/>
          <w:spacing w:val="20"/>
          <w:highlight w:val="none"/>
          <w14:textFill>
            <w14:solidFill>
              <w14:schemeClr w14:val="tx1"/>
            </w14:solidFill>
          </w14:textFill>
        </w:rPr>
        <w:t>签字：</w:t>
      </w:r>
      <w:r>
        <w:rPr>
          <w:rFonts w:hint="eastAsia" w:ascii="宋体" w:hAnsi="宋体"/>
          <w:color w:val="000000" w:themeColor="text1"/>
          <w:spacing w:val="20"/>
          <w:highlight w:val="none"/>
          <w:u w:val="single"/>
          <w14:textFill>
            <w14:solidFill>
              <w14:schemeClr w14:val="tx1"/>
            </w14:solidFill>
          </w14:textFill>
        </w:rPr>
        <w:t xml:space="preserve">    </w:t>
      </w:r>
    </w:p>
    <w:p>
      <w:pPr>
        <w:snapToGrid w:val="0"/>
        <w:spacing w:before="50" w:after="50"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p>
    <w:p>
      <w:pPr>
        <w:adjustRightInd w:val="0"/>
        <w:snapToGrid w:val="0"/>
        <w:spacing w:line="400" w:lineRule="exact"/>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（3）投标人针对报价需要说明的其他文件和说明（格式自拟）</w:t>
      </w:r>
    </w:p>
    <w:p>
      <w:pPr>
        <w:snapToGrid w:val="0"/>
        <w:spacing w:before="156" w:beforeLines="50" w:after="50" w:line="360" w:lineRule="exact"/>
        <w:rPr>
          <w:rFonts w:hint="eastAsia" w:ascii="宋体" w:hAnsi="宋体"/>
          <w:color w:val="000000" w:themeColor="text1"/>
          <w:szCs w:val="21"/>
          <w:highlight w:val="none"/>
          <w14:textFill>
            <w14:solidFill>
              <w14:schemeClr w14:val="tx1"/>
            </w14:solidFill>
          </w14:textFill>
        </w:rPr>
      </w:pPr>
    </w:p>
    <w:p>
      <w:pPr>
        <w:snapToGrid w:val="0"/>
        <w:spacing w:before="156" w:beforeLines="50" w:after="50" w:line="360" w:lineRule="exact"/>
        <w:rPr>
          <w:rFonts w:hint="eastAsia" w:ascii="宋体" w:hAnsi="宋体"/>
          <w:color w:val="000000" w:themeColor="text1"/>
          <w:szCs w:val="21"/>
          <w:highlight w:val="none"/>
          <w14:textFill>
            <w14:solidFill>
              <w14:schemeClr w14:val="tx1"/>
            </w14:solidFill>
          </w14:textFill>
        </w:rPr>
      </w:pPr>
    </w:p>
    <w:p>
      <w:pPr>
        <w:pageBreakBefore/>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（4）开标一览表</w:t>
      </w:r>
    </w:p>
    <w:p>
      <w:pPr>
        <w:snapToGrid w:val="0"/>
        <w:spacing w:before="50" w:after="50" w:line="360" w:lineRule="exact"/>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开标一览表</w:t>
      </w:r>
    </w:p>
    <w:p>
      <w:pPr>
        <w:snapToGrid w:val="0"/>
        <w:spacing w:before="50" w:after="156" w:afterLines="50" w:line="360" w:lineRule="exact"/>
        <w:jc w:val="lef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项目名称：</w:t>
      </w:r>
    </w:p>
    <w:p>
      <w:pPr>
        <w:snapToGrid w:val="0"/>
        <w:spacing w:before="50" w:after="156" w:afterLines="50" w:line="360" w:lineRule="exact"/>
        <w:jc w:val="lef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项目编号：</w:t>
      </w:r>
    </w:p>
    <w:p>
      <w:pPr>
        <w:snapToGrid w:val="0"/>
        <w:spacing w:before="50" w:after="156" w:afterLines="50" w:line="360" w:lineRule="exact"/>
        <w:jc w:val="left"/>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所投分标号：                                        </w:t>
      </w:r>
    </w:p>
    <w:tbl>
      <w:tblPr>
        <w:tblStyle w:val="54"/>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446"/>
        <w:gridCol w:w="2417"/>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2719"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服务项目名称</w:t>
            </w:r>
          </w:p>
        </w:tc>
        <w:tc>
          <w:tcPr>
            <w:tcW w:w="2446"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服务内容</w:t>
            </w:r>
          </w:p>
        </w:tc>
        <w:tc>
          <w:tcPr>
            <w:tcW w:w="2417"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报  价（元）</w:t>
            </w:r>
          </w:p>
        </w:tc>
        <w:tc>
          <w:tcPr>
            <w:tcW w:w="1592"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719"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服务采购</w:t>
            </w:r>
          </w:p>
        </w:tc>
        <w:tc>
          <w:tcPr>
            <w:tcW w:w="244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outlineLvl w:val="0"/>
              <w:rPr>
                <w:rFonts w:ascii="宋体" w:hAnsi="宋体"/>
                <w:bCs/>
                <w:color w:val="000000" w:themeColor="text1"/>
                <w:kern w:val="0"/>
                <w:highlight w:val="none"/>
                <w14:textFill>
                  <w14:solidFill>
                    <w14:schemeClr w14:val="tx1"/>
                  </w14:solidFill>
                </w14:textFill>
              </w:rPr>
            </w:pPr>
          </w:p>
        </w:tc>
        <w:tc>
          <w:tcPr>
            <w:tcW w:w="2417"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outlineLvl w:val="0"/>
              <w:rPr>
                <w:rFonts w:ascii="宋体" w:hAnsi="宋体"/>
                <w:bCs/>
                <w:color w:val="000000" w:themeColor="text1"/>
                <w:kern w:val="0"/>
                <w:highlight w:val="none"/>
                <w14:textFill>
                  <w14:solidFill>
                    <w14:schemeClr w14:val="tx1"/>
                  </w14:solidFill>
                </w14:textFill>
              </w:rPr>
            </w:pPr>
          </w:p>
        </w:tc>
        <w:tc>
          <w:tcPr>
            <w:tcW w:w="1592"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outlineLvl w:val="0"/>
              <w:rPr>
                <w:rFonts w:ascii="宋体" w:hAnsi="宋体"/>
                <w:bCs/>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174"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总报价</w:t>
            </w:r>
            <w:r>
              <w:rPr>
                <w:rFonts w:hint="eastAsia" w:ascii="宋体" w:hAnsi="宋体"/>
                <w:color w:val="000000" w:themeColor="text1"/>
                <w:spacing w:val="-6"/>
                <w:highlight w:val="none"/>
                <w14:textFill>
                  <w14:solidFill>
                    <w14:schemeClr w14:val="tx1"/>
                  </w14:solidFill>
                </w14:textFill>
              </w:rPr>
              <w:t>（人民币大写）：</w:t>
            </w:r>
            <w:r>
              <w:rPr>
                <w:rFonts w:hint="eastAsia" w:ascii="宋体" w:hAnsi="宋体"/>
                <w:color w:val="000000" w:themeColor="text1"/>
                <w:spacing w:val="-6"/>
                <w:highlight w:val="none"/>
                <w:u w:val="single"/>
                <w14:textFill>
                  <w14:solidFill>
                    <w14:schemeClr w14:val="tx1"/>
                  </w14:solidFill>
                </w14:textFill>
              </w:rPr>
              <w:t xml:space="preserve">                                       （￥                       元）</w:t>
            </w:r>
          </w:p>
        </w:tc>
      </w:tr>
    </w:tbl>
    <w:p>
      <w:pPr>
        <w:pStyle w:val="30"/>
        <w:rPr>
          <w:rFonts w:hint="eastAsia" w:hAnsi="宋体" w:cs="Times New Roman"/>
          <w:color w:val="000000" w:themeColor="text1"/>
          <w:sz w:val="24"/>
          <w:szCs w:val="20"/>
          <w:highlight w:val="none"/>
          <w14:textFill>
            <w14:solidFill>
              <w14:schemeClr w14:val="tx1"/>
            </w14:solidFill>
          </w14:textFill>
        </w:rPr>
      </w:pPr>
    </w:p>
    <w:p>
      <w:pPr>
        <w:snapToGrid w:val="0"/>
        <w:spacing w:before="50" w:after="50" w:line="36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 1、报价一经涂改，应在涂改处加盖单位公章或者由法定代表人(负责人)或授权委托人签字或盖章，否则其投标作无效标处理。</w:t>
      </w:r>
    </w:p>
    <w:p>
      <w:pPr>
        <w:snapToGrid w:val="0"/>
        <w:spacing w:before="50" w:after="50" w:line="36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2、投标费用包括项目实施所需的人工费、服务费、购买及制作标书费、税费及其他一切费用。</w:t>
      </w:r>
    </w:p>
    <w:p>
      <w:pPr>
        <w:snapToGrid w:val="0"/>
        <w:spacing w:before="50" w:after="50" w:line="36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3、以上报价应与“投标报价明细表”中的“投标总价”相一致。</w:t>
      </w:r>
    </w:p>
    <w:p>
      <w:pPr>
        <w:snapToGrid w:val="0"/>
        <w:spacing w:before="50" w:after="50"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4、联合体投标时，开标一览表中投标人名称必须注明联合体并加盖联合体各方公章，同时须提供联合投标协议书。</w:t>
      </w:r>
    </w:p>
    <w:p>
      <w:pPr>
        <w:snapToGrid w:val="0"/>
        <w:spacing w:before="50" w:after="50" w:line="360" w:lineRule="exact"/>
        <w:ind w:firstLine="411" w:firstLineChars="196"/>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5、项目中有多个分标的，每一分标的开标一览表必须分别按格式要求填写并签字、盖章。</w:t>
      </w:r>
    </w:p>
    <w:p>
      <w:pPr>
        <w:snapToGrid w:val="0"/>
        <w:spacing w:before="50" w:after="50" w:line="360" w:lineRule="exact"/>
        <w:ind w:left="-2" w:leftChars="-1" w:right="-816" w:rightChars="-389"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法定代表人(负责人)或委托代理人签字（签字或盖章）：                    </w:t>
      </w:r>
    </w:p>
    <w:p>
      <w:pPr>
        <w:snapToGrid w:val="0"/>
        <w:spacing w:before="50" w:after="50" w:line="360" w:lineRule="exact"/>
        <w:ind w:right="-816" w:rightChars="-389"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投标人名称（盖章）：                               </w:t>
      </w:r>
    </w:p>
    <w:p>
      <w:pPr>
        <w:snapToGrid w:val="0"/>
        <w:spacing w:before="50" w:after="50" w:line="360" w:lineRule="exact"/>
        <w:ind w:right="-816" w:rightChars="-389" w:firstLine="7140" w:firstLineChars="34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    年   月   日</w:t>
      </w:r>
    </w:p>
    <w:sectPr>
      <w:footerReference r:id="rId7" w:type="first"/>
      <w:headerReference r:id="rId4" w:type="default"/>
      <w:footerReference r:id="rId5" w:type="default"/>
      <w:footerReference r:id="rId6" w:type="even"/>
      <w:pgSz w:w="11906" w:h="16838"/>
      <w:pgMar w:top="1134" w:right="1134" w:bottom="113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Cambria">
    <w:altName w:val="FreeSerif"/>
    <w:panose1 w:val="02040503050406030204"/>
    <w:charset w:val="00"/>
    <w:family w:val="roman"/>
    <w:pitch w:val="default"/>
    <w:sig w:usb0="00000000" w:usb1="00000000"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Ђˎ̥">
    <w:altName w:val="华文仿宋"/>
    <w:panose1 w:val="00000000000000000000"/>
    <w:charset w:val="00"/>
    <w:family w:val="roman"/>
    <w:pitch w:val="default"/>
    <w:sig w:usb0="00000000" w:usb1="00000000" w:usb2="00000000" w:usb3="00000000" w:csb0="00040001" w:csb1="00000000"/>
  </w:font>
  <w:font w:name="Verdana">
    <w:altName w:val="Ubuntu"/>
    <w:panose1 w:val="020B0604030504040204"/>
    <w:charset w:val="00"/>
    <w:family w:val="swiss"/>
    <w:pitch w:val="default"/>
    <w:sig w:usb0="00000000" w:usb1="00000000" w:usb2="00000010" w:usb3="00000000" w:csb0="2000019F" w:csb1="00000000"/>
  </w:font>
  <w:font w:name="Tahoma">
    <w:altName w:val="Droid Sans"/>
    <w:panose1 w:val="020B0604030504040204"/>
    <w:charset w:val="00"/>
    <w:family w:val="swiss"/>
    <w:pitch w:val="default"/>
    <w:sig w:usb0="00000000" w:usb1="00000000" w:usb2="00000029" w:usb3="00000000" w:csb0="200101FF" w:csb1="20280000"/>
  </w:font>
  <w:font w:name="创艺简黑体">
    <w:altName w:val="黑体"/>
    <w:panose1 w:val="00000000000000000000"/>
    <w:charset w:val="86"/>
    <w:family w:val="auto"/>
    <w:pitch w:val="default"/>
    <w:sig w:usb0="00000000" w:usb1="00000000" w:usb2="00000010" w:usb3="00000000" w:csb0="00040000" w:csb1="00000000"/>
  </w:font>
  <w:font w:name="Tms Rmn">
    <w:altName w:val="FreeSerif"/>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隶书">
    <w:altName w:val="宋体"/>
    <w:panose1 w:val="02010509060101010101"/>
    <w:charset w:val="86"/>
    <w:family w:val="modern"/>
    <w:pitch w:val="default"/>
    <w:sig w:usb0="00000000" w:usb1="00000000" w:usb2="00000000" w:usb3="00000000" w:csb0="00040000" w:csb1="00000000"/>
  </w:font>
  <w:font w:name="Cambria Math">
    <w:altName w:val="DejaVu Math TeX Gyre"/>
    <w:panose1 w:val="02040503050406030204"/>
    <w:charset w:val="00"/>
    <w:family w:val="roman"/>
    <w:pitch w:val="default"/>
    <w:sig w:usb0="00000000" w:usb1="00000000" w:usb2="02000000" w:usb3="00000000" w:csb0="2000019F" w:csb1="00000000"/>
  </w:font>
  <w:font w:name="Nimbus Roman No9 L">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Ubuntu">
    <w:panose1 w:val="020B0604030602030204"/>
    <w:charset w:val="00"/>
    <w:family w:val="auto"/>
    <w:pitch w:val="default"/>
    <w:sig w:usb0="E00002FF" w:usb1="5000205B" w:usb2="00000000" w:usb3="00000000" w:csb0="2000009F" w:csb1="56010000"/>
  </w:font>
  <w:font w:name="Droid Sans">
    <w:panose1 w:val="020B0606030804020204"/>
    <w:charset w:val="00"/>
    <w:family w:val="auto"/>
    <w:pitch w:val="default"/>
    <w:sig w:usb0="E00002EF" w:usb1="4000205B" w:usb2="00000028" w:usb3="00000000" w:csb0="2000019F" w:csb1="00000000"/>
  </w:font>
  <w:font w:name="DejaVu Math TeX Gyre">
    <w:panose1 w:val="02000503000000000000"/>
    <w:charset w:val="00"/>
    <w:family w:val="auto"/>
    <w:pitch w:val="default"/>
    <w:sig w:usb0="A10000EF" w:usb1="4201F9EE" w:usb2="02000000" w:usb3="00000000" w:csb0="60000193" w:csb1="0DD40000"/>
  </w:font>
  <w:font w:name="FangSong">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Fonts w:hint="eastAsia"/>
        <w:sz w:val="28"/>
      </w:rPr>
      <w:t>—</w:t>
    </w:r>
    <w:r>
      <w:rPr>
        <w:sz w:val="28"/>
      </w:rPr>
      <w:fldChar w:fldCharType="begin"/>
    </w:r>
    <w:r>
      <w:rPr>
        <w:sz w:val="28"/>
      </w:rPr>
      <w:instrText xml:space="preserve">PAGE   \* MERGEFORMAT</w:instrText>
    </w:r>
    <w:r>
      <w:rPr>
        <w:sz w:val="28"/>
      </w:rPr>
      <w:fldChar w:fldCharType="separate"/>
    </w:r>
    <w:r>
      <w:rPr>
        <w:sz w:val="28"/>
        <w:lang w:val="zh-CN"/>
      </w:rPr>
      <w:t>12</w:t>
    </w:r>
    <w:r>
      <w:rPr>
        <w:sz w:val="28"/>
      </w:rPr>
      <w:fldChar w:fldCharType="end"/>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7"/>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pStyle w:val="36"/>
                            <w:rPr>
                              <w:rFonts w:hint="eastAsia"/>
                            </w:rPr>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C8DhTx1AAAAAIBAAAPAAAAAAAAAAEAIAAAADgAAABk&#10;cnMvZG93bnJldi54bWxQSwECFAAUAAAACACHTuJALDkezLsBAABSAwAADgAAAAAAAAABACAAAAA5&#10;AQAAZHJzL2Uyb0RvYy54bWxQSwUGAAAAAAYABgBZAQAAZgUAAAAA&#10;">
              <v:fill on="f" focussize="0,0"/>
              <v:stroke on="f" weight="1.25pt"/>
              <v:imagedata o:title=""/>
              <o:lock v:ext="edit" aspectratio="f"/>
              <v:textbox inset="0mm,0mm,0mm,0mm" style="mso-fit-shape-to-text:t;">
                <w:txbxContent>
                  <w:p>
                    <w:pPr>
                      <w:pStyle w:val="36"/>
                      <w:rPr>
                        <w:rFonts w:hint="eastAsia"/>
                      </w:rPr>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59"/>
      </w:rPr>
    </w:pPr>
    <w:r>
      <w:fldChar w:fldCharType="begin"/>
    </w:r>
    <w:r>
      <w:rPr>
        <w:rStyle w:val="59"/>
      </w:rPr>
      <w:instrText xml:space="preserve">PAGE  </w:instrText>
    </w:r>
    <w:r>
      <w:fldChar w:fldCharType="separate"/>
    </w:r>
    <w:r>
      <w:fldChar w:fldCharType="end"/>
    </w:r>
  </w:p>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left" w:pos="5169"/>
        <w:tab w:val="clear" w:pos="8306"/>
      </w:tabs>
      <w:ind w:right="360"/>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0490" cy="26289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10490" cy="262890"/>
                      </a:xfrm>
                      <a:prstGeom prst="rect">
                        <a:avLst/>
                      </a:prstGeom>
                      <a:noFill/>
                      <a:ln w="15875">
                        <a:noFill/>
                      </a:ln>
                    </wps:spPr>
                    <wps:txbx>
                      <w:txbxContent>
                        <w:p>
                          <w:pPr>
                            <w:pStyle w:val="36"/>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20.7pt;width:8.7pt;mso-position-horizontal:center;mso-position-horizontal-relative:margin;mso-wrap-style:none;z-index:251660288;mso-width-relative:page;mso-height-relative:page;" filled="f" stroked="f" coordsize="21600,21600" o:gfxdata="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W36C21AAAAAMBAAAPAAAAAAAAAAEAIAAAADgAAABk&#10;cnMvZG93bnJldi54bWxQSwECFAAUAAAACACHTuJA4M3OALsBAABTAwAADgAAAAAAAAABACAAAAA5&#10;AQAAZHJzL2Uyb0RvYy54bWxQSwUGAAAAAAYABgBZAQAAZgUAAAAA&#10;">
              <v:fill on="f" focussize="0,0"/>
              <v:stroke on="f" weight="1.25pt"/>
              <v:imagedata o:title=""/>
              <o:lock v:ext="edit" aspectratio="f"/>
              <v:textbox inset="0mm,0mm,0mm,0mm" style="mso-fit-shape-to-text:t;">
                <w:txbxContent>
                  <w:p>
                    <w:pPr>
                      <w:pStyle w:val="36"/>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pPr>
    <w:r>
      <w:rPr>
        <w:rFonts w:hint="eastAsia"/>
      </w:rPr>
      <w:t xml:space="preserve">                        </w:t>
    </w:r>
    <w:r>
      <w:rPr>
        <w:lang w:val="en"/>
      </w:rPr>
      <w:t>广西壮族自治区科学技术馆2025-2026年度物业服务采购</w:t>
    </w:r>
    <w:r>
      <w:rPr>
        <w:rFonts w:hint="eastAsia"/>
      </w:rPr>
      <w:t>（</w:t>
    </w:r>
    <w:r>
      <w:rPr>
        <w:lang w:val="en"/>
      </w:rPr>
      <w:t>GXZC2024-G3-006201-CGZX</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C95DCC"/>
    <w:multiLevelType w:val="singleLevel"/>
    <w:tmpl w:val="EDC95DCC"/>
    <w:lvl w:ilvl="0" w:tentative="0">
      <w:start w:val="6"/>
      <w:numFmt w:val="decimal"/>
      <w:pStyle w:val="423"/>
      <w:suff w:val="nothing"/>
      <w:lvlText w:val="（%1）"/>
      <w:lvlJc w:val="left"/>
      <w:rPr>
        <w:rFonts w:cs="Times New Roman"/>
      </w:rPr>
    </w:lvl>
  </w:abstractNum>
  <w:abstractNum w:abstractNumId="1">
    <w:nsid w:val="08C42F8D"/>
    <w:multiLevelType w:val="singleLevel"/>
    <w:tmpl w:val="08C42F8D"/>
    <w:lvl w:ilvl="0" w:tentative="0">
      <w:start w:val="2"/>
      <w:numFmt w:val="chineseCounting"/>
      <w:pStyle w:val="353"/>
      <w:suff w:val="nothing"/>
      <w:lvlText w:val="%1、"/>
      <w:lvlJc w:val="left"/>
      <w:rPr>
        <w:rFonts w:hint="eastAsia"/>
      </w:rPr>
    </w:lvl>
  </w:abstractNum>
  <w:abstractNum w:abstractNumId="2">
    <w:nsid w:val="7C728C76"/>
    <w:multiLevelType w:val="singleLevel"/>
    <w:tmpl w:val="7C728C76"/>
    <w:lvl w:ilvl="0" w:tentative="0">
      <w:start w:val="2"/>
      <w:numFmt w:val="chineseCounting"/>
      <w:pStyle w:val="16"/>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YmNhODQxOWNkODc0ZjYxNTI4MThkY2UxMGM3NzYifQ=="/>
  </w:docVars>
  <w:rsids>
    <w:rsidRoot w:val="009127AD"/>
    <w:rsid w:val="0000001E"/>
    <w:rsid w:val="0000521B"/>
    <w:rsid w:val="000113BF"/>
    <w:rsid w:val="000116BC"/>
    <w:rsid w:val="00012DF9"/>
    <w:rsid w:val="0001300E"/>
    <w:rsid w:val="00013EE6"/>
    <w:rsid w:val="00014BE7"/>
    <w:rsid w:val="0001668C"/>
    <w:rsid w:val="0001798C"/>
    <w:rsid w:val="00017BDF"/>
    <w:rsid w:val="00017F8F"/>
    <w:rsid w:val="000212F4"/>
    <w:rsid w:val="0002132A"/>
    <w:rsid w:val="00021AC3"/>
    <w:rsid w:val="000232CD"/>
    <w:rsid w:val="0002335A"/>
    <w:rsid w:val="00023D49"/>
    <w:rsid w:val="00024DA4"/>
    <w:rsid w:val="0002529C"/>
    <w:rsid w:val="00025483"/>
    <w:rsid w:val="00026EA5"/>
    <w:rsid w:val="00027F5B"/>
    <w:rsid w:val="000306D9"/>
    <w:rsid w:val="0003377D"/>
    <w:rsid w:val="00035CD3"/>
    <w:rsid w:val="00040C12"/>
    <w:rsid w:val="000418A8"/>
    <w:rsid w:val="0004335C"/>
    <w:rsid w:val="00043DA5"/>
    <w:rsid w:val="00045447"/>
    <w:rsid w:val="0004655C"/>
    <w:rsid w:val="0005026B"/>
    <w:rsid w:val="00050346"/>
    <w:rsid w:val="0005661C"/>
    <w:rsid w:val="0005735B"/>
    <w:rsid w:val="000600DC"/>
    <w:rsid w:val="00060845"/>
    <w:rsid w:val="00061761"/>
    <w:rsid w:val="0006183B"/>
    <w:rsid w:val="00061E99"/>
    <w:rsid w:val="00062E46"/>
    <w:rsid w:val="000634A5"/>
    <w:rsid w:val="00064DDE"/>
    <w:rsid w:val="00065721"/>
    <w:rsid w:val="00067960"/>
    <w:rsid w:val="00071085"/>
    <w:rsid w:val="00071555"/>
    <w:rsid w:val="00072AA9"/>
    <w:rsid w:val="00072E43"/>
    <w:rsid w:val="00074FF0"/>
    <w:rsid w:val="00075ACF"/>
    <w:rsid w:val="00075D0E"/>
    <w:rsid w:val="000761B5"/>
    <w:rsid w:val="00076F08"/>
    <w:rsid w:val="00077894"/>
    <w:rsid w:val="00080616"/>
    <w:rsid w:val="00080CDF"/>
    <w:rsid w:val="0008260D"/>
    <w:rsid w:val="00083719"/>
    <w:rsid w:val="00084614"/>
    <w:rsid w:val="00084779"/>
    <w:rsid w:val="00084E7D"/>
    <w:rsid w:val="0008617B"/>
    <w:rsid w:val="00086C02"/>
    <w:rsid w:val="00087B8B"/>
    <w:rsid w:val="00090208"/>
    <w:rsid w:val="000911ED"/>
    <w:rsid w:val="000927EE"/>
    <w:rsid w:val="0009568D"/>
    <w:rsid w:val="00096455"/>
    <w:rsid w:val="000A12F5"/>
    <w:rsid w:val="000A256A"/>
    <w:rsid w:val="000A2C0B"/>
    <w:rsid w:val="000A3511"/>
    <w:rsid w:val="000A4565"/>
    <w:rsid w:val="000A5106"/>
    <w:rsid w:val="000A5119"/>
    <w:rsid w:val="000A67B7"/>
    <w:rsid w:val="000A7F22"/>
    <w:rsid w:val="000B307A"/>
    <w:rsid w:val="000B3996"/>
    <w:rsid w:val="000B4390"/>
    <w:rsid w:val="000B58C4"/>
    <w:rsid w:val="000B58EF"/>
    <w:rsid w:val="000B68C7"/>
    <w:rsid w:val="000C050B"/>
    <w:rsid w:val="000C1FD7"/>
    <w:rsid w:val="000C4E1D"/>
    <w:rsid w:val="000C5857"/>
    <w:rsid w:val="000C6D04"/>
    <w:rsid w:val="000C7AE8"/>
    <w:rsid w:val="000D0435"/>
    <w:rsid w:val="000D048C"/>
    <w:rsid w:val="000D064B"/>
    <w:rsid w:val="000D11E9"/>
    <w:rsid w:val="000D1E06"/>
    <w:rsid w:val="000D4B75"/>
    <w:rsid w:val="000D50C2"/>
    <w:rsid w:val="000D649E"/>
    <w:rsid w:val="000D6812"/>
    <w:rsid w:val="000E01AC"/>
    <w:rsid w:val="000E57D8"/>
    <w:rsid w:val="000E69C5"/>
    <w:rsid w:val="000E7E1E"/>
    <w:rsid w:val="000F0CD9"/>
    <w:rsid w:val="000F2ABF"/>
    <w:rsid w:val="000F3498"/>
    <w:rsid w:val="000F4406"/>
    <w:rsid w:val="000F460A"/>
    <w:rsid w:val="000F5622"/>
    <w:rsid w:val="000F684A"/>
    <w:rsid w:val="0010099D"/>
    <w:rsid w:val="00101B63"/>
    <w:rsid w:val="00104031"/>
    <w:rsid w:val="00104E0E"/>
    <w:rsid w:val="00107475"/>
    <w:rsid w:val="00110245"/>
    <w:rsid w:val="00110715"/>
    <w:rsid w:val="0011072B"/>
    <w:rsid w:val="001109CE"/>
    <w:rsid w:val="00111383"/>
    <w:rsid w:val="001115EE"/>
    <w:rsid w:val="001117CE"/>
    <w:rsid w:val="001128C6"/>
    <w:rsid w:val="0011326D"/>
    <w:rsid w:val="00115647"/>
    <w:rsid w:val="00116FE4"/>
    <w:rsid w:val="0011710C"/>
    <w:rsid w:val="00117287"/>
    <w:rsid w:val="00117B2A"/>
    <w:rsid w:val="0012001C"/>
    <w:rsid w:val="00121F3C"/>
    <w:rsid w:val="00122BA5"/>
    <w:rsid w:val="001243C8"/>
    <w:rsid w:val="00125BF4"/>
    <w:rsid w:val="001264F2"/>
    <w:rsid w:val="00126958"/>
    <w:rsid w:val="0012784E"/>
    <w:rsid w:val="00127D29"/>
    <w:rsid w:val="00133EB1"/>
    <w:rsid w:val="0013410E"/>
    <w:rsid w:val="00134131"/>
    <w:rsid w:val="00134B95"/>
    <w:rsid w:val="00134E84"/>
    <w:rsid w:val="00136B0C"/>
    <w:rsid w:val="00137763"/>
    <w:rsid w:val="001400C3"/>
    <w:rsid w:val="00140161"/>
    <w:rsid w:val="00140A0F"/>
    <w:rsid w:val="001427FF"/>
    <w:rsid w:val="0014335A"/>
    <w:rsid w:val="00144055"/>
    <w:rsid w:val="001443F8"/>
    <w:rsid w:val="00144CD4"/>
    <w:rsid w:val="00145F3F"/>
    <w:rsid w:val="00146A62"/>
    <w:rsid w:val="001471FD"/>
    <w:rsid w:val="00147D75"/>
    <w:rsid w:val="00150521"/>
    <w:rsid w:val="00153AF0"/>
    <w:rsid w:val="0015426F"/>
    <w:rsid w:val="00157623"/>
    <w:rsid w:val="001577E1"/>
    <w:rsid w:val="0016039E"/>
    <w:rsid w:val="001627C1"/>
    <w:rsid w:val="00164191"/>
    <w:rsid w:val="001659CD"/>
    <w:rsid w:val="00167108"/>
    <w:rsid w:val="00170E28"/>
    <w:rsid w:val="00171436"/>
    <w:rsid w:val="00172716"/>
    <w:rsid w:val="0017379B"/>
    <w:rsid w:val="0017470E"/>
    <w:rsid w:val="00176559"/>
    <w:rsid w:val="001801A0"/>
    <w:rsid w:val="0018081A"/>
    <w:rsid w:val="00180A2C"/>
    <w:rsid w:val="00180E5E"/>
    <w:rsid w:val="0018313E"/>
    <w:rsid w:val="001862C6"/>
    <w:rsid w:val="0018799B"/>
    <w:rsid w:val="00187FE4"/>
    <w:rsid w:val="00191AEE"/>
    <w:rsid w:val="00193C14"/>
    <w:rsid w:val="00194133"/>
    <w:rsid w:val="00196BE3"/>
    <w:rsid w:val="001A1A56"/>
    <w:rsid w:val="001A4705"/>
    <w:rsid w:val="001A663F"/>
    <w:rsid w:val="001B0AB1"/>
    <w:rsid w:val="001B2A74"/>
    <w:rsid w:val="001B4345"/>
    <w:rsid w:val="001B728E"/>
    <w:rsid w:val="001B7BFD"/>
    <w:rsid w:val="001C0018"/>
    <w:rsid w:val="001C1199"/>
    <w:rsid w:val="001C1346"/>
    <w:rsid w:val="001C25A1"/>
    <w:rsid w:val="001C3BDC"/>
    <w:rsid w:val="001C4EB3"/>
    <w:rsid w:val="001D06F8"/>
    <w:rsid w:val="001D0A23"/>
    <w:rsid w:val="001D0F88"/>
    <w:rsid w:val="001D17E8"/>
    <w:rsid w:val="001D211D"/>
    <w:rsid w:val="001D2486"/>
    <w:rsid w:val="001D54B7"/>
    <w:rsid w:val="001D7891"/>
    <w:rsid w:val="001E2A76"/>
    <w:rsid w:val="001E55A5"/>
    <w:rsid w:val="001E5991"/>
    <w:rsid w:val="001E5ECD"/>
    <w:rsid w:val="001E66FF"/>
    <w:rsid w:val="001E7E59"/>
    <w:rsid w:val="001F144A"/>
    <w:rsid w:val="001F3B13"/>
    <w:rsid w:val="001F3C4E"/>
    <w:rsid w:val="001F562C"/>
    <w:rsid w:val="001F70ED"/>
    <w:rsid w:val="001F76F5"/>
    <w:rsid w:val="00201173"/>
    <w:rsid w:val="0020130B"/>
    <w:rsid w:val="002024DE"/>
    <w:rsid w:val="00203021"/>
    <w:rsid w:val="002041CB"/>
    <w:rsid w:val="002043A6"/>
    <w:rsid w:val="002074EE"/>
    <w:rsid w:val="00210BA2"/>
    <w:rsid w:val="00210F05"/>
    <w:rsid w:val="002120DF"/>
    <w:rsid w:val="00214C33"/>
    <w:rsid w:val="00214C97"/>
    <w:rsid w:val="00215253"/>
    <w:rsid w:val="002152D7"/>
    <w:rsid w:val="002159A0"/>
    <w:rsid w:val="00221217"/>
    <w:rsid w:val="0022143A"/>
    <w:rsid w:val="00223799"/>
    <w:rsid w:val="00223B31"/>
    <w:rsid w:val="00224AE9"/>
    <w:rsid w:val="00225063"/>
    <w:rsid w:val="002263A7"/>
    <w:rsid w:val="00230814"/>
    <w:rsid w:val="00230B8F"/>
    <w:rsid w:val="00231041"/>
    <w:rsid w:val="002317F5"/>
    <w:rsid w:val="0023313F"/>
    <w:rsid w:val="002367F1"/>
    <w:rsid w:val="00236E30"/>
    <w:rsid w:val="00237C21"/>
    <w:rsid w:val="00240868"/>
    <w:rsid w:val="00243113"/>
    <w:rsid w:val="0024416F"/>
    <w:rsid w:val="002445E5"/>
    <w:rsid w:val="00244858"/>
    <w:rsid w:val="00244F56"/>
    <w:rsid w:val="00245DA9"/>
    <w:rsid w:val="00246897"/>
    <w:rsid w:val="002471D6"/>
    <w:rsid w:val="002508E8"/>
    <w:rsid w:val="00251CDC"/>
    <w:rsid w:val="00252AF4"/>
    <w:rsid w:val="00252D67"/>
    <w:rsid w:val="002541E3"/>
    <w:rsid w:val="00254255"/>
    <w:rsid w:val="00254BCF"/>
    <w:rsid w:val="00254CDE"/>
    <w:rsid w:val="002573EB"/>
    <w:rsid w:val="002579D2"/>
    <w:rsid w:val="00257D27"/>
    <w:rsid w:val="00260307"/>
    <w:rsid w:val="0026054F"/>
    <w:rsid w:val="00260F59"/>
    <w:rsid w:val="00264F9F"/>
    <w:rsid w:val="0026578F"/>
    <w:rsid w:val="00267C3C"/>
    <w:rsid w:val="002716CF"/>
    <w:rsid w:val="0027284D"/>
    <w:rsid w:val="00273492"/>
    <w:rsid w:val="0027410A"/>
    <w:rsid w:val="00274DB3"/>
    <w:rsid w:val="0027569A"/>
    <w:rsid w:val="00276EEC"/>
    <w:rsid w:val="00277C6B"/>
    <w:rsid w:val="00277FD7"/>
    <w:rsid w:val="00280E7A"/>
    <w:rsid w:val="0028108C"/>
    <w:rsid w:val="00281C89"/>
    <w:rsid w:val="00283C86"/>
    <w:rsid w:val="0028666F"/>
    <w:rsid w:val="00286D59"/>
    <w:rsid w:val="00287150"/>
    <w:rsid w:val="00287E2A"/>
    <w:rsid w:val="002902FD"/>
    <w:rsid w:val="00291D9C"/>
    <w:rsid w:val="002928E1"/>
    <w:rsid w:val="00297E7F"/>
    <w:rsid w:val="002A0674"/>
    <w:rsid w:val="002A14FE"/>
    <w:rsid w:val="002A1E9F"/>
    <w:rsid w:val="002A2ED4"/>
    <w:rsid w:val="002A43CE"/>
    <w:rsid w:val="002A4594"/>
    <w:rsid w:val="002A4DF9"/>
    <w:rsid w:val="002A4DFF"/>
    <w:rsid w:val="002A6400"/>
    <w:rsid w:val="002A7F50"/>
    <w:rsid w:val="002B008B"/>
    <w:rsid w:val="002B054B"/>
    <w:rsid w:val="002B2C60"/>
    <w:rsid w:val="002B33F1"/>
    <w:rsid w:val="002B44AF"/>
    <w:rsid w:val="002B4E4C"/>
    <w:rsid w:val="002B4F17"/>
    <w:rsid w:val="002B5A8D"/>
    <w:rsid w:val="002B76FB"/>
    <w:rsid w:val="002B7B0E"/>
    <w:rsid w:val="002B7BA9"/>
    <w:rsid w:val="002C07B2"/>
    <w:rsid w:val="002C14AD"/>
    <w:rsid w:val="002C1ED4"/>
    <w:rsid w:val="002C246F"/>
    <w:rsid w:val="002C278B"/>
    <w:rsid w:val="002C2C59"/>
    <w:rsid w:val="002C334D"/>
    <w:rsid w:val="002C38FC"/>
    <w:rsid w:val="002C39F9"/>
    <w:rsid w:val="002C3E8A"/>
    <w:rsid w:val="002C47DC"/>
    <w:rsid w:val="002C73E3"/>
    <w:rsid w:val="002C7A68"/>
    <w:rsid w:val="002C7C69"/>
    <w:rsid w:val="002D02AA"/>
    <w:rsid w:val="002D591D"/>
    <w:rsid w:val="002D6F02"/>
    <w:rsid w:val="002D6FE5"/>
    <w:rsid w:val="002D72FE"/>
    <w:rsid w:val="002D7B99"/>
    <w:rsid w:val="002E1032"/>
    <w:rsid w:val="002E18C4"/>
    <w:rsid w:val="002E1993"/>
    <w:rsid w:val="002E2FAB"/>
    <w:rsid w:val="002E3012"/>
    <w:rsid w:val="002E48F7"/>
    <w:rsid w:val="002E51FF"/>
    <w:rsid w:val="002E572B"/>
    <w:rsid w:val="002F08FB"/>
    <w:rsid w:val="002F15BC"/>
    <w:rsid w:val="002F1A64"/>
    <w:rsid w:val="002F2F27"/>
    <w:rsid w:val="002F30F9"/>
    <w:rsid w:val="002F31F6"/>
    <w:rsid w:val="002F54C9"/>
    <w:rsid w:val="002F575F"/>
    <w:rsid w:val="002F7883"/>
    <w:rsid w:val="00300096"/>
    <w:rsid w:val="00300BBE"/>
    <w:rsid w:val="00301FA6"/>
    <w:rsid w:val="0030375C"/>
    <w:rsid w:val="00307923"/>
    <w:rsid w:val="00310BDC"/>
    <w:rsid w:val="003124B0"/>
    <w:rsid w:val="00313064"/>
    <w:rsid w:val="00313919"/>
    <w:rsid w:val="00313CD8"/>
    <w:rsid w:val="00314B7F"/>
    <w:rsid w:val="003164A0"/>
    <w:rsid w:val="003174D9"/>
    <w:rsid w:val="003178CB"/>
    <w:rsid w:val="00317E8E"/>
    <w:rsid w:val="00320318"/>
    <w:rsid w:val="00320B69"/>
    <w:rsid w:val="00320C8F"/>
    <w:rsid w:val="0032309B"/>
    <w:rsid w:val="00323E98"/>
    <w:rsid w:val="003244F9"/>
    <w:rsid w:val="00325AF4"/>
    <w:rsid w:val="003262AB"/>
    <w:rsid w:val="00326F5F"/>
    <w:rsid w:val="003315D7"/>
    <w:rsid w:val="00334041"/>
    <w:rsid w:val="003341E4"/>
    <w:rsid w:val="00334427"/>
    <w:rsid w:val="00337396"/>
    <w:rsid w:val="00337A4F"/>
    <w:rsid w:val="0034437B"/>
    <w:rsid w:val="00345698"/>
    <w:rsid w:val="003463B1"/>
    <w:rsid w:val="00347584"/>
    <w:rsid w:val="00347DE0"/>
    <w:rsid w:val="00350353"/>
    <w:rsid w:val="00350961"/>
    <w:rsid w:val="00350A78"/>
    <w:rsid w:val="003525C8"/>
    <w:rsid w:val="00352CC7"/>
    <w:rsid w:val="00353DD4"/>
    <w:rsid w:val="003551E9"/>
    <w:rsid w:val="003562AC"/>
    <w:rsid w:val="003566D5"/>
    <w:rsid w:val="00356C0F"/>
    <w:rsid w:val="00357DBA"/>
    <w:rsid w:val="00360407"/>
    <w:rsid w:val="00363315"/>
    <w:rsid w:val="00363ACC"/>
    <w:rsid w:val="0036401A"/>
    <w:rsid w:val="0036454D"/>
    <w:rsid w:val="00365BF9"/>
    <w:rsid w:val="003665AF"/>
    <w:rsid w:val="003676B4"/>
    <w:rsid w:val="00367B68"/>
    <w:rsid w:val="00367C7C"/>
    <w:rsid w:val="00367D5E"/>
    <w:rsid w:val="003714B9"/>
    <w:rsid w:val="003718B2"/>
    <w:rsid w:val="00371EC3"/>
    <w:rsid w:val="00372538"/>
    <w:rsid w:val="0037262C"/>
    <w:rsid w:val="003729F3"/>
    <w:rsid w:val="00376016"/>
    <w:rsid w:val="00382BDD"/>
    <w:rsid w:val="003846A2"/>
    <w:rsid w:val="00384DD7"/>
    <w:rsid w:val="00386C6A"/>
    <w:rsid w:val="00387C4F"/>
    <w:rsid w:val="00391BD8"/>
    <w:rsid w:val="00393D3B"/>
    <w:rsid w:val="003940B1"/>
    <w:rsid w:val="00395893"/>
    <w:rsid w:val="00396559"/>
    <w:rsid w:val="00396F21"/>
    <w:rsid w:val="003A089A"/>
    <w:rsid w:val="003A2571"/>
    <w:rsid w:val="003A3B4A"/>
    <w:rsid w:val="003A3DEE"/>
    <w:rsid w:val="003A5111"/>
    <w:rsid w:val="003B00F1"/>
    <w:rsid w:val="003B13C0"/>
    <w:rsid w:val="003B18F4"/>
    <w:rsid w:val="003B1DF6"/>
    <w:rsid w:val="003B2F8E"/>
    <w:rsid w:val="003B51D6"/>
    <w:rsid w:val="003C0C58"/>
    <w:rsid w:val="003C0D34"/>
    <w:rsid w:val="003C1C76"/>
    <w:rsid w:val="003C2CD9"/>
    <w:rsid w:val="003C5351"/>
    <w:rsid w:val="003C7D12"/>
    <w:rsid w:val="003D084F"/>
    <w:rsid w:val="003D0F18"/>
    <w:rsid w:val="003D1ED4"/>
    <w:rsid w:val="003D3866"/>
    <w:rsid w:val="003D3A1D"/>
    <w:rsid w:val="003D53CD"/>
    <w:rsid w:val="003D5A1F"/>
    <w:rsid w:val="003D73A3"/>
    <w:rsid w:val="003E0D88"/>
    <w:rsid w:val="003E1169"/>
    <w:rsid w:val="003E2B4A"/>
    <w:rsid w:val="003E3006"/>
    <w:rsid w:val="003E486C"/>
    <w:rsid w:val="003E4A15"/>
    <w:rsid w:val="003E5569"/>
    <w:rsid w:val="003E72E2"/>
    <w:rsid w:val="003E7990"/>
    <w:rsid w:val="003E7DFE"/>
    <w:rsid w:val="003F282C"/>
    <w:rsid w:val="003F3BB0"/>
    <w:rsid w:val="003F44F5"/>
    <w:rsid w:val="003F4DAD"/>
    <w:rsid w:val="00401DEF"/>
    <w:rsid w:val="00401E49"/>
    <w:rsid w:val="00403DCA"/>
    <w:rsid w:val="004043E6"/>
    <w:rsid w:val="00405639"/>
    <w:rsid w:val="0041003A"/>
    <w:rsid w:val="00410071"/>
    <w:rsid w:val="004167F2"/>
    <w:rsid w:val="00420F19"/>
    <w:rsid w:val="00420F72"/>
    <w:rsid w:val="004216B1"/>
    <w:rsid w:val="004224FA"/>
    <w:rsid w:val="00422EE4"/>
    <w:rsid w:val="00423395"/>
    <w:rsid w:val="00423521"/>
    <w:rsid w:val="00425488"/>
    <w:rsid w:val="00425A21"/>
    <w:rsid w:val="004261D0"/>
    <w:rsid w:val="00430143"/>
    <w:rsid w:val="00430D10"/>
    <w:rsid w:val="00431FA8"/>
    <w:rsid w:val="004325C8"/>
    <w:rsid w:val="00432B81"/>
    <w:rsid w:val="004338CD"/>
    <w:rsid w:val="004339A2"/>
    <w:rsid w:val="0043610B"/>
    <w:rsid w:val="00437B07"/>
    <w:rsid w:val="004413E7"/>
    <w:rsid w:val="004431A4"/>
    <w:rsid w:val="00445717"/>
    <w:rsid w:val="004462A6"/>
    <w:rsid w:val="00446BDD"/>
    <w:rsid w:val="0045120F"/>
    <w:rsid w:val="0045296E"/>
    <w:rsid w:val="004578DA"/>
    <w:rsid w:val="00460453"/>
    <w:rsid w:val="00460857"/>
    <w:rsid w:val="0046096A"/>
    <w:rsid w:val="00460FD3"/>
    <w:rsid w:val="004618DC"/>
    <w:rsid w:val="004625AD"/>
    <w:rsid w:val="00462B00"/>
    <w:rsid w:val="00464A6A"/>
    <w:rsid w:val="00464D8F"/>
    <w:rsid w:val="0046621F"/>
    <w:rsid w:val="00466EFA"/>
    <w:rsid w:val="00470285"/>
    <w:rsid w:val="004727FD"/>
    <w:rsid w:val="0047403F"/>
    <w:rsid w:val="0047485B"/>
    <w:rsid w:val="00474A20"/>
    <w:rsid w:val="004752DA"/>
    <w:rsid w:val="004758B9"/>
    <w:rsid w:val="004806A0"/>
    <w:rsid w:val="0048263A"/>
    <w:rsid w:val="004855F1"/>
    <w:rsid w:val="004859E0"/>
    <w:rsid w:val="004876B5"/>
    <w:rsid w:val="00487B3A"/>
    <w:rsid w:val="00487BC5"/>
    <w:rsid w:val="00490BCE"/>
    <w:rsid w:val="00490DCF"/>
    <w:rsid w:val="0049150E"/>
    <w:rsid w:val="00493BE0"/>
    <w:rsid w:val="0049434F"/>
    <w:rsid w:val="00495D69"/>
    <w:rsid w:val="004A049E"/>
    <w:rsid w:val="004A0834"/>
    <w:rsid w:val="004A0E6A"/>
    <w:rsid w:val="004A1D42"/>
    <w:rsid w:val="004A2F27"/>
    <w:rsid w:val="004A3F5E"/>
    <w:rsid w:val="004A4A37"/>
    <w:rsid w:val="004A4BDD"/>
    <w:rsid w:val="004A4F77"/>
    <w:rsid w:val="004A667D"/>
    <w:rsid w:val="004A6747"/>
    <w:rsid w:val="004A67AF"/>
    <w:rsid w:val="004A73F9"/>
    <w:rsid w:val="004A75E7"/>
    <w:rsid w:val="004B08A7"/>
    <w:rsid w:val="004B1E3E"/>
    <w:rsid w:val="004B26A1"/>
    <w:rsid w:val="004B313A"/>
    <w:rsid w:val="004B31D5"/>
    <w:rsid w:val="004B4B1D"/>
    <w:rsid w:val="004B5DB4"/>
    <w:rsid w:val="004B6BE0"/>
    <w:rsid w:val="004B7945"/>
    <w:rsid w:val="004B7B3C"/>
    <w:rsid w:val="004C2AF7"/>
    <w:rsid w:val="004C3F74"/>
    <w:rsid w:val="004C4247"/>
    <w:rsid w:val="004C53DC"/>
    <w:rsid w:val="004C6ED3"/>
    <w:rsid w:val="004D07B0"/>
    <w:rsid w:val="004D3E12"/>
    <w:rsid w:val="004E0261"/>
    <w:rsid w:val="004E387E"/>
    <w:rsid w:val="004E5EED"/>
    <w:rsid w:val="004E6EE3"/>
    <w:rsid w:val="004E7C27"/>
    <w:rsid w:val="004F2693"/>
    <w:rsid w:val="004F43E8"/>
    <w:rsid w:val="004F52B0"/>
    <w:rsid w:val="004F55F8"/>
    <w:rsid w:val="004F577D"/>
    <w:rsid w:val="004F768C"/>
    <w:rsid w:val="004F7A3D"/>
    <w:rsid w:val="00502B96"/>
    <w:rsid w:val="00504A68"/>
    <w:rsid w:val="0050553A"/>
    <w:rsid w:val="00510288"/>
    <w:rsid w:val="00511BCE"/>
    <w:rsid w:val="00512D1E"/>
    <w:rsid w:val="0051327C"/>
    <w:rsid w:val="005171CD"/>
    <w:rsid w:val="005232FD"/>
    <w:rsid w:val="005243A7"/>
    <w:rsid w:val="00527607"/>
    <w:rsid w:val="005303A9"/>
    <w:rsid w:val="005308F5"/>
    <w:rsid w:val="00530C41"/>
    <w:rsid w:val="005315F3"/>
    <w:rsid w:val="00531FEF"/>
    <w:rsid w:val="00533793"/>
    <w:rsid w:val="00535080"/>
    <w:rsid w:val="005365F0"/>
    <w:rsid w:val="00536AE2"/>
    <w:rsid w:val="00537105"/>
    <w:rsid w:val="00541800"/>
    <w:rsid w:val="005419EA"/>
    <w:rsid w:val="00543BB6"/>
    <w:rsid w:val="00543EC2"/>
    <w:rsid w:val="00543FC1"/>
    <w:rsid w:val="0054511D"/>
    <w:rsid w:val="00545154"/>
    <w:rsid w:val="00545F2C"/>
    <w:rsid w:val="0055197A"/>
    <w:rsid w:val="00552050"/>
    <w:rsid w:val="0055309E"/>
    <w:rsid w:val="00553100"/>
    <w:rsid w:val="00553804"/>
    <w:rsid w:val="005546B4"/>
    <w:rsid w:val="005570B9"/>
    <w:rsid w:val="005574CC"/>
    <w:rsid w:val="005615D0"/>
    <w:rsid w:val="005624D6"/>
    <w:rsid w:val="005655D5"/>
    <w:rsid w:val="00566F6D"/>
    <w:rsid w:val="00574143"/>
    <w:rsid w:val="0057570C"/>
    <w:rsid w:val="00575E17"/>
    <w:rsid w:val="00577EBC"/>
    <w:rsid w:val="00577F28"/>
    <w:rsid w:val="00580BDD"/>
    <w:rsid w:val="00581949"/>
    <w:rsid w:val="00584461"/>
    <w:rsid w:val="005872D2"/>
    <w:rsid w:val="00587670"/>
    <w:rsid w:val="005918C8"/>
    <w:rsid w:val="00592139"/>
    <w:rsid w:val="00593306"/>
    <w:rsid w:val="00593D97"/>
    <w:rsid w:val="00595BC0"/>
    <w:rsid w:val="00595DCE"/>
    <w:rsid w:val="0059761C"/>
    <w:rsid w:val="005A059C"/>
    <w:rsid w:val="005A1A4B"/>
    <w:rsid w:val="005A47C3"/>
    <w:rsid w:val="005A5837"/>
    <w:rsid w:val="005A61F2"/>
    <w:rsid w:val="005A7E2E"/>
    <w:rsid w:val="005B06CE"/>
    <w:rsid w:val="005B0E68"/>
    <w:rsid w:val="005B1E32"/>
    <w:rsid w:val="005B29A7"/>
    <w:rsid w:val="005B3563"/>
    <w:rsid w:val="005B59B5"/>
    <w:rsid w:val="005B5DA2"/>
    <w:rsid w:val="005B5F02"/>
    <w:rsid w:val="005B683C"/>
    <w:rsid w:val="005B6C18"/>
    <w:rsid w:val="005B7513"/>
    <w:rsid w:val="005B7D3D"/>
    <w:rsid w:val="005C16E6"/>
    <w:rsid w:val="005C2A2B"/>
    <w:rsid w:val="005C59B2"/>
    <w:rsid w:val="005C77E9"/>
    <w:rsid w:val="005D27A4"/>
    <w:rsid w:val="005D2832"/>
    <w:rsid w:val="005D6433"/>
    <w:rsid w:val="005D789B"/>
    <w:rsid w:val="005D7ECF"/>
    <w:rsid w:val="005E3CA0"/>
    <w:rsid w:val="005E481C"/>
    <w:rsid w:val="005E730A"/>
    <w:rsid w:val="005E7A08"/>
    <w:rsid w:val="005E7E2F"/>
    <w:rsid w:val="005F0646"/>
    <w:rsid w:val="005F1AF1"/>
    <w:rsid w:val="005F2330"/>
    <w:rsid w:val="005F252D"/>
    <w:rsid w:val="005F28FA"/>
    <w:rsid w:val="005F3B71"/>
    <w:rsid w:val="005F5D90"/>
    <w:rsid w:val="006026CF"/>
    <w:rsid w:val="0060545D"/>
    <w:rsid w:val="00607F1C"/>
    <w:rsid w:val="006107EF"/>
    <w:rsid w:val="00611636"/>
    <w:rsid w:val="00612E9E"/>
    <w:rsid w:val="00614564"/>
    <w:rsid w:val="00616B4A"/>
    <w:rsid w:val="00617571"/>
    <w:rsid w:val="006200D6"/>
    <w:rsid w:val="006201F3"/>
    <w:rsid w:val="00621068"/>
    <w:rsid w:val="0062195C"/>
    <w:rsid w:val="00621A97"/>
    <w:rsid w:val="00625456"/>
    <w:rsid w:val="00625799"/>
    <w:rsid w:val="0062593B"/>
    <w:rsid w:val="0062596E"/>
    <w:rsid w:val="00627BF8"/>
    <w:rsid w:val="00627C0C"/>
    <w:rsid w:val="0063100A"/>
    <w:rsid w:val="00631DF0"/>
    <w:rsid w:val="00633050"/>
    <w:rsid w:val="00633198"/>
    <w:rsid w:val="006340E9"/>
    <w:rsid w:val="006355FE"/>
    <w:rsid w:val="0063631D"/>
    <w:rsid w:val="00636C63"/>
    <w:rsid w:val="00637DBA"/>
    <w:rsid w:val="00637E20"/>
    <w:rsid w:val="00640889"/>
    <w:rsid w:val="00640CBF"/>
    <w:rsid w:val="006429B3"/>
    <w:rsid w:val="0064489D"/>
    <w:rsid w:val="006468BD"/>
    <w:rsid w:val="00646AB9"/>
    <w:rsid w:val="0064780B"/>
    <w:rsid w:val="0065166B"/>
    <w:rsid w:val="0065225B"/>
    <w:rsid w:val="00655ADD"/>
    <w:rsid w:val="00655F5E"/>
    <w:rsid w:val="006569F4"/>
    <w:rsid w:val="00657047"/>
    <w:rsid w:val="00657368"/>
    <w:rsid w:val="006616B1"/>
    <w:rsid w:val="00662120"/>
    <w:rsid w:val="00662BD1"/>
    <w:rsid w:val="006643FB"/>
    <w:rsid w:val="00665342"/>
    <w:rsid w:val="00667C5B"/>
    <w:rsid w:val="00672266"/>
    <w:rsid w:val="0067392D"/>
    <w:rsid w:val="006753E7"/>
    <w:rsid w:val="00676914"/>
    <w:rsid w:val="00683086"/>
    <w:rsid w:val="00687C36"/>
    <w:rsid w:val="006922D2"/>
    <w:rsid w:val="00693079"/>
    <w:rsid w:val="006943F7"/>
    <w:rsid w:val="00695CC4"/>
    <w:rsid w:val="006979EF"/>
    <w:rsid w:val="006A0836"/>
    <w:rsid w:val="006A5984"/>
    <w:rsid w:val="006A6112"/>
    <w:rsid w:val="006A6CCB"/>
    <w:rsid w:val="006A7937"/>
    <w:rsid w:val="006A7B24"/>
    <w:rsid w:val="006B142A"/>
    <w:rsid w:val="006B2A56"/>
    <w:rsid w:val="006B34D4"/>
    <w:rsid w:val="006B39FC"/>
    <w:rsid w:val="006B53FF"/>
    <w:rsid w:val="006B5689"/>
    <w:rsid w:val="006C04D8"/>
    <w:rsid w:val="006C0A9C"/>
    <w:rsid w:val="006C170C"/>
    <w:rsid w:val="006C2C57"/>
    <w:rsid w:val="006C558E"/>
    <w:rsid w:val="006C6AB5"/>
    <w:rsid w:val="006C6DFB"/>
    <w:rsid w:val="006C7057"/>
    <w:rsid w:val="006C7329"/>
    <w:rsid w:val="006C7D92"/>
    <w:rsid w:val="006D03D0"/>
    <w:rsid w:val="006D219D"/>
    <w:rsid w:val="006D3032"/>
    <w:rsid w:val="006D349A"/>
    <w:rsid w:val="006D3B78"/>
    <w:rsid w:val="006D45D3"/>
    <w:rsid w:val="006D527A"/>
    <w:rsid w:val="006D52EB"/>
    <w:rsid w:val="006D6448"/>
    <w:rsid w:val="006D7F4E"/>
    <w:rsid w:val="006E031B"/>
    <w:rsid w:val="006E2FC9"/>
    <w:rsid w:val="006E3485"/>
    <w:rsid w:val="006E59A4"/>
    <w:rsid w:val="006E71D3"/>
    <w:rsid w:val="006F012B"/>
    <w:rsid w:val="006F0AB0"/>
    <w:rsid w:val="006F314F"/>
    <w:rsid w:val="006F52B1"/>
    <w:rsid w:val="006F67D4"/>
    <w:rsid w:val="006F79B9"/>
    <w:rsid w:val="00702A9C"/>
    <w:rsid w:val="007033DD"/>
    <w:rsid w:val="00703F88"/>
    <w:rsid w:val="00703FEC"/>
    <w:rsid w:val="00704374"/>
    <w:rsid w:val="00704BC3"/>
    <w:rsid w:val="00704EE8"/>
    <w:rsid w:val="007052FD"/>
    <w:rsid w:val="00707483"/>
    <w:rsid w:val="00711BA6"/>
    <w:rsid w:val="00711DA1"/>
    <w:rsid w:val="00711DEB"/>
    <w:rsid w:val="007124D1"/>
    <w:rsid w:val="007128BD"/>
    <w:rsid w:val="00713637"/>
    <w:rsid w:val="00714580"/>
    <w:rsid w:val="00714B30"/>
    <w:rsid w:val="007151C7"/>
    <w:rsid w:val="00715F42"/>
    <w:rsid w:val="00715F87"/>
    <w:rsid w:val="00716B0D"/>
    <w:rsid w:val="00717A2C"/>
    <w:rsid w:val="00717F8C"/>
    <w:rsid w:val="00722924"/>
    <w:rsid w:val="00724AA4"/>
    <w:rsid w:val="007254C7"/>
    <w:rsid w:val="007264A7"/>
    <w:rsid w:val="00730882"/>
    <w:rsid w:val="0073122E"/>
    <w:rsid w:val="0073276C"/>
    <w:rsid w:val="0073370F"/>
    <w:rsid w:val="007338AF"/>
    <w:rsid w:val="007339EE"/>
    <w:rsid w:val="0073436A"/>
    <w:rsid w:val="00735E61"/>
    <w:rsid w:val="0073649A"/>
    <w:rsid w:val="00736D96"/>
    <w:rsid w:val="007375F5"/>
    <w:rsid w:val="00741A8D"/>
    <w:rsid w:val="00742701"/>
    <w:rsid w:val="00746814"/>
    <w:rsid w:val="00750EFA"/>
    <w:rsid w:val="007523B8"/>
    <w:rsid w:val="00752B97"/>
    <w:rsid w:val="00753123"/>
    <w:rsid w:val="00755FC4"/>
    <w:rsid w:val="007567F5"/>
    <w:rsid w:val="0076011A"/>
    <w:rsid w:val="00760192"/>
    <w:rsid w:val="00760F86"/>
    <w:rsid w:val="00762EB3"/>
    <w:rsid w:val="00762FD1"/>
    <w:rsid w:val="0076342A"/>
    <w:rsid w:val="0076406B"/>
    <w:rsid w:val="0076657B"/>
    <w:rsid w:val="007677C7"/>
    <w:rsid w:val="00770C43"/>
    <w:rsid w:val="00770E9C"/>
    <w:rsid w:val="007714AF"/>
    <w:rsid w:val="0077297C"/>
    <w:rsid w:val="00772F31"/>
    <w:rsid w:val="00773B68"/>
    <w:rsid w:val="007741E4"/>
    <w:rsid w:val="007747A3"/>
    <w:rsid w:val="00775844"/>
    <w:rsid w:val="0077756F"/>
    <w:rsid w:val="00780DD6"/>
    <w:rsid w:val="00781DC1"/>
    <w:rsid w:val="00783145"/>
    <w:rsid w:val="007832B2"/>
    <w:rsid w:val="00786C87"/>
    <w:rsid w:val="0079018B"/>
    <w:rsid w:val="007915A7"/>
    <w:rsid w:val="00793499"/>
    <w:rsid w:val="0079485C"/>
    <w:rsid w:val="00795AA9"/>
    <w:rsid w:val="00796D9A"/>
    <w:rsid w:val="00797872"/>
    <w:rsid w:val="007A0D79"/>
    <w:rsid w:val="007A1DFA"/>
    <w:rsid w:val="007A2374"/>
    <w:rsid w:val="007A2548"/>
    <w:rsid w:val="007A2C2C"/>
    <w:rsid w:val="007A36EB"/>
    <w:rsid w:val="007A492F"/>
    <w:rsid w:val="007A4C53"/>
    <w:rsid w:val="007A5062"/>
    <w:rsid w:val="007A5C7F"/>
    <w:rsid w:val="007B042D"/>
    <w:rsid w:val="007B3A1D"/>
    <w:rsid w:val="007B6891"/>
    <w:rsid w:val="007B6E25"/>
    <w:rsid w:val="007B773E"/>
    <w:rsid w:val="007C09F4"/>
    <w:rsid w:val="007C44EA"/>
    <w:rsid w:val="007C50B8"/>
    <w:rsid w:val="007C518C"/>
    <w:rsid w:val="007C5B5F"/>
    <w:rsid w:val="007C69FA"/>
    <w:rsid w:val="007C6D8B"/>
    <w:rsid w:val="007C756B"/>
    <w:rsid w:val="007D006D"/>
    <w:rsid w:val="007D1C90"/>
    <w:rsid w:val="007D360C"/>
    <w:rsid w:val="007D3DBD"/>
    <w:rsid w:val="007D4E25"/>
    <w:rsid w:val="007D51F0"/>
    <w:rsid w:val="007D5FA4"/>
    <w:rsid w:val="007D646B"/>
    <w:rsid w:val="007D6B39"/>
    <w:rsid w:val="007D6F57"/>
    <w:rsid w:val="007E0018"/>
    <w:rsid w:val="007E0A3D"/>
    <w:rsid w:val="007E13C2"/>
    <w:rsid w:val="007E185C"/>
    <w:rsid w:val="007E2519"/>
    <w:rsid w:val="007E4E99"/>
    <w:rsid w:val="007E779D"/>
    <w:rsid w:val="007F1C64"/>
    <w:rsid w:val="007F43D2"/>
    <w:rsid w:val="007F4828"/>
    <w:rsid w:val="007F493B"/>
    <w:rsid w:val="007F4F42"/>
    <w:rsid w:val="007F4F59"/>
    <w:rsid w:val="008005AF"/>
    <w:rsid w:val="00800DA5"/>
    <w:rsid w:val="0080286F"/>
    <w:rsid w:val="00802FE1"/>
    <w:rsid w:val="00803EC7"/>
    <w:rsid w:val="008041C1"/>
    <w:rsid w:val="0080420D"/>
    <w:rsid w:val="008053DE"/>
    <w:rsid w:val="008067CC"/>
    <w:rsid w:val="008067F9"/>
    <w:rsid w:val="0080767F"/>
    <w:rsid w:val="00810B57"/>
    <w:rsid w:val="008115E8"/>
    <w:rsid w:val="00812AF7"/>
    <w:rsid w:val="00812E89"/>
    <w:rsid w:val="00812ECF"/>
    <w:rsid w:val="00812F3E"/>
    <w:rsid w:val="00814FD3"/>
    <w:rsid w:val="008163CD"/>
    <w:rsid w:val="0081723C"/>
    <w:rsid w:val="00821C6E"/>
    <w:rsid w:val="0082527F"/>
    <w:rsid w:val="0082767A"/>
    <w:rsid w:val="00827CF7"/>
    <w:rsid w:val="008334B1"/>
    <w:rsid w:val="008340E0"/>
    <w:rsid w:val="00834CD0"/>
    <w:rsid w:val="00834D24"/>
    <w:rsid w:val="00835457"/>
    <w:rsid w:val="0083731D"/>
    <w:rsid w:val="008378B7"/>
    <w:rsid w:val="0084078C"/>
    <w:rsid w:val="008422A2"/>
    <w:rsid w:val="00844BF4"/>
    <w:rsid w:val="00845009"/>
    <w:rsid w:val="008457EB"/>
    <w:rsid w:val="00845829"/>
    <w:rsid w:val="00851F46"/>
    <w:rsid w:val="00852FE0"/>
    <w:rsid w:val="00853CF5"/>
    <w:rsid w:val="00854F32"/>
    <w:rsid w:val="0085566C"/>
    <w:rsid w:val="00855C48"/>
    <w:rsid w:val="00857927"/>
    <w:rsid w:val="00857EAC"/>
    <w:rsid w:val="00860AC2"/>
    <w:rsid w:val="00860D85"/>
    <w:rsid w:val="00862A2D"/>
    <w:rsid w:val="008639B4"/>
    <w:rsid w:val="008639F5"/>
    <w:rsid w:val="00863C13"/>
    <w:rsid w:val="008641CF"/>
    <w:rsid w:val="00864421"/>
    <w:rsid w:val="00866F59"/>
    <w:rsid w:val="00871DA7"/>
    <w:rsid w:val="0087443F"/>
    <w:rsid w:val="0087450C"/>
    <w:rsid w:val="00875B78"/>
    <w:rsid w:val="0087646A"/>
    <w:rsid w:val="0087754D"/>
    <w:rsid w:val="00877EC6"/>
    <w:rsid w:val="0088022C"/>
    <w:rsid w:val="00881DF3"/>
    <w:rsid w:val="0088270B"/>
    <w:rsid w:val="00882FB9"/>
    <w:rsid w:val="0088316A"/>
    <w:rsid w:val="00883EF3"/>
    <w:rsid w:val="00884533"/>
    <w:rsid w:val="00885D0F"/>
    <w:rsid w:val="00891754"/>
    <w:rsid w:val="00892020"/>
    <w:rsid w:val="00892CF9"/>
    <w:rsid w:val="00892E49"/>
    <w:rsid w:val="008953DB"/>
    <w:rsid w:val="00895BE8"/>
    <w:rsid w:val="00895DAC"/>
    <w:rsid w:val="00896463"/>
    <w:rsid w:val="008A2611"/>
    <w:rsid w:val="008A3863"/>
    <w:rsid w:val="008A6414"/>
    <w:rsid w:val="008A67AA"/>
    <w:rsid w:val="008B0A1C"/>
    <w:rsid w:val="008B3E5E"/>
    <w:rsid w:val="008B4973"/>
    <w:rsid w:val="008B51A6"/>
    <w:rsid w:val="008B66ED"/>
    <w:rsid w:val="008B68FA"/>
    <w:rsid w:val="008B6DBD"/>
    <w:rsid w:val="008C0203"/>
    <w:rsid w:val="008C1F18"/>
    <w:rsid w:val="008C274D"/>
    <w:rsid w:val="008C5253"/>
    <w:rsid w:val="008C5AA1"/>
    <w:rsid w:val="008C60B5"/>
    <w:rsid w:val="008C61E2"/>
    <w:rsid w:val="008C7987"/>
    <w:rsid w:val="008C7F50"/>
    <w:rsid w:val="008D061B"/>
    <w:rsid w:val="008D19A2"/>
    <w:rsid w:val="008D1A2F"/>
    <w:rsid w:val="008D3B9C"/>
    <w:rsid w:val="008D460E"/>
    <w:rsid w:val="008D512A"/>
    <w:rsid w:val="008D750B"/>
    <w:rsid w:val="008E0F17"/>
    <w:rsid w:val="008E12CA"/>
    <w:rsid w:val="008E29EE"/>
    <w:rsid w:val="008E47FB"/>
    <w:rsid w:val="008E51AE"/>
    <w:rsid w:val="008E5304"/>
    <w:rsid w:val="008E6BA5"/>
    <w:rsid w:val="008F1855"/>
    <w:rsid w:val="008F1C26"/>
    <w:rsid w:val="008F249C"/>
    <w:rsid w:val="008F260C"/>
    <w:rsid w:val="008F4336"/>
    <w:rsid w:val="008F46E9"/>
    <w:rsid w:val="008F72F8"/>
    <w:rsid w:val="008F7CE4"/>
    <w:rsid w:val="00900D10"/>
    <w:rsid w:val="00901110"/>
    <w:rsid w:val="00901623"/>
    <w:rsid w:val="00901D29"/>
    <w:rsid w:val="009069B9"/>
    <w:rsid w:val="00907D43"/>
    <w:rsid w:val="00911026"/>
    <w:rsid w:val="009119F1"/>
    <w:rsid w:val="00911CE6"/>
    <w:rsid w:val="00912282"/>
    <w:rsid w:val="009127AD"/>
    <w:rsid w:val="00912FCC"/>
    <w:rsid w:val="00913B4C"/>
    <w:rsid w:val="00913C25"/>
    <w:rsid w:val="009144EB"/>
    <w:rsid w:val="0091469D"/>
    <w:rsid w:val="009148B3"/>
    <w:rsid w:val="00914A88"/>
    <w:rsid w:val="009150D6"/>
    <w:rsid w:val="0091530C"/>
    <w:rsid w:val="00915F0B"/>
    <w:rsid w:val="00920457"/>
    <w:rsid w:val="00921538"/>
    <w:rsid w:val="00921E3A"/>
    <w:rsid w:val="0092291F"/>
    <w:rsid w:val="0092319D"/>
    <w:rsid w:val="00924036"/>
    <w:rsid w:val="00925DCB"/>
    <w:rsid w:val="0092629B"/>
    <w:rsid w:val="009276EE"/>
    <w:rsid w:val="00932D60"/>
    <w:rsid w:val="00934715"/>
    <w:rsid w:val="009347FA"/>
    <w:rsid w:val="00935B26"/>
    <w:rsid w:val="009368EB"/>
    <w:rsid w:val="00936ADD"/>
    <w:rsid w:val="0094202C"/>
    <w:rsid w:val="00942B6D"/>
    <w:rsid w:val="009431E2"/>
    <w:rsid w:val="00943BFA"/>
    <w:rsid w:val="00944B15"/>
    <w:rsid w:val="00950CF1"/>
    <w:rsid w:val="00950F49"/>
    <w:rsid w:val="009529E0"/>
    <w:rsid w:val="00952EEE"/>
    <w:rsid w:val="00953666"/>
    <w:rsid w:val="00955DFE"/>
    <w:rsid w:val="00960061"/>
    <w:rsid w:val="00960384"/>
    <w:rsid w:val="0096057E"/>
    <w:rsid w:val="00961911"/>
    <w:rsid w:val="00961C79"/>
    <w:rsid w:val="00964063"/>
    <w:rsid w:val="00964E1D"/>
    <w:rsid w:val="00965931"/>
    <w:rsid w:val="009660DA"/>
    <w:rsid w:val="0096751D"/>
    <w:rsid w:val="00967A56"/>
    <w:rsid w:val="00970523"/>
    <w:rsid w:val="009719E9"/>
    <w:rsid w:val="009726F5"/>
    <w:rsid w:val="0097351D"/>
    <w:rsid w:val="00973998"/>
    <w:rsid w:val="00975356"/>
    <w:rsid w:val="00975D25"/>
    <w:rsid w:val="0097606E"/>
    <w:rsid w:val="009778A2"/>
    <w:rsid w:val="00977F17"/>
    <w:rsid w:val="00980918"/>
    <w:rsid w:val="00980CC8"/>
    <w:rsid w:val="00982646"/>
    <w:rsid w:val="009833F7"/>
    <w:rsid w:val="00984096"/>
    <w:rsid w:val="00984471"/>
    <w:rsid w:val="00984D53"/>
    <w:rsid w:val="009860F2"/>
    <w:rsid w:val="00986792"/>
    <w:rsid w:val="009915E1"/>
    <w:rsid w:val="00992C6E"/>
    <w:rsid w:val="00993680"/>
    <w:rsid w:val="00993986"/>
    <w:rsid w:val="00994AB0"/>
    <w:rsid w:val="00995BC2"/>
    <w:rsid w:val="009A14FD"/>
    <w:rsid w:val="009A1996"/>
    <w:rsid w:val="009A2298"/>
    <w:rsid w:val="009A2BAD"/>
    <w:rsid w:val="009A2DB5"/>
    <w:rsid w:val="009A44D3"/>
    <w:rsid w:val="009A52F2"/>
    <w:rsid w:val="009A6E5F"/>
    <w:rsid w:val="009A793D"/>
    <w:rsid w:val="009B095A"/>
    <w:rsid w:val="009B28A1"/>
    <w:rsid w:val="009B2D9C"/>
    <w:rsid w:val="009B3084"/>
    <w:rsid w:val="009B5944"/>
    <w:rsid w:val="009B5D68"/>
    <w:rsid w:val="009B7090"/>
    <w:rsid w:val="009C01C5"/>
    <w:rsid w:val="009C1DE1"/>
    <w:rsid w:val="009C22A9"/>
    <w:rsid w:val="009C2BEA"/>
    <w:rsid w:val="009C34AD"/>
    <w:rsid w:val="009C509F"/>
    <w:rsid w:val="009C59D2"/>
    <w:rsid w:val="009C5C27"/>
    <w:rsid w:val="009C7372"/>
    <w:rsid w:val="009C7726"/>
    <w:rsid w:val="009D151D"/>
    <w:rsid w:val="009D1E2E"/>
    <w:rsid w:val="009D20AB"/>
    <w:rsid w:val="009D2CB3"/>
    <w:rsid w:val="009D3D10"/>
    <w:rsid w:val="009D4FDD"/>
    <w:rsid w:val="009D51A3"/>
    <w:rsid w:val="009D6D52"/>
    <w:rsid w:val="009D7520"/>
    <w:rsid w:val="009D7759"/>
    <w:rsid w:val="009D77B4"/>
    <w:rsid w:val="009E0265"/>
    <w:rsid w:val="009E2237"/>
    <w:rsid w:val="009E39BA"/>
    <w:rsid w:val="009E42D1"/>
    <w:rsid w:val="009E7179"/>
    <w:rsid w:val="009E7C24"/>
    <w:rsid w:val="009F0CA2"/>
    <w:rsid w:val="009F155E"/>
    <w:rsid w:val="009F1C84"/>
    <w:rsid w:val="009F3476"/>
    <w:rsid w:val="009F35C4"/>
    <w:rsid w:val="009F4AF9"/>
    <w:rsid w:val="009F54E2"/>
    <w:rsid w:val="00A02934"/>
    <w:rsid w:val="00A03B82"/>
    <w:rsid w:val="00A05AC5"/>
    <w:rsid w:val="00A06FAC"/>
    <w:rsid w:val="00A07277"/>
    <w:rsid w:val="00A07F5B"/>
    <w:rsid w:val="00A11AF9"/>
    <w:rsid w:val="00A1564B"/>
    <w:rsid w:val="00A15A99"/>
    <w:rsid w:val="00A169CE"/>
    <w:rsid w:val="00A17690"/>
    <w:rsid w:val="00A177C8"/>
    <w:rsid w:val="00A17E28"/>
    <w:rsid w:val="00A223E4"/>
    <w:rsid w:val="00A230AB"/>
    <w:rsid w:val="00A232C0"/>
    <w:rsid w:val="00A25AC5"/>
    <w:rsid w:val="00A278FF"/>
    <w:rsid w:val="00A300F4"/>
    <w:rsid w:val="00A3157E"/>
    <w:rsid w:val="00A33F93"/>
    <w:rsid w:val="00A35924"/>
    <w:rsid w:val="00A35E20"/>
    <w:rsid w:val="00A367A4"/>
    <w:rsid w:val="00A40B43"/>
    <w:rsid w:val="00A42759"/>
    <w:rsid w:val="00A434CD"/>
    <w:rsid w:val="00A449CF"/>
    <w:rsid w:val="00A44ABC"/>
    <w:rsid w:val="00A45F3B"/>
    <w:rsid w:val="00A47BDE"/>
    <w:rsid w:val="00A51EF0"/>
    <w:rsid w:val="00A5332A"/>
    <w:rsid w:val="00A550C3"/>
    <w:rsid w:val="00A5656E"/>
    <w:rsid w:val="00A56F16"/>
    <w:rsid w:val="00A61181"/>
    <w:rsid w:val="00A629AF"/>
    <w:rsid w:val="00A65313"/>
    <w:rsid w:val="00A65496"/>
    <w:rsid w:val="00A65FDD"/>
    <w:rsid w:val="00A66DBF"/>
    <w:rsid w:val="00A70631"/>
    <w:rsid w:val="00A70FD1"/>
    <w:rsid w:val="00A764C3"/>
    <w:rsid w:val="00A804B1"/>
    <w:rsid w:val="00A804E9"/>
    <w:rsid w:val="00A81038"/>
    <w:rsid w:val="00A83D00"/>
    <w:rsid w:val="00A83EA5"/>
    <w:rsid w:val="00A84A5C"/>
    <w:rsid w:val="00A85597"/>
    <w:rsid w:val="00A87477"/>
    <w:rsid w:val="00A87D2A"/>
    <w:rsid w:val="00A87EB1"/>
    <w:rsid w:val="00A91635"/>
    <w:rsid w:val="00A91B8B"/>
    <w:rsid w:val="00A965DA"/>
    <w:rsid w:val="00AA0C52"/>
    <w:rsid w:val="00AA11AF"/>
    <w:rsid w:val="00AA1307"/>
    <w:rsid w:val="00AA1834"/>
    <w:rsid w:val="00AA24B0"/>
    <w:rsid w:val="00AA394A"/>
    <w:rsid w:val="00AA3986"/>
    <w:rsid w:val="00AA506A"/>
    <w:rsid w:val="00AA762E"/>
    <w:rsid w:val="00AA7A7F"/>
    <w:rsid w:val="00AA7AB1"/>
    <w:rsid w:val="00AB0602"/>
    <w:rsid w:val="00AB178E"/>
    <w:rsid w:val="00AB248E"/>
    <w:rsid w:val="00AB394F"/>
    <w:rsid w:val="00AB39C8"/>
    <w:rsid w:val="00AB3B4E"/>
    <w:rsid w:val="00AB5895"/>
    <w:rsid w:val="00AB6641"/>
    <w:rsid w:val="00AB66D4"/>
    <w:rsid w:val="00AB697D"/>
    <w:rsid w:val="00AC2A9E"/>
    <w:rsid w:val="00AC3440"/>
    <w:rsid w:val="00AC4246"/>
    <w:rsid w:val="00AC4282"/>
    <w:rsid w:val="00AC6076"/>
    <w:rsid w:val="00AC7380"/>
    <w:rsid w:val="00AC7F61"/>
    <w:rsid w:val="00AD0D6D"/>
    <w:rsid w:val="00AD0F8A"/>
    <w:rsid w:val="00AD16C2"/>
    <w:rsid w:val="00AD2F6D"/>
    <w:rsid w:val="00AD32A0"/>
    <w:rsid w:val="00AD36E7"/>
    <w:rsid w:val="00AD7229"/>
    <w:rsid w:val="00AD76FE"/>
    <w:rsid w:val="00AE0282"/>
    <w:rsid w:val="00AE1742"/>
    <w:rsid w:val="00AE373C"/>
    <w:rsid w:val="00AE6212"/>
    <w:rsid w:val="00AE6333"/>
    <w:rsid w:val="00AE69D0"/>
    <w:rsid w:val="00AE7A0C"/>
    <w:rsid w:val="00AF0718"/>
    <w:rsid w:val="00AF1FF2"/>
    <w:rsid w:val="00AF353B"/>
    <w:rsid w:val="00AF4791"/>
    <w:rsid w:val="00AF6EEC"/>
    <w:rsid w:val="00B006D5"/>
    <w:rsid w:val="00B01249"/>
    <w:rsid w:val="00B0233C"/>
    <w:rsid w:val="00B02D56"/>
    <w:rsid w:val="00B0409E"/>
    <w:rsid w:val="00B045A2"/>
    <w:rsid w:val="00B0629D"/>
    <w:rsid w:val="00B07B62"/>
    <w:rsid w:val="00B07C17"/>
    <w:rsid w:val="00B1006D"/>
    <w:rsid w:val="00B10AD4"/>
    <w:rsid w:val="00B124DA"/>
    <w:rsid w:val="00B16A43"/>
    <w:rsid w:val="00B17A4C"/>
    <w:rsid w:val="00B207EE"/>
    <w:rsid w:val="00B224B0"/>
    <w:rsid w:val="00B24186"/>
    <w:rsid w:val="00B2461D"/>
    <w:rsid w:val="00B25561"/>
    <w:rsid w:val="00B2650B"/>
    <w:rsid w:val="00B30693"/>
    <w:rsid w:val="00B30B0F"/>
    <w:rsid w:val="00B32B4A"/>
    <w:rsid w:val="00B3409F"/>
    <w:rsid w:val="00B346EA"/>
    <w:rsid w:val="00B353AA"/>
    <w:rsid w:val="00B35EA0"/>
    <w:rsid w:val="00B3726D"/>
    <w:rsid w:val="00B37621"/>
    <w:rsid w:val="00B40200"/>
    <w:rsid w:val="00B411C7"/>
    <w:rsid w:val="00B415F0"/>
    <w:rsid w:val="00B426DA"/>
    <w:rsid w:val="00B42C0F"/>
    <w:rsid w:val="00B44548"/>
    <w:rsid w:val="00B447F0"/>
    <w:rsid w:val="00B46C9B"/>
    <w:rsid w:val="00B46E62"/>
    <w:rsid w:val="00B501EF"/>
    <w:rsid w:val="00B504A6"/>
    <w:rsid w:val="00B51EF0"/>
    <w:rsid w:val="00B52EFE"/>
    <w:rsid w:val="00B57727"/>
    <w:rsid w:val="00B5779F"/>
    <w:rsid w:val="00B600AA"/>
    <w:rsid w:val="00B60AB1"/>
    <w:rsid w:val="00B618F7"/>
    <w:rsid w:val="00B62AF9"/>
    <w:rsid w:val="00B64420"/>
    <w:rsid w:val="00B64959"/>
    <w:rsid w:val="00B70E5B"/>
    <w:rsid w:val="00B73A8B"/>
    <w:rsid w:val="00B747BD"/>
    <w:rsid w:val="00B7485B"/>
    <w:rsid w:val="00B80BEE"/>
    <w:rsid w:val="00B81867"/>
    <w:rsid w:val="00B82346"/>
    <w:rsid w:val="00B86BD0"/>
    <w:rsid w:val="00B91576"/>
    <w:rsid w:val="00B9164B"/>
    <w:rsid w:val="00B971EE"/>
    <w:rsid w:val="00B97AFF"/>
    <w:rsid w:val="00BA09F0"/>
    <w:rsid w:val="00BA128B"/>
    <w:rsid w:val="00BA45F3"/>
    <w:rsid w:val="00BB16FC"/>
    <w:rsid w:val="00BB2549"/>
    <w:rsid w:val="00BB2F42"/>
    <w:rsid w:val="00BB4538"/>
    <w:rsid w:val="00BB46C9"/>
    <w:rsid w:val="00BB4C7A"/>
    <w:rsid w:val="00BB5875"/>
    <w:rsid w:val="00BB6D1D"/>
    <w:rsid w:val="00BB7133"/>
    <w:rsid w:val="00BC349B"/>
    <w:rsid w:val="00BC35C6"/>
    <w:rsid w:val="00BC3A34"/>
    <w:rsid w:val="00BC3B16"/>
    <w:rsid w:val="00BC3FF0"/>
    <w:rsid w:val="00BC41AF"/>
    <w:rsid w:val="00BC66F0"/>
    <w:rsid w:val="00BC7389"/>
    <w:rsid w:val="00BC7C0A"/>
    <w:rsid w:val="00BD0B98"/>
    <w:rsid w:val="00BD1F44"/>
    <w:rsid w:val="00BD329E"/>
    <w:rsid w:val="00BD33B2"/>
    <w:rsid w:val="00BD34B5"/>
    <w:rsid w:val="00BD40E3"/>
    <w:rsid w:val="00BD4D2C"/>
    <w:rsid w:val="00BD5039"/>
    <w:rsid w:val="00BE4E56"/>
    <w:rsid w:val="00BE573F"/>
    <w:rsid w:val="00BE7D55"/>
    <w:rsid w:val="00BF0210"/>
    <w:rsid w:val="00BF153F"/>
    <w:rsid w:val="00BF4FCB"/>
    <w:rsid w:val="00BF6115"/>
    <w:rsid w:val="00BF71C7"/>
    <w:rsid w:val="00BF7A7C"/>
    <w:rsid w:val="00C01B6D"/>
    <w:rsid w:val="00C02998"/>
    <w:rsid w:val="00C03BBF"/>
    <w:rsid w:val="00C03D6A"/>
    <w:rsid w:val="00C05218"/>
    <w:rsid w:val="00C054A1"/>
    <w:rsid w:val="00C10CC5"/>
    <w:rsid w:val="00C12D10"/>
    <w:rsid w:val="00C1505C"/>
    <w:rsid w:val="00C15561"/>
    <w:rsid w:val="00C160AB"/>
    <w:rsid w:val="00C17111"/>
    <w:rsid w:val="00C17C25"/>
    <w:rsid w:val="00C17C89"/>
    <w:rsid w:val="00C219C0"/>
    <w:rsid w:val="00C21D3A"/>
    <w:rsid w:val="00C23A74"/>
    <w:rsid w:val="00C23CE9"/>
    <w:rsid w:val="00C25ADD"/>
    <w:rsid w:val="00C26B00"/>
    <w:rsid w:val="00C33073"/>
    <w:rsid w:val="00C34265"/>
    <w:rsid w:val="00C34AB5"/>
    <w:rsid w:val="00C35A9F"/>
    <w:rsid w:val="00C367FC"/>
    <w:rsid w:val="00C36B89"/>
    <w:rsid w:val="00C3715D"/>
    <w:rsid w:val="00C37431"/>
    <w:rsid w:val="00C379F5"/>
    <w:rsid w:val="00C407AB"/>
    <w:rsid w:val="00C408D3"/>
    <w:rsid w:val="00C4368E"/>
    <w:rsid w:val="00C46250"/>
    <w:rsid w:val="00C46D4A"/>
    <w:rsid w:val="00C4702E"/>
    <w:rsid w:val="00C477D8"/>
    <w:rsid w:val="00C50892"/>
    <w:rsid w:val="00C5117F"/>
    <w:rsid w:val="00C54EDF"/>
    <w:rsid w:val="00C55099"/>
    <w:rsid w:val="00C566F0"/>
    <w:rsid w:val="00C5761E"/>
    <w:rsid w:val="00C57A2A"/>
    <w:rsid w:val="00C609F9"/>
    <w:rsid w:val="00C60A93"/>
    <w:rsid w:val="00C62460"/>
    <w:rsid w:val="00C625EB"/>
    <w:rsid w:val="00C62D8D"/>
    <w:rsid w:val="00C632CC"/>
    <w:rsid w:val="00C66332"/>
    <w:rsid w:val="00C663DF"/>
    <w:rsid w:val="00C67D8A"/>
    <w:rsid w:val="00C7134C"/>
    <w:rsid w:val="00C7215E"/>
    <w:rsid w:val="00C72DAE"/>
    <w:rsid w:val="00C751A2"/>
    <w:rsid w:val="00C75292"/>
    <w:rsid w:val="00C75381"/>
    <w:rsid w:val="00C75CB9"/>
    <w:rsid w:val="00C7770B"/>
    <w:rsid w:val="00C77FBC"/>
    <w:rsid w:val="00C8020B"/>
    <w:rsid w:val="00C8126B"/>
    <w:rsid w:val="00C81968"/>
    <w:rsid w:val="00C847B9"/>
    <w:rsid w:val="00C84923"/>
    <w:rsid w:val="00C86FA2"/>
    <w:rsid w:val="00C90680"/>
    <w:rsid w:val="00C92022"/>
    <w:rsid w:val="00C93CBE"/>
    <w:rsid w:val="00C93E1B"/>
    <w:rsid w:val="00C94624"/>
    <w:rsid w:val="00C959AE"/>
    <w:rsid w:val="00C960BD"/>
    <w:rsid w:val="00C96915"/>
    <w:rsid w:val="00C96D3A"/>
    <w:rsid w:val="00C97A2F"/>
    <w:rsid w:val="00C97AAE"/>
    <w:rsid w:val="00CA17DA"/>
    <w:rsid w:val="00CA17F6"/>
    <w:rsid w:val="00CA18C1"/>
    <w:rsid w:val="00CA1F9A"/>
    <w:rsid w:val="00CB0438"/>
    <w:rsid w:val="00CB08D6"/>
    <w:rsid w:val="00CB1F80"/>
    <w:rsid w:val="00CB339F"/>
    <w:rsid w:val="00CB5463"/>
    <w:rsid w:val="00CB673D"/>
    <w:rsid w:val="00CB7DCC"/>
    <w:rsid w:val="00CC0777"/>
    <w:rsid w:val="00CC104E"/>
    <w:rsid w:val="00CC3495"/>
    <w:rsid w:val="00CC38AE"/>
    <w:rsid w:val="00CC4EFE"/>
    <w:rsid w:val="00CC6665"/>
    <w:rsid w:val="00CC6B04"/>
    <w:rsid w:val="00CC7387"/>
    <w:rsid w:val="00CD02D6"/>
    <w:rsid w:val="00CD1096"/>
    <w:rsid w:val="00CD1926"/>
    <w:rsid w:val="00CD312D"/>
    <w:rsid w:val="00CD5C60"/>
    <w:rsid w:val="00CD6414"/>
    <w:rsid w:val="00CD71BC"/>
    <w:rsid w:val="00CE0867"/>
    <w:rsid w:val="00CE1093"/>
    <w:rsid w:val="00CE14DB"/>
    <w:rsid w:val="00CE33DE"/>
    <w:rsid w:val="00CE3886"/>
    <w:rsid w:val="00CE421B"/>
    <w:rsid w:val="00CE45A2"/>
    <w:rsid w:val="00CE4BBA"/>
    <w:rsid w:val="00CE4C2F"/>
    <w:rsid w:val="00CE51F0"/>
    <w:rsid w:val="00CE5C38"/>
    <w:rsid w:val="00CE7FE9"/>
    <w:rsid w:val="00CF06F3"/>
    <w:rsid w:val="00CF0B80"/>
    <w:rsid w:val="00CF1255"/>
    <w:rsid w:val="00CF2B22"/>
    <w:rsid w:val="00CF464F"/>
    <w:rsid w:val="00CF6479"/>
    <w:rsid w:val="00CF6AE5"/>
    <w:rsid w:val="00CF705E"/>
    <w:rsid w:val="00CF7BB5"/>
    <w:rsid w:val="00D047AD"/>
    <w:rsid w:val="00D04B80"/>
    <w:rsid w:val="00D04EFD"/>
    <w:rsid w:val="00D055B0"/>
    <w:rsid w:val="00D0563D"/>
    <w:rsid w:val="00D05FD6"/>
    <w:rsid w:val="00D06062"/>
    <w:rsid w:val="00D0742D"/>
    <w:rsid w:val="00D077C8"/>
    <w:rsid w:val="00D07D56"/>
    <w:rsid w:val="00D10093"/>
    <w:rsid w:val="00D11E61"/>
    <w:rsid w:val="00D11E6D"/>
    <w:rsid w:val="00D15245"/>
    <w:rsid w:val="00D15835"/>
    <w:rsid w:val="00D2136D"/>
    <w:rsid w:val="00D22D6D"/>
    <w:rsid w:val="00D2303A"/>
    <w:rsid w:val="00D23317"/>
    <w:rsid w:val="00D239D4"/>
    <w:rsid w:val="00D24D5D"/>
    <w:rsid w:val="00D27CC7"/>
    <w:rsid w:val="00D31861"/>
    <w:rsid w:val="00D32D70"/>
    <w:rsid w:val="00D35A47"/>
    <w:rsid w:val="00D36EFF"/>
    <w:rsid w:val="00D40FB3"/>
    <w:rsid w:val="00D41CAB"/>
    <w:rsid w:val="00D41DF7"/>
    <w:rsid w:val="00D41F9B"/>
    <w:rsid w:val="00D43372"/>
    <w:rsid w:val="00D447CF"/>
    <w:rsid w:val="00D44823"/>
    <w:rsid w:val="00D472DD"/>
    <w:rsid w:val="00D47DA8"/>
    <w:rsid w:val="00D51C99"/>
    <w:rsid w:val="00D52CED"/>
    <w:rsid w:val="00D52E66"/>
    <w:rsid w:val="00D535C8"/>
    <w:rsid w:val="00D53654"/>
    <w:rsid w:val="00D53A26"/>
    <w:rsid w:val="00D54AC5"/>
    <w:rsid w:val="00D55573"/>
    <w:rsid w:val="00D612D2"/>
    <w:rsid w:val="00D61D70"/>
    <w:rsid w:val="00D63DD5"/>
    <w:rsid w:val="00D6473D"/>
    <w:rsid w:val="00D651A9"/>
    <w:rsid w:val="00D70801"/>
    <w:rsid w:val="00D70F57"/>
    <w:rsid w:val="00D7111F"/>
    <w:rsid w:val="00D7114D"/>
    <w:rsid w:val="00D74223"/>
    <w:rsid w:val="00D74DF5"/>
    <w:rsid w:val="00D76D56"/>
    <w:rsid w:val="00D76F14"/>
    <w:rsid w:val="00D81365"/>
    <w:rsid w:val="00D8502A"/>
    <w:rsid w:val="00D8576D"/>
    <w:rsid w:val="00D87013"/>
    <w:rsid w:val="00D8731E"/>
    <w:rsid w:val="00D914F1"/>
    <w:rsid w:val="00D916C2"/>
    <w:rsid w:val="00D9174F"/>
    <w:rsid w:val="00D9211A"/>
    <w:rsid w:val="00D927B2"/>
    <w:rsid w:val="00D92B41"/>
    <w:rsid w:val="00D9390F"/>
    <w:rsid w:val="00D9470E"/>
    <w:rsid w:val="00D96B5F"/>
    <w:rsid w:val="00D96FB1"/>
    <w:rsid w:val="00D97D42"/>
    <w:rsid w:val="00DA08FD"/>
    <w:rsid w:val="00DA16E3"/>
    <w:rsid w:val="00DA2DA8"/>
    <w:rsid w:val="00DA595C"/>
    <w:rsid w:val="00DA6A47"/>
    <w:rsid w:val="00DB0367"/>
    <w:rsid w:val="00DB0D7E"/>
    <w:rsid w:val="00DB17C6"/>
    <w:rsid w:val="00DB19AC"/>
    <w:rsid w:val="00DB29D7"/>
    <w:rsid w:val="00DB2A5B"/>
    <w:rsid w:val="00DB2D55"/>
    <w:rsid w:val="00DB4562"/>
    <w:rsid w:val="00DB49FF"/>
    <w:rsid w:val="00DB532D"/>
    <w:rsid w:val="00DB6EE5"/>
    <w:rsid w:val="00DB724C"/>
    <w:rsid w:val="00DB7359"/>
    <w:rsid w:val="00DB7AAB"/>
    <w:rsid w:val="00DB7EC1"/>
    <w:rsid w:val="00DC21FA"/>
    <w:rsid w:val="00DC2D7D"/>
    <w:rsid w:val="00DC53E1"/>
    <w:rsid w:val="00DC650E"/>
    <w:rsid w:val="00DC6B46"/>
    <w:rsid w:val="00DD161F"/>
    <w:rsid w:val="00DD1986"/>
    <w:rsid w:val="00DD2606"/>
    <w:rsid w:val="00DD42BA"/>
    <w:rsid w:val="00DD4656"/>
    <w:rsid w:val="00DD4D24"/>
    <w:rsid w:val="00DE1071"/>
    <w:rsid w:val="00DE2ACB"/>
    <w:rsid w:val="00DE2B28"/>
    <w:rsid w:val="00DE3450"/>
    <w:rsid w:val="00DE4A5E"/>
    <w:rsid w:val="00DE4F7E"/>
    <w:rsid w:val="00DE6A22"/>
    <w:rsid w:val="00DE6AD5"/>
    <w:rsid w:val="00DE7317"/>
    <w:rsid w:val="00DF01A7"/>
    <w:rsid w:val="00DF504E"/>
    <w:rsid w:val="00DF592C"/>
    <w:rsid w:val="00DF7700"/>
    <w:rsid w:val="00E01837"/>
    <w:rsid w:val="00E02FF5"/>
    <w:rsid w:val="00E0412E"/>
    <w:rsid w:val="00E0518F"/>
    <w:rsid w:val="00E061EF"/>
    <w:rsid w:val="00E10398"/>
    <w:rsid w:val="00E130A4"/>
    <w:rsid w:val="00E146B4"/>
    <w:rsid w:val="00E206DA"/>
    <w:rsid w:val="00E20764"/>
    <w:rsid w:val="00E2120F"/>
    <w:rsid w:val="00E23BD9"/>
    <w:rsid w:val="00E263AF"/>
    <w:rsid w:val="00E263DB"/>
    <w:rsid w:val="00E26A8F"/>
    <w:rsid w:val="00E26BBD"/>
    <w:rsid w:val="00E27DE1"/>
    <w:rsid w:val="00E305D5"/>
    <w:rsid w:val="00E31159"/>
    <w:rsid w:val="00E314CC"/>
    <w:rsid w:val="00E317CB"/>
    <w:rsid w:val="00E31D7C"/>
    <w:rsid w:val="00E323D4"/>
    <w:rsid w:val="00E327CE"/>
    <w:rsid w:val="00E331C5"/>
    <w:rsid w:val="00E366E8"/>
    <w:rsid w:val="00E36828"/>
    <w:rsid w:val="00E36AF7"/>
    <w:rsid w:val="00E372D2"/>
    <w:rsid w:val="00E40DB7"/>
    <w:rsid w:val="00E4115D"/>
    <w:rsid w:val="00E4212E"/>
    <w:rsid w:val="00E422BA"/>
    <w:rsid w:val="00E42BE0"/>
    <w:rsid w:val="00E4340D"/>
    <w:rsid w:val="00E442CA"/>
    <w:rsid w:val="00E44FBF"/>
    <w:rsid w:val="00E45C73"/>
    <w:rsid w:val="00E46C8A"/>
    <w:rsid w:val="00E508E1"/>
    <w:rsid w:val="00E52AD1"/>
    <w:rsid w:val="00E5489F"/>
    <w:rsid w:val="00E5513C"/>
    <w:rsid w:val="00E55232"/>
    <w:rsid w:val="00E552AE"/>
    <w:rsid w:val="00E56417"/>
    <w:rsid w:val="00E57C07"/>
    <w:rsid w:val="00E615C3"/>
    <w:rsid w:val="00E64007"/>
    <w:rsid w:val="00E64CEB"/>
    <w:rsid w:val="00E64FA5"/>
    <w:rsid w:val="00E652CC"/>
    <w:rsid w:val="00E65366"/>
    <w:rsid w:val="00E655C6"/>
    <w:rsid w:val="00E66047"/>
    <w:rsid w:val="00E7196F"/>
    <w:rsid w:val="00E71B0F"/>
    <w:rsid w:val="00E721B2"/>
    <w:rsid w:val="00E73235"/>
    <w:rsid w:val="00E74191"/>
    <w:rsid w:val="00E746D8"/>
    <w:rsid w:val="00E751C1"/>
    <w:rsid w:val="00E77658"/>
    <w:rsid w:val="00E81702"/>
    <w:rsid w:val="00E825A1"/>
    <w:rsid w:val="00E8282F"/>
    <w:rsid w:val="00E82D81"/>
    <w:rsid w:val="00E83820"/>
    <w:rsid w:val="00E83989"/>
    <w:rsid w:val="00E905D5"/>
    <w:rsid w:val="00E90C93"/>
    <w:rsid w:val="00E91AA0"/>
    <w:rsid w:val="00E92853"/>
    <w:rsid w:val="00E93EAA"/>
    <w:rsid w:val="00E95097"/>
    <w:rsid w:val="00E95103"/>
    <w:rsid w:val="00E95BE6"/>
    <w:rsid w:val="00E96A8E"/>
    <w:rsid w:val="00EA023B"/>
    <w:rsid w:val="00EA0574"/>
    <w:rsid w:val="00EA0893"/>
    <w:rsid w:val="00EA18BC"/>
    <w:rsid w:val="00EA2285"/>
    <w:rsid w:val="00EA369D"/>
    <w:rsid w:val="00EA3DC4"/>
    <w:rsid w:val="00EA709B"/>
    <w:rsid w:val="00EB0517"/>
    <w:rsid w:val="00EB0CFC"/>
    <w:rsid w:val="00EB1CAF"/>
    <w:rsid w:val="00EB42DD"/>
    <w:rsid w:val="00EB5AA4"/>
    <w:rsid w:val="00EB6E2C"/>
    <w:rsid w:val="00EC0E30"/>
    <w:rsid w:val="00EC146A"/>
    <w:rsid w:val="00EC2DCB"/>
    <w:rsid w:val="00EC3866"/>
    <w:rsid w:val="00EC3F2E"/>
    <w:rsid w:val="00EC48C4"/>
    <w:rsid w:val="00EC4AED"/>
    <w:rsid w:val="00EC620D"/>
    <w:rsid w:val="00EC64F9"/>
    <w:rsid w:val="00ED016D"/>
    <w:rsid w:val="00ED1404"/>
    <w:rsid w:val="00ED1EDA"/>
    <w:rsid w:val="00ED6325"/>
    <w:rsid w:val="00ED66AA"/>
    <w:rsid w:val="00ED7CA8"/>
    <w:rsid w:val="00EE1041"/>
    <w:rsid w:val="00EE10FD"/>
    <w:rsid w:val="00EE2392"/>
    <w:rsid w:val="00EE272F"/>
    <w:rsid w:val="00EE380D"/>
    <w:rsid w:val="00EE40CA"/>
    <w:rsid w:val="00EE412A"/>
    <w:rsid w:val="00EE479E"/>
    <w:rsid w:val="00EE4DA9"/>
    <w:rsid w:val="00EE79C9"/>
    <w:rsid w:val="00EF0429"/>
    <w:rsid w:val="00EF08E1"/>
    <w:rsid w:val="00EF0A3B"/>
    <w:rsid w:val="00EF0E2B"/>
    <w:rsid w:val="00EF0EA3"/>
    <w:rsid w:val="00EF1A35"/>
    <w:rsid w:val="00EF334E"/>
    <w:rsid w:val="00EF4AC1"/>
    <w:rsid w:val="00EF66E7"/>
    <w:rsid w:val="00EF6C39"/>
    <w:rsid w:val="00EF6D55"/>
    <w:rsid w:val="00EF7851"/>
    <w:rsid w:val="00EF7D6F"/>
    <w:rsid w:val="00EF7EEC"/>
    <w:rsid w:val="00F00113"/>
    <w:rsid w:val="00F00B6F"/>
    <w:rsid w:val="00F01135"/>
    <w:rsid w:val="00F0140B"/>
    <w:rsid w:val="00F01C25"/>
    <w:rsid w:val="00F02ED8"/>
    <w:rsid w:val="00F04FAD"/>
    <w:rsid w:val="00F06708"/>
    <w:rsid w:val="00F100D9"/>
    <w:rsid w:val="00F10D7F"/>
    <w:rsid w:val="00F114E4"/>
    <w:rsid w:val="00F13611"/>
    <w:rsid w:val="00F13A60"/>
    <w:rsid w:val="00F1417F"/>
    <w:rsid w:val="00F1465D"/>
    <w:rsid w:val="00F152BE"/>
    <w:rsid w:val="00F16696"/>
    <w:rsid w:val="00F16A06"/>
    <w:rsid w:val="00F16D56"/>
    <w:rsid w:val="00F17BEE"/>
    <w:rsid w:val="00F17C1E"/>
    <w:rsid w:val="00F17F25"/>
    <w:rsid w:val="00F21E2F"/>
    <w:rsid w:val="00F221CC"/>
    <w:rsid w:val="00F225FD"/>
    <w:rsid w:val="00F23DC8"/>
    <w:rsid w:val="00F244E4"/>
    <w:rsid w:val="00F24F0D"/>
    <w:rsid w:val="00F25A9F"/>
    <w:rsid w:val="00F25BE7"/>
    <w:rsid w:val="00F26AF4"/>
    <w:rsid w:val="00F278A5"/>
    <w:rsid w:val="00F316A7"/>
    <w:rsid w:val="00F31DCF"/>
    <w:rsid w:val="00F338E9"/>
    <w:rsid w:val="00F40C3F"/>
    <w:rsid w:val="00F42565"/>
    <w:rsid w:val="00F42729"/>
    <w:rsid w:val="00F43700"/>
    <w:rsid w:val="00F4467D"/>
    <w:rsid w:val="00F44A1A"/>
    <w:rsid w:val="00F46B85"/>
    <w:rsid w:val="00F46CFD"/>
    <w:rsid w:val="00F4734B"/>
    <w:rsid w:val="00F473FC"/>
    <w:rsid w:val="00F47987"/>
    <w:rsid w:val="00F51892"/>
    <w:rsid w:val="00F51BA5"/>
    <w:rsid w:val="00F52355"/>
    <w:rsid w:val="00F52D83"/>
    <w:rsid w:val="00F5571C"/>
    <w:rsid w:val="00F56F16"/>
    <w:rsid w:val="00F6098C"/>
    <w:rsid w:val="00F62278"/>
    <w:rsid w:val="00F63576"/>
    <w:rsid w:val="00F64B3D"/>
    <w:rsid w:val="00F656B2"/>
    <w:rsid w:val="00F66E8E"/>
    <w:rsid w:val="00F66EF6"/>
    <w:rsid w:val="00F6715E"/>
    <w:rsid w:val="00F676CF"/>
    <w:rsid w:val="00F707A1"/>
    <w:rsid w:val="00F7094E"/>
    <w:rsid w:val="00F711DF"/>
    <w:rsid w:val="00F72036"/>
    <w:rsid w:val="00F7272F"/>
    <w:rsid w:val="00F74D63"/>
    <w:rsid w:val="00F76D21"/>
    <w:rsid w:val="00F806DE"/>
    <w:rsid w:val="00F807C9"/>
    <w:rsid w:val="00F8144B"/>
    <w:rsid w:val="00F81F92"/>
    <w:rsid w:val="00F82B67"/>
    <w:rsid w:val="00F82B77"/>
    <w:rsid w:val="00F82D00"/>
    <w:rsid w:val="00F83549"/>
    <w:rsid w:val="00F8368D"/>
    <w:rsid w:val="00F84F45"/>
    <w:rsid w:val="00F8524C"/>
    <w:rsid w:val="00F8551A"/>
    <w:rsid w:val="00F85595"/>
    <w:rsid w:val="00F85A41"/>
    <w:rsid w:val="00F860E9"/>
    <w:rsid w:val="00F868F4"/>
    <w:rsid w:val="00F8781C"/>
    <w:rsid w:val="00F9035A"/>
    <w:rsid w:val="00F908DD"/>
    <w:rsid w:val="00F9146D"/>
    <w:rsid w:val="00F91FD6"/>
    <w:rsid w:val="00F92EF4"/>
    <w:rsid w:val="00F93D11"/>
    <w:rsid w:val="00F9795F"/>
    <w:rsid w:val="00FA04C2"/>
    <w:rsid w:val="00FA1DB9"/>
    <w:rsid w:val="00FA433A"/>
    <w:rsid w:val="00FA4FEE"/>
    <w:rsid w:val="00FA7184"/>
    <w:rsid w:val="00FA78C3"/>
    <w:rsid w:val="00FB385F"/>
    <w:rsid w:val="00FB3A4F"/>
    <w:rsid w:val="00FB4283"/>
    <w:rsid w:val="00FB48D4"/>
    <w:rsid w:val="00FB4B63"/>
    <w:rsid w:val="00FB5AEE"/>
    <w:rsid w:val="00FB5D96"/>
    <w:rsid w:val="00FB659E"/>
    <w:rsid w:val="00FC0200"/>
    <w:rsid w:val="00FC063F"/>
    <w:rsid w:val="00FC2C6E"/>
    <w:rsid w:val="00FC2D5F"/>
    <w:rsid w:val="00FC2D84"/>
    <w:rsid w:val="00FC2FD5"/>
    <w:rsid w:val="00FC3ABD"/>
    <w:rsid w:val="00FD03A4"/>
    <w:rsid w:val="00FD1161"/>
    <w:rsid w:val="00FD11B4"/>
    <w:rsid w:val="00FD13F0"/>
    <w:rsid w:val="00FD2059"/>
    <w:rsid w:val="00FD20AC"/>
    <w:rsid w:val="00FD36D6"/>
    <w:rsid w:val="00FD4150"/>
    <w:rsid w:val="00FD62CE"/>
    <w:rsid w:val="00FD76A0"/>
    <w:rsid w:val="00FE0D54"/>
    <w:rsid w:val="00FE1A46"/>
    <w:rsid w:val="00FE22B9"/>
    <w:rsid w:val="00FF0207"/>
    <w:rsid w:val="00FF13EE"/>
    <w:rsid w:val="00FF6005"/>
    <w:rsid w:val="00FF69FA"/>
    <w:rsid w:val="01E24972"/>
    <w:rsid w:val="029506B1"/>
    <w:rsid w:val="02B51750"/>
    <w:rsid w:val="03E155D4"/>
    <w:rsid w:val="05BD7E53"/>
    <w:rsid w:val="065D35AE"/>
    <w:rsid w:val="075D1849"/>
    <w:rsid w:val="07EF7F71"/>
    <w:rsid w:val="08725A6E"/>
    <w:rsid w:val="091740FD"/>
    <w:rsid w:val="09AA9F9A"/>
    <w:rsid w:val="0A36027E"/>
    <w:rsid w:val="0A60541B"/>
    <w:rsid w:val="0A805ABD"/>
    <w:rsid w:val="0A8C5119"/>
    <w:rsid w:val="0BE5CBCD"/>
    <w:rsid w:val="0C080FC2"/>
    <w:rsid w:val="0DDC74AE"/>
    <w:rsid w:val="0E390906"/>
    <w:rsid w:val="0EE759A1"/>
    <w:rsid w:val="0F195338"/>
    <w:rsid w:val="0F940BBB"/>
    <w:rsid w:val="0FB5C85F"/>
    <w:rsid w:val="10D114E2"/>
    <w:rsid w:val="13A42E00"/>
    <w:rsid w:val="13FF02CE"/>
    <w:rsid w:val="13FF6337"/>
    <w:rsid w:val="1589A108"/>
    <w:rsid w:val="179F1141"/>
    <w:rsid w:val="17AA14A0"/>
    <w:rsid w:val="17B06C4E"/>
    <w:rsid w:val="180C6BE2"/>
    <w:rsid w:val="18AE18D6"/>
    <w:rsid w:val="18CC2CDE"/>
    <w:rsid w:val="18F558C8"/>
    <w:rsid w:val="19045B0B"/>
    <w:rsid w:val="19236D1A"/>
    <w:rsid w:val="193130F9"/>
    <w:rsid w:val="1AF75928"/>
    <w:rsid w:val="1B1069E9"/>
    <w:rsid w:val="1BB39839"/>
    <w:rsid w:val="1BFB9A89"/>
    <w:rsid w:val="1BFFA145"/>
    <w:rsid w:val="1C0C5B91"/>
    <w:rsid w:val="1C8256C5"/>
    <w:rsid w:val="1CEA3410"/>
    <w:rsid w:val="1D7F0C90"/>
    <w:rsid w:val="1DA33B45"/>
    <w:rsid w:val="1DF4B453"/>
    <w:rsid w:val="1EFBB41D"/>
    <w:rsid w:val="1F715A8A"/>
    <w:rsid w:val="1F7F67C6"/>
    <w:rsid w:val="1F9BB5B2"/>
    <w:rsid w:val="1FED5EEE"/>
    <w:rsid w:val="1FEFDFB9"/>
    <w:rsid w:val="2080016D"/>
    <w:rsid w:val="210B22AC"/>
    <w:rsid w:val="220B7F0B"/>
    <w:rsid w:val="22627005"/>
    <w:rsid w:val="237FB731"/>
    <w:rsid w:val="23B835E7"/>
    <w:rsid w:val="23BF0929"/>
    <w:rsid w:val="246430E5"/>
    <w:rsid w:val="24CF7171"/>
    <w:rsid w:val="266D2F42"/>
    <w:rsid w:val="266D38A3"/>
    <w:rsid w:val="268169ED"/>
    <w:rsid w:val="26FE6946"/>
    <w:rsid w:val="277B168E"/>
    <w:rsid w:val="27A54CE8"/>
    <w:rsid w:val="27FED097"/>
    <w:rsid w:val="28084732"/>
    <w:rsid w:val="287AB881"/>
    <w:rsid w:val="28837859"/>
    <w:rsid w:val="292A4865"/>
    <w:rsid w:val="295A2878"/>
    <w:rsid w:val="2B173CE2"/>
    <w:rsid w:val="2B1C49D4"/>
    <w:rsid w:val="2B9ECB5A"/>
    <w:rsid w:val="2CEB238A"/>
    <w:rsid w:val="2D0C5FD7"/>
    <w:rsid w:val="2D145C50"/>
    <w:rsid w:val="2D3B3FB1"/>
    <w:rsid w:val="2DB274E9"/>
    <w:rsid w:val="2E4C12B6"/>
    <w:rsid w:val="2EB60BCE"/>
    <w:rsid w:val="2EE360DB"/>
    <w:rsid w:val="2EEF454B"/>
    <w:rsid w:val="2EF7A352"/>
    <w:rsid w:val="2F057303"/>
    <w:rsid w:val="2F5BD637"/>
    <w:rsid w:val="2F9D1559"/>
    <w:rsid w:val="2FDF41E0"/>
    <w:rsid w:val="2FE513EE"/>
    <w:rsid w:val="2FEFA5AB"/>
    <w:rsid w:val="2FF91F46"/>
    <w:rsid w:val="2FFD178C"/>
    <w:rsid w:val="2FFD4134"/>
    <w:rsid w:val="2FFE0C1B"/>
    <w:rsid w:val="2FFF6DAD"/>
    <w:rsid w:val="2FFF75FC"/>
    <w:rsid w:val="30077C66"/>
    <w:rsid w:val="303D75DB"/>
    <w:rsid w:val="31CFE6AB"/>
    <w:rsid w:val="32BE5BC9"/>
    <w:rsid w:val="33833DA5"/>
    <w:rsid w:val="33FF0E7A"/>
    <w:rsid w:val="34675474"/>
    <w:rsid w:val="351D423D"/>
    <w:rsid w:val="35BF6AFC"/>
    <w:rsid w:val="35D7B9E1"/>
    <w:rsid w:val="35FE59B8"/>
    <w:rsid w:val="36740672"/>
    <w:rsid w:val="369B75DB"/>
    <w:rsid w:val="36C3A3F0"/>
    <w:rsid w:val="375B2B07"/>
    <w:rsid w:val="375D0202"/>
    <w:rsid w:val="376C6118"/>
    <w:rsid w:val="37AE703A"/>
    <w:rsid w:val="37CC3E75"/>
    <w:rsid w:val="37DFAC27"/>
    <w:rsid w:val="37F7FC57"/>
    <w:rsid w:val="37F960C4"/>
    <w:rsid w:val="37FD0515"/>
    <w:rsid w:val="389E24D1"/>
    <w:rsid w:val="38E369BE"/>
    <w:rsid w:val="38FF9528"/>
    <w:rsid w:val="393609BF"/>
    <w:rsid w:val="396F13CB"/>
    <w:rsid w:val="39CD4409"/>
    <w:rsid w:val="39F76B62"/>
    <w:rsid w:val="3A356BDC"/>
    <w:rsid w:val="3AC919C4"/>
    <w:rsid w:val="3AFFA19C"/>
    <w:rsid w:val="3B731E2E"/>
    <w:rsid w:val="3B7FA7AD"/>
    <w:rsid w:val="3B7FB13A"/>
    <w:rsid w:val="3BB63F71"/>
    <w:rsid w:val="3BBF6DA0"/>
    <w:rsid w:val="3BCD4F54"/>
    <w:rsid w:val="3BF68F27"/>
    <w:rsid w:val="3BF90170"/>
    <w:rsid w:val="3BFDDE1C"/>
    <w:rsid w:val="3C634E75"/>
    <w:rsid w:val="3C6D6DE8"/>
    <w:rsid w:val="3C7F891F"/>
    <w:rsid w:val="3CBB93CE"/>
    <w:rsid w:val="3CFD53A7"/>
    <w:rsid w:val="3CFF3D35"/>
    <w:rsid w:val="3D1D4B3C"/>
    <w:rsid w:val="3DA3E919"/>
    <w:rsid w:val="3DA9A188"/>
    <w:rsid w:val="3DB740FD"/>
    <w:rsid w:val="3DDB0697"/>
    <w:rsid w:val="3DDE7DB7"/>
    <w:rsid w:val="3DE764FA"/>
    <w:rsid w:val="3DE76E8D"/>
    <w:rsid w:val="3DFD2AFE"/>
    <w:rsid w:val="3E6B1B28"/>
    <w:rsid w:val="3E9EE038"/>
    <w:rsid w:val="3EBC1971"/>
    <w:rsid w:val="3EEAA6DC"/>
    <w:rsid w:val="3EFAD7F2"/>
    <w:rsid w:val="3F184181"/>
    <w:rsid w:val="3F23E1B4"/>
    <w:rsid w:val="3F47D3B4"/>
    <w:rsid w:val="3F5A88B5"/>
    <w:rsid w:val="3F777CE3"/>
    <w:rsid w:val="3F7BEBC8"/>
    <w:rsid w:val="3FBB9005"/>
    <w:rsid w:val="3FBF2463"/>
    <w:rsid w:val="3FBF92B2"/>
    <w:rsid w:val="3FD9A14D"/>
    <w:rsid w:val="3FDF7788"/>
    <w:rsid w:val="3FDFDA10"/>
    <w:rsid w:val="3FE7ACDC"/>
    <w:rsid w:val="3FE7F9E5"/>
    <w:rsid w:val="3FEA4921"/>
    <w:rsid w:val="3FED5EF2"/>
    <w:rsid w:val="3FED9ED5"/>
    <w:rsid w:val="3FF3A1F6"/>
    <w:rsid w:val="3FF7C8C8"/>
    <w:rsid w:val="3FFAFBA8"/>
    <w:rsid w:val="3FFE82FB"/>
    <w:rsid w:val="40832EB3"/>
    <w:rsid w:val="40D53766"/>
    <w:rsid w:val="40E73EE4"/>
    <w:rsid w:val="414F4CC6"/>
    <w:rsid w:val="420C519F"/>
    <w:rsid w:val="427A38AA"/>
    <w:rsid w:val="42A1293C"/>
    <w:rsid w:val="42A16BFA"/>
    <w:rsid w:val="42A52948"/>
    <w:rsid w:val="43CE2DA7"/>
    <w:rsid w:val="44B91BB1"/>
    <w:rsid w:val="44DC66A1"/>
    <w:rsid w:val="46581CF1"/>
    <w:rsid w:val="47AD71EA"/>
    <w:rsid w:val="47BE6982"/>
    <w:rsid w:val="47EF03AF"/>
    <w:rsid w:val="47F78A72"/>
    <w:rsid w:val="48384622"/>
    <w:rsid w:val="491F70FA"/>
    <w:rsid w:val="4B284CD2"/>
    <w:rsid w:val="4B7F0E9E"/>
    <w:rsid w:val="4BCBA875"/>
    <w:rsid w:val="4D3ADD57"/>
    <w:rsid w:val="4D400162"/>
    <w:rsid w:val="4D40385F"/>
    <w:rsid w:val="4D84661B"/>
    <w:rsid w:val="4D926C66"/>
    <w:rsid w:val="4D9407A7"/>
    <w:rsid w:val="4D99C30F"/>
    <w:rsid w:val="4E0B4C6B"/>
    <w:rsid w:val="4E3B3813"/>
    <w:rsid w:val="4EBF8859"/>
    <w:rsid w:val="4ECE0172"/>
    <w:rsid w:val="4ED732C6"/>
    <w:rsid w:val="4EFA3227"/>
    <w:rsid w:val="4F293FD1"/>
    <w:rsid w:val="4F724781"/>
    <w:rsid w:val="4F8C61C8"/>
    <w:rsid w:val="4FCE5993"/>
    <w:rsid w:val="4FDCAA60"/>
    <w:rsid w:val="4FEF0DAB"/>
    <w:rsid w:val="4FF4BA0B"/>
    <w:rsid w:val="4FFB9710"/>
    <w:rsid w:val="4FFEAFBE"/>
    <w:rsid w:val="51975C59"/>
    <w:rsid w:val="51E15EBF"/>
    <w:rsid w:val="52036385"/>
    <w:rsid w:val="524316A6"/>
    <w:rsid w:val="52624F05"/>
    <w:rsid w:val="52D2383C"/>
    <w:rsid w:val="53A37B3E"/>
    <w:rsid w:val="53F876A5"/>
    <w:rsid w:val="53FE0D54"/>
    <w:rsid w:val="53FF8C90"/>
    <w:rsid w:val="54A933B6"/>
    <w:rsid w:val="54CFDA31"/>
    <w:rsid w:val="55C93B3C"/>
    <w:rsid w:val="567E6A7C"/>
    <w:rsid w:val="56F6DFCA"/>
    <w:rsid w:val="570F2DED"/>
    <w:rsid w:val="577F1982"/>
    <w:rsid w:val="57887F8F"/>
    <w:rsid w:val="57AF770B"/>
    <w:rsid w:val="57CF87DD"/>
    <w:rsid w:val="57E92985"/>
    <w:rsid w:val="57F7593A"/>
    <w:rsid w:val="57FADCF1"/>
    <w:rsid w:val="5874668E"/>
    <w:rsid w:val="593FFEBE"/>
    <w:rsid w:val="594D5B7D"/>
    <w:rsid w:val="595EE826"/>
    <w:rsid w:val="59C55412"/>
    <w:rsid w:val="59F842F5"/>
    <w:rsid w:val="59FED8D0"/>
    <w:rsid w:val="5A170152"/>
    <w:rsid w:val="5A3FA7DE"/>
    <w:rsid w:val="5A6DBC2E"/>
    <w:rsid w:val="5AEF0BFF"/>
    <w:rsid w:val="5B471EFA"/>
    <w:rsid w:val="5B4FACEE"/>
    <w:rsid w:val="5B693AA4"/>
    <w:rsid w:val="5B7D2F90"/>
    <w:rsid w:val="5B9FB915"/>
    <w:rsid w:val="5BB74C3B"/>
    <w:rsid w:val="5BDDBA6A"/>
    <w:rsid w:val="5BEDF2DC"/>
    <w:rsid w:val="5BFFA924"/>
    <w:rsid w:val="5C954B90"/>
    <w:rsid w:val="5CF7F1CF"/>
    <w:rsid w:val="5D912E1C"/>
    <w:rsid w:val="5DF1244D"/>
    <w:rsid w:val="5DFE9D78"/>
    <w:rsid w:val="5DFF46BD"/>
    <w:rsid w:val="5DFF72B5"/>
    <w:rsid w:val="5EA83F26"/>
    <w:rsid w:val="5EE5E5BD"/>
    <w:rsid w:val="5EEB6D2C"/>
    <w:rsid w:val="5EEB977C"/>
    <w:rsid w:val="5EF190D1"/>
    <w:rsid w:val="5EF5F9B1"/>
    <w:rsid w:val="5EFE63D5"/>
    <w:rsid w:val="5F32BCA4"/>
    <w:rsid w:val="5F35E7DE"/>
    <w:rsid w:val="5F39E4B6"/>
    <w:rsid w:val="5F9B0961"/>
    <w:rsid w:val="5FBB3D08"/>
    <w:rsid w:val="5FD56FC2"/>
    <w:rsid w:val="5FDEBD5C"/>
    <w:rsid w:val="5FDF8298"/>
    <w:rsid w:val="5FEF12BF"/>
    <w:rsid w:val="5FF3989B"/>
    <w:rsid w:val="5FF40D00"/>
    <w:rsid w:val="5FF46E3B"/>
    <w:rsid w:val="5FFBEFA0"/>
    <w:rsid w:val="5FFE3626"/>
    <w:rsid w:val="601077B3"/>
    <w:rsid w:val="61174778"/>
    <w:rsid w:val="612FE800"/>
    <w:rsid w:val="61610C60"/>
    <w:rsid w:val="621E675C"/>
    <w:rsid w:val="62D32124"/>
    <w:rsid w:val="633412F9"/>
    <w:rsid w:val="636C6D28"/>
    <w:rsid w:val="6394407B"/>
    <w:rsid w:val="63D26679"/>
    <w:rsid w:val="642C604E"/>
    <w:rsid w:val="644EACB3"/>
    <w:rsid w:val="64601C26"/>
    <w:rsid w:val="64897A15"/>
    <w:rsid w:val="64AF1B07"/>
    <w:rsid w:val="64DC31AC"/>
    <w:rsid w:val="65B974BF"/>
    <w:rsid w:val="669F29C1"/>
    <w:rsid w:val="66F72AE4"/>
    <w:rsid w:val="6707BF6B"/>
    <w:rsid w:val="670A2826"/>
    <w:rsid w:val="671F73A2"/>
    <w:rsid w:val="677102D7"/>
    <w:rsid w:val="67E20FB7"/>
    <w:rsid w:val="67EA1118"/>
    <w:rsid w:val="67EFEB09"/>
    <w:rsid w:val="67FE7DB4"/>
    <w:rsid w:val="680D39D4"/>
    <w:rsid w:val="68AA7332"/>
    <w:rsid w:val="69086C9F"/>
    <w:rsid w:val="6988A73E"/>
    <w:rsid w:val="69FFA5C1"/>
    <w:rsid w:val="6A3A52E5"/>
    <w:rsid w:val="6A421CB9"/>
    <w:rsid w:val="6ADFC75A"/>
    <w:rsid w:val="6B1A32DB"/>
    <w:rsid w:val="6B3F2B92"/>
    <w:rsid w:val="6B9F6C77"/>
    <w:rsid w:val="6BB6F1F0"/>
    <w:rsid w:val="6BBB934F"/>
    <w:rsid w:val="6BDB5118"/>
    <w:rsid w:val="6BDB835E"/>
    <w:rsid w:val="6BEB7BA8"/>
    <w:rsid w:val="6BEE3398"/>
    <w:rsid w:val="6BFF8DD8"/>
    <w:rsid w:val="6BFFE5DD"/>
    <w:rsid w:val="6D8D1129"/>
    <w:rsid w:val="6DDA835B"/>
    <w:rsid w:val="6DFD932B"/>
    <w:rsid w:val="6EAE5A2D"/>
    <w:rsid w:val="6EC90E50"/>
    <w:rsid w:val="6ECB7934"/>
    <w:rsid w:val="6EDB55DF"/>
    <w:rsid w:val="6EE1EFBA"/>
    <w:rsid w:val="6EF76AFD"/>
    <w:rsid w:val="6F3F8B99"/>
    <w:rsid w:val="6F4FC376"/>
    <w:rsid w:val="6F5FD34E"/>
    <w:rsid w:val="6F691BDC"/>
    <w:rsid w:val="6F6A670D"/>
    <w:rsid w:val="6F6FE56F"/>
    <w:rsid w:val="6F797114"/>
    <w:rsid w:val="6F7B7837"/>
    <w:rsid w:val="6F7E9247"/>
    <w:rsid w:val="6FBFC606"/>
    <w:rsid w:val="6FC4269D"/>
    <w:rsid w:val="6FD70911"/>
    <w:rsid w:val="6FDF6937"/>
    <w:rsid w:val="6FEB1E42"/>
    <w:rsid w:val="6FF34867"/>
    <w:rsid w:val="6FF7AC9B"/>
    <w:rsid w:val="6FFBD196"/>
    <w:rsid w:val="6FFE1E54"/>
    <w:rsid w:val="6FFF2848"/>
    <w:rsid w:val="6FFF5EF7"/>
    <w:rsid w:val="6FFFC54C"/>
    <w:rsid w:val="70FDC794"/>
    <w:rsid w:val="711C6EDD"/>
    <w:rsid w:val="713BCF43"/>
    <w:rsid w:val="71800327"/>
    <w:rsid w:val="71FDED23"/>
    <w:rsid w:val="71FF41DF"/>
    <w:rsid w:val="71FF81E1"/>
    <w:rsid w:val="72BA1048"/>
    <w:rsid w:val="72FC49FE"/>
    <w:rsid w:val="73002C03"/>
    <w:rsid w:val="737BC746"/>
    <w:rsid w:val="73C03E29"/>
    <w:rsid w:val="73DD07B7"/>
    <w:rsid w:val="73E399CA"/>
    <w:rsid w:val="7428616B"/>
    <w:rsid w:val="74435624"/>
    <w:rsid w:val="74FF0369"/>
    <w:rsid w:val="753D12FE"/>
    <w:rsid w:val="754DC457"/>
    <w:rsid w:val="755F8934"/>
    <w:rsid w:val="75B6FBB3"/>
    <w:rsid w:val="75CA04E2"/>
    <w:rsid w:val="75CF592C"/>
    <w:rsid w:val="75FD558B"/>
    <w:rsid w:val="760B4200"/>
    <w:rsid w:val="76641462"/>
    <w:rsid w:val="767B2FFF"/>
    <w:rsid w:val="769170E4"/>
    <w:rsid w:val="769B6D97"/>
    <w:rsid w:val="76F117DC"/>
    <w:rsid w:val="76F7DF80"/>
    <w:rsid w:val="76FF1690"/>
    <w:rsid w:val="777DA521"/>
    <w:rsid w:val="77AF18F9"/>
    <w:rsid w:val="77BFBBBE"/>
    <w:rsid w:val="77BFE5AE"/>
    <w:rsid w:val="77DD634A"/>
    <w:rsid w:val="77DD837C"/>
    <w:rsid w:val="77EEAB48"/>
    <w:rsid w:val="77F73563"/>
    <w:rsid w:val="77F9213F"/>
    <w:rsid w:val="77FBEBA1"/>
    <w:rsid w:val="77FEE6F2"/>
    <w:rsid w:val="78CF0F78"/>
    <w:rsid w:val="78F7527B"/>
    <w:rsid w:val="79278D9D"/>
    <w:rsid w:val="79515378"/>
    <w:rsid w:val="796D40C9"/>
    <w:rsid w:val="797F6EEC"/>
    <w:rsid w:val="79A67277"/>
    <w:rsid w:val="79C6CEA0"/>
    <w:rsid w:val="79FEEF1E"/>
    <w:rsid w:val="79FF0C44"/>
    <w:rsid w:val="79FFAE0C"/>
    <w:rsid w:val="7A225F63"/>
    <w:rsid w:val="7A346202"/>
    <w:rsid w:val="7A3A6673"/>
    <w:rsid w:val="7A4FC83D"/>
    <w:rsid w:val="7AE1E31A"/>
    <w:rsid w:val="7AE4A00D"/>
    <w:rsid w:val="7AFFF6F6"/>
    <w:rsid w:val="7B0E0EDC"/>
    <w:rsid w:val="7B4126CD"/>
    <w:rsid w:val="7B773CF7"/>
    <w:rsid w:val="7B778A0B"/>
    <w:rsid w:val="7B7E283D"/>
    <w:rsid w:val="7B81CC0B"/>
    <w:rsid w:val="7BBE9B84"/>
    <w:rsid w:val="7BEDCDDE"/>
    <w:rsid w:val="7BEF8EB8"/>
    <w:rsid w:val="7BFD885A"/>
    <w:rsid w:val="7BFE89E6"/>
    <w:rsid w:val="7BFEEB68"/>
    <w:rsid w:val="7BFFE185"/>
    <w:rsid w:val="7C679821"/>
    <w:rsid w:val="7C83F53C"/>
    <w:rsid w:val="7CA3D737"/>
    <w:rsid w:val="7CBFBADD"/>
    <w:rsid w:val="7D0E7C23"/>
    <w:rsid w:val="7D31E725"/>
    <w:rsid w:val="7D3B7DCB"/>
    <w:rsid w:val="7D3BB8B0"/>
    <w:rsid w:val="7D65D22D"/>
    <w:rsid w:val="7D6F2E15"/>
    <w:rsid w:val="7D7F2E67"/>
    <w:rsid w:val="7D8E1283"/>
    <w:rsid w:val="7DAB5EFB"/>
    <w:rsid w:val="7DBBF6CD"/>
    <w:rsid w:val="7DBF7D8F"/>
    <w:rsid w:val="7DCC92B9"/>
    <w:rsid w:val="7DCCFDE7"/>
    <w:rsid w:val="7DF373AD"/>
    <w:rsid w:val="7DF7901D"/>
    <w:rsid w:val="7DFD341D"/>
    <w:rsid w:val="7DFE1D74"/>
    <w:rsid w:val="7DFFCB79"/>
    <w:rsid w:val="7E3DF215"/>
    <w:rsid w:val="7E5F82E7"/>
    <w:rsid w:val="7E73E898"/>
    <w:rsid w:val="7E7B1C68"/>
    <w:rsid w:val="7E7D590B"/>
    <w:rsid w:val="7E8FD573"/>
    <w:rsid w:val="7E9F8843"/>
    <w:rsid w:val="7E9FA376"/>
    <w:rsid w:val="7EA56551"/>
    <w:rsid w:val="7EB580E7"/>
    <w:rsid w:val="7EBEB2E2"/>
    <w:rsid w:val="7EDAA570"/>
    <w:rsid w:val="7EDF3CD0"/>
    <w:rsid w:val="7EDF8303"/>
    <w:rsid w:val="7EE3B93E"/>
    <w:rsid w:val="7EE8A469"/>
    <w:rsid w:val="7EF3A179"/>
    <w:rsid w:val="7EF724D1"/>
    <w:rsid w:val="7EFB9BE7"/>
    <w:rsid w:val="7EFBC61D"/>
    <w:rsid w:val="7EFDB16B"/>
    <w:rsid w:val="7F1ED372"/>
    <w:rsid w:val="7F334E90"/>
    <w:rsid w:val="7F3E0B52"/>
    <w:rsid w:val="7F3F90DF"/>
    <w:rsid w:val="7F3FDB7C"/>
    <w:rsid w:val="7F5606D5"/>
    <w:rsid w:val="7F5D2495"/>
    <w:rsid w:val="7F5E4477"/>
    <w:rsid w:val="7F76DF1F"/>
    <w:rsid w:val="7F7781F8"/>
    <w:rsid w:val="7F7B4A8E"/>
    <w:rsid w:val="7F7E57A7"/>
    <w:rsid w:val="7F7F8D25"/>
    <w:rsid w:val="7F7FB9D9"/>
    <w:rsid w:val="7F9D72F6"/>
    <w:rsid w:val="7F9F878E"/>
    <w:rsid w:val="7F9FA57E"/>
    <w:rsid w:val="7FABBD8A"/>
    <w:rsid w:val="7FADBA50"/>
    <w:rsid w:val="7FAE541E"/>
    <w:rsid w:val="7FBB5448"/>
    <w:rsid w:val="7FBBDFEE"/>
    <w:rsid w:val="7FBC9C9C"/>
    <w:rsid w:val="7FBDE930"/>
    <w:rsid w:val="7FBE0E5C"/>
    <w:rsid w:val="7FBE5456"/>
    <w:rsid w:val="7FBEAF11"/>
    <w:rsid w:val="7FBF21A9"/>
    <w:rsid w:val="7FBF7A1D"/>
    <w:rsid w:val="7FBFACB8"/>
    <w:rsid w:val="7FBFB0D5"/>
    <w:rsid w:val="7FC7787F"/>
    <w:rsid w:val="7FCBCD9B"/>
    <w:rsid w:val="7FD78681"/>
    <w:rsid w:val="7FDC16B8"/>
    <w:rsid w:val="7FDDE68A"/>
    <w:rsid w:val="7FDF4B61"/>
    <w:rsid w:val="7FDF777E"/>
    <w:rsid w:val="7FDF95F9"/>
    <w:rsid w:val="7FDFC1BE"/>
    <w:rsid w:val="7FE6DCE2"/>
    <w:rsid w:val="7FEC7409"/>
    <w:rsid w:val="7FEF01D6"/>
    <w:rsid w:val="7FEF4820"/>
    <w:rsid w:val="7FEF72C1"/>
    <w:rsid w:val="7FF330C7"/>
    <w:rsid w:val="7FF350FC"/>
    <w:rsid w:val="7FF70D7C"/>
    <w:rsid w:val="7FF760FA"/>
    <w:rsid w:val="7FF7E88C"/>
    <w:rsid w:val="7FFC21A6"/>
    <w:rsid w:val="7FFD6383"/>
    <w:rsid w:val="7FFDA1F7"/>
    <w:rsid w:val="7FFDEBA7"/>
    <w:rsid w:val="7FFE199C"/>
    <w:rsid w:val="7FFE65CD"/>
    <w:rsid w:val="7FFECE27"/>
    <w:rsid w:val="7FFF2484"/>
    <w:rsid w:val="7FFF3C5E"/>
    <w:rsid w:val="7FFF3E78"/>
    <w:rsid w:val="7FFFAFA0"/>
    <w:rsid w:val="7FFFB617"/>
    <w:rsid w:val="7FFFBA5E"/>
    <w:rsid w:val="7FFFC5CF"/>
    <w:rsid w:val="7FFFCFB7"/>
    <w:rsid w:val="81FCBAD0"/>
    <w:rsid w:val="8BAE4E57"/>
    <w:rsid w:val="8BDA14DC"/>
    <w:rsid w:val="8EB50656"/>
    <w:rsid w:val="8EBD16D9"/>
    <w:rsid w:val="8FFD3AF3"/>
    <w:rsid w:val="8FFD7C7D"/>
    <w:rsid w:val="9377CC2C"/>
    <w:rsid w:val="96FE935E"/>
    <w:rsid w:val="979F08FC"/>
    <w:rsid w:val="97BBCC64"/>
    <w:rsid w:val="97BDD027"/>
    <w:rsid w:val="97FDC0C3"/>
    <w:rsid w:val="9BBF6A98"/>
    <w:rsid w:val="9DF798B6"/>
    <w:rsid w:val="9F3FAA82"/>
    <w:rsid w:val="9F4F4951"/>
    <w:rsid w:val="9F677271"/>
    <w:rsid w:val="9F7F071C"/>
    <w:rsid w:val="9F99FA56"/>
    <w:rsid w:val="9F9BE958"/>
    <w:rsid w:val="9FA7613F"/>
    <w:rsid w:val="9FAF180F"/>
    <w:rsid w:val="9FDF465E"/>
    <w:rsid w:val="9FFDB206"/>
    <w:rsid w:val="9FFF52D4"/>
    <w:rsid w:val="A3BF9C67"/>
    <w:rsid w:val="A55FEEA4"/>
    <w:rsid w:val="A5ED64C5"/>
    <w:rsid w:val="A9EDE295"/>
    <w:rsid w:val="AB17573C"/>
    <w:rsid w:val="AB7DC1DB"/>
    <w:rsid w:val="ABDE487E"/>
    <w:rsid w:val="AC7FF54D"/>
    <w:rsid w:val="ADCF353F"/>
    <w:rsid w:val="ADD63B27"/>
    <w:rsid w:val="ADDCA3A7"/>
    <w:rsid w:val="ADFD9279"/>
    <w:rsid w:val="AE63DD91"/>
    <w:rsid w:val="AE7DAB34"/>
    <w:rsid w:val="AEBE11C5"/>
    <w:rsid w:val="AF6B16F1"/>
    <w:rsid w:val="AF7F6F74"/>
    <w:rsid w:val="AFBDB14C"/>
    <w:rsid w:val="AFCF1C38"/>
    <w:rsid w:val="AFD927D9"/>
    <w:rsid w:val="AFDE69E6"/>
    <w:rsid w:val="AFF5174B"/>
    <w:rsid w:val="AFFDCBC5"/>
    <w:rsid w:val="AFFF79B3"/>
    <w:rsid w:val="B1BFED84"/>
    <w:rsid w:val="B1F8982C"/>
    <w:rsid w:val="B32F8540"/>
    <w:rsid w:val="B3F78D45"/>
    <w:rsid w:val="B477B65D"/>
    <w:rsid w:val="B4D50BAA"/>
    <w:rsid w:val="B4E38AA2"/>
    <w:rsid w:val="B4E777C6"/>
    <w:rsid w:val="B5FE89F7"/>
    <w:rsid w:val="B692E7BF"/>
    <w:rsid w:val="B6DBE8FE"/>
    <w:rsid w:val="B6F61C32"/>
    <w:rsid w:val="B77B0C15"/>
    <w:rsid w:val="B7BE7416"/>
    <w:rsid w:val="B7D76E40"/>
    <w:rsid w:val="B7EFB7EF"/>
    <w:rsid w:val="B7F7672D"/>
    <w:rsid w:val="B8B7BA94"/>
    <w:rsid w:val="B8FAB0B1"/>
    <w:rsid w:val="B927B65C"/>
    <w:rsid w:val="B9FFA45E"/>
    <w:rsid w:val="B9FFD2A4"/>
    <w:rsid w:val="BABF303D"/>
    <w:rsid w:val="BAF4E3FB"/>
    <w:rsid w:val="BB7AB0B6"/>
    <w:rsid w:val="BBAE1AAE"/>
    <w:rsid w:val="BBBEF8C6"/>
    <w:rsid w:val="BBDB8C73"/>
    <w:rsid w:val="BBF51A22"/>
    <w:rsid w:val="BBFD8E77"/>
    <w:rsid w:val="BBFFE1B3"/>
    <w:rsid w:val="BC9DDB51"/>
    <w:rsid w:val="BCDE0D29"/>
    <w:rsid w:val="BD460129"/>
    <w:rsid w:val="BD6F4AA0"/>
    <w:rsid w:val="BDD7B6BF"/>
    <w:rsid w:val="BDDF4FEC"/>
    <w:rsid w:val="BE7BE88B"/>
    <w:rsid w:val="BE7D2B53"/>
    <w:rsid w:val="BE7FFE46"/>
    <w:rsid w:val="BEBEB5BA"/>
    <w:rsid w:val="BEDE6223"/>
    <w:rsid w:val="BEFE2391"/>
    <w:rsid w:val="BEFF43D8"/>
    <w:rsid w:val="BF419FA2"/>
    <w:rsid w:val="BF4C6A68"/>
    <w:rsid w:val="BF5B6411"/>
    <w:rsid w:val="BF6E4E05"/>
    <w:rsid w:val="BF7AA841"/>
    <w:rsid w:val="BFB4B46F"/>
    <w:rsid w:val="BFD66288"/>
    <w:rsid w:val="BFDA27EC"/>
    <w:rsid w:val="BFDD9D11"/>
    <w:rsid w:val="BFDF40B4"/>
    <w:rsid w:val="BFEFDABE"/>
    <w:rsid w:val="BFFE3654"/>
    <w:rsid w:val="BFFF2B63"/>
    <w:rsid w:val="BFFF4B6E"/>
    <w:rsid w:val="BFFF925B"/>
    <w:rsid w:val="C3B90DB9"/>
    <w:rsid w:val="C3BEA96F"/>
    <w:rsid w:val="C4F7A3AD"/>
    <w:rsid w:val="C7E74328"/>
    <w:rsid w:val="C9918F33"/>
    <w:rsid w:val="CAF7A20A"/>
    <w:rsid w:val="CB728C37"/>
    <w:rsid w:val="CBD973DE"/>
    <w:rsid w:val="CBED8B2F"/>
    <w:rsid w:val="CDCE809C"/>
    <w:rsid w:val="CDEFB85F"/>
    <w:rsid w:val="CDF307DB"/>
    <w:rsid w:val="CEEB956D"/>
    <w:rsid w:val="CEF38C2C"/>
    <w:rsid w:val="CF6F03D0"/>
    <w:rsid w:val="CF7A19AD"/>
    <w:rsid w:val="D3337D5E"/>
    <w:rsid w:val="D39FAC3F"/>
    <w:rsid w:val="D3A519F2"/>
    <w:rsid w:val="D3BF21D5"/>
    <w:rsid w:val="D57FF159"/>
    <w:rsid w:val="D59F33A4"/>
    <w:rsid w:val="D5D95E5A"/>
    <w:rsid w:val="D5FFD5FC"/>
    <w:rsid w:val="D6F7E010"/>
    <w:rsid w:val="D77215E6"/>
    <w:rsid w:val="D7FEBAD8"/>
    <w:rsid w:val="D7FF0A91"/>
    <w:rsid w:val="D9BFC47F"/>
    <w:rsid w:val="D9BFDA02"/>
    <w:rsid w:val="D9F6320C"/>
    <w:rsid w:val="D9F9FE1C"/>
    <w:rsid w:val="DA97792F"/>
    <w:rsid w:val="DAFDE26D"/>
    <w:rsid w:val="DB7F7932"/>
    <w:rsid w:val="DB9B82C3"/>
    <w:rsid w:val="DBC2D83E"/>
    <w:rsid w:val="DBEA329A"/>
    <w:rsid w:val="DBEF37B5"/>
    <w:rsid w:val="DC7789E0"/>
    <w:rsid w:val="DD3E2953"/>
    <w:rsid w:val="DD5D7594"/>
    <w:rsid w:val="DD8FB20C"/>
    <w:rsid w:val="DDBBDEC4"/>
    <w:rsid w:val="DDFF8B77"/>
    <w:rsid w:val="DE780823"/>
    <w:rsid w:val="DEE6C23E"/>
    <w:rsid w:val="DEFB53D1"/>
    <w:rsid w:val="DEFBCEC4"/>
    <w:rsid w:val="DF33F6EA"/>
    <w:rsid w:val="DF7A3567"/>
    <w:rsid w:val="DF7E4CB0"/>
    <w:rsid w:val="DF7FC6A3"/>
    <w:rsid w:val="DF9BC985"/>
    <w:rsid w:val="DFB60713"/>
    <w:rsid w:val="DFBEDAC6"/>
    <w:rsid w:val="DFBFA21B"/>
    <w:rsid w:val="DFDBA1C6"/>
    <w:rsid w:val="DFDBA381"/>
    <w:rsid w:val="DFE5DFEB"/>
    <w:rsid w:val="DFE80541"/>
    <w:rsid w:val="DFE93242"/>
    <w:rsid w:val="DFED9240"/>
    <w:rsid w:val="DFEFD766"/>
    <w:rsid w:val="DFFB189D"/>
    <w:rsid w:val="DFFBC92E"/>
    <w:rsid w:val="DFFBD49D"/>
    <w:rsid w:val="DFFF08FE"/>
    <w:rsid w:val="DFFF212E"/>
    <w:rsid w:val="DFFF8A47"/>
    <w:rsid w:val="E3CF8C60"/>
    <w:rsid w:val="E3E7A04A"/>
    <w:rsid w:val="E5DE6256"/>
    <w:rsid w:val="E63B127D"/>
    <w:rsid w:val="E6BFA889"/>
    <w:rsid w:val="E7FF24A0"/>
    <w:rsid w:val="E907118B"/>
    <w:rsid w:val="E9B77FB0"/>
    <w:rsid w:val="E9CDB310"/>
    <w:rsid w:val="E9DD42FC"/>
    <w:rsid w:val="E9E24C3E"/>
    <w:rsid w:val="E9FD504D"/>
    <w:rsid w:val="EAA389D0"/>
    <w:rsid w:val="EAFF70C1"/>
    <w:rsid w:val="EB7733A8"/>
    <w:rsid w:val="EBBFE8CD"/>
    <w:rsid w:val="EBF755CC"/>
    <w:rsid w:val="EBFD5FFB"/>
    <w:rsid w:val="ECDA1369"/>
    <w:rsid w:val="ECF32949"/>
    <w:rsid w:val="ECFFD018"/>
    <w:rsid w:val="ED4F03FE"/>
    <w:rsid w:val="ED7BAA1B"/>
    <w:rsid w:val="ED7F217A"/>
    <w:rsid w:val="EDBB0718"/>
    <w:rsid w:val="EDCF8F66"/>
    <w:rsid w:val="EDDDF85B"/>
    <w:rsid w:val="EDDF6846"/>
    <w:rsid w:val="EDF72F25"/>
    <w:rsid w:val="EE76B8BE"/>
    <w:rsid w:val="EEAF40BE"/>
    <w:rsid w:val="EEDF0DA7"/>
    <w:rsid w:val="EEF6B4D7"/>
    <w:rsid w:val="EEFF484C"/>
    <w:rsid w:val="EF3F33D9"/>
    <w:rsid w:val="EF5AB207"/>
    <w:rsid w:val="EF698AE2"/>
    <w:rsid w:val="EF7AB739"/>
    <w:rsid w:val="EFBB6129"/>
    <w:rsid w:val="EFBF92C2"/>
    <w:rsid w:val="EFBFC19C"/>
    <w:rsid w:val="EFD7900F"/>
    <w:rsid w:val="EFDDEA58"/>
    <w:rsid w:val="EFE311EF"/>
    <w:rsid w:val="EFEB439E"/>
    <w:rsid w:val="EFF71DEF"/>
    <w:rsid w:val="EFF75BCC"/>
    <w:rsid w:val="EFFA273C"/>
    <w:rsid w:val="EFFA7E6F"/>
    <w:rsid w:val="EFFB5B2B"/>
    <w:rsid w:val="EFFF2303"/>
    <w:rsid w:val="F1FFD396"/>
    <w:rsid w:val="F35DE18C"/>
    <w:rsid w:val="F3B7C678"/>
    <w:rsid w:val="F3D6F0EA"/>
    <w:rsid w:val="F3E94DA5"/>
    <w:rsid w:val="F3EF4643"/>
    <w:rsid w:val="F3F7E8A6"/>
    <w:rsid w:val="F55BD45F"/>
    <w:rsid w:val="F5B5986B"/>
    <w:rsid w:val="F5CB8E27"/>
    <w:rsid w:val="F5D64AE1"/>
    <w:rsid w:val="F5D7773B"/>
    <w:rsid w:val="F5F33688"/>
    <w:rsid w:val="F5F4FC74"/>
    <w:rsid w:val="F676AEA4"/>
    <w:rsid w:val="F6E6E8C0"/>
    <w:rsid w:val="F6E7AEFD"/>
    <w:rsid w:val="F6FD0DE1"/>
    <w:rsid w:val="F6FDD216"/>
    <w:rsid w:val="F77DFA55"/>
    <w:rsid w:val="F77F9A35"/>
    <w:rsid w:val="F7ABF7CD"/>
    <w:rsid w:val="F7BD3076"/>
    <w:rsid w:val="F7BF4335"/>
    <w:rsid w:val="F7EE77D4"/>
    <w:rsid w:val="F7F9F01A"/>
    <w:rsid w:val="F7FA77D3"/>
    <w:rsid w:val="F7FC27E6"/>
    <w:rsid w:val="F7FE7637"/>
    <w:rsid w:val="F7FF89A2"/>
    <w:rsid w:val="F9AB0E42"/>
    <w:rsid w:val="F9BBD98A"/>
    <w:rsid w:val="F9D757DE"/>
    <w:rsid w:val="F9F39FE5"/>
    <w:rsid w:val="F9FD51F7"/>
    <w:rsid w:val="F9FF10BC"/>
    <w:rsid w:val="F9FF54A0"/>
    <w:rsid w:val="F9FFAF56"/>
    <w:rsid w:val="FA39FB78"/>
    <w:rsid w:val="FA7AC038"/>
    <w:rsid w:val="FA7F4BA4"/>
    <w:rsid w:val="FAAF1543"/>
    <w:rsid w:val="FADFC84A"/>
    <w:rsid w:val="FAF1B536"/>
    <w:rsid w:val="FAF29585"/>
    <w:rsid w:val="FAFA8ED8"/>
    <w:rsid w:val="FAFF0936"/>
    <w:rsid w:val="FB3B05CE"/>
    <w:rsid w:val="FB4C7A56"/>
    <w:rsid w:val="FB5E02F9"/>
    <w:rsid w:val="FB6D37DB"/>
    <w:rsid w:val="FB7C83BF"/>
    <w:rsid w:val="FB7F4E8A"/>
    <w:rsid w:val="FBAF4D99"/>
    <w:rsid w:val="FBB3EAF9"/>
    <w:rsid w:val="FBBF0BE9"/>
    <w:rsid w:val="FBDB161D"/>
    <w:rsid w:val="FBDED09E"/>
    <w:rsid w:val="FBEF6697"/>
    <w:rsid w:val="FBF55F53"/>
    <w:rsid w:val="FBF83CC0"/>
    <w:rsid w:val="FBFF80A9"/>
    <w:rsid w:val="FBFFBD76"/>
    <w:rsid w:val="FBFFF43E"/>
    <w:rsid w:val="FCAE9638"/>
    <w:rsid w:val="FCCE63CA"/>
    <w:rsid w:val="FCEA0B3C"/>
    <w:rsid w:val="FCFEE597"/>
    <w:rsid w:val="FCFFC785"/>
    <w:rsid w:val="FD7771B5"/>
    <w:rsid w:val="FD7C0659"/>
    <w:rsid w:val="FD7F4552"/>
    <w:rsid w:val="FDB9615D"/>
    <w:rsid w:val="FDBF0C7E"/>
    <w:rsid w:val="FDBFDA2D"/>
    <w:rsid w:val="FDDE9976"/>
    <w:rsid w:val="FDF674C7"/>
    <w:rsid w:val="FDF79965"/>
    <w:rsid w:val="FDFB0F64"/>
    <w:rsid w:val="FDFC73C7"/>
    <w:rsid w:val="FDFDCA57"/>
    <w:rsid w:val="FDFF3899"/>
    <w:rsid w:val="FE8FDC47"/>
    <w:rsid w:val="FEAB1C02"/>
    <w:rsid w:val="FEBB4663"/>
    <w:rsid w:val="FEBF1449"/>
    <w:rsid w:val="FEBFAC37"/>
    <w:rsid w:val="FEDD536D"/>
    <w:rsid w:val="FEE16DC1"/>
    <w:rsid w:val="FEED325A"/>
    <w:rsid w:val="FEED9F73"/>
    <w:rsid w:val="FEEFE54C"/>
    <w:rsid w:val="FEF0B055"/>
    <w:rsid w:val="FEFA989B"/>
    <w:rsid w:val="FEFAD0BB"/>
    <w:rsid w:val="FEFE10C5"/>
    <w:rsid w:val="FEFF73BB"/>
    <w:rsid w:val="FEFF9836"/>
    <w:rsid w:val="FF0BD44E"/>
    <w:rsid w:val="FF2BCAB4"/>
    <w:rsid w:val="FF3AFCBD"/>
    <w:rsid w:val="FF3B5FF8"/>
    <w:rsid w:val="FF3F039D"/>
    <w:rsid w:val="FF5F523C"/>
    <w:rsid w:val="FF6F63B1"/>
    <w:rsid w:val="FF7516A8"/>
    <w:rsid w:val="FF766393"/>
    <w:rsid w:val="FF7B3DE8"/>
    <w:rsid w:val="FF7DE231"/>
    <w:rsid w:val="FF7E2C6F"/>
    <w:rsid w:val="FF7F48CF"/>
    <w:rsid w:val="FF7F96E3"/>
    <w:rsid w:val="FF7F9F54"/>
    <w:rsid w:val="FF83A891"/>
    <w:rsid w:val="FF8BB468"/>
    <w:rsid w:val="FFAE7162"/>
    <w:rsid w:val="FFB50E48"/>
    <w:rsid w:val="FFBD64C8"/>
    <w:rsid w:val="FFBEE3BE"/>
    <w:rsid w:val="FFBF2207"/>
    <w:rsid w:val="FFBF8656"/>
    <w:rsid w:val="FFC23D8D"/>
    <w:rsid w:val="FFCB24F2"/>
    <w:rsid w:val="FFCF3B17"/>
    <w:rsid w:val="FFD6E123"/>
    <w:rsid w:val="FFDB8BFC"/>
    <w:rsid w:val="FFDC548D"/>
    <w:rsid w:val="FFDEDBC9"/>
    <w:rsid w:val="FFDF7146"/>
    <w:rsid w:val="FFDFA779"/>
    <w:rsid w:val="FFED4A9F"/>
    <w:rsid w:val="FFF11337"/>
    <w:rsid w:val="FFF37CC8"/>
    <w:rsid w:val="FFF39CF6"/>
    <w:rsid w:val="FFF3CB99"/>
    <w:rsid w:val="FFF713CD"/>
    <w:rsid w:val="FFF977B7"/>
    <w:rsid w:val="FFFA130D"/>
    <w:rsid w:val="FFFB5E91"/>
    <w:rsid w:val="FFFBD25A"/>
    <w:rsid w:val="FFFCA0F1"/>
    <w:rsid w:val="FFFD60EF"/>
    <w:rsid w:val="FFFDA487"/>
    <w:rsid w:val="FFFF4362"/>
    <w:rsid w:val="FFFF64D9"/>
    <w:rsid w:val="FFFF7770"/>
    <w:rsid w:val="FFFFB19C"/>
    <w:rsid w:val="FFFFBED0"/>
    <w:rsid w:val="FFFFE2BC"/>
    <w:rsid w:val="FFFFF0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iPriority="99"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0" w:semiHidden="0" w:name="HTML Preformatted"/>
    <w:lsdException w:qFormat="1" w:uiPriority="99" w:semiHidden="0" w:name="HTML Sample"/>
    <w:lsdException w:unhideWhenUsed="0" w:uiPriority="0" w:semiHidden="0" w:name="HTML Typewriter"/>
    <w:lsdException w:qFormat="1"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3"/>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link w:val="74"/>
    <w:qFormat/>
    <w:uiPriority w:val="0"/>
    <w:pPr>
      <w:keepNext/>
      <w:keepLines/>
      <w:spacing w:before="260" w:beforeLines="0" w:after="260" w:afterLines="0" w:line="416" w:lineRule="auto"/>
      <w:outlineLvl w:val="1"/>
    </w:pPr>
    <w:rPr>
      <w:rFonts w:ascii="Arial" w:hAnsi="Arial" w:eastAsia="黑体"/>
      <w:b/>
      <w:bCs/>
      <w:kern w:val="0"/>
      <w:sz w:val="32"/>
      <w:szCs w:val="32"/>
    </w:rPr>
  </w:style>
  <w:style w:type="paragraph" w:styleId="5">
    <w:name w:val="heading 3"/>
    <w:basedOn w:val="1"/>
    <w:next w:val="1"/>
    <w:link w:val="105"/>
    <w:qFormat/>
    <w:uiPriority w:val="0"/>
    <w:pPr>
      <w:keepNext/>
      <w:keepLines/>
      <w:spacing w:before="260" w:beforeLines="0" w:after="260" w:afterLines="0" w:line="416" w:lineRule="auto"/>
      <w:outlineLvl w:val="2"/>
    </w:pPr>
    <w:rPr>
      <w:b/>
      <w:bCs/>
      <w:kern w:val="0"/>
      <w:sz w:val="32"/>
      <w:szCs w:val="32"/>
    </w:rPr>
  </w:style>
  <w:style w:type="paragraph" w:styleId="6">
    <w:name w:val="heading 4"/>
    <w:basedOn w:val="1"/>
    <w:next w:val="1"/>
    <w:link w:val="76"/>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7">
    <w:name w:val="heading 5"/>
    <w:basedOn w:val="1"/>
    <w:next w:val="8"/>
    <w:link w:val="77"/>
    <w:qFormat/>
    <w:uiPriority w:val="0"/>
    <w:pPr>
      <w:keepNext/>
      <w:keepLines/>
      <w:spacing w:before="280" w:beforeLines="0" w:after="290" w:afterLines="0" w:line="376" w:lineRule="auto"/>
      <w:outlineLvl w:val="4"/>
    </w:pPr>
    <w:rPr>
      <w:b/>
      <w:sz w:val="28"/>
    </w:rPr>
  </w:style>
  <w:style w:type="paragraph" w:styleId="9">
    <w:name w:val="heading 6"/>
    <w:basedOn w:val="1"/>
    <w:next w:val="8"/>
    <w:link w:val="79"/>
    <w:qFormat/>
    <w:uiPriority w:val="0"/>
    <w:pPr>
      <w:keepNext/>
      <w:keepLines/>
      <w:spacing w:before="240" w:beforeLines="0" w:after="64" w:afterLines="0" w:line="320" w:lineRule="auto"/>
      <w:outlineLvl w:val="5"/>
    </w:pPr>
    <w:rPr>
      <w:rFonts w:ascii="Arial" w:hAnsi="Arial" w:eastAsia="黑体"/>
      <w:b/>
      <w:sz w:val="24"/>
    </w:rPr>
  </w:style>
  <w:style w:type="paragraph" w:styleId="10">
    <w:name w:val="heading 7"/>
    <w:basedOn w:val="1"/>
    <w:next w:val="8"/>
    <w:link w:val="80"/>
    <w:qFormat/>
    <w:uiPriority w:val="0"/>
    <w:pPr>
      <w:keepNext/>
      <w:keepLines/>
      <w:spacing w:before="240" w:beforeLines="0" w:after="64" w:afterLines="0" w:line="320" w:lineRule="auto"/>
      <w:outlineLvl w:val="6"/>
    </w:pPr>
    <w:rPr>
      <w:b/>
      <w:sz w:val="24"/>
    </w:rPr>
  </w:style>
  <w:style w:type="paragraph" w:styleId="11">
    <w:name w:val="heading 8"/>
    <w:basedOn w:val="1"/>
    <w:next w:val="8"/>
    <w:link w:val="81"/>
    <w:qFormat/>
    <w:uiPriority w:val="0"/>
    <w:pPr>
      <w:keepNext/>
      <w:keepLines/>
      <w:spacing w:before="240" w:beforeLines="0" w:after="64" w:afterLines="0" w:line="320" w:lineRule="auto"/>
      <w:outlineLvl w:val="7"/>
    </w:pPr>
    <w:rPr>
      <w:rFonts w:ascii="Arial" w:hAnsi="Arial" w:eastAsia="黑体"/>
      <w:sz w:val="24"/>
    </w:rPr>
  </w:style>
  <w:style w:type="paragraph" w:styleId="12">
    <w:name w:val="heading 9"/>
    <w:basedOn w:val="1"/>
    <w:next w:val="8"/>
    <w:link w:val="82"/>
    <w:qFormat/>
    <w:uiPriority w:val="0"/>
    <w:pPr>
      <w:keepNext/>
      <w:keepLines/>
      <w:spacing w:before="240" w:beforeLines="0" w:after="64" w:afterLines="0" w:line="320" w:lineRule="auto"/>
      <w:outlineLvl w:val="8"/>
    </w:pPr>
    <w:rPr>
      <w:rFonts w:ascii="Arial" w:hAnsi="Arial" w:eastAsia="黑体"/>
    </w:rPr>
  </w:style>
  <w:style w:type="character" w:default="1" w:styleId="56">
    <w:name w:val="Default Paragraph Font"/>
    <w:semiHidden/>
    <w:qFormat/>
    <w:uiPriority w:val="0"/>
  </w:style>
  <w:style w:type="table" w:default="1" w:styleId="54">
    <w:name w:val="Normal Table"/>
    <w:semiHidden/>
    <w:qFormat/>
    <w:uiPriority w:val="0"/>
    <w:tblPr>
      <w:tblCellMar>
        <w:top w:w="0" w:type="dxa"/>
        <w:left w:w="108" w:type="dxa"/>
        <w:bottom w:w="0" w:type="dxa"/>
        <w:right w:w="108" w:type="dxa"/>
      </w:tblCellMar>
    </w:tblPr>
  </w:style>
  <w:style w:type="paragraph" w:styleId="2">
    <w:name w:val="index 1"/>
    <w:basedOn w:val="1"/>
    <w:next w:val="1"/>
    <w:semiHidden/>
    <w:qFormat/>
    <w:uiPriority w:val="0"/>
    <w:pPr>
      <w:spacing w:line="400" w:lineRule="exact"/>
      <w:ind w:firstLine="420" w:firstLineChars="200"/>
    </w:pPr>
    <w:rPr>
      <w:rFonts w:ascii="宋体" w:hAnsi="Courier New"/>
      <w:b/>
      <w:szCs w:val="20"/>
    </w:rPr>
  </w:style>
  <w:style w:type="paragraph" w:styleId="8">
    <w:name w:val="Normal Indent"/>
    <w:basedOn w:val="1"/>
    <w:link w:val="78"/>
    <w:qFormat/>
    <w:uiPriority w:val="0"/>
    <w:pPr>
      <w:ind w:firstLine="420"/>
    </w:pPr>
    <w:rPr>
      <w:szCs w:val="20"/>
    </w:r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beforeLines="0" w:after="160" w:afterLines="0"/>
    </w:pPr>
    <w:rPr>
      <w:rFonts w:ascii="Arial" w:hAnsi="Arial" w:eastAsia="黑体" w:cs="Arial"/>
      <w:sz w:val="20"/>
      <w:szCs w:val="20"/>
    </w:rPr>
  </w:style>
  <w:style w:type="paragraph" w:styleId="16">
    <w:name w:val="List Bullet"/>
    <w:basedOn w:val="1"/>
    <w:unhideWhenUsed/>
    <w:qFormat/>
    <w:uiPriority w:val="0"/>
    <w:pPr>
      <w:numPr>
        <w:ilvl w:val="0"/>
        <w:numId w:val="1"/>
      </w:numPr>
      <w:tabs>
        <w:tab w:val="left" w:pos="3300"/>
      </w:tabs>
    </w:pPr>
  </w:style>
  <w:style w:type="paragraph" w:styleId="17">
    <w:name w:val="Document Map"/>
    <w:basedOn w:val="1"/>
    <w:link w:val="83"/>
    <w:qFormat/>
    <w:uiPriority w:val="0"/>
    <w:pPr>
      <w:shd w:val="clear" w:color="auto" w:fill="000080"/>
    </w:pPr>
  </w:style>
  <w:style w:type="paragraph" w:styleId="18">
    <w:name w:val="annotation text"/>
    <w:basedOn w:val="1"/>
    <w:link w:val="84"/>
    <w:qFormat/>
    <w:uiPriority w:val="0"/>
    <w:pPr>
      <w:adjustRightInd w:val="0"/>
      <w:spacing w:line="360" w:lineRule="atLeast"/>
      <w:jc w:val="left"/>
      <w:textAlignment w:val="baseline"/>
    </w:pPr>
    <w:rPr>
      <w:kern w:val="0"/>
      <w:sz w:val="24"/>
      <w:szCs w:val="20"/>
    </w:rPr>
  </w:style>
  <w:style w:type="paragraph" w:styleId="19">
    <w:name w:val="Salutation"/>
    <w:basedOn w:val="1"/>
    <w:next w:val="1"/>
    <w:link w:val="85"/>
    <w:qFormat/>
    <w:uiPriority w:val="0"/>
    <w:rPr>
      <w:sz w:val="28"/>
    </w:rPr>
  </w:style>
  <w:style w:type="paragraph" w:styleId="20">
    <w:name w:val="Body Text 3"/>
    <w:basedOn w:val="1"/>
    <w:link w:val="86"/>
    <w:qFormat/>
    <w:uiPriority w:val="0"/>
    <w:pPr>
      <w:spacing w:line="500" w:lineRule="exact"/>
    </w:pPr>
    <w:rPr>
      <w:b/>
      <w:bCs/>
      <w:sz w:val="24"/>
    </w:rPr>
  </w:style>
  <w:style w:type="paragraph" w:styleId="21">
    <w:name w:val="Body Text"/>
    <w:basedOn w:val="1"/>
    <w:next w:val="22"/>
    <w:link w:val="87"/>
    <w:qFormat/>
    <w:uiPriority w:val="0"/>
    <w:pPr>
      <w:spacing w:line="380" w:lineRule="exact"/>
    </w:pPr>
    <w:rPr>
      <w:sz w:val="24"/>
    </w:rPr>
  </w:style>
  <w:style w:type="paragraph" w:styleId="22">
    <w:name w:val="Title"/>
    <w:basedOn w:val="1"/>
    <w:next w:val="1"/>
    <w:link w:val="88"/>
    <w:qFormat/>
    <w:uiPriority w:val="0"/>
    <w:pPr>
      <w:spacing w:before="240" w:beforeLines="0" w:after="60" w:afterLines="0"/>
      <w:jc w:val="center"/>
      <w:outlineLvl w:val="0"/>
    </w:pPr>
    <w:rPr>
      <w:rFonts w:ascii="Arial" w:hAnsi="Arial"/>
      <w:b/>
      <w:bCs/>
      <w:sz w:val="32"/>
      <w:szCs w:val="32"/>
    </w:rPr>
  </w:style>
  <w:style w:type="paragraph" w:styleId="23">
    <w:name w:val="Body Text Indent"/>
    <w:basedOn w:val="1"/>
    <w:next w:val="24"/>
    <w:link w:val="89"/>
    <w:qFormat/>
    <w:uiPriority w:val="0"/>
    <w:pPr>
      <w:ind w:firstLine="830" w:firstLineChars="352"/>
    </w:pPr>
    <w:rPr>
      <w:rFonts w:ascii="仿宋_GB2312" w:eastAsia="仿宋_GB2312"/>
      <w:sz w:val="32"/>
      <w:szCs w:val="20"/>
    </w:rPr>
  </w:style>
  <w:style w:type="paragraph" w:styleId="24">
    <w:name w:val="annotation subject"/>
    <w:basedOn w:val="18"/>
    <w:next w:val="1"/>
    <w:link w:val="90"/>
    <w:qFormat/>
    <w:uiPriority w:val="0"/>
    <w:pPr>
      <w:adjustRightInd/>
      <w:spacing w:line="240" w:lineRule="auto"/>
      <w:textAlignment w:val="auto"/>
    </w:pPr>
    <w:rPr>
      <w:b/>
      <w:bCs/>
      <w:kern w:val="2"/>
      <w:sz w:val="21"/>
      <w:szCs w:val="24"/>
    </w:rPr>
  </w:style>
  <w:style w:type="paragraph" w:styleId="25">
    <w:name w:val="List Number 3"/>
    <w:basedOn w:val="1"/>
    <w:qFormat/>
    <w:uiPriority w:val="0"/>
    <w:pPr>
      <w:tabs>
        <w:tab w:val="left" w:pos="360"/>
      </w:tabs>
      <w:ind w:left="360" w:hanging="360"/>
    </w:pPr>
  </w:style>
  <w:style w:type="paragraph" w:styleId="26">
    <w:name w:val="List 2"/>
    <w:basedOn w:val="1"/>
    <w:qFormat/>
    <w:uiPriority w:val="0"/>
    <w:pPr>
      <w:ind w:left="100" w:leftChars="200" w:hanging="200" w:hangingChars="200"/>
    </w:pPr>
    <w:rPr>
      <w:sz w:val="28"/>
    </w:rPr>
  </w:style>
  <w:style w:type="paragraph" w:styleId="27">
    <w:name w:val="Block Text"/>
    <w:basedOn w:val="1"/>
    <w:qFormat/>
    <w:uiPriority w:val="0"/>
    <w:pPr>
      <w:adjustRightInd w:val="0"/>
      <w:ind w:left="420" w:right="33"/>
      <w:jc w:val="left"/>
      <w:textAlignment w:val="baseline"/>
    </w:pPr>
    <w:rPr>
      <w:kern w:val="0"/>
      <w:sz w:val="24"/>
      <w:szCs w:val="20"/>
    </w:rPr>
  </w:style>
  <w:style w:type="paragraph" w:styleId="28">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9">
    <w:name w:val="toc 3"/>
    <w:basedOn w:val="1"/>
    <w:next w:val="1"/>
    <w:qFormat/>
    <w:uiPriority w:val="0"/>
    <w:pPr>
      <w:ind w:left="840" w:leftChars="400"/>
    </w:pPr>
  </w:style>
  <w:style w:type="paragraph" w:styleId="30">
    <w:name w:val="Plain Text"/>
    <w:basedOn w:val="1"/>
    <w:next w:val="3"/>
    <w:link w:val="91"/>
    <w:qFormat/>
    <w:uiPriority w:val="0"/>
    <w:rPr>
      <w:rFonts w:ascii="宋体" w:hAnsi="Courier New" w:cs="Courier New"/>
      <w:szCs w:val="21"/>
    </w:rPr>
  </w:style>
  <w:style w:type="paragraph" w:styleId="31">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32">
    <w:name w:val="Date"/>
    <w:basedOn w:val="1"/>
    <w:next w:val="1"/>
    <w:link w:val="92"/>
    <w:qFormat/>
    <w:uiPriority w:val="0"/>
    <w:pPr>
      <w:ind w:left="100" w:leftChars="2500"/>
    </w:pPr>
    <w:rPr>
      <w:rFonts w:ascii="宋体" w:hAnsi="Courier New" w:cs="Courier New"/>
      <w:szCs w:val="21"/>
    </w:rPr>
  </w:style>
  <w:style w:type="paragraph" w:styleId="33">
    <w:name w:val="Body Text Indent 2"/>
    <w:basedOn w:val="1"/>
    <w:link w:val="93"/>
    <w:qFormat/>
    <w:uiPriority w:val="0"/>
    <w:pPr>
      <w:ind w:firstLine="630"/>
    </w:pPr>
    <w:rPr>
      <w:sz w:val="32"/>
      <w:szCs w:val="20"/>
    </w:rPr>
  </w:style>
  <w:style w:type="paragraph" w:styleId="34">
    <w:name w:val="endnote text"/>
    <w:basedOn w:val="1"/>
    <w:link w:val="94"/>
    <w:unhideWhenUsed/>
    <w:qFormat/>
    <w:uiPriority w:val="0"/>
    <w:pPr>
      <w:snapToGrid w:val="0"/>
      <w:jc w:val="left"/>
    </w:pPr>
    <w:rPr>
      <w:rFonts w:ascii="Calibri" w:hAnsi="Calibri"/>
      <w:szCs w:val="22"/>
    </w:rPr>
  </w:style>
  <w:style w:type="paragraph" w:styleId="35">
    <w:name w:val="Balloon Text"/>
    <w:basedOn w:val="1"/>
    <w:link w:val="95"/>
    <w:qFormat/>
    <w:uiPriority w:val="0"/>
    <w:rPr>
      <w:sz w:val="18"/>
      <w:szCs w:val="18"/>
    </w:rPr>
  </w:style>
  <w:style w:type="paragraph" w:styleId="36">
    <w:name w:val="footer"/>
    <w:basedOn w:val="1"/>
    <w:next w:val="1"/>
    <w:link w:val="96"/>
    <w:qFormat/>
    <w:uiPriority w:val="0"/>
    <w:pPr>
      <w:tabs>
        <w:tab w:val="center" w:pos="4153"/>
        <w:tab w:val="right" w:pos="8306"/>
      </w:tabs>
      <w:snapToGrid w:val="0"/>
      <w:jc w:val="left"/>
    </w:pPr>
    <w:rPr>
      <w:sz w:val="18"/>
      <w:szCs w:val="18"/>
    </w:rPr>
  </w:style>
  <w:style w:type="paragraph" w:styleId="37">
    <w:name w:val="header"/>
    <w:basedOn w:val="1"/>
    <w:link w:val="97"/>
    <w:qFormat/>
    <w:uiPriority w:val="0"/>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0"/>
    <w:pPr>
      <w:tabs>
        <w:tab w:val="right" w:leader="dot" w:pos="8296"/>
        <w:tab w:val="right" w:leader="dot" w:pos="8398"/>
      </w:tabs>
      <w:spacing w:before="120" w:beforeLines="0" w:after="120" w:afterLines="0" w:line="320" w:lineRule="exact"/>
      <w:ind w:firstLine="840" w:firstLineChars="400"/>
      <w:jc w:val="left"/>
    </w:pPr>
    <w:rPr>
      <w:rFonts w:ascii="仿宋_GB2312" w:hAnsi="宋体" w:eastAsia="仿宋_GB2312" w:cs="Courier New"/>
      <w:bCs/>
      <w:caps/>
      <w:szCs w:val="21"/>
    </w:rPr>
  </w:style>
  <w:style w:type="paragraph" w:styleId="39">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40">
    <w:name w:val="Subtitle"/>
    <w:basedOn w:val="1"/>
    <w:next w:val="1"/>
    <w:link w:val="98"/>
    <w:qFormat/>
    <w:uiPriority w:val="11"/>
    <w:pPr>
      <w:spacing w:before="240" w:after="60" w:line="312" w:lineRule="auto"/>
      <w:jc w:val="center"/>
      <w:outlineLvl w:val="1"/>
    </w:pPr>
    <w:rPr>
      <w:rFonts w:ascii="Calibri Light" w:hAnsi="Calibri Light"/>
      <w:b/>
      <w:bCs/>
      <w:kern w:val="28"/>
      <w:sz w:val="32"/>
      <w:szCs w:val="32"/>
    </w:rPr>
  </w:style>
  <w:style w:type="paragraph" w:styleId="41">
    <w:name w:val="List"/>
    <w:basedOn w:val="1"/>
    <w:qFormat/>
    <w:uiPriority w:val="0"/>
    <w:pPr>
      <w:ind w:left="200" w:hanging="200" w:hangingChars="200"/>
    </w:pPr>
    <w:rPr>
      <w:sz w:val="28"/>
    </w:rPr>
  </w:style>
  <w:style w:type="paragraph" w:styleId="42">
    <w:name w:val="footnote text"/>
    <w:basedOn w:val="1"/>
    <w:link w:val="99"/>
    <w:qFormat/>
    <w:uiPriority w:val="99"/>
    <w:pPr>
      <w:snapToGrid w:val="0"/>
      <w:jc w:val="left"/>
    </w:pPr>
    <w:rPr>
      <w:kern w:val="0"/>
      <w:sz w:val="18"/>
      <w:szCs w:val="18"/>
    </w:rPr>
  </w:style>
  <w:style w:type="paragraph" w:styleId="43">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44">
    <w:name w:val="List 5"/>
    <w:basedOn w:val="1"/>
    <w:qFormat/>
    <w:uiPriority w:val="0"/>
    <w:pPr>
      <w:ind w:left="2100" w:hanging="420"/>
    </w:pPr>
    <w:rPr>
      <w:szCs w:val="20"/>
    </w:rPr>
  </w:style>
  <w:style w:type="paragraph" w:styleId="45">
    <w:name w:val="Body Text Indent 3"/>
    <w:basedOn w:val="1"/>
    <w:link w:val="100"/>
    <w:qFormat/>
    <w:uiPriority w:val="0"/>
    <w:pPr>
      <w:spacing w:after="120" w:afterLines="0"/>
      <w:ind w:left="420" w:leftChars="200"/>
    </w:pPr>
    <w:rPr>
      <w:sz w:val="16"/>
      <w:szCs w:val="16"/>
    </w:rPr>
  </w:style>
  <w:style w:type="paragraph" w:styleId="46">
    <w:name w:val="table of figures"/>
    <w:basedOn w:val="1"/>
    <w:next w:val="1"/>
    <w:qFormat/>
    <w:uiPriority w:val="0"/>
    <w:pPr>
      <w:ind w:left="200" w:leftChars="200" w:hanging="200" w:hangingChars="200"/>
    </w:pPr>
    <w:rPr>
      <w:rFonts w:ascii="Calibri" w:hAnsi="Calibri"/>
    </w:rPr>
  </w:style>
  <w:style w:type="paragraph" w:styleId="47">
    <w:name w:val="toc 2"/>
    <w:basedOn w:val="1"/>
    <w:next w:val="1"/>
    <w:qFormat/>
    <w:uiPriority w:val="0"/>
    <w:pPr>
      <w:ind w:left="420" w:leftChars="200"/>
    </w:pPr>
  </w:style>
  <w:style w:type="paragraph" w:styleId="48">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9">
    <w:name w:val="Body Text 2"/>
    <w:basedOn w:val="1"/>
    <w:link w:val="101"/>
    <w:qFormat/>
    <w:uiPriority w:val="0"/>
    <w:pPr>
      <w:spacing w:after="120" w:afterLines="0" w:line="480" w:lineRule="auto"/>
    </w:pPr>
  </w:style>
  <w:style w:type="paragraph" w:styleId="50">
    <w:name w:val="HTML Preformatted"/>
    <w:basedOn w:val="1"/>
    <w:link w:val="10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51">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52">
    <w:name w:val="Body Text First Indent"/>
    <w:basedOn w:val="21"/>
    <w:link w:val="103"/>
    <w:unhideWhenUsed/>
    <w:qFormat/>
    <w:uiPriority w:val="0"/>
    <w:pPr>
      <w:spacing w:after="120" w:line="240" w:lineRule="auto"/>
      <w:ind w:firstLine="420" w:firstLineChars="100"/>
    </w:pPr>
    <w:rPr>
      <w:sz w:val="21"/>
    </w:rPr>
  </w:style>
  <w:style w:type="paragraph" w:styleId="53">
    <w:name w:val="Body Text First Indent 2"/>
    <w:basedOn w:val="23"/>
    <w:link w:val="104"/>
    <w:qFormat/>
    <w:uiPriority w:val="0"/>
    <w:pPr>
      <w:spacing w:after="120"/>
      <w:ind w:left="420" w:leftChars="200" w:firstLine="420" w:firstLineChars="200"/>
    </w:pPr>
    <w:rPr>
      <w:sz w:val="21"/>
      <w:szCs w:val="24"/>
    </w:rPr>
  </w:style>
  <w:style w:type="table" w:styleId="55">
    <w:name w:val="Table Grid"/>
    <w:basedOn w:val="5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22"/>
    <w:rPr>
      <w:b/>
      <w:bCs/>
    </w:rPr>
  </w:style>
  <w:style w:type="character" w:styleId="58">
    <w:name w:val="endnote reference"/>
    <w:unhideWhenUsed/>
    <w:qFormat/>
    <w:uiPriority w:val="99"/>
    <w:rPr>
      <w:vertAlign w:val="superscript"/>
    </w:rPr>
  </w:style>
  <w:style w:type="character" w:styleId="59">
    <w:name w:val="page number"/>
    <w:qFormat/>
    <w:uiPriority w:val="0"/>
  </w:style>
  <w:style w:type="character" w:styleId="60">
    <w:name w:val="FollowedHyperlink"/>
    <w:qFormat/>
    <w:uiPriority w:val="99"/>
    <w:rPr>
      <w:color w:val="800080"/>
      <w:u w:val="single"/>
    </w:rPr>
  </w:style>
  <w:style w:type="character" w:styleId="61">
    <w:name w:val="Emphasis"/>
    <w:qFormat/>
    <w:uiPriority w:val="0"/>
    <w:rPr>
      <w:color w:val="CC0000"/>
    </w:rPr>
  </w:style>
  <w:style w:type="character" w:styleId="62">
    <w:name w:val="HTML Definition"/>
    <w:unhideWhenUsed/>
    <w:qFormat/>
    <w:uiPriority w:val="0"/>
  </w:style>
  <w:style w:type="character" w:styleId="63">
    <w:name w:val="HTML Variable"/>
    <w:unhideWhenUsed/>
    <w:qFormat/>
    <w:uiPriority w:val="0"/>
  </w:style>
  <w:style w:type="character" w:styleId="64">
    <w:name w:val="Hyperlink"/>
    <w:qFormat/>
    <w:uiPriority w:val="0"/>
    <w:rPr>
      <w:color w:val="0000FF"/>
      <w:u w:val="single"/>
    </w:rPr>
  </w:style>
  <w:style w:type="character" w:styleId="65">
    <w:name w:val="HTML Code"/>
    <w:unhideWhenUsed/>
    <w:qFormat/>
    <w:uiPriority w:val="0"/>
    <w:rPr>
      <w:rFonts w:hint="default" w:ascii="Courier New" w:hAnsi="Courier New" w:eastAsia="Courier New" w:cs="Courier New"/>
      <w:sz w:val="24"/>
      <w:szCs w:val="24"/>
    </w:rPr>
  </w:style>
  <w:style w:type="character" w:styleId="66">
    <w:name w:val="annotation reference"/>
    <w:qFormat/>
    <w:uiPriority w:val="0"/>
    <w:rPr>
      <w:sz w:val="21"/>
      <w:szCs w:val="21"/>
    </w:rPr>
  </w:style>
  <w:style w:type="character" w:styleId="67">
    <w:name w:val="HTML Cite"/>
    <w:unhideWhenUsed/>
    <w:qFormat/>
    <w:uiPriority w:val="0"/>
  </w:style>
  <w:style w:type="character" w:styleId="68">
    <w:name w:val="footnote reference"/>
    <w:unhideWhenUsed/>
    <w:qFormat/>
    <w:uiPriority w:val="99"/>
    <w:rPr>
      <w:vertAlign w:val="superscript"/>
    </w:rPr>
  </w:style>
  <w:style w:type="character" w:styleId="69">
    <w:name w:val="HTML Keyboard"/>
    <w:unhideWhenUsed/>
    <w:qFormat/>
    <w:uiPriority w:val="0"/>
    <w:rPr>
      <w:rFonts w:hint="default" w:ascii="Courier New" w:hAnsi="Courier New" w:eastAsia="Courier New" w:cs="Courier New"/>
      <w:sz w:val="24"/>
      <w:szCs w:val="24"/>
    </w:rPr>
  </w:style>
  <w:style w:type="character" w:styleId="70">
    <w:name w:val="HTML Sample"/>
    <w:unhideWhenUsed/>
    <w:qFormat/>
    <w:uiPriority w:val="99"/>
    <w:rPr>
      <w:rFonts w:hint="default" w:ascii="Courier New" w:hAnsi="Courier New" w:eastAsia="Times New Roman" w:cs="Courier New"/>
    </w:rPr>
  </w:style>
  <w:style w:type="paragraph" w:customStyle="1" w:styleId="71">
    <w:name w:val="样式 0正文 + 首行缩进:  2 字符1"/>
    <w:basedOn w:val="1"/>
    <w:qFormat/>
    <w:uiPriority w:val="99"/>
    <w:pPr>
      <w:spacing w:line="360" w:lineRule="auto"/>
      <w:ind w:firstLine="200" w:firstLineChars="200"/>
    </w:pPr>
    <w:rPr>
      <w:szCs w:val="20"/>
    </w:rPr>
  </w:style>
  <w:style w:type="paragraph" w:customStyle="1" w:styleId="72">
    <w:name w:val="正文首行缩进1"/>
    <w:basedOn w:val="1"/>
    <w:qFormat/>
    <w:uiPriority w:val="0"/>
    <w:pPr>
      <w:spacing w:after="120"/>
      <w:ind w:firstLine="420" w:firstLineChars="100"/>
    </w:pPr>
  </w:style>
  <w:style w:type="character" w:customStyle="1" w:styleId="73">
    <w:name w:val="标题 1 字符"/>
    <w:link w:val="3"/>
    <w:qFormat/>
    <w:uiPriority w:val="0"/>
    <w:rPr>
      <w:rFonts w:eastAsia="宋体"/>
      <w:b/>
      <w:bCs/>
      <w:kern w:val="44"/>
      <w:sz w:val="44"/>
      <w:szCs w:val="44"/>
      <w:lang w:val="en-US" w:eastAsia="zh-CN" w:bidi="ar-SA"/>
    </w:rPr>
  </w:style>
  <w:style w:type="character" w:customStyle="1" w:styleId="74">
    <w:name w:val="标题 2 字符"/>
    <w:link w:val="4"/>
    <w:qFormat/>
    <w:uiPriority w:val="0"/>
    <w:rPr>
      <w:rFonts w:ascii="Arial" w:hAnsi="Arial" w:eastAsia="黑体"/>
      <w:b/>
      <w:bCs/>
      <w:sz w:val="32"/>
      <w:szCs w:val="32"/>
      <w:lang w:bidi="ar-SA"/>
    </w:rPr>
  </w:style>
  <w:style w:type="character" w:customStyle="1" w:styleId="75">
    <w:name w:val=" Char Char34"/>
    <w:link w:val="5"/>
    <w:qFormat/>
    <w:uiPriority w:val="0"/>
    <w:rPr>
      <w:rFonts w:eastAsia="宋体"/>
      <w:b/>
      <w:bCs/>
      <w:sz w:val="32"/>
      <w:szCs w:val="32"/>
      <w:lang w:bidi="ar-SA"/>
    </w:rPr>
  </w:style>
  <w:style w:type="character" w:customStyle="1" w:styleId="76">
    <w:name w:val="标题 4 字符"/>
    <w:link w:val="6"/>
    <w:qFormat/>
    <w:uiPriority w:val="0"/>
    <w:rPr>
      <w:rFonts w:ascii="Arial" w:hAnsi="Arial" w:eastAsia="黑体"/>
      <w:sz w:val="28"/>
      <w:lang w:bidi="ar-SA"/>
    </w:rPr>
  </w:style>
  <w:style w:type="character" w:customStyle="1" w:styleId="77">
    <w:name w:val="标题 5 字符"/>
    <w:link w:val="7"/>
    <w:qFormat/>
    <w:uiPriority w:val="0"/>
    <w:rPr>
      <w:rFonts w:eastAsia="宋体"/>
      <w:b/>
      <w:kern w:val="2"/>
      <w:sz w:val="28"/>
      <w:szCs w:val="24"/>
      <w:lang w:val="en-US" w:eastAsia="zh-CN" w:bidi="ar-SA"/>
    </w:rPr>
  </w:style>
  <w:style w:type="character" w:customStyle="1" w:styleId="78">
    <w:name w:val="正文缩进 字符"/>
    <w:link w:val="8"/>
    <w:qFormat/>
    <w:locked/>
    <w:uiPriority w:val="0"/>
    <w:rPr>
      <w:kern w:val="2"/>
      <w:sz w:val="21"/>
    </w:rPr>
  </w:style>
  <w:style w:type="character" w:customStyle="1" w:styleId="79">
    <w:name w:val="标题 6 字符"/>
    <w:link w:val="9"/>
    <w:qFormat/>
    <w:uiPriority w:val="0"/>
    <w:rPr>
      <w:rFonts w:ascii="Arial" w:hAnsi="Arial" w:eastAsia="黑体"/>
      <w:b/>
      <w:kern w:val="2"/>
      <w:sz w:val="24"/>
      <w:szCs w:val="24"/>
      <w:lang w:val="en-US" w:eastAsia="zh-CN" w:bidi="ar-SA"/>
    </w:rPr>
  </w:style>
  <w:style w:type="character" w:customStyle="1" w:styleId="80">
    <w:name w:val="标题 7 字符"/>
    <w:link w:val="10"/>
    <w:qFormat/>
    <w:uiPriority w:val="0"/>
    <w:rPr>
      <w:rFonts w:eastAsia="宋体"/>
      <w:b/>
      <w:kern w:val="2"/>
      <w:sz w:val="24"/>
      <w:szCs w:val="24"/>
      <w:lang w:val="en-US" w:eastAsia="zh-CN" w:bidi="ar-SA"/>
    </w:rPr>
  </w:style>
  <w:style w:type="character" w:customStyle="1" w:styleId="81">
    <w:name w:val="标题 8 字符"/>
    <w:link w:val="11"/>
    <w:qFormat/>
    <w:uiPriority w:val="0"/>
    <w:rPr>
      <w:rFonts w:ascii="Arial" w:hAnsi="Arial" w:eastAsia="黑体"/>
      <w:kern w:val="2"/>
      <w:sz w:val="24"/>
      <w:szCs w:val="24"/>
      <w:lang w:val="en-US" w:eastAsia="zh-CN" w:bidi="ar-SA"/>
    </w:rPr>
  </w:style>
  <w:style w:type="character" w:customStyle="1" w:styleId="82">
    <w:name w:val="标题 9 字符"/>
    <w:link w:val="12"/>
    <w:qFormat/>
    <w:uiPriority w:val="0"/>
    <w:rPr>
      <w:rFonts w:ascii="Arial" w:hAnsi="Arial" w:eastAsia="黑体"/>
      <w:kern w:val="2"/>
      <w:sz w:val="21"/>
      <w:szCs w:val="24"/>
      <w:lang w:val="en-US" w:eastAsia="zh-CN" w:bidi="ar-SA"/>
    </w:rPr>
  </w:style>
  <w:style w:type="character" w:customStyle="1" w:styleId="83">
    <w:name w:val="文档结构图 字符"/>
    <w:link w:val="17"/>
    <w:qFormat/>
    <w:uiPriority w:val="0"/>
    <w:rPr>
      <w:rFonts w:eastAsia="宋体"/>
      <w:kern w:val="2"/>
      <w:sz w:val="21"/>
      <w:szCs w:val="24"/>
      <w:lang w:val="en-US" w:eastAsia="zh-CN" w:bidi="ar-SA"/>
    </w:rPr>
  </w:style>
  <w:style w:type="character" w:customStyle="1" w:styleId="84">
    <w:name w:val="批注文字 字符"/>
    <w:link w:val="18"/>
    <w:qFormat/>
    <w:uiPriority w:val="0"/>
    <w:rPr>
      <w:rFonts w:eastAsia="宋体"/>
      <w:sz w:val="24"/>
      <w:lang w:bidi="ar-SA"/>
    </w:rPr>
  </w:style>
  <w:style w:type="character" w:customStyle="1" w:styleId="85">
    <w:name w:val="称呼 字符"/>
    <w:link w:val="19"/>
    <w:qFormat/>
    <w:uiPriority w:val="0"/>
    <w:rPr>
      <w:kern w:val="2"/>
      <w:sz w:val="28"/>
      <w:szCs w:val="24"/>
    </w:rPr>
  </w:style>
  <w:style w:type="character" w:customStyle="1" w:styleId="86">
    <w:name w:val="正文文本 3 字符"/>
    <w:link w:val="20"/>
    <w:qFormat/>
    <w:uiPriority w:val="0"/>
    <w:rPr>
      <w:rFonts w:eastAsia="宋体"/>
      <w:b/>
      <w:bCs/>
      <w:kern w:val="2"/>
      <w:sz w:val="24"/>
      <w:szCs w:val="24"/>
      <w:lang w:val="en-US" w:eastAsia="zh-CN" w:bidi="ar-SA"/>
    </w:rPr>
  </w:style>
  <w:style w:type="character" w:customStyle="1" w:styleId="87">
    <w:name w:val="正文文本 字符"/>
    <w:link w:val="21"/>
    <w:qFormat/>
    <w:uiPriority w:val="0"/>
    <w:rPr>
      <w:rFonts w:eastAsia="宋体"/>
      <w:kern w:val="2"/>
      <w:sz w:val="24"/>
      <w:szCs w:val="24"/>
      <w:lang w:val="en-US" w:eastAsia="zh-CN" w:bidi="ar-SA"/>
    </w:rPr>
  </w:style>
  <w:style w:type="character" w:customStyle="1" w:styleId="88">
    <w:name w:val="标题 字符"/>
    <w:link w:val="22"/>
    <w:qFormat/>
    <w:uiPriority w:val="0"/>
    <w:rPr>
      <w:rFonts w:ascii="Arial" w:hAnsi="Arial" w:eastAsia="宋体"/>
      <w:b/>
      <w:bCs/>
      <w:kern w:val="2"/>
      <w:sz w:val="32"/>
      <w:szCs w:val="32"/>
      <w:lang w:bidi="ar-SA"/>
    </w:rPr>
  </w:style>
  <w:style w:type="character" w:customStyle="1" w:styleId="89">
    <w:name w:val="正文文本缩进 字符"/>
    <w:link w:val="23"/>
    <w:qFormat/>
    <w:uiPriority w:val="0"/>
    <w:rPr>
      <w:rFonts w:ascii="仿宋_GB2312" w:eastAsia="仿宋_GB2312"/>
      <w:kern w:val="2"/>
      <w:sz w:val="32"/>
      <w:lang w:val="en-US" w:eastAsia="zh-CN" w:bidi="ar-SA"/>
    </w:rPr>
  </w:style>
  <w:style w:type="character" w:customStyle="1" w:styleId="90">
    <w:name w:val="批注主题 字符"/>
    <w:link w:val="24"/>
    <w:qFormat/>
    <w:uiPriority w:val="0"/>
    <w:rPr>
      <w:rFonts w:eastAsia="宋体"/>
      <w:b/>
      <w:bCs/>
      <w:kern w:val="2"/>
      <w:sz w:val="21"/>
      <w:szCs w:val="24"/>
      <w:lang w:bidi="ar-SA"/>
    </w:rPr>
  </w:style>
  <w:style w:type="character" w:customStyle="1" w:styleId="91">
    <w:name w:val="纯文本 字符2"/>
    <w:link w:val="30"/>
    <w:qFormat/>
    <w:uiPriority w:val="0"/>
    <w:rPr>
      <w:rFonts w:ascii="宋体" w:hAnsi="Courier New" w:eastAsia="宋体" w:cs="Courier New"/>
      <w:kern w:val="2"/>
      <w:sz w:val="21"/>
      <w:szCs w:val="21"/>
      <w:lang w:val="en-US" w:eastAsia="zh-CN" w:bidi="ar-SA"/>
    </w:rPr>
  </w:style>
  <w:style w:type="character" w:customStyle="1" w:styleId="92">
    <w:name w:val="日期 字符"/>
    <w:link w:val="32"/>
    <w:qFormat/>
    <w:uiPriority w:val="0"/>
    <w:rPr>
      <w:rFonts w:ascii="宋体" w:hAnsi="Courier New" w:eastAsia="宋体" w:cs="Courier New"/>
      <w:kern w:val="2"/>
      <w:sz w:val="21"/>
      <w:szCs w:val="21"/>
      <w:lang w:val="en-US" w:eastAsia="zh-CN" w:bidi="ar-SA"/>
    </w:rPr>
  </w:style>
  <w:style w:type="character" w:customStyle="1" w:styleId="93">
    <w:name w:val="正文文本缩进 2 字符"/>
    <w:link w:val="33"/>
    <w:qFormat/>
    <w:uiPriority w:val="0"/>
    <w:rPr>
      <w:rFonts w:eastAsia="宋体"/>
      <w:kern w:val="2"/>
      <w:sz w:val="32"/>
      <w:lang w:val="en-US" w:eastAsia="zh-CN" w:bidi="ar-SA"/>
    </w:rPr>
  </w:style>
  <w:style w:type="character" w:customStyle="1" w:styleId="94">
    <w:name w:val="尾注文本 字符"/>
    <w:link w:val="34"/>
    <w:qFormat/>
    <w:uiPriority w:val="0"/>
    <w:rPr>
      <w:rFonts w:ascii="Calibri" w:hAnsi="Calibri"/>
      <w:kern w:val="2"/>
      <w:sz w:val="21"/>
      <w:szCs w:val="22"/>
    </w:rPr>
  </w:style>
  <w:style w:type="character" w:customStyle="1" w:styleId="95">
    <w:name w:val="批注框文本 字符"/>
    <w:link w:val="35"/>
    <w:semiHidden/>
    <w:qFormat/>
    <w:uiPriority w:val="0"/>
    <w:rPr>
      <w:rFonts w:eastAsia="宋体"/>
      <w:kern w:val="2"/>
      <w:sz w:val="18"/>
      <w:szCs w:val="18"/>
      <w:lang w:val="en-US" w:eastAsia="zh-CN" w:bidi="ar-SA"/>
    </w:rPr>
  </w:style>
  <w:style w:type="character" w:customStyle="1" w:styleId="96">
    <w:name w:val="页脚 字符1"/>
    <w:link w:val="36"/>
    <w:qFormat/>
    <w:uiPriority w:val="0"/>
    <w:rPr>
      <w:rFonts w:eastAsia="宋体"/>
      <w:kern w:val="2"/>
      <w:sz w:val="18"/>
      <w:szCs w:val="18"/>
      <w:lang w:val="en-US" w:eastAsia="zh-CN" w:bidi="ar-SA"/>
    </w:rPr>
  </w:style>
  <w:style w:type="character" w:customStyle="1" w:styleId="97">
    <w:name w:val="页眉 字符1"/>
    <w:link w:val="37"/>
    <w:qFormat/>
    <w:uiPriority w:val="0"/>
    <w:rPr>
      <w:kern w:val="2"/>
      <w:sz w:val="18"/>
      <w:szCs w:val="18"/>
    </w:rPr>
  </w:style>
  <w:style w:type="character" w:customStyle="1" w:styleId="98">
    <w:name w:val="副标题 字符"/>
    <w:link w:val="40"/>
    <w:qFormat/>
    <w:locked/>
    <w:uiPriority w:val="11"/>
    <w:rPr>
      <w:rFonts w:ascii="Calibri Light" w:hAnsi="Calibri Light"/>
      <w:b/>
      <w:bCs/>
      <w:kern w:val="28"/>
      <w:sz w:val="32"/>
      <w:szCs w:val="32"/>
    </w:rPr>
  </w:style>
  <w:style w:type="character" w:customStyle="1" w:styleId="99">
    <w:name w:val="脚注文本 字符"/>
    <w:link w:val="42"/>
    <w:qFormat/>
    <w:uiPriority w:val="99"/>
    <w:rPr>
      <w:sz w:val="18"/>
      <w:szCs w:val="18"/>
    </w:rPr>
  </w:style>
  <w:style w:type="character" w:customStyle="1" w:styleId="100">
    <w:name w:val="正文文本缩进 3 字符"/>
    <w:link w:val="45"/>
    <w:qFormat/>
    <w:uiPriority w:val="0"/>
    <w:rPr>
      <w:rFonts w:eastAsia="宋体"/>
      <w:kern w:val="2"/>
      <w:sz w:val="16"/>
      <w:szCs w:val="16"/>
      <w:lang w:val="en-US" w:eastAsia="zh-CN" w:bidi="ar-SA"/>
    </w:rPr>
  </w:style>
  <w:style w:type="character" w:customStyle="1" w:styleId="101">
    <w:name w:val="正文文本 2 字符"/>
    <w:link w:val="49"/>
    <w:qFormat/>
    <w:uiPriority w:val="0"/>
    <w:rPr>
      <w:rFonts w:eastAsia="宋体"/>
      <w:kern w:val="2"/>
      <w:sz w:val="21"/>
      <w:szCs w:val="24"/>
      <w:lang w:val="en-US" w:eastAsia="zh-CN" w:bidi="ar-SA"/>
    </w:rPr>
  </w:style>
  <w:style w:type="character" w:customStyle="1" w:styleId="102">
    <w:name w:val="HTML 预设格式 字符"/>
    <w:link w:val="50"/>
    <w:qFormat/>
    <w:uiPriority w:val="0"/>
    <w:rPr>
      <w:rFonts w:ascii="黑体" w:hAnsi="Courier New" w:eastAsia="黑体" w:cs="Courier New"/>
      <w:lang w:val="en-US" w:eastAsia="zh-CN" w:bidi="ar-SA"/>
    </w:rPr>
  </w:style>
  <w:style w:type="character" w:customStyle="1" w:styleId="103">
    <w:name w:val="正文文本首行缩进 字符"/>
    <w:link w:val="52"/>
    <w:qFormat/>
    <w:locked/>
    <w:uiPriority w:val="0"/>
    <w:rPr>
      <w:rFonts w:eastAsia="宋体"/>
      <w:kern w:val="2"/>
      <w:sz w:val="21"/>
      <w:szCs w:val="24"/>
      <w:lang w:val="en-US" w:eastAsia="zh-CN" w:bidi="ar-SA"/>
    </w:rPr>
  </w:style>
  <w:style w:type="character" w:customStyle="1" w:styleId="104">
    <w:name w:val="正文文本首行缩进 2 字符"/>
    <w:link w:val="53"/>
    <w:qFormat/>
    <w:uiPriority w:val="0"/>
    <w:rPr>
      <w:rFonts w:ascii="仿宋_GB2312" w:eastAsia="仿宋_GB2312"/>
      <w:kern w:val="2"/>
      <w:sz w:val="21"/>
      <w:szCs w:val="24"/>
      <w:lang w:val="en-US" w:eastAsia="zh-CN" w:bidi="ar-SA"/>
    </w:rPr>
  </w:style>
  <w:style w:type="character" w:customStyle="1" w:styleId="105">
    <w:name w:val="标题 3 字符1"/>
    <w:link w:val="5"/>
    <w:qFormat/>
    <w:uiPriority w:val="9"/>
    <w:rPr>
      <w:b/>
      <w:bCs/>
      <w:sz w:val="32"/>
      <w:szCs w:val="32"/>
    </w:rPr>
  </w:style>
  <w:style w:type="character" w:customStyle="1" w:styleId="106">
    <w:name w:val="列出段落 Char1"/>
    <w:qFormat/>
    <w:locked/>
    <w:uiPriority w:val="0"/>
    <w:rPr>
      <w:rFonts w:hint="default" w:ascii="Calibri" w:hAnsi="Calibri" w:cs="Calibri"/>
      <w:kern w:val="2"/>
      <w:sz w:val="21"/>
      <w:szCs w:val="22"/>
    </w:rPr>
  </w:style>
  <w:style w:type="character" w:customStyle="1" w:styleId="107">
    <w:name w:val="h Char1"/>
    <w:qFormat/>
    <w:locked/>
    <w:uiPriority w:val="0"/>
    <w:rPr>
      <w:rFonts w:hint="eastAsia" w:ascii="宋体" w:hAnsi="宋体" w:eastAsia="宋体"/>
      <w:kern w:val="2"/>
      <w:sz w:val="18"/>
      <w:szCs w:val="18"/>
      <w:lang w:val="en-US" w:eastAsia="zh-CN" w:bidi="ar-SA"/>
    </w:rPr>
  </w:style>
  <w:style w:type="character" w:customStyle="1" w:styleId="108">
    <w:name w:val="手改 Char Char1"/>
    <w:qFormat/>
    <w:locked/>
    <w:uiPriority w:val="0"/>
    <w:rPr>
      <w:rFonts w:hint="eastAsia" w:ascii="宋体" w:hAnsi="宋体" w:eastAsia="宋体"/>
      <w:sz w:val="24"/>
      <w:szCs w:val="24"/>
      <w:lang w:bidi="ar-SA"/>
    </w:rPr>
  </w:style>
  <w:style w:type="character" w:customStyle="1" w:styleId="109">
    <w:name w:val="apple-converted-space"/>
    <w:qFormat/>
    <w:uiPriority w:val="0"/>
  </w:style>
  <w:style w:type="character" w:customStyle="1" w:styleId="110">
    <w:name w:val="Char Char Char Char Char Char Char1"/>
    <w:qFormat/>
    <w:uiPriority w:val="0"/>
    <w:rPr>
      <w:rFonts w:hint="eastAsia" w:ascii="宋体" w:hAnsi="宋体" w:eastAsia="宋体"/>
      <w:kern w:val="2"/>
      <w:sz w:val="24"/>
      <w:szCs w:val="24"/>
      <w:lang w:val="en-US" w:eastAsia="zh-CN" w:bidi="ar-SA"/>
    </w:rPr>
  </w:style>
  <w:style w:type="character" w:customStyle="1" w:styleId="111">
    <w:name w:val="批注文字 Char1"/>
    <w:qFormat/>
    <w:locked/>
    <w:uiPriority w:val="0"/>
    <w:rPr>
      <w:sz w:val="24"/>
    </w:rPr>
  </w:style>
  <w:style w:type="character" w:customStyle="1" w:styleId="112">
    <w:name w:val="value"/>
    <w:qFormat/>
    <w:uiPriority w:val="0"/>
  </w:style>
  <w:style w:type="character" w:customStyle="1" w:styleId="113">
    <w:name w:val="批注主题 Char"/>
    <w:link w:val="114"/>
    <w:qFormat/>
    <w:uiPriority w:val="99"/>
    <w:rPr>
      <w:rFonts w:eastAsia="宋体"/>
      <w:b/>
      <w:bCs/>
      <w:kern w:val="2"/>
      <w:sz w:val="21"/>
      <w:szCs w:val="24"/>
      <w:lang w:bidi="ar-SA"/>
    </w:rPr>
  </w:style>
  <w:style w:type="paragraph" w:customStyle="1" w:styleId="114">
    <w:name w:val="annotation subject"/>
    <w:basedOn w:val="18"/>
    <w:next w:val="18"/>
    <w:link w:val="113"/>
    <w:qFormat/>
    <w:uiPriority w:val="99"/>
    <w:pPr>
      <w:adjustRightInd/>
      <w:spacing w:line="240" w:lineRule="auto"/>
      <w:textAlignment w:val="auto"/>
    </w:pPr>
    <w:rPr>
      <w:b/>
      <w:bCs/>
      <w:kern w:val="2"/>
      <w:sz w:val="21"/>
      <w:szCs w:val="24"/>
    </w:rPr>
  </w:style>
  <w:style w:type="character" w:customStyle="1" w:styleId="115">
    <w:name w:val="批注框文本 Char2"/>
    <w:qFormat/>
    <w:locked/>
    <w:uiPriority w:val="0"/>
    <w:rPr>
      <w:kern w:val="2"/>
      <w:sz w:val="18"/>
      <w:szCs w:val="18"/>
    </w:rPr>
  </w:style>
  <w:style w:type="character" w:customStyle="1" w:styleId="116">
    <w:name w:val="Body Text Char"/>
    <w:qFormat/>
    <w:locked/>
    <w:uiPriority w:val="0"/>
    <w:rPr>
      <w:rFonts w:eastAsia="宋体"/>
      <w:kern w:val="2"/>
      <w:sz w:val="24"/>
      <w:szCs w:val="24"/>
      <w:lang w:val="en-US" w:eastAsia="zh-CN" w:bidi="ar-SA"/>
    </w:rPr>
  </w:style>
  <w:style w:type="character" w:customStyle="1" w:styleId="117">
    <w:name w:val="Char Char9"/>
    <w:qFormat/>
    <w:uiPriority w:val="0"/>
    <w:rPr>
      <w:rFonts w:hint="eastAsia" w:ascii="宋体" w:hAnsi="Courier New" w:eastAsia="宋体" w:cs="Courier New"/>
      <w:kern w:val="2"/>
      <w:sz w:val="21"/>
      <w:szCs w:val="21"/>
      <w:lang w:val="en-US" w:eastAsia="zh-CN" w:bidi="ar-SA"/>
    </w:rPr>
  </w:style>
  <w:style w:type="character" w:customStyle="1" w:styleId="118">
    <w:name w:val="列出段落 字符"/>
    <w:qFormat/>
    <w:uiPriority w:val="99"/>
    <w:rPr>
      <w:rFonts w:ascii="Calibri" w:hAnsi="Calibri" w:eastAsia="宋体"/>
      <w:kern w:val="2"/>
      <w:sz w:val="21"/>
      <w:szCs w:val="22"/>
      <w:lang w:val="en-US" w:eastAsia="zh-CN" w:bidi="ar-SA"/>
    </w:rPr>
  </w:style>
  <w:style w:type="character" w:customStyle="1" w:styleId="119">
    <w:name w:val=" Char Char11"/>
    <w:qFormat/>
    <w:uiPriority w:val="0"/>
    <w:rPr>
      <w:rFonts w:ascii="Times New Roman" w:hAnsi="Times New Roman" w:eastAsia="宋体" w:cs="Times New Roman"/>
      <w:sz w:val="30"/>
      <w:szCs w:val="24"/>
    </w:rPr>
  </w:style>
  <w:style w:type="character" w:customStyle="1" w:styleId="120">
    <w:name w:val="正文文本 3 Char2"/>
    <w:qFormat/>
    <w:locked/>
    <w:uiPriority w:val="0"/>
    <w:rPr>
      <w:rFonts w:hint="eastAsia" w:ascii="宋体" w:hAnsi="宋体" w:eastAsia="宋体"/>
      <w:b/>
      <w:bCs/>
      <w:kern w:val="2"/>
      <w:sz w:val="24"/>
      <w:szCs w:val="24"/>
    </w:rPr>
  </w:style>
  <w:style w:type="character" w:customStyle="1" w:styleId="121">
    <w:name w:val="Char Char5"/>
    <w:qFormat/>
    <w:uiPriority w:val="0"/>
    <w:rPr>
      <w:rFonts w:hint="eastAsia" w:ascii="宋体" w:hAnsi="Courier New" w:eastAsia="宋体" w:cs="Courier New"/>
      <w:kern w:val="2"/>
      <w:sz w:val="21"/>
      <w:szCs w:val="21"/>
      <w:lang w:val="en-US" w:eastAsia="zh-CN" w:bidi="ar-SA"/>
    </w:rPr>
  </w:style>
  <w:style w:type="character" w:customStyle="1" w:styleId="122">
    <w:name w:val="Char Char21"/>
    <w:qFormat/>
    <w:uiPriority w:val="0"/>
    <w:rPr>
      <w:rFonts w:hint="default" w:ascii="Arial" w:hAnsi="Arial" w:eastAsia="黑体" w:cs="Arial"/>
      <w:b/>
      <w:kern w:val="2"/>
      <w:sz w:val="24"/>
      <w:szCs w:val="24"/>
      <w:lang w:val="en-US" w:eastAsia="zh-CN" w:bidi="ar-SA"/>
    </w:rPr>
  </w:style>
  <w:style w:type="character" w:customStyle="1" w:styleId="123">
    <w:name w:val="style4"/>
    <w:qFormat/>
    <w:uiPriority w:val="0"/>
  </w:style>
  <w:style w:type="character" w:customStyle="1" w:styleId="124">
    <w:name w:val="rili1"/>
    <w:qFormat/>
    <w:uiPriority w:val="0"/>
  </w:style>
  <w:style w:type="character" w:customStyle="1" w:styleId="125">
    <w:name w:val="font41"/>
    <w:qFormat/>
    <w:uiPriority w:val="0"/>
    <w:rPr>
      <w:rFonts w:hint="eastAsia" w:ascii="仿宋_GB2312" w:eastAsia="仿宋_GB2312" w:cs="仿宋_GB2312"/>
      <w:color w:val="000000"/>
      <w:sz w:val="20"/>
      <w:szCs w:val="20"/>
      <w:u w:val="none"/>
    </w:rPr>
  </w:style>
  <w:style w:type="character" w:customStyle="1" w:styleId="126">
    <w:name w:val="标题 3 Char2"/>
    <w:qFormat/>
    <w:locked/>
    <w:uiPriority w:val="0"/>
    <w:rPr>
      <w:b/>
      <w:bCs/>
      <w:sz w:val="32"/>
      <w:szCs w:val="32"/>
    </w:rPr>
  </w:style>
  <w:style w:type="character" w:customStyle="1" w:styleId="127">
    <w:name w:val="正文文本 Char"/>
    <w:qFormat/>
    <w:uiPriority w:val="0"/>
    <w:rPr>
      <w:rFonts w:eastAsia="宋体"/>
      <w:kern w:val="2"/>
      <w:sz w:val="24"/>
      <w:szCs w:val="24"/>
      <w:lang w:val="en-US" w:eastAsia="zh-CN" w:bidi="ar-SA"/>
    </w:rPr>
  </w:style>
  <w:style w:type="character" w:customStyle="1" w:styleId="128">
    <w:name w:val="无间隔 Char Char"/>
    <w:qFormat/>
    <w:uiPriority w:val="0"/>
    <w:rPr>
      <w:rFonts w:ascii="Calibri" w:hAnsi="Calibri" w:eastAsia="宋体"/>
      <w:sz w:val="22"/>
      <w:szCs w:val="22"/>
      <w:lang w:val="en-US" w:eastAsia="zh-CN" w:bidi="ar-SA"/>
    </w:rPr>
  </w:style>
  <w:style w:type="character" w:customStyle="1" w:styleId="129">
    <w:name w:val="Char Char101"/>
    <w:qFormat/>
    <w:uiPriority w:val="0"/>
    <w:rPr>
      <w:rFonts w:hint="eastAsia" w:ascii="宋体" w:hAnsi="宋体" w:eastAsia="宋体"/>
      <w:kern w:val="2"/>
      <w:sz w:val="21"/>
      <w:szCs w:val="24"/>
      <w:lang w:val="en-US" w:eastAsia="zh-CN" w:bidi="ar-SA"/>
    </w:rPr>
  </w:style>
  <w:style w:type="character" w:customStyle="1" w:styleId="130">
    <w:name w:val="Char Char1111"/>
    <w:qFormat/>
    <w:uiPriority w:val="0"/>
    <w:rPr>
      <w:rFonts w:hint="default" w:ascii="Times New Roman" w:hAnsi="Times New Roman" w:eastAsia="宋体" w:cs="Times New Roman"/>
      <w:sz w:val="30"/>
      <w:szCs w:val="24"/>
    </w:rPr>
  </w:style>
  <w:style w:type="character" w:customStyle="1" w:styleId="131">
    <w:name w:val="称呼 Char"/>
    <w:qFormat/>
    <w:uiPriority w:val="0"/>
    <w:rPr>
      <w:kern w:val="2"/>
      <w:sz w:val="28"/>
      <w:szCs w:val="24"/>
    </w:rPr>
  </w:style>
  <w:style w:type="character" w:customStyle="1" w:styleId="132">
    <w:name w:val="font31"/>
    <w:qFormat/>
    <w:uiPriority w:val="0"/>
    <w:rPr>
      <w:rFonts w:hint="eastAsia" w:ascii="宋体" w:hAnsi="宋体" w:eastAsia="宋体"/>
      <w:color w:val="004A6F"/>
      <w:sz w:val="18"/>
      <w:szCs w:val="18"/>
    </w:rPr>
  </w:style>
  <w:style w:type="character" w:customStyle="1" w:styleId="133">
    <w:name w:val="自定义标题一 Char Char"/>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134">
    <w:name w:val="ca-6"/>
    <w:qFormat/>
    <w:uiPriority w:val="0"/>
  </w:style>
  <w:style w:type="character" w:customStyle="1" w:styleId="135">
    <w:name w:val="row08"/>
    <w:qFormat/>
    <w:uiPriority w:val="0"/>
    <w:rPr>
      <w:rFonts w:hint="default" w:ascii="Times New Roman" w:hAnsi="Times New Roman" w:cs="Times New Roman"/>
    </w:rPr>
  </w:style>
  <w:style w:type="character" w:customStyle="1" w:styleId="136">
    <w:name w:val="脚注文本 Char2"/>
    <w:qFormat/>
    <w:uiPriority w:val="99"/>
    <w:rPr>
      <w:kern w:val="2"/>
      <w:sz w:val="18"/>
      <w:szCs w:val="18"/>
    </w:rPr>
  </w:style>
  <w:style w:type="character" w:customStyle="1" w:styleId="137">
    <w:name w:val="Char Char14"/>
    <w:qFormat/>
    <w:uiPriority w:val="0"/>
    <w:rPr>
      <w:sz w:val="18"/>
      <w:szCs w:val="18"/>
    </w:rPr>
  </w:style>
  <w:style w:type="character" w:customStyle="1" w:styleId="138">
    <w:name w:val="Char Char27"/>
    <w:qFormat/>
    <w:uiPriority w:val="0"/>
    <w:rPr>
      <w:rFonts w:hint="eastAsia" w:ascii="宋体" w:hAnsi="宋体" w:eastAsia="宋体"/>
      <w:b/>
      <w:bCs/>
      <w:kern w:val="44"/>
      <w:sz w:val="44"/>
      <w:szCs w:val="44"/>
      <w:lang w:val="en-US" w:eastAsia="zh-CN" w:bidi="ar-SA"/>
    </w:rPr>
  </w:style>
  <w:style w:type="character" w:customStyle="1" w:styleId="139">
    <w:name w:val="Char Char25"/>
    <w:qFormat/>
    <w:uiPriority w:val="0"/>
    <w:rPr>
      <w:rFonts w:hint="eastAsia" w:ascii="宋体" w:hAnsi="宋体" w:eastAsia="宋体"/>
      <w:b/>
      <w:bCs/>
      <w:sz w:val="32"/>
      <w:szCs w:val="32"/>
      <w:lang w:bidi="ar-SA"/>
    </w:rPr>
  </w:style>
  <w:style w:type="character" w:customStyle="1" w:styleId="140">
    <w:name w:val="页脚 字符"/>
    <w:qFormat/>
    <w:locked/>
    <w:uiPriority w:val="99"/>
    <w:rPr>
      <w:sz w:val="18"/>
      <w:szCs w:val="18"/>
    </w:rPr>
  </w:style>
  <w:style w:type="character" w:customStyle="1" w:styleId="141">
    <w:name w:val="副标题 Char3"/>
    <w:qFormat/>
    <w:uiPriority w:val="11"/>
    <w:rPr>
      <w:rFonts w:hint="default" w:ascii="Cambria" w:hAnsi="Cambria" w:cs="Times New Roman"/>
      <w:b/>
      <w:bCs/>
      <w:kern w:val="28"/>
      <w:sz w:val="32"/>
      <w:szCs w:val="32"/>
    </w:rPr>
  </w:style>
  <w:style w:type="character" w:customStyle="1" w:styleId="142">
    <w:name w:val="ca-15"/>
    <w:qFormat/>
    <w:uiPriority w:val="0"/>
  </w:style>
  <w:style w:type="character" w:customStyle="1" w:styleId="143">
    <w:name w:val="Char Char8"/>
    <w:qFormat/>
    <w:locked/>
    <w:uiPriority w:val="0"/>
    <w:rPr>
      <w:rFonts w:ascii="仿宋_GB2312" w:eastAsia="仿宋_GB2312"/>
      <w:kern w:val="2"/>
      <w:sz w:val="32"/>
      <w:lang w:val="en-US" w:eastAsia="zh-CN" w:bidi="ar-SA"/>
    </w:rPr>
  </w:style>
  <w:style w:type="character" w:customStyle="1" w:styleId="144">
    <w:name w:val="Char Char241"/>
    <w:qFormat/>
    <w:uiPriority w:val="0"/>
    <w:rPr>
      <w:rFonts w:hint="default" w:ascii="Arial" w:hAnsi="Arial" w:eastAsia="黑体" w:cs="Arial"/>
      <w:sz w:val="28"/>
      <w:lang w:bidi="ar-SA"/>
    </w:rPr>
  </w:style>
  <w:style w:type="character" w:customStyle="1" w:styleId="145">
    <w:name w:val="ca-9"/>
    <w:qFormat/>
    <w:uiPriority w:val="0"/>
  </w:style>
  <w:style w:type="character" w:customStyle="1" w:styleId="146">
    <w:name w:val="Char Char10"/>
    <w:semiHidden/>
    <w:qFormat/>
    <w:uiPriority w:val="0"/>
    <w:rPr>
      <w:rFonts w:hint="eastAsia" w:ascii="宋体" w:hAnsi="宋体" w:eastAsia="宋体"/>
      <w:kern w:val="2"/>
      <w:sz w:val="24"/>
      <w:szCs w:val="24"/>
      <w:lang w:val="en-US" w:eastAsia="zh-CN" w:bidi="ar-SA"/>
    </w:rPr>
  </w:style>
  <w:style w:type="character" w:customStyle="1" w:styleId="147">
    <w:name w:val="cubane_hilight1"/>
    <w:qFormat/>
    <w:uiPriority w:val="0"/>
    <w:rPr>
      <w:color w:val="CC0000"/>
    </w:rPr>
  </w:style>
  <w:style w:type="character" w:customStyle="1" w:styleId="148">
    <w:name w:val="1ji Char"/>
    <w:link w:val="149"/>
    <w:qFormat/>
    <w:uiPriority w:val="0"/>
    <w:rPr>
      <w:rFonts w:ascii="宋体" w:hAnsi="宋体" w:eastAsia="宋体"/>
      <w:b/>
      <w:bCs/>
      <w:kern w:val="44"/>
      <w:sz w:val="36"/>
      <w:szCs w:val="44"/>
      <w:lang w:val="en-US" w:eastAsia="zh-CN" w:bidi="ar-SA"/>
    </w:rPr>
  </w:style>
  <w:style w:type="paragraph" w:customStyle="1" w:styleId="149">
    <w:name w:val="1ji"/>
    <w:basedOn w:val="3"/>
    <w:link w:val="148"/>
    <w:qFormat/>
    <w:uiPriority w:val="0"/>
    <w:pPr>
      <w:keepLines w:val="0"/>
      <w:widowControl/>
      <w:spacing w:before="0" w:beforeLines="0" w:after="0" w:afterLines="0" w:line="240" w:lineRule="auto"/>
      <w:jc w:val="center"/>
    </w:pPr>
    <w:rPr>
      <w:rFonts w:ascii="宋体" w:hAnsi="宋体"/>
      <w:sz w:val="36"/>
    </w:rPr>
  </w:style>
  <w:style w:type="character" w:customStyle="1" w:styleId="150">
    <w:name w:val="Char Char Char Char Char Char"/>
    <w:qFormat/>
    <w:uiPriority w:val="0"/>
    <w:rPr>
      <w:rFonts w:hint="eastAsia" w:ascii="宋体" w:hAnsi="宋体" w:eastAsia="宋体"/>
      <w:b/>
      <w:bCs/>
      <w:kern w:val="44"/>
      <w:sz w:val="44"/>
      <w:szCs w:val="44"/>
      <w:lang w:val="en-US" w:eastAsia="zh-CN" w:bidi="ar-SA"/>
    </w:rPr>
  </w:style>
  <w:style w:type="character" w:customStyle="1" w:styleId="151">
    <w:name w:val="ca-5"/>
    <w:qFormat/>
    <w:uiPriority w:val="0"/>
  </w:style>
  <w:style w:type="character" w:customStyle="1" w:styleId="152">
    <w:name w:val="font11"/>
    <w:qFormat/>
    <w:uiPriority w:val="0"/>
    <w:rPr>
      <w:rFonts w:hint="eastAsia" w:ascii="宋体" w:hAnsi="宋体" w:eastAsia="宋体" w:cs="宋体"/>
      <w:color w:val="000000"/>
      <w:sz w:val="24"/>
      <w:szCs w:val="24"/>
      <w:u w:val="none"/>
    </w:rPr>
  </w:style>
  <w:style w:type="character" w:customStyle="1" w:styleId="153">
    <w:name w:val="ca-4"/>
    <w:qFormat/>
    <w:uiPriority w:val="0"/>
  </w:style>
  <w:style w:type="character" w:customStyle="1" w:styleId="154">
    <w:name w:val="正文文本缩进 2 Char2"/>
    <w:qFormat/>
    <w:locked/>
    <w:uiPriority w:val="0"/>
    <w:rPr>
      <w:kern w:val="2"/>
      <w:sz w:val="32"/>
    </w:rPr>
  </w:style>
  <w:style w:type="character" w:customStyle="1" w:styleId="155">
    <w:name w:val="style21"/>
    <w:qFormat/>
    <w:uiPriority w:val="0"/>
    <w:rPr>
      <w:sz w:val="18"/>
      <w:szCs w:val="18"/>
    </w:rPr>
  </w:style>
  <w:style w:type="character" w:customStyle="1" w:styleId="156">
    <w:name w:val="页码 New New New"/>
    <w:qFormat/>
    <w:uiPriority w:val="0"/>
  </w:style>
  <w:style w:type="character" w:customStyle="1" w:styleId="157">
    <w:name w:val="页码 New New New New New New"/>
    <w:qFormat/>
    <w:uiPriority w:val="0"/>
  </w:style>
  <w:style w:type="character" w:customStyle="1" w:styleId="158">
    <w:name w:val="mark16"/>
    <w:qFormat/>
    <w:uiPriority w:val="0"/>
  </w:style>
  <w:style w:type="character" w:customStyle="1" w:styleId="159">
    <w:name w:val="纯文本 Char1"/>
    <w:qFormat/>
    <w:uiPriority w:val="0"/>
    <w:rPr>
      <w:rFonts w:ascii="宋体" w:hAnsi="Courier New" w:eastAsia="宋体" w:cs="Courier New"/>
      <w:kern w:val="2"/>
      <w:sz w:val="21"/>
      <w:szCs w:val="21"/>
      <w:lang w:val="en-US" w:eastAsia="zh-CN" w:bidi="ar-SA"/>
    </w:rPr>
  </w:style>
  <w:style w:type="character" w:customStyle="1" w:styleId="160">
    <w:name w:val="apple-style-span"/>
    <w:qFormat/>
    <w:uiPriority w:val="0"/>
  </w:style>
  <w:style w:type="character" w:customStyle="1" w:styleId="161">
    <w:name w:val="Char Char35"/>
    <w:qFormat/>
    <w:locked/>
    <w:uiPriority w:val="0"/>
    <w:rPr>
      <w:rFonts w:hint="default" w:ascii="Arial" w:hAnsi="Arial" w:eastAsia="黑体" w:cs="宋体"/>
      <w:b/>
      <w:bCs/>
      <w:kern w:val="2"/>
      <w:sz w:val="32"/>
      <w:szCs w:val="32"/>
      <w:lang w:val="en-US" w:eastAsia="zh-CN" w:bidi="ar-SA"/>
    </w:rPr>
  </w:style>
  <w:style w:type="character" w:customStyle="1" w:styleId="162">
    <w:name w:val="页码 New"/>
    <w:qFormat/>
    <w:uiPriority w:val="0"/>
  </w:style>
  <w:style w:type="character" w:customStyle="1" w:styleId="163">
    <w:name w:val="style161"/>
    <w:qFormat/>
    <w:uiPriority w:val="0"/>
    <w:rPr>
      <w:color w:val="666666"/>
    </w:rPr>
  </w:style>
  <w:style w:type="character" w:customStyle="1" w:styleId="164">
    <w:name w:val="_Style 163"/>
    <w:qFormat/>
    <w:uiPriority w:val="0"/>
    <w:rPr>
      <w:i/>
      <w:iCs/>
      <w:color w:val="808080"/>
    </w:rPr>
  </w:style>
  <w:style w:type="character" w:customStyle="1" w:styleId="165">
    <w:name w:val="Char Char3"/>
    <w:qFormat/>
    <w:uiPriority w:val="0"/>
    <w:rPr>
      <w:rFonts w:hint="eastAsia" w:ascii="宋体" w:hAnsi="宋体" w:eastAsia="宋体"/>
      <w:kern w:val="2"/>
      <w:sz w:val="16"/>
      <w:szCs w:val="16"/>
      <w:lang w:val="en-US" w:eastAsia="zh-CN" w:bidi="ar-SA"/>
    </w:rPr>
  </w:style>
  <w:style w:type="character" w:customStyle="1" w:styleId="166">
    <w:name w:val="标题 8 Char"/>
    <w:qFormat/>
    <w:uiPriority w:val="0"/>
    <w:rPr>
      <w:rFonts w:ascii="Arial" w:hAnsi="Arial" w:eastAsia="黑体"/>
      <w:kern w:val="2"/>
      <w:sz w:val="24"/>
      <w:szCs w:val="24"/>
      <w:lang w:val="en-US" w:eastAsia="zh-CN" w:bidi="ar-SA"/>
    </w:rPr>
  </w:style>
  <w:style w:type="character" w:customStyle="1" w:styleId="167">
    <w:name w:val="ca-10"/>
    <w:qFormat/>
    <w:uiPriority w:val="0"/>
  </w:style>
  <w:style w:type="character" w:customStyle="1" w:styleId="168">
    <w:name w:val="Char Char7"/>
    <w:qFormat/>
    <w:locked/>
    <w:uiPriority w:val="0"/>
    <w:rPr>
      <w:rFonts w:hint="eastAsia" w:ascii="宋体" w:hAnsi="宋体" w:eastAsia="宋体"/>
      <w:kern w:val="2"/>
      <w:sz w:val="21"/>
      <w:szCs w:val="24"/>
      <w:lang w:val="en-US" w:eastAsia="zh-CN" w:bidi="ar-SA"/>
    </w:rPr>
  </w:style>
  <w:style w:type="character" w:customStyle="1" w:styleId="169">
    <w:name w:val="Char Char26"/>
    <w:qFormat/>
    <w:uiPriority w:val="0"/>
    <w:rPr>
      <w:rFonts w:hint="default" w:ascii="Arial" w:hAnsi="Arial" w:eastAsia="黑体" w:cs="Arial"/>
      <w:b/>
      <w:bCs/>
      <w:sz w:val="32"/>
      <w:szCs w:val="32"/>
      <w:lang w:bidi="ar-SA"/>
    </w:rPr>
  </w:style>
  <w:style w:type="character" w:customStyle="1" w:styleId="170">
    <w:name w:val="Char Char36"/>
    <w:qFormat/>
    <w:locked/>
    <w:uiPriority w:val="0"/>
    <w:rPr>
      <w:rFonts w:hint="eastAsia" w:ascii="宋体" w:hAnsi="宋体" w:eastAsia="宋体"/>
      <w:b/>
      <w:spacing w:val="-2"/>
      <w:sz w:val="24"/>
      <w:lang w:val="en-US" w:eastAsia="zh-CN" w:bidi="ar-SA"/>
    </w:rPr>
  </w:style>
  <w:style w:type="character" w:customStyle="1" w:styleId="171">
    <w:name w:val="标题 3 Char Char"/>
    <w:qFormat/>
    <w:locked/>
    <w:uiPriority w:val="0"/>
    <w:rPr>
      <w:rFonts w:hint="eastAsia" w:ascii="宋体" w:hAnsi="宋体" w:eastAsia="宋体"/>
      <w:b/>
      <w:bCs/>
      <w:kern w:val="2"/>
      <w:sz w:val="32"/>
      <w:szCs w:val="32"/>
      <w:lang w:val="en-US" w:eastAsia="zh-CN" w:bidi="ar-SA"/>
    </w:rPr>
  </w:style>
  <w:style w:type="character" w:customStyle="1" w:styleId="172">
    <w:name w:val="不明显参考1"/>
    <w:qFormat/>
    <w:uiPriority w:val="31"/>
    <w:rPr>
      <w:smallCaps/>
      <w:color w:val="C0504D"/>
      <w:u w:val="single"/>
    </w:rPr>
  </w:style>
  <w:style w:type="character" w:customStyle="1" w:styleId="173">
    <w:name w:val="脚注文本 Char1"/>
    <w:qFormat/>
    <w:uiPriority w:val="99"/>
    <w:rPr>
      <w:kern w:val="2"/>
      <w:sz w:val="18"/>
      <w:szCs w:val="18"/>
    </w:rPr>
  </w:style>
  <w:style w:type="character" w:customStyle="1" w:styleId="174">
    <w:name w:val="细化要求 Char"/>
    <w:link w:val="175"/>
    <w:qFormat/>
    <w:locked/>
    <w:uiPriority w:val="0"/>
    <w:rPr>
      <w:rFonts w:ascii="楷体_GB2312" w:hAnsi="Calibri" w:eastAsia="楷体_GB2312"/>
      <w:b/>
      <w:color w:val="FF0000"/>
      <w:sz w:val="24"/>
    </w:rPr>
  </w:style>
  <w:style w:type="paragraph" w:customStyle="1" w:styleId="175">
    <w:name w:val="细化要求"/>
    <w:basedOn w:val="1"/>
    <w:link w:val="174"/>
    <w:qFormat/>
    <w:uiPriority w:val="0"/>
    <w:pPr>
      <w:ind w:firstLine="200" w:firstLineChars="200"/>
    </w:pPr>
    <w:rPr>
      <w:rFonts w:ascii="楷体_GB2312" w:hAnsi="Calibri" w:eastAsia="楷体_GB2312"/>
      <w:b/>
      <w:color w:val="FF0000"/>
      <w:kern w:val="0"/>
      <w:sz w:val="24"/>
      <w:szCs w:val="20"/>
    </w:rPr>
  </w:style>
  <w:style w:type="character" w:customStyle="1" w:styleId="176">
    <w:name w:val="纯文本 Char2"/>
    <w:qFormat/>
    <w:uiPriority w:val="0"/>
    <w:rPr>
      <w:rFonts w:ascii="宋体" w:hAnsi="Courier New" w:eastAsia="宋体" w:cs="Courier New"/>
      <w:kern w:val="2"/>
      <w:sz w:val="21"/>
      <w:szCs w:val="21"/>
      <w:lang w:val="en-US" w:eastAsia="zh-CN" w:bidi="ar-SA"/>
    </w:rPr>
  </w:style>
  <w:style w:type="character" w:customStyle="1" w:styleId="177">
    <w:name w:val="日期 Char2"/>
    <w:qFormat/>
    <w:locked/>
    <w:uiPriority w:val="0"/>
    <w:rPr>
      <w:kern w:val="2"/>
      <w:sz w:val="21"/>
      <w:szCs w:val="24"/>
    </w:rPr>
  </w:style>
  <w:style w:type="character" w:customStyle="1" w:styleId="178">
    <w:name w:val="Char Char33"/>
    <w:qFormat/>
    <w:locked/>
    <w:uiPriority w:val="0"/>
    <w:rPr>
      <w:rFonts w:hint="default" w:ascii="Arial" w:hAnsi="Arial" w:eastAsia="黑体" w:cs="宋体"/>
      <w:sz w:val="28"/>
      <w:lang w:val="en-US" w:eastAsia="zh-CN" w:bidi="ar-SA"/>
    </w:rPr>
  </w:style>
  <w:style w:type="character" w:customStyle="1" w:styleId="179">
    <w:name w:val="Char Char11"/>
    <w:qFormat/>
    <w:uiPriority w:val="0"/>
    <w:rPr>
      <w:rFonts w:hint="default" w:ascii="Times New Roman" w:hAnsi="Times New Roman" w:eastAsia="宋体" w:cs="Times New Roman"/>
      <w:sz w:val="30"/>
      <w:szCs w:val="24"/>
    </w:rPr>
  </w:style>
  <w:style w:type="character" w:customStyle="1" w:styleId="180">
    <w:name w:val=" Char Char15"/>
    <w:qFormat/>
    <w:uiPriority w:val="0"/>
    <w:rPr>
      <w:sz w:val="18"/>
      <w:szCs w:val="18"/>
    </w:rPr>
  </w:style>
  <w:style w:type="character" w:customStyle="1" w:styleId="181">
    <w:name w:val="标题 Char3"/>
    <w:qFormat/>
    <w:locked/>
    <w:uiPriority w:val="10"/>
    <w:rPr>
      <w:rFonts w:hint="default" w:ascii="Arial" w:hAnsi="Arial" w:cs="Arial"/>
      <w:b/>
      <w:bCs/>
      <w:kern w:val="2"/>
      <w:sz w:val="32"/>
      <w:szCs w:val="32"/>
    </w:rPr>
  </w:style>
  <w:style w:type="character" w:customStyle="1" w:styleId="182">
    <w:name w:val="正文文本 Char3"/>
    <w:qFormat/>
    <w:locked/>
    <w:uiPriority w:val="99"/>
    <w:rPr>
      <w:kern w:val="2"/>
      <w:sz w:val="21"/>
      <w:szCs w:val="24"/>
    </w:rPr>
  </w:style>
  <w:style w:type="character" w:customStyle="1" w:styleId="183">
    <w:name w:val="自定义标题一 Char"/>
    <w:link w:val="184"/>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paragraph" w:customStyle="1" w:styleId="184">
    <w:name w:val="自定义标题一"/>
    <w:basedOn w:val="3"/>
    <w:link w:val="183"/>
    <w:qFormat/>
    <w:uiPriority w:val="0"/>
    <w:pPr>
      <w:pageBreakBefore/>
      <w:tabs>
        <w:tab w:val="left" w:pos="144"/>
      </w:tabs>
      <w:spacing w:before="0" w:beforeLines="0" w:after="0" w:afterLines="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character" w:customStyle="1" w:styleId="185">
    <w:name w:val="unnamed3"/>
    <w:qFormat/>
    <w:uiPriority w:val="0"/>
  </w:style>
  <w:style w:type="character" w:customStyle="1" w:styleId="186">
    <w:name w:val="Char Char23"/>
    <w:qFormat/>
    <w:uiPriority w:val="0"/>
    <w:rPr>
      <w:rFonts w:hint="default" w:ascii="Times New Roman" w:hAnsi="Times New Roman" w:eastAsia="宋体" w:cs="Times New Roman"/>
      <w:b/>
      <w:bCs/>
      <w:kern w:val="44"/>
      <w:sz w:val="44"/>
      <w:szCs w:val="44"/>
    </w:rPr>
  </w:style>
  <w:style w:type="character" w:customStyle="1" w:styleId="187">
    <w:name w:val="段 Char"/>
    <w:link w:val="188"/>
    <w:qFormat/>
    <w:locked/>
    <w:uiPriority w:val="0"/>
    <w:rPr>
      <w:rFonts w:ascii="宋体"/>
      <w:sz w:val="21"/>
      <w:lang w:val="en-US" w:eastAsia="zh-CN" w:bidi="ar-SA"/>
    </w:rPr>
  </w:style>
  <w:style w:type="paragraph" w:customStyle="1" w:styleId="188">
    <w:name w:val="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89">
    <w:name w:val="Char Char19"/>
    <w:qFormat/>
    <w:uiPriority w:val="0"/>
    <w:rPr>
      <w:rFonts w:hint="default" w:ascii="Arial" w:hAnsi="Arial" w:eastAsia="黑体" w:cs="Arial"/>
      <w:kern w:val="2"/>
      <w:sz w:val="24"/>
      <w:szCs w:val="24"/>
      <w:lang w:val="en-US" w:eastAsia="zh-CN" w:bidi="ar-SA"/>
    </w:rPr>
  </w:style>
  <w:style w:type="character" w:customStyle="1" w:styleId="190">
    <w:name w:val="con"/>
    <w:qFormat/>
    <w:uiPriority w:val="0"/>
  </w:style>
  <w:style w:type="character" w:customStyle="1" w:styleId="191">
    <w:name w:val="ca-13"/>
    <w:qFormat/>
    <w:uiPriority w:val="0"/>
  </w:style>
  <w:style w:type="character" w:customStyle="1" w:styleId="192">
    <w:name w:val="正文文本 3 Char"/>
    <w:link w:val="193"/>
    <w:qFormat/>
    <w:uiPriority w:val="0"/>
    <w:rPr>
      <w:rFonts w:eastAsia="宋体"/>
      <w:b/>
      <w:bCs/>
      <w:kern w:val="2"/>
      <w:sz w:val="24"/>
      <w:szCs w:val="24"/>
      <w:lang w:val="en-US" w:eastAsia="zh-CN" w:bidi="ar-SA"/>
    </w:rPr>
  </w:style>
  <w:style w:type="paragraph" w:customStyle="1" w:styleId="193">
    <w:name w:val="Body Text 3"/>
    <w:basedOn w:val="1"/>
    <w:link w:val="192"/>
    <w:qFormat/>
    <w:uiPriority w:val="0"/>
    <w:pPr>
      <w:spacing w:line="500" w:lineRule="exact"/>
    </w:pPr>
    <w:rPr>
      <w:b/>
      <w:bCs/>
      <w:sz w:val="24"/>
    </w:rPr>
  </w:style>
  <w:style w:type="character" w:customStyle="1" w:styleId="194">
    <w:name w:val=" Char Char14"/>
    <w:qFormat/>
    <w:uiPriority w:val="0"/>
    <w:rPr>
      <w:sz w:val="18"/>
      <w:szCs w:val="18"/>
    </w:rPr>
  </w:style>
  <w:style w:type="character" w:customStyle="1" w:styleId="195">
    <w:name w:val="ca-7"/>
    <w:qFormat/>
    <w:uiPriority w:val="0"/>
  </w:style>
  <w:style w:type="character" w:customStyle="1" w:styleId="196">
    <w:name w:val="Char Char111"/>
    <w:qFormat/>
    <w:uiPriority w:val="0"/>
    <w:rPr>
      <w:rFonts w:hint="default" w:ascii="Times New Roman" w:hAnsi="Times New Roman" w:eastAsia="宋体" w:cs="Times New Roman"/>
      <w:sz w:val="30"/>
      <w:szCs w:val="24"/>
    </w:rPr>
  </w:style>
  <w:style w:type="character" w:customStyle="1" w:styleId="197">
    <w:name w:val="Plain Text Char1"/>
    <w:semiHidden/>
    <w:qFormat/>
    <w:uiPriority w:val="99"/>
    <w:rPr>
      <w:rFonts w:ascii="宋体" w:hAnsi="Courier New" w:cs="Courier New"/>
      <w:szCs w:val="21"/>
    </w:rPr>
  </w:style>
  <w:style w:type="character" w:customStyle="1" w:styleId="198">
    <w:name w:val="Char Char2"/>
    <w:qFormat/>
    <w:uiPriority w:val="0"/>
    <w:rPr>
      <w:rFonts w:hint="eastAsia" w:ascii="宋体" w:hAnsi="Courier New" w:eastAsia="宋体"/>
      <w:szCs w:val="21"/>
      <w:lang w:bidi="ar-SA"/>
    </w:rPr>
  </w:style>
  <w:style w:type="character" w:customStyle="1" w:styleId="199">
    <w:name w:val="Char Char143"/>
    <w:qFormat/>
    <w:uiPriority w:val="0"/>
    <w:rPr>
      <w:sz w:val="18"/>
      <w:szCs w:val="18"/>
    </w:rPr>
  </w:style>
  <w:style w:type="character" w:customStyle="1" w:styleId="200">
    <w:name w:val=" Char Char Char Char Char"/>
    <w:qFormat/>
    <w:uiPriority w:val="0"/>
    <w:rPr>
      <w:rFonts w:eastAsia="宋体"/>
      <w:b/>
      <w:bCs/>
      <w:kern w:val="44"/>
      <w:sz w:val="44"/>
      <w:szCs w:val="44"/>
      <w:lang w:val="en-US" w:eastAsia="zh-CN" w:bidi="ar-SA"/>
    </w:rPr>
  </w:style>
  <w:style w:type="character" w:customStyle="1" w:styleId="201">
    <w:name w:val="Char Char34"/>
    <w:qFormat/>
    <w:locked/>
    <w:uiPriority w:val="0"/>
    <w:rPr>
      <w:rFonts w:hint="eastAsia" w:ascii="宋体" w:hAnsi="宋体" w:eastAsia="宋体"/>
      <w:b/>
      <w:bCs/>
      <w:kern w:val="2"/>
      <w:sz w:val="32"/>
      <w:szCs w:val="32"/>
      <w:lang w:val="en-US" w:eastAsia="zh-CN" w:bidi="ar-SA"/>
    </w:rPr>
  </w:style>
  <w:style w:type="character" w:customStyle="1" w:styleId="202">
    <w:name w:val="ca-8"/>
    <w:qFormat/>
    <w:uiPriority w:val="0"/>
  </w:style>
  <w:style w:type="character" w:customStyle="1" w:styleId="203">
    <w:name w:val="正文文本 2 Char"/>
    <w:link w:val="204"/>
    <w:qFormat/>
    <w:uiPriority w:val="0"/>
    <w:rPr>
      <w:rFonts w:eastAsia="宋体"/>
      <w:kern w:val="2"/>
      <w:sz w:val="21"/>
      <w:szCs w:val="24"/>
      <w:lang w:val="en-US" w:eastAsia="zh-CN" w:bidi="ar-SA"/>
    </w:rPr>
  </w:style>
  <w:style w:type="paragraph" w:customStyle="1" w:styleId="204">
    <w:name w:val="Body Text 2"/>
    <w:basedOn w:val="1"/>
    <w:link w:val="203"/>
    <w:qFormat/>
    <w:uiPriority w:val="0"/>
    <w:pPr>
      <w:spacing w:after="120" w:line="480" w:lineRule="auto"/>
    </w:pPr>
  </w:style>
  <w:style w:type="character" w:customStyle="1" w:styleId="205">
    <w:name w:val="普通文字 Char Char5"/>
    <w:qFormat/>
    <w:uiPriority w:val="0"/>
    <w:rPr>
      <w:rFonts w:hint="eastAsia" w:ascii="宋体" w:hAnsi="Courier New" w:eastAsia="宋体" w:cs="Courier New"/>
      <w:kern w:val="2"/>
      <w:sz w:val="21"/>
      <w:szCs w:val="21"/>
    </w:rPr>
  </w:style>
  <w:style w:type="character" w:customStyle="1" w:styleId="206">
    <w:name w:val="Char Char17"/>
    <w:qFormat/>
    <w:uiPriority w:val="0"/>
    <w:rPr>
      <w:rFonts w:hint="default" w:ascii="Times New Roman" w:hAnsi="Times New Roman" w:cs="Times New Roman"/>
      <w:b/>
      <w:bCs/>
      <w:kern w:val="2"/>
      <w:sz w:val="21"/>
      <w:szCs w:val="24"/>
    </w:rPr>
  </w:style>
  <w:style w:type="character" w:customStyle="1" w:styleId="207">
    <w:name w:val="日期 Char"/>
    <w:link w:val="208"/>
    <w:qFormat/>
    <w:uiPriority w:val="0"/>
    <w:rPr>
      <w:rFonts w:ascii="宋体" w:hAnsi="Courier New" w:eastAsia="宋体" w:cs="Courier New"/>
      <w:kern w:val="2"/>
      <w:sz w:val="21"/>
      <w:szCs w:val="21"/>
      <w:lang w:val="en-US" w:eastAsia="zh-CN" w:bidi="ar-SA"/>
    </w:rPr>
  </w:style>
  <w:style w:type="paragraph" w:customStyle="1" w:styleId="208">
    <w:name w:val="Date"/>
    <w:basedOn w:val="1"/>
    <w:next w:val="1"/>
    <w:link w:val="207"/>
    <w:qFormat/>
    <w:uiPriority w:val="0"/>
    <w:pPr>
      <w:ind w:left="100" w:leftChars="2500"/>
    </w:pPr>
    <w:rPr>
      <w:rFonts w:ascii="宋体" w:hAnsi="Courier New" w:cs="Courier New"/>
      <w:szCs w:val="21"/>
    </w:rPr>
  </w:style>
  <w:style w:type="character" w:customStyle="1" w:styleId="209">
    <w:name w:val="文档结构图 Char"/>
    <w:link w:val="210"/>
    <w:qFormat/>
    <w:uiPriority w:val="0"/>
    <w:rPr>
      <w:rFonts w:eastAsia="宋体"/>
      <w:kern w:val="2"/>
      <w:sz w:val="21"/>
      <w:szCs w:val="24"/>
      <w:lang w:val="en-US" w:eastAsia="zh-CN" w:bidi="ar-SA"/>
    </w:rPr>
  </w:style>
  <w:style w:type="paragraph" w:customStyle="1" w:styleId="210">
    <w:name w:val="Document Map"/>
    <w:basedOn w:val="1"/>
    <w:link w:val="209"/>
    <w:qFormat/>
    <w:uiPriority w:val="0"/>
    <w:pPr>
      <w:shd w:val="clear" w:color="auto" w:fill="000080"/>
    </w:pPr>
  </w:style>
  <w:style w:type="character" w:customStyle="1" w:styleId="211">
    <w:name w:val="15"/>
    <w:qFormat/>
    <w:uiPriority w:val="0"/>
    <w:rPr>
      <w:rFonts w:hint="default" w:ascii="Times New Roman" w:hAnsi="Times New Roman" w:cs="Times New Roman"/>
      <w:color w:val="0000FF"/>
      <w:u w:val="single"/>
    </w:rPr>
  </w:style>
  <w:style w:type="character" w:customStyle="1" w:styleId="212">
    <w:name w:val="批注框文本 Char"/>
    <w:qFormat/>
    <w:uiPriority w:val="99"/>
    <w:rPr>
      <w:rFonts w:eastAsia="宋体"/>
      <w:kern w:val="2"/>
      <w:sz w:val="18"/>
      <w:szCs w:val="18"/>
      <w:lang w:val="en-US" w:eastAsia="zh-CN" w:bidi="ar-SA"/>
    </w:rPr>
  </w:style>
  <w:style w:type="character" w:customStyle="1" w:styleId="213">
    <w:name w:val="Char Char112"/>
    <w:qFormat/>
    <w:uiPriority w:val="0"/>
    <w:rPr>
      <w:rFonts w:hint="default" w:ascii="Times New Roman" w:hAnsi="Times New Roman" w:eastAsia="宋体" w:cs="Times New Roman"/>
      <w:sz w:val="30"/>
      <w:szCs w:val="24"/>
    </w:rPr>
  </w:style>
  <w:style w:type="character" w:customStyle="1" w:styleId="214">
    <w:name w:val="标题 4 Char2"/>
    <w:qFormat/>
    <w:locked/>
    <w:uiPriority w:val="0"/>
    <w:rPr>
      <w:rFonts w:hint="default" w:ascii="Arial" w:hAnsi="Arial" w:eastAsia="黑体" w:cs="Arial"/>
      <w:sz w:val="28"/>
    </w:rPr>
  </w:style>
  <w:style w:type="character" w:customStyle="1" w:styleId="215">
    <w:name w:val="标题 5 Char"/>
    <w:qFormat/>
    <w:uiPriority w:val="0"/>
    <w:rPr>
      <w:rFonts w:eastAsia="宋体"/>
      <w:b/>
      <w:kern w:val="2"/>
      <w:sz w:val="28"/>
      <w:szCs w:val="24"/>
      <w:lang w:val="en-US" w:eastAsia="zh-CN" w:bidi="ar-SA"/>
    </w:rPr>
  </w:style>
  <w:style w:type="character" w:customStyle="1" w:styleId="216">
    <w:name w:val="副标题 Char4"/>
    <w:qFormat/>
    <w:uiPriority w:val="11"/>
    <w:rPr>
      <w:rFonts w:hint="default" w:ascii="Cambria" w:hAnsi="Cambria" w:cs="Times New Roman"/>
      <w:b/>
      <w:bCs/>
      <w:kern w:val="28"/>
      <w:sz w:val="32"/>
      <w:szCs w:val="32"/>
    </w:rPr>
  </w:style>
  <w:style w:type="character" w:customStyle="1" w:styleId="217">
    <w:name w:val="sel9"/>
    <w:qFormat/>
    <w:uiPriority w:val="0"/>
    <w:rPr>
      <w:rFonts w:hint="eastAsia" w:ascii="宋体" w:hAnsi="宋体" w:eastAsia="宋体"/>
      <w:b/>
      <w:bCs/>
      <w:sz w:val="21"/>
      <w:szCs w:val="21"/>
    </w:rPr>
  </w:style>
  <w:style w:type="character" w:customStyle="1" w:styleId="218">
    <w:name w:val="font21"/>
    <w:qFormat/>
    <w:uiPriority w:val="0"/>
    <w:rPr>
      <w:rFonts w:hint="eastAsia" w:ascii="宋体" w:hAnsi="宋体" w:eastAsia="宋体" w:cs="宋体"/>
      <w:color w:val="000000"/>
      <w:sz w:val="24"/>
      <w:szCs w:val="24"/>
      <w:u w:val="none"/>
    </w:rPr>
  </w:style>
  <w:style w:type="character" w:customStyle="1" w:styleId="219">
    <w:name w:val="标题 Char4"/>
    <w:qFormat/>
    <w:uiPriority w:val="0"/>
    <w:rPr>
      <w:rFonts w:hint="default" w:ascii="Cambria" w:hAnsi="Cambria" w:cs="Times New Roman"/>
      <w:b/>
      <w:bCs/>
      <w:kern w:val="2"/>
      <w:sz w:val="32"/>
      <w:szCs w:val="32"/>
    </w:rPr>
  </w:style>
  <w:style w:type="character" w:customStyle="1" w:styleId="220">
    <w:name w:val="font01"/>
    <w:qFormat/>
    <w:uiPriority w:val="0"/>
    <w:rPr>
      <w:rFonts w:hint="default" w:ascii="Times New Roman" w:hAnsi="Times New Roman" w:cs="Times New Roman"/>
      <w:color w:val="000000"/>
      <w:sz w:val="24"/>
      <w:szCs w:val="24"/>
      <w:u w:val="none"/>
    </w:rPr>
  </w:style>
  <w:style w:type="character" w:customStyle="1" w:styleId="221">
    <w:name w:val="llyf92"/>
    <w:qFormat/>
    <w:uiPriority w:val="0"/>
    <w:rPr>
      <w:sz w:val="18"/>
      <w:szCs w:val="18"/>
    </w:rPr>
  </w:style>
  <w:style w:type="character" w:customStyle="1" w:styleId="222">
    <w:name w:val="font51"/>
    <w:qFormat/>
    <w:uiPriority w:val="0"/>
    <w:rPr>
      <w:rFonts w:hint="eastAsia" w:ascii="黑体" w:hAnsi="宋体" w:eastAsia="黑体" w:cs="黑体"/>
      <w:b/>
      <w:color w:val="000000"/>
      <w:sz w:val="40"/>
      <w:szCs w:val="40"/>
      <w:u w:val="none"/>
    </w:rPr>
  </w:style>
  <w:style w:type="character" w:customStyle="1" w:styleId="223">
    <w:name w:val="副标题 Char1"/>
    <w:qFormat/>
    <w:uiPriority w:val="11"/>
    <w:rPr>
      <w:rFonts w:hint="default" w:ascii="Cambria" w:hAnsi="Cambria" w:cs="Times New Roman"/>
      <w:b/>
      <w:bCs/>
      <w:kern w:val="28"/>
      <w:sz w:val="32"/>
      <w:szCs w:val="32"/>
    </w:rPr>
  </w:style>
  <w:style w:type="character" w:customStyle="1" w:styleId="224">
    <w:name w:val="H1 Char"/>
    <w:qFormat/>
    <w:uiPriority w:val="0"/>
    <w:rPr>
      <w:rFonts w:eastAsia="宋体"/>
      <w:b/>
      <w:bCs/>
      <w:kern w:val="44"/>
      <w:sz w:val="44"/>
      <w:szCs w:val="44"/>
      <w:lang w:val="en-US" w:eastAsia="zh-CN" w:bidi="ar-SA"/>
    </w:rPr>
  </w:style>
  <w:style w:type="character" w:customStyle="1" w:styleId="225">
    <w:name w:val="尾注文本 Char"/>
    <w:qFormat/>
    <w:uiPriority w:val="0"/>
    <w:rPr>
      <w:rFonts w:ascii="Calibri" w:hAnsi="Calibri"/>
      <w:kern w:val="2"/>
      <w:sz w:val="21"/>
      <w:szCs w:val="22"/>
    </w:rPr>
  </w:style>
  <w:style w:type="character" w:customStyle="1" w:styleId="226">
    <w:name w:val="Char Char18"/>
    <w:qFormat/>
    <w:uiPriority w:val="0"/>
    <w:rPr>
      <w:rFonts w:hint="default" w:ascii="Arial" w:hAnsi="Arial" w:eastAsia="黑体" w:cs="Arial"/>
      <w:kern w:val="2"/>
      <w:sz w:val="21"/>
      <w:szCs w:val="24"/>
      <w:lang w:val="en-US" w:eastAsia="zh-CN" w:bidi="ar-SA"/>
    </w:rPr>
  </w:style>
  <w:style w:type="character" w:customStyle="1" w:styleId="227">
    <w:name w:val="页眉 Char2"/>
    <w:qFormat/>
    <w:locked/>
    <w:uiPriority w:val="0"/>
    <w:rPr>
      <w:rFonts w:hint="eastAsia" w:ascii="宋体" w:hAnsi="宋体" w:eastAsia="宋体"/>
      <w:kern w:val="2"/>
      <w:sz w:val="18"/>
      <w:szCs w:val="18"/>
    </w:rPr>
  </w:style>
  <w:style w:type="character" w:customStyle="1" w:styleId="228">
    <w:name w:val="标题 3 字符"/>
    <w:qFormat/>
    <w:uiPriority w:val="0"/>
    <w:rPr>
      <w:b/>
      <w:bCs/>
      <w:kern w:val="2"/>
      <w:sz w:val="32"/>
      <w:szCs w:val="32"/>
    </w:rPr>
  </w:style>
  <w:style w:type="character" w:customStyle="1" w:styleId="229">
    <w:name w:val="正文文本缩进 3 Char2"/>
    <w:qFormat/>
    <w:locked/>
    <w:uiPriority w:val="0"/>
    <w:rPr>
      <w:kern w:val="2"/>
      <w:sz w:val="16"/>
      <w:szCs w:val="16"/>
    </w:rPr>
  </w:style>
  <w:style w:type="character" w:customStyle="1" w:styleId="230">
    <w:name w:val="Char Char32"/>
    <w:qFormat/>
    <w:locked/>
    <w:uiPriority w:val="0"/>
    <w:rPr>
      <w:rFonts w:hint="eastAsia" w:ascii="宋体" w:hAnsi="宋体" w:eastAsia="宋体"/>
      <w:b/>
      <w:kern w:val="2"/>
      <w:sz w:val="28"/>
      <w:szCs w:val="24"/>
      <w:lang w:val="en-US" w:eastAsia="zh-CN" w:bidi="ar-SA"/>
    </w:rPr>
  </w:style>
  <w:style w:type="character" w:customStyle="1" w:styleId="231">
    <w:name w:val="标题 Char"/>
    <w:qFormat/>
    <w:uiPriority w:val="0"/>
    <w:rPr>
      <w:rFonts w:ascii="Arial" w:hAnsi="Arial" w:eastAsia="宋体"/>
      <w:b/>
      <w:bCs/>
      <w:kern w:val="2"/>
      <w:sz w:val="32"/>
      <w:szCs w:val="32"/>
      <w:lang w:bidi="ar-SA"/>
    </w:rPr>
  </w:style>
  <w:style w:type="character" w:customStyle="1" w:styleId="232">
    <w:name w:val="标题 Char1"/>
    <w:qFormat/>
    <w:uiPriority w:val="0"/>
    <w:rPr>
      <w:rFonts w:hint="default" w:ascii="Cambria" w:hAnsi="Cambria" w:cs="Times New Roman"/>
      <w:b/>
      <w:bCs/>
      <w:kern w:val="2"/>
      <w:sz w:val="32"/>
      <w:szCs w:val="32"/>
    </w:rPr>
  </w:style>
  <w:style w:type="character" w:customStyle="1" w:styleId="233">
    <w:name w:val="列出段落 Char"/>
    <w:link w:val="234"/>
    <w:qFormat/>
    <w:uiPriority w:val="0"/>
    <w:rPr>
      <w:rFonts w:ascii="Calibri" w:hAnsi="Calibri" w:eastAsia="宋体"/>
      <w:kern w:val="2"/>
      <w:sz w:val="21"/>
      <w:szCs w:val="22"/>
      <w:lang w:val="en-US" w:eastAsia="zh-CN" w:bidi="ar-SA"/>
    </w:rPr>
  </w:style>
  <w:style w:type="paragraph" w:customStyle="1" w:styleId="234">
    <w:name w:val="列出段落"/>
    <w:basedOn w:val="1"/>
    <w:link w:val="233"/>
    <w:qFormat/>
    <w:uiPriority w:val="0"/>
    <w:pPr>
      <w:ind w:firstLine="420" w:firstLineChars="200"/>
    </w:pPr>
    <w:rPr>
      <w:rFonts w:ascii="Calibri" w:hAnsi="Calibri"/>
      <w:szCs w:val="22"/>
    </w:rPr>
  </w:style>
  <w:style w:type="character" w:customStyle="1" w:styleId="235">
    <w:name w:val="Char Char13"/>
    <w:qFormat/>
    <w:uiPriority w:val="0"/>
    <w:rPr>
      <w:rFonts w:hint="eastAsia" w:ascii="仿宋_GB2312" w:eastAsia="仿宋_GB2312"/>
      <w:kern w:val="2"/>
      <w:sz w:val="32"/>
      <w:lang w:val="en-US" w:eastAsia="zh-CN" w:bidi="ar-SA"/>
    </w:rPr>
  </w:style>
  <w:style w:type="character" w:customStyle="1" w:styleId="236">
    <w:name w:val="页码 New New New New New New New"/>
    <w:qFormat/>
    <w:uiPriority w:val="0"/>
  </w:style>
  <w:style w:type="character" w:customStyle="1" w:styleId="237">
    <w:name w:val="正文文本缩进 Char3"/>
    <w:qFormat/>
    <w:locked/>
    <w:uiPriority w:val="0"/>
    <w:rPr>
      <w:rFonts w:hint="eastAsia" w:ascii="仿宋_GB2312" w:eastAsia="仿宋_GB2312"/>
      <w:kern w:val="2"/>
      <w:sz w:val="32"/>
    </w:rPr>
  </w:style>
  <w:style w:type="character" w:customStyle="1" w:styleId="238">
    <w:name w:val=" Char Char23"/>
    <w:qFormat/>
    <w:uiPriority w:val="0"/>
    <w:rPr>
      <w:rFonts w:ascii="Times New Roman" w:hAnsi="Times New Roman" w:eastAsia="宋体" w:cs="Times New Roman"/>
      <w:b/>
      <w:bCs/>
      <w:kern w:val="44"/>
      <w:sz w:val="44"/>
      <w:szCs w:val="44"/>
    </w:rPr>
  </w:style>
  <w:style w:type="character" w:customStyle="1" w:styleId="239">
    <w:name w:val="H1 Char1"/>
    <w:qFormat/>
    <w:uiPriority w:val="0"/>
    <w:rPr>
      <w:rFonts w:eastAsia="宋体"/>
      <w:b/>
      <w:bCs/>
      <w:kern w:val="44"/>
      <w:sz w:val="44"/>
      <w:szCs w:val="44"/>
      <w:lang w:val="en-US" w:eastAsia="zh-CN" w:bidi="ar-SA"/>
    </w:rPr>
  </w:style>
  <w:style w:type="character" w:customStyle="1" w:styleId="240">
    <w:name w:val="正文（首行缩进2字符） Char"/>
    <w:link w:val="241"/>
    <w:qFormat/>
    <w:locked/>
    <w:uiPriority w:val="0"/>
    <w:rPr>
      <w:rFonts w:ascii="宋体" w:hAnsi="宋体"/>
      <w:kern w:val="2"/>
      <w:sz w:val="21"/>
      <w:szCs w:val="21"/>
    </w:rPr>
  </w:style>
  <w:style w:type="paragraph" w:customStyle="1" w:styleId="241">
    <w:name w:val="正文（首行缩进2字符）"/>
    <w:basedOn w:val="1"/>
    <w:link w:val="240"/>
    <w:qFormat/>
    <w:uiPriority w:val="0"/>
    <w:pPr>
      <w:spacing w:line="360" w:lineRule="auto"/>
      <w:ind w:firstLine="420" w:firstLineChars="200"/>
    </w:pPr>
    <w:rPr>
      <w:rFonts w:ascii="宋体" w:hAnsi="宋体"/>
      <w:szCs w:val="21"/>
    </w:rPr>
  </w:style>
  <w:style w:type="character" w:customStyle="1" w:styleId="242">
    <w:name w:val="Char Char Char2"/>
    <w:qFormat/>
    <w:uiPriority w:val="0"/>
    <w:rPr>
      <w:rFonts w:hint="eastAsia" w:ascii="宋体" w:hAnsi="宋体" w:eastAsia="宋体"/>
      <w:kern w:val="2"/>
      <w:sz w:val="18"/>
      <w:szCs w:val="18"/>
      <w:lang w:val="en-US" w:eastAsia="zh-CN" w:bidi="ar-SA"/>
    </w:rPr>
  </w:style>
  <w:style w:type="character" w:customStyle="1" w:styleId="243">
    <w:name w:val="样式1 正文（首行缩进两字） Char + Times New Roman Char Char"/>
    <w:qFormat/>
    <w:uiPriority w:val="0"/>
    <w:rPr>
      <w:rFonts w:hint="default" w:ascii="Arial" w:hAnsi="Arial" w:eastAsia="宋体" w:cs="Arial"/>
      <w:bCs/>
      <w:kern w:val="2"/>
      <w:sz w:val="21"/>
      <w:szCs w:val="21"/>
      <w:lang w:val="en-US" w:eastAsia="zh-CN" w:bidi="ar-SA"/>
    </w:rPr>
  </w:style>
  <w:style w:type="character" w:customStyle="1" w:styleId="244">
    <w:name w:val="正文首行缩进 Char"/>
    <w:qFormat/>
    <w:uiPriority w:val="0"/>
    <w:rPr>
      <w:rFonts w:eastAsia="宋体"/>
      <w:kern w:val="2"/>
      <w:sz w:val="21"/>
      <w:szCs w:val="24"/>
      <w:lang w:val="en-US" w:eastAsia="zh-CN" w:bidi="ar-SA"/>
    </w:rPr>
  </w:style>
  <w:style w:type="character" w:customStyle="1" w:styleId="245">
    <w:name w:val="Char Char Char1"/>
    <w:qFormat/>
    <w:uiPriority w:val="0"/>
    <w:rPr>
      <w:rFonts w:hint="eastAsia" w:ascii="宋体" w:hAnsi="宋体" w:eastAsia="宋体"/>
      <w:kern w:val="2"/>
      <w:sz w:val="18"/>
      <w:szCs w:val="18"/>
      <w:lang w:val="en-US" w:eastAsia="zh-CN" w:bidi="ar-SA"/>
    </w:rPr>
  </w:style>
  <w:style w:type="character" w:customStyle="1" w:styleId="246">
    <w:name w:val="H1 Char2"/>
    <w:qFormat/>
    <w:uiPriority w:val="0"/>
    <w:rPr>
      <w:rFonts w:eastAsia="宋体"/>
      <w:b/>
      <w:bCs/>
      <w:kern w:val="44"/>
      <w:sz w:val="44"/>
      <w:szCs w:val="44"/>
      <w:lang w:val="en-US" w:eastAsia="zh-CN" w:bidi="ar-SA"/>
    </w:rPr>
  </w:style>
  <w:style w:type="character" w:customStyle="1" w:styleId="247">
    <w:name w:val="正文无缩进 Char Char"/>
    <w:link w:val="248"/>
    <w:qFormat/>
    <w:locked/>
    <w:uiPriority w:val="0"/>
    <w:rPr>
      <w:rFonts w:ascii="宋体" w:hAnsi="宋体"/>
      <w:color w:val="000000"/>
      <w:kern w:val="2"/>
      <w:sz w:val="24"/>
      <w:szCs w:val="24"/>
    </w:rPr>
  </w:style>
  <w:style w:type="paragraph" w:customStyle="1" w:styleId="248">
    <w:name w:val="正文无缩进"/>
    <w:basedOn w:val="1"/>
    <w:link w:val="247"/>
    <w:qFormat/>
    <w:uiPriority w:val="0"/>
    <w:pPr>
      <w:spacing w:line="360" w:lineRule="auto"/>
    </w:pPr>
    <w:rPr>
      <w:rFonts w:ascii="宋体" w:hAnsi="宋体"/>
      <w:color w:val="000000"/>
      <w:sz w:val="24"/>
    </w:rPr>
  </w:style>
  <w:style w:type="character" w:customStyle="1" w:styleId="249">
    <w:name w:val="p1"/>
    <w:qFormat/>
    <w:uiPriority w:val="0"/>
  </w:style>
  <w:style w:type="character" w:customStyle="1" w:styleId="250">
    <w:name w:val="标题 1 Char"/>
    <w:qFormat/>
    <w:uiPriority w:val="0"/>
    <w:rPr>
      <w:rFonts w:eastAsia="宋体"/>
      <w:b/>
      <w:bCs/>
      <w:kern w:val="44"/>
      <w:sz w:val="44"/>
      <w:szCs w:val="44"/>
      <w:lang w:val="en-US" w:eastAsia="zh-CN" w:bidi="ar-SA"/>
    </w:rPr>
  </w:style>
  <w:style w:type="character" w:customStyle="1" w:styleId="251">
    <w:name w:val="页码 New New New New"/>
    <w:qFormat/>
    <w:uiPriority w:val="0"/>
  </w:style>
  <w:style w:type="character" w:customStyle="1" w:styleId="252">
    <w:name w:val="Char Char6"/>
    <w:qFormat/>
    <w:locked/>
    <w:uiPriority w:val="0"/>
    <w:rPr>
      <w:rFonts w:hint="eastAsia" w:ascii="宋体" w:hAnsi="Courier New" w:eastAsia="宋体" w:cs="Courier New"/>
      <w:kern w:val="2"/>
      <w:sz w:val="21"/>
      <w:szCs w:val="21"/>
      <w:lang w:val="en-US" w:eastAsia="zh-CN" w:bidi="ar-SA"/>
    </w:rPr>
  </w:style>
  <w:style w:type="character" w:customStyle="1" w:styleId="253">
    <w:name w:val="页眉 Char"/>
    <w:qFormat/>
    <w:uiPriority w:val="99"/>
    <w:rPr>
      <w:rFonts w:eastAsia="宋体"/>
      <w:kern w:val="2"/>
      <w:sz w:val="18"/>
      <w:szCs w:val="18"/>
      <w:lang w:val="en-US" w:eastAsia="zh-CN" w:bidi="ar-SA"/>
    </w:rPr>
  </w:style>
  <w:style w:type="character" w:customStyle="1" w:styleId="254">
    <w:name w:val="批注主题 Char2"/>
    <w:qFormat/>
    <w:uiPriority w:val="0"/>
    <w:rPr>
      <w:rFonts w:hint="eastAsia" w:ascii="宋体" w:hAnsi="宋体" w:eastAsia="宋体"/>
      <w:b/>
      <w:bCs/>
      <w:kern w:val="2"/>
      <w:sz w:val="21"/>
      <w:szCs w:val="24"/>
    </w:rPr>
  </w:style>
  <w:style w:type="character" w:customStyle="1" w:styleId="255">
    <w:name w:val="style31"/>
    <w:qFormat/>
    <w:uiPriority w:val="0"/>
    <w:rPr>
      <w:sz w:val="18"/>
      <w:szCs w:val="18"/>
    </w:rPr>
  </w:style>
  <w:style w:type="character" w:customStyle="1" w:styleId="256">
    <w:name w:val="页脚 Char2"/>
    <w:qFormat/>
    <w:locked/>
    <w:uiPriority w:val="0"/>
    <w:rPr>
      <w:rFonts w:hint="eastAsia" w:ascii="宋体" w:hAnsi="宋体" w:eastAsia="宋体"/>
      <w:kern w:val="2"/>
      <w:sz w:val="18"/>
      <w:szCs w:val="18"/>
    </w:rPr>
  </w:style>
  <w:style w:type="character" w:customStyle="1" w:styleId="257">
    <w:name w:val="标题 3 Char"/>
    <w:qFormat/>
    <w:uiPriority w:val="0"/>
    <w:rPr>
      <w:rFonts w:eastAsia="宋体"/>
      <w:b/>
      <w:bCs/>
      <w:sz w:val="32"/>
      <w:szCs w:val="32"/>
      <w:lang w:bidi="ar-SA"/>
    </w:rPr>
  </w:style>
  <w:style w:type="character" w:customStyle="1" w:styleId="258">
    <w:name w:val="正文文本缩进 3 Char"/>
    <w:link w:val="259"/>
    <w:qFormat/>
    <w:uiPriority w:val="0"/>
    <w:rPr>
      <w:rFonts w:eastAsia="宋体"/>
      <w:kern w:val="2"/>
      <w:sz w:val="16"/>
      <w:szCs w:val="16"/>
      <w:lang w:val="en-US" w:eastAsia="zh-CN" w:bidi="ar-SA"/>
    </w:rPr>
  </w:style>
  <w:style w:type="paragraph" w:customStyle="1" w:styleId="259">
    <w:name w:val="Body Text Indent 3"/>
    <w:basedOn w:val="1"/>
    <w:link w:val="258"/>
    <w:qFormat/>
    <w:uiPriority w:val="0"/>
    <w:pPr>
      <w:spacing w:after="120"/>
      <w:ind w:left="420" w:leftChars="200"/>
    </w:pPr>
    <w:rPr>
      <w:sz w:val="16"/>
      <w:szCs w:val="16"/>
    </w:rPr>
  </w:style>
  <w:style w:type="character" w:customStyle="1" w:styleId="260">
    <w:name w:val="正文文本缩进 2 Char"/>
    <w:link w:val="261"/>
    <w:qFormat/>
    <w:uiPriority w:val="0"/>
    <w:rPr>
      <w:rFonts w:eastAsia="宋体"/>
      <w:kern w:val="2"/>
      <w:sz w:val="32"/>
      <w:lang w:val="en-US" w:eastAsia="zh-CN" w:bidi="ar-SA"/>
    </w:rPr>
  </w:style>
  <w:style w:type="paragraph" w:customStyle="1" w:styleId="261">
    <w:name w:val="Body Text Indent 2"/>
    <w:basedOn w:val="1"/>
    <w:link w:val="260"/>
    <w:qFormat/>
    <w:uiPriority w:val="0"/>
    <w:pPr>
      <w:ind w:firstLine="630"/>
    </w:pPr>
    <w:rPr>
      <w:sz w:val="32"/>
      <w:szCs w:val="20"/>
    </w:rPr>
  </w:style>
  <w:style w:type="character" w:customStyle="1" w:styleId="262">
    <w:name w:val="ca-2"/>
    <w:qFormat/>
    <w:uiPriority w:val="0"/>
  </w:style>
  <w:style w:type="character" w:customStyle="1" w:styleId="263">
    <w:name w:val="Heading 2 Hidden Char1"/>
    <w:qFormat/>
    <w:locked/>
    <w:uiPriority w:val="0"/>
    <w:rPr>
      <w:rFonts w:hint="default" w:ascii="Arial" w:hAnsi="Arial" w:eastAsia="黑体" w:cs="宋体"/>
      <w:b/>
      <w:bCs/>
      <w:kern w:val="2"/>
      <w:sz w:val="32"/>
      <w:szCs w:val="32"/>
      <w:lang w:val="en-US" w:eastAsia="zh-CN" w:bidi="ar-SA"/>
    </w:rPr>
  </w:style>
  <w:style w:type="character" w:customStyle="1" w:styleId="264">
    <w:name w:val="ca-0"/>
    <w:qFormat/>
    <w:uiPriority w:val="0"/>
  </w:style>
  <w:style w:type="character" w:customStyle="1" w:styleId="265">
    <w:name w:val="正文首行缩进 Char2"/>
    <w:qFormat/>
    <w:uiPriority w:val="99"/>
    <w:rPr>
      <w:rFonts w:hint="eastAsia" w:ascii="宋体" w:hAnsi="宋体" w:eastAsia="宋体"/>
      <w:kern w:val="2"/>
      <w:sz w:val="21"/>
      <w:szCs w:val="24"/>
      <w:lang w:val="en-US" w:eastAsia="zh-CN" w:bidi="ar-SA"/>
    </w:rPr>
  </w:style>
  <w:style w:type="character" w:customStyle="1" w:styleId="266">
    <w:name w:val="无间隔 字符"/>
    <w:link w:val="267"/>
    <w:qFormat/>
    <w:uiPriority w:val="0"/>
    <w:rPr>
      <w:sz w:val="22"/>
      <w:szCs w:val="22"/>
      <w:lang w:val="en-US" w:eastAsia="zh-CN" w:bidi="ar-SA"/>
    </w:rPr>
  </w:style>
  <w:style w:type="paragraph" w:styleId="267">
    <w:name w:val="No Spacing"/>
    <w:link w:val="266"/>
    <w:qFormat/>
    <w:uiPriority w:val="0"/>
    <w:rPr>
      <w:rFonts w:ascii="Times New Roman" w:hAnsi="Times New Roman" w:eastAsia="宋体" w:cs="Times New Roman"/>
      <w:sz w:val="22"/>
      <w:szCs w:val="22"/>
      <w:lang w:val="en-US" w:eastAsia="zh-CN" w:bidi="ar-SA"/>
    </w:rPr>
  </w:style>
  <w:style w:type="character" w:customStyle="1" w:styleId="268">
    <w:name w:val="页码 New New"/>
    <w:qFormat/>
    <w:uiPriority w:val="0"/>
  </w:style>
  <w:style w:type="character" w:customStyle="1" w:styleId="269">
    <w:name w:val="Char Char Char Char Char"/>
    <w:qFormat/>
    <w:uiPriority w:val="0"/>
    <w:rPr>
      <w:rFonts w:hint="eastAsia" w:ascii="宋体" w:hAnsi="宋体" w:eastAsia="宋体"/>
      <w:b/>
      <w:bCs/>
      <w:kern w:val="44"/>
      <w:sz w:val="44"/>
      <w:szCs w:val="44"/>
      <w:lang w:val="en-US" w:eastAsia="zh-CN" w:bidi="ar-SA"/>
    </w:rPr>
  </w:style>
  <w:style w:type="character" w:customStyle="1" w:styleId="270">
    <w:name w:val="页眉 字符"/>
    <w:qFormat/>
    <w:locked/>
    <w:uiPriority w:val="99"/>
    <w:rPr>
      <w:sz w:val="18"/>
      <w:szCs w:val="18"/>
    </w:rPr>
  </w:style>
  <w:style w:type="character" w:customStyle="1" w:styleId="271">
    <w:name w:val="正文文字首行缩进 Char"/>
    <w:qFormat/>
    <w:locked/>
    <w:uiPriority w:val="0"/>
    <w:rPr>
      <w:rFonts w:ascii="仿宋_GB2312" w:eastAsia="仿宋_GB2312"/>
      <w:kern w:val="2"/>
      <w:sz w:val="32"/>
    </w:rPr>
  </w:style>
  <w:style w:type="character" w:customStyle="1" w:styleId="272">
    <w:name w:val="font61"/>
    <w:qFormat/>
    <w:uiPriority w:val="0"/>
    <w:rPr>
      <w:rFonts w:hint="eastAsia" w:ascii="黑体" w:hAnsi="宋体" w:eastAsia="黑体" w:cs="黑体"/>
      <w:b/>
      <w:color w:val="000000"/>
      <w:sz w:val="40"/>
      <w:szCs w:val="40"/>
      <w:u w:val="single"/>
    </w:rPr>
  </w:style>
  <w:style w:type="character" w:customStyle="1" w:styleId="273">
    <w:name w:val="正文文本缩进 Char1"/>
    <w:qFormat/>
    <w:uiPriority w:val="0"/>
    <w:rPr>
      <w:kern w:val="2"/>
      <w:sz w:val="21"/>
      <w:szCs w:val="22"/>
    </w:rPr>
  </w:style>
  <w:style w:type="character" w:customStyle="1" w:styleId="274">
    <w:name w:val="正文文本缩进 Char"/>
    <w:qFormat/>
    <w:uiPriority w:val="0"/>
    <w:rPr>
      <w:rFonts w:ascii="仿宋_GB2312" w:eastAsia="仿宋_GB2312"/>
      <w:kern w:val="2"/>
      <w:sz w:val="32"/>
      <w:lang w:val="en-US" w:eastAsia="zh-CN" w:bidi="ar-SA"/>
    </w:rPr>
  </w:style>
  <w:style w:type="character" w:customStyle="1" w:styleId="275">
    <w:name w:val="标题 2 Char2"/>
    <w:qFormat/>
    <w:locked/>
    <w:uiPriority w:val="0"/>
    <w:rPr>
      <w:rFonts w:hint="default" w:ascii="Arial" w:hAnsi="Arial" w:eastAsia="黑体" w:cs="Arial"/>
      <w:b/>
      <w:bCs/>
      <w:sz w:val="32"/>
      <w:szCs w:val="32"/>
    </w:rPr>
  </w:style>
  <w:style w:type="character" w:customStyle="1" w:styleId="276">
    <w:name w:val="已访问的超链接1"/>
    <w:qFormat/>
    <w:uiPriority w:val="99"/>
    <w:rPr>
      <w:color w:val="800080"/>
      <w:u w:val="single"/>
    </w:rPr>
  </w:style>
  <w:style w:type="character" w:customStyle="1" w:styleId="277">
    <w:name w:val="Char Char12"/>
    <w:qFormat/>
    <w:uiPriority w:val="0"/>
    <w:rPr>
      <w:rFonts w:hint="eastAsia" w:ascii="宋体" w:hAnsi="Courier New" w:eastAsia="宋体" w:cs="Courier New"/>
      <w:kern w:val="2"/>
      <w:sz w:val="21"/>
      <w:szCs w:val="21"/>
      <w:lang w:val="en-US" w:eastAsia="zh-CN" w:bidi="ar-SA"/>
    </w:rPr>
  </w:style>
  <w:style w:type="character" w:customStyle="1" w:styleId="278">
    <w:name w:val="font81"/>
    <w:qFormat/>
    <w:uiPriority w:val="0"/>
    <w:rPr>
      <w:rFonts w:hint="default" w:ascii="华文宋体" w:hAnsi="华文宋体" w:eastAsia="华文宋体" w:cs="华文宋体"/>
      <w:color w:val="000000"/>
      <w:sz w:val="24"/>
      <w:szCs w:val="24"/>
      <w:u w:val="none"/>
    </w:rPr>
  </w:style>
  <w:style w:type="character" w:customStyle="1" w:styleId="279">
    <w:name w:val="手改 Char Char"/>
    <w:qFormat/>
    <w:uiPriority w:val="0"/>
    <w:rPr>
      <w:rFonts w:hint="eastAsia" w:ascii="宋体" w:hAnsi="宋体" w:eastAsia="宋体"/>
      <w:kern w:val="2"/>
      <w:sz w:val="24"/>
      <w:szCs w:val="24"/>
      <w:lang w:val="en-US" w:eastAsia="zh-CN" w:bidi="ar-SA"/>
    </w:rPr>
  </w:style>
  <w:style w:type="character" w:customStyle="1" w:styleId="280">
    <w:name w:val="批注文字 Char3"/>
    <w:qFormat/>
    <w:locked/>
    <w:uiPriority w:val="0"/>
    <w:rPr>
      <w:rFonts w:hint="eastAsia" w:ascii="宋体" w:hAnsi="宋体" w:eastAsia="宋体"/>
      <w:kern w:val="2"/>
      <w:sz w:val="21"/>
      <w:szCs w:val="24"/>
    </w:rPr>
  </w:style>
  <w:style w:type="character" w:customStyle="1" w:styleId="281">
    <w:name w:val="ca-16"/>
    <w:qFormat/>
    <w:uiPriority w:val="0"/>
  </w:style>
  <w:style w:type="character" w:customStyle="1" w:styleId="282">
    <w:name w:val="1ji Char Char"/>
    <w:qFormat/>
    <w:locked/>
    <w:uiPriority w:val="0"/>
    <w:rPr>
      <w:rFonts w:ascii="宋体" w:hAnsi="宋体" w:eastAsia="宋体"/>
      <w:b/>
      <w:bCs/>
      <w:kern w:val="44"/>
      <w:sz w:val="36"/>
      <w:szCs w:val="44"/>
    </w:rPr>
  </w:style>
  <w:style w:type="character" w:customStyle="1" w:styleId="283">
    <w:name w:val="ca-14"/>
    <w:qFormat/>
    <w:uiPriority w:val="0"/>
  </w:style>
  <w:style w:type="character" w:customStyle="1" w:styleId="284">
    <w:name w:val="Char Char30"/>
    <w:qFormat/>
    <w:locked/>
    <w:uiPriority w:val="0"/>
    <w:rPr>
      <w:rFonts w:hint="eastAsia" w:ascii="宋体" w:hAnsi="宋体" w:eastAsia="宋体"/>
      <w:b/>
      <w:spacing w:val="-2"/>
      <w:sz w:val="24"/>
      <w:lang w:val="en-US" w:eastAsia="zh-CN" w:bidi="ar-SA"/>
    </w:rPr>
  </w:style>
  <w:style w:type="character" w:customStyle="1" w:styleId="285">
    <w:name w:val="H1 Char3"/>
    <w:qFormat/>
    <w:locked/>
    <w:uiPriority w:val="0"/>
    <w:rPr>
      <w:rFonts w:hint="eastAsia" w:ascii="宋体" w:hAnsi="宋体" w:eastAsia="宋体"/>
      <w:b/>
      <w:bCs/>
      <w:kern w:val="44"/>
      <w:sz w:val="44"/>
      <w:szCs w:val="44"/>
      <w:lang w:val="en-US" w:eastAsia="zh-CN" w:bidi="ar-SA"/>
    </w:rPr>
  </w:style>
  <w:style w:type="character" w:customStyle="1" w:styleId="286">
    <w:name w:val="ca-32"/>
    <w:qFormat/>
    <w:uiPriority w:val="0"/>
  </w:style>
  <w:style w:type="character" w:customStyle="1" w:styleId="287">
    <w:name w:val="纯文本 字符"/>
    <w:qFormat/>
    <w:uiPriority w:val="0"/>
    <w:rPr>
      <w:rFonts w:hint="eastAsia" w:ascii="宋体" w:hAnsi="Courier New" w:eastAsia="宋体" w:cs="Courier New"/>
      <w:szCs w:val="21"/>
    </w:rPr>
  </w:style>
  <w:style w:type="character" w:customStyle="1" w:styleId="288">
    <w:name w:val="Char Char20"/>
    <w:qFormat/>
    <w:uiPriority w:val="0"/>
    <w:rPr>
      <w:rFonts w:hint="eastAsia" w:ascii="仿宋_GB2312" w:eastAsia="仿宋_GB2312"/>
      <w:kern w:val="2"/>
      <w:sz w:val="32"/>
      <w:lang w:val="en-US" w:eastAsia="zh-CN" w:bidi="ar-SA"/>
    </w:rPr>
  </w:style>
  <w:style w:type="character" w:customStyle="1" w:styleId="289">
    <w:name w:val="标题 9 Char"/>
    <w:qFormat/>
    <w:uiPriority w:val="0"/>
    <w:rPr>
      <w:rFonts w:ascii="Arial" w:hAnsi="Arial" w:eastAsia="黑体"/>
      <w:kern w:val="2"/>
      <w:sz w:val="21"/>
      <w:szCs w:val="24"/>
      <w:lang w:val="en-US" w:eastAsia="zh-CN" w:bidi="ar-SA"/>
    </w:rPr>
  </w:style>
  <w:style w:type="character" w:customStyle="1" w:styleId="290">
    <w:name w:val="纯文本 字符1"/>
    <w:qFormat/>
    <w:uiPriority w:val="0"/>
    <w:rPr>
      <w:rFonts w:ascii="Ђˎ̥" w:hAnsi="Verdana" w:eastAsia="Ђˎ̥" w:cs="Verdana"/>
      <w:szCs w:val="21"/>
    </w:rPr>
  </w:style>
  <w:style w:type="character" w:customStyle="1" w:styleId="291">
    <w:name w:val="正文文本 2 Char2"/>
    <w:qFormat/>
    <w:locked/>
    <w:uiPriority w:val="0"/>
    <w:rPr>
      <w:kern w:val="2"/>
      <w:sz w:val="21"/>
      <w:szCs w:val="24"/>
    </w:rPr>
  </w:style>
  <w:style w:type="character" w:customStyle="1" w:styleId="292">
    <w:name w:val="Char Char29"/>
    <w:qFormat/>
    <w:locked/>
    <w:uiPriority w:val="0"/>
    <w:rPr>
      <w:rFonts w:hint="default" w:ascii="Arial" w:hAnsi="Arial" w:eastAsia="黑体" w:cs="宋体"/>
      <w:b/>
      <w:bCs/>
      <w:kern w:val="2"/>
      <w:sz w:val="32"/>
      <w:szCs w:val="32"/>
      <w:lang w:val="en-US" w:eastAsia="zh-CN" w:bidi="ar-SA"/>
    </w:rPr>
  </w:style>
  <w:style w:type="character" w:customStyle="1" w:styleId="293">
    <w:name w:val="Char Char15"/>
    <w:qFormat/>
    <w:uiPriority w:val="0"/>
    <w:rPr>
      <w:sz w:val="18"/>
      <w:szCs w:val="18"/>
    </w:rPr>
  </w:style>
  <w:style w:type="character" w:customStyle="1" w:styleId="294">
    <w:name w:val="ca-11"/>
    <w:qFormat/>
    <w:uiPriority w:val="0"/>
  </w:style>
  <w:style w:type="character" w:customStyle="1" w:styleId="295">
    <w:name w:val="FA正文 Char"/>
    <w:link w:val="296"/>
    <w:semiHidden/>
    <w:qFormat/>
    <w:locked/>
    <w:uiPriority w:val="0"/>
    <w:rPr>
      <w:rFonts w:ascii="宋体" w:hAnsi="宋体"/>
      <w:spacing w:val="10"/>
      <w:kern w:val="2"/>
      <w:sz w:val="24"/>
      <w:szCs w:val="22"/>
    </w:rPr>
  </w:style>
  <w:style w:type="paragraph" w:customStyle="1" w:styleId="296">
    <w:name w:val="FA正文"/>
    <w:basedOn w:val="1"/>
    <w:link w:val="295"/>
    <w:semiHidden/>
    <w:qFormat/>
    <w:uiPriority w:val="0"/>
    <w:pPr>
      <w:tabs>
        <w:tab w:val="left" w:pos="3375"/>
      </w:tabs>
      <w:spacing w:line="360" w:lineRule="auto"/>
      <w:ind w:firstLine="520"/>
    </w:pPr>
    <w:rPr>
      <w:rFonts w:ascii="宋体" w:hAnsi="宋体"/>
      <w:spacing w:val="10"/>
      <w:sz w:val="24"/>
      <w:szCs w:val="22"/>
    </w:rPr>
  </w:style>
  <w:style w:type="character" w:customStyle="1" w:styleId="297">
    <w:name w:val="页脚 Char"/>
    <w:qFormat/>
    <w:uiPriority w:val="99"/>
    <w:rPr>
      <w:rFonts w:eastAsia="宋体"/>
      <w:kern w:val="2"/>
      <w:sz w:val="18"/>
      <w:szCs w:val="18"/>
      <w:lang w:val="en-US" w:eastAsia="zh-CN" w:bidi="ar-SA"/>
    </w:rPr>
  </w:style>
  <w:style w:type="character" w:customStyle="1" w:styleId="298">
    <w:name w:val="Char Char22"/>
    <w:qFormat/>
    <w:uiPriority w:val="0"/>
    <w:rPr>
      <w:rFonts w:hint="eastAsia" w:ascii="宋体" w:hAnsi="宋体" w:eastAsia="宋体"/>
      <w:b/>
      <w:kern w:val="2"/>
      <w:sz w:val="28"/>
      <w:szCs w:val="24"/>
      <w:lang w:val="en-US" w:eastAsia="zh-CN" w:bidi="ar-SA"/>
    </w:rPr>
  </w:style>
  <w:style w:type="character" w:customStyle="1" w:styleId="299">
    <w:name w:val="Char Char28"/>
    <w:qFormat/>
    <w:locked/>
    <w:uiPriority w:val="0"/>
    <w:rPr>
      <w:rFonts w:hint="eastAsia" w:ascii="宋体" w:hAnsi="宋体" w:eastAsia="宋体"/>
      <w:b/>
      <w:kern w:val="2"/>
      <w:sz w:val="28"/>
      <w:szCs w:val="24"/>
      <w:lang w:val="en-US" w:eastAsia="zh-CN" w:bidi="ar-SA"/>
    </w:rPr>
  </w:style>
  <w:style w:type="character" w:customStyle="1" w:styleId="300">
    <w:name w:val="标题 7 Char"/>
    <w:qFormat/>
    <w:uiPriority w:val="0"/>
    <w:rPr>
      <w:rFonts w:eastAsia="宋体"/>
      <w:b/>
      <w:kern w:val="2"/>
      <w:sz w:val="24"/>
      <w:szCs w:val="24"/>
      <w:lang w:val="en-US" w:eastAsia="zh-CN" w:bidi="ar-SA"/>
    </w:rPr>
  </w:style>
  <w:style w:type="character" w:customStyle="1" w:styleId="301">
    <w:name w:val="标题 6 Char"/>
    <w:qFormat/>
    <w:uiPriority w:val="0"/>
    <w:rPr>
      <w:rFonts w:ascii="Arial" w:hAnsi="Arial" w:eastAsia="黑体"/>
      <w:b/>
      <w:kern w:val="2"/>
      <w:sz w:val="24"/>
      <w:szCs w:val="24"/>
      <w:lang w:val="en-US" w:eastAsia="zh-CN" w:bidi="ar-SA"/>
    </w:rPr>
  </w:style>
  <w:style w:type="character" w:customStyle="1" w:styleId="302">
    <w:name w:val="普通文字 Char Char4"/>
    <w:qFormat/>
    <w:uiPriority w:val="0"/>
    <w:rPr>
      <w:rFonts w:ascii="宋体" w:hAnsi="Courier New" w:eastAsia="宋体" w:cs="Courier New"/>
      <w:kern w:val="2"/>
      <w:sz w:val="21"/>
      <w:szCs w:val="21"/>
      <w:lang w:val="en-US" w:eastAsia="zh-CN" w:bidi="ar-SA"/>
    </w:rPr>
  </w:style>
  <w:style w:type="character" w:customStyle="1" w:styleId="303">
    <w:name w:val="页码 New New New New New"/>
    <w:qFormat/>
    <w:uiPriority w:val="0"/>
  </w:style>
  <w:style w:type="character" w:customStyle="1" w:styleId="304">
    <w:name w:val="Char Char141"/>
    <w:qFormat/>
    <w:uiPriority w:val="0"/>
    <w:rPr>
      <w:sz w:val="18"/>
      <w:szCs w:val="18"/>
    </w:rPr>
  </w:style>
  <w:style w:type="character" w:customStyle="1" w:styleId="305">
    <w:name w:val=" Char Char10"/>
    <w:semiHidden/>
    <w:qFormat/>
    <w:uiPriority w:val="0"/>
    <w:rPr>
      <w:rFonts w:eastAsia="宋体"/>
      <w:kern w:val="2"/>
      <w:sz w:val="24"/>
      <w:szCs w:val="24"/>
      <w:lang w:val="en-US" w:eastAsia="zh-CN" w:bidi="ar-SA"/>
    </w:rPr>
  </w:style>
  <w:style w:type="character" w:customStyle="1" w:styleId="306">
    <w:name w:val="mark13"/>
    <w:qFormat/>
    <w:uiPriority w:val="0"/>
  </w:style>
  <w:style w:type="character" w:customStyle="1" w:styleId="307">
    <w:name w:val="普通文字 Char Char2"/>
    <w:qFormat/>
    <w:uiPriority w:val="0"/>
    <w:rPr>
      <w:rFonts w:ascii="宋体" w:hAnsi="Courier New" w:eastAsia="宋体"/>
      <w:kern w:val="2"/>
      <w:sz w:val="21"/>
      <w:lang w:val="en-US" w:eastAsia="zh-CN" w:bidi="ar-SA"/>
    </w:rPr>
  </w:style>
  <w:style w:type="character" w:customStyle="1" w:styleId="308">
    <w:name w:val="纯文本 Char"/>
    <w:qFormat/>
    <w:uiPriority w:val="0"/>
    <w:rPr>
      <w:rFonts w:ascii="宋体" w:hAnsi="Courier New" w:eastAsia="宋体" w:cs="Courier New"/>
      <w:kern w:val="2"/>
      <w:sz w:val="21"/>
      <w:szCs w:val="21"/>
      <w:lang w:val="en-US" w:eastAsia="zh-CN" w:bidi="ar-SA"/>
    </w:rPr>
  </w:style>
  <w:style w:type="character" w:customStyle="1" w:styleId="309">
    <w:name w:val="批注文字 Char"/>
    <w:qFormat/>
    <w:uiPriority w:val="0"/>
    <w:rPr>
      <w:rFonts w:eastAsia="宋体"/>
      <w:sz w:val="24"/>
      <w:lang w:bidi="ar-SA"/>
    </w:rPr>
  </w:style>
  <w:style w:type="character" w:customStyle="1" w:styleId="310">
    <w:name w:val="ca-12"/>
    <w:qFormat/>
    <w:uiPriority w:val="0"/>
  </w:style>
  <w:style w:type="character" w:customStyle="1" w:styleId="311">
    <w:name w:val="标题 2 Char"/>
    <w:qFormat/>
    <w:uiPriority w:val="0"/>
    <w:rPr>
      <w:rFonts w:ascii="Arial" w:hAnsi="Arial" w:eastAsia="黑体"/>
      <w:b/>
      <w:bCs/>
      <w:sz w:val="32"/>
      <w:szCs w:val="32"/>
      <w:lang w:bidi="ar-SA"/>
    </w:rPr>
  </w:style>
  <w:style w:type="character" w:customStyle="1" w:styleId="312">
    <w:name w:val="qb-content2"/>
    <w:qFormat/>
    <w:uiPriority w:val="0"/>
  </w:style>
  <w:style w:type="character" w:customStyle="1" w:styleId="313">
    <w:name w:val="text11"/>
    <w:qFormat/>
    <w:uiPriority w:val="0"/>
    <w:rPr>
      <w:rFonts w:hint="default" w:ascii="Verdana" w:hAnsi="Verdana"/>
      <w:color w:val="4E4E4E"/>
      <w:sz w:val="18"/>
      <w:szCs w:val="18"/>
    </w:rPr>
  </w:style>
  <w:style w:type="character" w:customStyle="1" w:styleId="314">
    <w:name w:val="副标题 Char"/>
    <w:qFormat/>
    <w:uiPriority w:val="0"/>
    <w:rPr>
      <w:rFonts w:ascii="Cambria" w:hAnsi="Cambria" w:cs="Times New Roman"/>
      <w:b/>
      <w:bCs/>
      <w:kern w:val="28"/>
      <w:sz w:val="32"/>
      <w:szCs w:val="32"/>
    </w:rPr>
  </w:style>
  <w:style w:type="character" w:customStyle="1" w:styleId="315">
    <w:name w:val="Plain Text Char"/>
    <w:link w:val="316"/>
    <w:qFormat/>
    <w:locked/>
    <w:uiPriority w:val="0"/>
    <w:rPr>
      <w:rFonts w:ascii="宋体" w:hAnsi="Courier New" w:eastAsia="宋体"/>
      <w:kern w:val="2"/>
      <w:sz w:val="21"/>
    </w:rPr>
  </w:style>
  <w:style w:type="paragraph" w:customStyle="1" w:styleId="316">
    <w:name w:val="Plain Text"/>
    <w:basedOn w:val="1"/>
    <w:link w:val="315"/>
    <w:qFormat/>
    <w:uiPriority w:val="0"/>
    <w:rPr>
      <w:rFonts w:ascii="宋体" w:hAnsi="Courier New"/>
      <w:szCs w:val="20"/>
    </w:rPr>
  </w:style>
  <w:style w:type="character" w:customStyle="1" w:styleId="317">
    <w:name w:val="Char Char16"/>
    <w:qFormat/>
    <w:uiPriority w:val="0"/>
    <w:rPr>
      <w:rFonts w:hint="default" w:ascii="Arial" w:hAnsi="Arial" w:eastAsia="黑体" w:cs="Arial"/>
      <w:b/>
      <w:kern w:val="2"/>
      <w:sz w:val="24"/>
      <w:szCs w:val="24"/>
    </w:rPr>
  </w:style>
  <w:style w:type="character" w:customStyle="1" w:styleId="318">
    <w:name w:val="Char Char142"/>
    <w:qFormat/>
    <w:uiPriority w:val="0"/>
    <w:rPr>
      <w:sz w:val="18"/>
      <w:szCs w:val="18"/>
    </w:rPr>
  </w:style>
  <w:style w:type="character" w:customStyle="1" w:styleId="319">
    <w:name w:val="prodname"/>
    <w:qFormat/>
    <w:uiPriority w:val="0"/>
  </w:style>
  <w:style w:type="character" w:customStyle="1" w:styleId="320">
    <w:name w:val="Char Char"/>
    <w:qFormat/>
    <w:uiPriority w:val="0"/>
    <w:rPr>
      <w:rFonts w:hint="eastAsia" w:ascii="宋体" w:hAnsi="宋体" w:eastAsia="宋体"/>
      <w:kern w:val="2"/>
      <w:sz w:val="16"/>
      <w:szCs w:val="16"/>
      <w:lang w:val="en-US" w:eastAsia="zh-CN" w:bidi="ar-SA"/>
    </w:rPr>
  </w:style>
  <w:style w:type="character" w:customStyle="1" w:styleId="321">
    <w:name w:val="页码 New New New New New New New New New"/>
    <w:qFormat/>
    <w:uiPriority w:val="0"/>
  </w:style>
  <w:style w:type="character" w:customStyle="1" w:styleId="322">
    <w:name w:val="HTML 预设格式 Char"/>
    <w:qFormat/>
    <w:uiPriority w:val="0"/>
    <w:rPr>
      <w:rFonts w:ascii="黑体" w:hAnsi="Courier New" w:eastAsia="黑体" w:cs="Courier New"/>
      <w:lang w:val="en-US" w:eastAsia="zh-CN" w:bidi="ar-SA"/>
    </w:rPr>
  </w:style>
  <w:style w:type="character" w:customStyle="1" w:styleId="323">
    <w:name w:val="页码 New New New New New New New New"/>
    <w:qFormat/>
    <w:uiPriority w:val="0"/>
  </w:style>
  <w:style w:type="character" w:customStyle="1" w:styleId="324">
    <w:name w:val="标题 4 Char"/>
    <w:qFormat/>
    <w:uiPriority w:val="0"/>
    <w:rPr>
      <w:rFonts w:ascii="Arial" w:hAnsi="Arial" w:eastAsia="黑体"/>
      <w:sz w:val="28"/>
      <w:lang w:bidi="ar-SA"/>
    </w:rPr>
  </w:style>
  <w:style w:type="character" w:customStyle="1" w:styleId="325">
    <w:name w:val="Char Char31"/>
    <w:qFormat/>
    <w:locked/>
    <w:uiPriority w:val="0"/>
    <w:rPr>
      <w:rFonts w:hint="default" w:ascii="Arial" w:hAnsi="Arial" w:eastAsia="黑体" w:cs="宋体"/>
      <w:b/>
      <w:kern w:val="2"/>
      <w:sz w:val="24"/>
      <w:szCs w:val="24"/>
      <w:lang w:val="en-US" w:eastAsia="zh-CN" w:bidi="ar-SA"/>
    </w:rPr>
  </w:style>
  <w:style w:type="character" w:customStyle="1" w:styleId="326">
    <w:name w:val="ca-3"/>
    <w:qFormat/>
    <w:uiPriority w:val="0"/>
  </w:style>
  <w:style w:type="character" w:customStyle="1" w:styleId="327">
    <w:name w:val="HTML 预设格式 Char2"/>
    <w:qFormat/>
    <w:locked/>
    <w:uiPriority w:val="0"/>
    <w:rPr>
      <w:rFonts w:hint="eastAsia" w:ascii="黑体" w:hAnsi="Courier New" w:eastAsia="黑体" w:cs="Courier New"/>
    </w:rPr>
  </w:style>
  <w:style w:type="character" w:customStyle="1" w:styleId="328">
    <w:name w:val="Comment Text Char"/>
    <w:qFormat/>
    <w:locked/>
    <w:uiPriority w:val="0"/>
    <w:rPr>
      <w:rFonts w:eastAsia="宋体"/>
      <w:sz w:val="24"/>
    </w:rPr>
  </w:style>
  <w:style w:type="character" w:customStyle="1" w:styleId="329">
    <w:name w:val="Body text|3_"/>
    <w:link w:val="330"/>
    <w:qFormat/>
    <w:uiPriority w:val="0"/>
    <w:rPr>
      <w:rFonts w:ascii="宋体" w:hAnsi="宋体" w:eastAsia="宋体" w:cs="宋体"/>
      <w:sz w:val="34"/>
      <w:szCs w:val="34"/>
    </w:rPr>
  </w:style>
  <w:style w:type="paragraph" w:customStyle="1" w:styleId="330">
    <w:name w:val="Body text|3"/>
    <w:basedOn w:val="1"/>
    <w:link w:val="329"/>
    <w:qFormat/>
    <w:uiPriority w:val="0"/>
    <w:pPr>
      <w:spacing w:after="460"/>
      <w:jc w:val="center"/>
    </w:pPr>
    <w:rPr>
      <w:rFonts w:ascii="宋体" w:hAnsi="宋体"/>
      <w:kern w:val="0"/>
      <w:sz w:val="34"/>
      <w:szCs w:val="34"/>
    </w:rPr>
  </w:style>
  <w:style w:type="character" w:customStyle="1" w:styleId="331">
    <w:name w:val="Body text|1_"/>
    <w:link w:val="332"/>
    <w:qFormat/>
    <w:uiPriority w:val="0"/>
    <w:rPr>
      <w:rFonts w:ascii="宋体" w:hAnsi="宋体" w:eastAsia="宋体" w:cs="宋体"/>
      <w:sz w:val="30"/>
      <w:szCs w:val="30"/>
    </w:rPr>
  </w:style>
  <w:style w:type="paragraph" w:customStyle="1" w:styleId="332">
    <w:name w:val="Body text|1"/>
    <w:basedOn w:val="1"/>
    <w:link w:val="331"/>
    <w:qFormat/>
    <w:uiPriority w:val="0"/>
    <w:pPr>
      <w:spacing w:line="353" w:lineRule="auto"/>
      <w:ind w:firstLine="400"/>
      <w:jc w:val="left"/>
    </w:pPr>
    <w:rPr>
      <w:rFonts w:ascii="宋体" w:hAnsi="宋体"/>
      <w:kern w:val="0"/>
      <w:sz w:val="30"/>
      <w:szCs w:val="30"/>
    </w:rPr>
  </w:style>
  <w:style w:type="character" w:customStyle="1" w:styleId="333">
    <w:name w:val="正文文本 Char2"/>
    <w:semiHidden/>
    <w:qFormat/>
    <w:uiPriority w:val="0"/>
    <w:rPr>
      <w:rFonts w:ascii="Times New Roman" w:hAnsi="Times New Roman"/>
      <w:kern w:val="2"/>
      <w:sz w:val="21"/>
      <w:szCs w:val="24"/>
    </w:rPr>
  </w:style>
  <w:style w:type="paragraph" w:customStyle="1" w:styleId="334">
    <w:name w:val="xl31"/>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335">
    <w:name w:val="样式 宋体 小四 行距: 1.5 倍行距1 Char"/>
    <w:basedOn w:val="1"/>
    <w:qFormat/>
    <w:uiPriority w:val="0"/>
    <w:pPr>
      <w:spacing w:line="360" w:lineRule="auto"/>
      <w:ind w:firstLine="540" w:firstLineChars="225"/>
    </w:pPr>
    <w:rPr>
      <w:rFonts w:ascii="宋体" w:hAnsi="宋体"/>
      <w:sz w:val="24"/>
    </w:rPr>
  </w:style>
  <w:style w:type="paragraph" w:customStyle="1" w:styleId="336">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7">
    <w:name w:val="节标题"/>
    <w:basedOn w:val="1"/>
    <w:next w:val="338"/>
    <w:qFormat/>
    <w:uiPriority w:val="0"/>
    <w:pPr>
      <w:widowControl/>
      <w:spacing w:line="289" w:lineRule="atLeast"/>
      <w:jc w:val="center"/>
      <w:textAlignment w:val="baseline"/>
    </w:pPr>
    <w:rPr>
      <w:color w:val="000000"/>
      <w:kern w:val="0"/>
      <w:sz w:val="28"/>
      <w:szCs w:val="20"/>
    </w:rPr>
  </w:style>
  <w:style w:type="paragraph" w:customStyle="1" w:styleId="338">
    <w:name w:val="小节标题"/>
    <w:basedOn w:val="1"/>
    <w:next w:val="1"/>
    <w:qFormat/>
    <w:uiPriority w:val="0"/>
    <w:pPr>
      <w:widowControl/>
      <w:spacing w:before="175" w:beforeLines="0" w:after="102" w:afterLines="0" w:line="351" w:lineRule="atLeast"/>
      <w:textAlignment w:val="baseline"/>
    </w:pPr>
    <w:rPr>
      <w:rFonts w:eastAsia="黑体"/>
      <w:color w:val="000000"/>
      <w:kern w:val="0"/>
      <w:szCs w:val="20"/>
    </w:rPr>
  </w:style>
  <w:style w:type="paragraph" w:customStyle="1" w:styleId="339">
    <w:name w:val="页眉 New"/>
    <w:basedOn w:val="340"/>
    <w:qFormat/>
    <w:uiPriority w:val="0"/>
    <w:pPr>
      <w:pBdr>
        <w:bottom w:val="single" w:color="auto" w:sz="6" w:space="1"/>
      </w:pBdr>
      <w:tabs>
        <w:tab w:val="center" w:pos="4153"/>
        <w:tab w:val="right" w:pos="8306"/>
      </w:tabs>
      <w:snapToGrid w:val="0"/>
      <w:jc w:val="center"/>
    </w:pPr>
    <w:rPr>
      <w:sz w:val="18"/>
      <w:szCs w:val="18"/>
    </w:rPr>
  </w:style>
  <w:style w:type="paragraph" w:customStyle="1" w:styleId="34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1">
    <w:name w:val="目录3"/>
    <w:basedOn w:val="1"/>
    <w:next w:val="1"/>
    <w:qFormat/>
    <w:uiPriority w:val="0"/>
    <w:pPr>
      <w:widowControl/>
      <w:tabs>
        <w:tab w:val="left" w:leader="dot" w:pos="8503"/>
      </w:tabs>
      <w:spacing w:line="317" w:lineRule="atLeast"/>
      <w:ind w:firstLine="419"/>
      <w:textAlignment w:val="baseline"/>
    </w:pPr>
    <w:rPr>
      <w:color w:val="000000"/>
      <w:kern w:val="0"/>
      <w:szCs w:val="20"/>
    </w:rPr>
  </w:style>
  <w:style w:type="paragraph" w:customStyle="1" w:styleId="34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4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44">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45">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346">
    <w:name w:val="页脚 New New New"/>
    <w:basedOn w:val="347"/>
    <w:qFormat/>
    <w:uiPriority w:val="0"/>
    <w:pPr>
      <w:tabs>
        <w:tab w:val="center" w:pos="4153"/>
        <w:tab w:val="right" w:pos="8306"/>
      </w:tabs>
      <w:snapToGrid w:val="0"/>
      <w:jc w:val="left"/>
    </w:pPr>
    <w:rPr>
      <w:sz w:val="18"/>
      <w:szCs w:val="18"/>
    </w:rPr>
  </w:style>
  <w:style w:type="paragraph" w:customStyle="1" w:styleId="347">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8">
    <w:name w:val="页眉 New New New New New"/>
    <w:basedOn w:val="349"/>
    <w:qFormat/>
    <w:uiPriority w:val="0"/>
    <w:pPr>
      <w:pBdr>
        <w:bottom w:val="single" w:color="auto" w:sz="6" w:space="1"/>
      </w:pBdr>
      <w:tabs>
        <w:tab w:val="center" w:pos="4153"/>
        <w:tab w:val="right" w:pos="8306"/>
      </w:tabs>
      <w:snapToGrid w:val="0"/>
      <w:jc w:val="center"/>
    </w:pPr>
    <w:rPr>
      <w:sz w:val="18"/>
      <w:szCs w:val="18"/>
    </w:rPr>
  </w:style>
  <w:style w:type="paragraph" w:customStyle="1" w:styleId="349">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351">
    <w:name w:val="我的正文"/>
    <w:basedOn w:val="1"/>
    <w:qFormat/>
    <w:uiPriority w:val="0"/>
    <w:pPr>
      <w:spacing w:line="520" w:lineRule="exact"/>
      <w:ind w:firstLine="192" w:firstLineChars="192"/>
    </w:pPr>
    <w:rPr>
      <w:sz w:val="28"/>
      <w:szCs w:val="28"/>
    </w:rPr>
  </w:style>
  <w:style w:type="paragraph" w:customStyle="1" w:styleId="35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53">
    <w:name w:val="正文表标题"/>
    <w:next w:val="1"/>
    <w:qFormat/>
    <w:uiPriority w:val="0"/>
    <w:pPr>
      <w:numPr>
        <w:ilvl w:val="0"/>
        <w:numId w:val="2"/>
      </w:numPr>
      <w:tabs>
        <w:tab w:val="left" w:pos="1200"/>
      </w:tabs>
      <w:jc w:val="center"/>
    </w:pPr>
    <w:rPr>
      <w:rFonts w:ascii="黑体" w:hAnsi="Times New Roman" w:eastAsia="黑体" w:cs="Times New Roman"/>
      <w:sz w:val="21"/>
      <w:lang w:val="en-US" w:eastAsia="zh-CN" w:bidi="ar-SA"/>
    </w:rPr>
  </w:style>
  <w:style w:type="paragraph" w:customStyle="1" w:styleId="354">
    <w:name w:val="插图题注"/>
    <w:next w:val="1"/>
    <w:qFormat/>
    <w:uiPriority w:val="0"/>
    <w:pPr>
      <w:spacing w:after="312" w:afterLines="100"/>
      <w:ind w:left="1089" w:hanging="369"/>
      <w:jc w:val="center"/>
    </w:pPr>
    <w:rPr>
      <w:rFonts w:ascii="Arial" w:hAnsi="Arial" w:eastAsia="宋体" w:cs="Times New Roman"/>
      <w:sz w:val="18"/>
      <w:szCs w:val="18"/>
      <w:lang w:val="en-US" w:eastAsia="zh-CN" w:bidi="ar-SA"/>
    </w:rPr>
  </w:style>
  <w:style w:type="paragraph" w:customStyle="1" w:styleId="355">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356">
    <w:name w:val="pa-14"/>
    <w:basedOn w:val="1"/>
    <w:qFormat/>
    <w:uiPriority w:val="0"/>
    <w:pPr>
      <w:widowControl/>
      <w:spacing w:before="169" w:after="169"/>
      <w:jc w:val="left"/>
    </w:pPr>
    <w:rPr>
      <w:rFonts w:ascii="宋体" w:hAnsi="宋体" w:cs="宋体"/>
      <w:kern w:val="0"/>
      <w:sz w:val="24"/>
    </w:rPr>
  </w:style>
  <w:style w:type="paragraph" w:customStyle="1" w:styleId="357">
    <w:name w:val="列出段落2"/>
    <w:basedOn w:val="1"/>
    <w:qFormat/>
    <w:uiPriority w:val="0"/>
    <w:pPr>
      <w:ind w:firstLine="420" w:firstLineChars="200"/>
    </w:pPr>
    <w:rPr>
      <w:kern w:val="0"/>
      <w:sz w:val="20"/>
      <w:szCs w:val="20"/>
    </w:rPr>
  </w:style>
  <w:style w:type="paragraph" w:customStyle="1" w:styleId="358">
    <w:name w:val="页眉 New New New New New New"/>
    <w:basedOn w:val="359"/>
    <w:qFormat/>
    <w:uiPriority w:val="0"/>
    <w:pPr>
      <w:pBdr>
        <w:bottom w:val="single" w:color="auto" w:sz="6" w:space="1"/>
      </w:pBdr>
      <w:tabs>
        <w:tab w:val="center" w:pos="4153"/>
        <w:tab w:val="right" w:pos="8306"/>
      </w:tabs>
      <w:snapToGrid w:val="0"/>
      <w:jc w:val="center"/>
    </w:pPr>
    <w:rPr>
      <w:sz w:val="18"/>
      <w:szCs w:val="18"/>
    </w:rPr>
  </w:style>
  <w:style w:type="paragraph" w:customStyle="1" w:styleId="359">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0">
    <w:name w:val="4"/>
    <w:basedOn w:val="1"/>
    <w:next w:val="33"/>
    <w:qFormat/>
    <w:uiPriority w:val="0"/>
    <w:pPr>
      <w:spacing w:line="420" w:lineRule="exact"/>
      <w:ind w:firstLine="409" w:firstLineChars="195"/>
    </w:pPr>
  </w:style>
  <w:style w:type="paragraph" w:customStyle="1" w:styleId="36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62">
    <w:name w:val="Char"/>
    <w:basedOn w:val="17"/>
    <w:qFormat/>
    <w:uiPriority w:val="0"/>
    <w:pPr>
      <w:widowControl/>
      <w:ind w:firstLine="454"/>
      <w:jc w:val="left"/>
    </w:pPr>
    <w:rPr>
      <w:rFonts w:ascii="Tahoma" w:hAnsi="Tahoma" w:cs="宋体"/>
      <w:kern w:val="0"/>
      <w:sz w:val="24"/>
      <w:szCs w:val="20"/>
    </w:rPr>
  </w:style>
  <w:style w:type="paragraph" w:customStyle="1" w:styleId="363">
    <w:name w:val="5 Char Char Char Char Char Char Char Char Char Char"/>
    <w:basedOn w:val="1"/>
    <w:qFormat/>
    <w:uiPriority w:val="0"/>
  </w:style>
  <w:style w:type="paragraph" w:customStyle="1" w:styleId="364">
    <w:name w:val="文章附标题"/>
    <w:basedOn w:val="1"/>
    <w:next w:val="3"/>
    <w:qFormat/>
    <w:uiPriority w:val="0"/>
    <w:pPr>
      <w:widowControl/>
      <w:spacing w:before="187" w:beforeLines="0" w:after="175" w:afterLines="0" w:line="374" w:lineRule="atLeast"/>
      <w:jc w:val="center"/>
      <w:textAlignment w:val="baseline"/>
    </w:pPr>
    <w:rPr>
      <w:color w:val="000000"/>
      <w:kern w:val="0"/>
      <w:sz w:val="36"/>
      <w:szCs w:val="20"/>
    </w:rPr>
  </w:style>
  <w:style w:type="paragraph" w:customStyle="1" w:styleId="365">
    <w:name w:val="pa-6"/>
    <w:basedOn w:val="1"/>
    <w:qFormat/>
    <w:uiPriority w:val="0"/>
    <w:pPr>
      <w:widowControl/>
      <w:spacing w:before="169" w:after="169"/>
      <w:jc w:val="left"/>
    </w:pPr>
    <w:rPr>
      <w:rFonts w:ascii="宋体" w:hAnsi="宋体" w:cs="宋体"/>
      <w:kern w:val="0"/>
      <w:sz w:val="24"/>
    </w:rPr>
  </w:style>
  <w:style w:type="paragraph" w:customStyle="1" w:styleId="366">
    <w:name w:val="标准正文"/>
    <w:basedOn w:val="1"/>
    <w:next w:val="1"/>
    <w:qFormat/>
    <w:uiPriority w:val="0"/>
    <w:pPr>
      <w:widowControl/>
      <w:spacing w:after="50"/>
      <w:ind w:firstLine="200"/>
    </w:pPr>
    <w:rPr>
      <w:color w:val="000000"/>
      <w:sz w:val="24"/>
      <w:szCs w:val="20"/>
    </w:rPr>
  </w:style>
  <w:style w:type="paragraph" w:customStyle="1" w:styleId="367">
    <w:name w:val="目录2"/>
    <w:basedOn w:val="1"/>
    <w:next w:val="1"/>
    <w:qFormat/>
    <w:uiPriority w:val="0"/>
    <w:pPr>
      <w:widowControl/>
      <w:tabs>
        <w:tab w:val="left" w:leader="dot" w:pos="8503"/>
      </w:tabs>
      <w:spacing w:line="317" w:lineRule="atLeast"/>
      <w:ind w:firstLine="209"/>
      <w:textAlignment w:val="baseline"/>
    </w:pPr>
    <w:rPr>
      <w:color w:val="000000"/>
      <w:kern w:val="0"/>
      <w:szCs w:val="20"/>
    </w:rPr>
  </w:style>
  <w:style w:type="paragraph" w:customStyle="1" w:styleId="368">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369">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70">
    <w:name w:val="正文段"/>
    <w:basedOn w:val="1"/>
    <w:qFormat/>
    <w:uiPriority w:val="0"/>
    <w:pPr>
      <w:widowControl/>
      <w:snapToGrid w:val="0"/>
      <w:spacing w:after="156" w:afterLines="50"/>
      <w:ind w:firstLine="200" w:firstLineChars="200"/>
    </w:pPr>
    <w:rPr>
      <w:kern w:val="0"/>
      <w:sz w:val="24"/>
      <w:szCs w:val="20"/>
    </w:rPr>
  </w:style>
  <w:style w:type="paragraph" w:customStyle="1" w:styleId="371">
    <w:name w:val="列出段落11"/>
    <w:qFormat/>
    <w:uiPriority w:val="0"/>
    <w:pPr>
      <w:ind w:firstLine="420" w:firstLineChars="200"/>
    </w:pPr>
    <w:rPr>
      <w:rFonts w:ascii="Times New Roman" w:hAnsi="Times New Roman" w:eastAsia="宋体" w:cs="Times New Roman"/>
      <w:szCs w:val="22"/>
      <w:lang w:val="en-US" w:eastAsia="zh-CN" w:bidi="ar-SA"/>
    </w:rPr>
  </w:style>
  <w:style w:type="paragraph" w:customStyle="1" w:styleId="37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73">
    <w:name w:val="pa-12"/>
    <w:basedOn w:val="1"/>
    <w:qFormat/>
    <w:uiPriority w:val="0"/>
    <w:pPr>
      <w:widowControl/>
      <w:spacing w:before="169" w:after="169"/>
      <w:jc w:val="left"/>
    </w:pPr>
    <w:rPr>
      <w:rFonts w:ascii="宋体" w:hAnsi="宋体" w:cs="宋体"/>
      <w:kern w:val="0"/>
      <w:sz w:val="24"/>
    </w:rPr>
  </w:style>
  <w:style w:type="paragraph" w:customStyle="1" w:styleId="374">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5">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376">
    <w:name w:val="页脚 New New"/>
    <w:basedOn w:val="377"/>
    <w:qFormat/>
    <w:uiPriority w:val="0"/>
    <w:pPr>
      <w:tabs>
        <w:tab w:val="center" w:pos="4153"/>
        <w:tab w:val="right" w:pos="8306"/>
      </w:tabs>
      <w:snapToGrid w:val="0"/>
      <w:jc w:val="left"/>
    </w:pPr>
    <w:rPr>
      <w:sz w:val="18"/>
      <w:szCs w:val="18"/>
    </w:rPr>
  </w:style>
  <w:style w:type="paragraph" w:customStyle="1" w:styleId="37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8">
    <w:name w:val="font10"/>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379">
    <w:name w:val="样式 标题 2H2h22nd levelTitre2l22Header 2节标题一级节名Level 2 He..."/>
    <w:basedOn w:val="4"/>
    <w:qFormat/>
    <w:uiPriority w:val="0"/>
    <w:pPr>
      <w:numPr>
        <w:ilvl w:val="1"/>
        <w:numId w:val="2"/>
      </w:numPr>
      <w:adjustRightInd w:val="0"/>
      <w:snapToGrid w:val="0"/>
      <w:spacing w:before="0" w:after="0" w:line="360" w:lineRule="auto"/>
    </w:pPr>
    <w:rPr>
      <w:sz w:val="21"/>
      <w:szCs w:val="20"/>
    </w:rPr>
  </w:style>
  <w:style w:type="paragraph" w:customStyle="1" w:styleId="380">
    <w:name w:val="Char Char1 Char Char Char Char"/>
    <w:basedOn w:val="17"/>
    <w:qFormat/>
    <w:uiPriority w:val="0"/>
    <w:rPr>
      <w:rFonts w:ascii="Tahoma" w:hAnsi="Tahoma"/>
      <w:sz w:val="24"/>
    </w:rPr>
  </w:style>
  <w:style w:type="paragraph" w:customStyle="1" w:styleId="381">
    <w:name w:val="Char Char1 Char Char Char Char Char Char"/>
    <w:basedOn w:val="1"/>
    <w:qFormat/>
    <w:uiPriority w:val="0"/>
    <w:pPr>
      <w:widowControl/>
      <w:spacing w:after="160" w:line="240" w:lineRule="exact"/>
      <w:jc w:val="left"/>
    </w:pPr>
    <w:rPr>
      <w:rFonts w:ascii="宋体" w:hAnsi="Courier New"/>
      <w:szCs w:val="20"/>
    </w:rPr>
  </w:style>
  <w:style w:type="paragraph" w:customStyle="1" w:styleId="382">
    <w:name w:val="页脚 New New New New"/>
    <w:basedOn w:val="383"/>
    <w:qFormat/>
    <w:uiPriority w:val="0"/>
    <w:pPr>
      <w:tabs>
        <w:tab w:val="center" w:pos="4153"/>
        <w:tab w:val="right" w:pos="8306"/>
      </w:tabs>
      <w:snapToGrid w:val="0"/>
      <w:jc w:val="left"/>
    </w:pPr>
    <w:rPr>
      <w:sz w:val="18"/>
      <w:szCs w:val="18"/>
    </w:rPr>
  </w:style>
  <w:style w:type="paragraph" w:customStyle="1" w:styleId="383">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4">
    <w:name w:val="样式3"/>
    <w:basedOn w:val="1"/>
    <w:qFormat/>
    <w:uiPriority w:val="0"/>
    <w:pPr>
      <w:tabs>
        <w:tab w:val="left" w:pos="560"/>
        <w:tab w:val="left" w:pos="1120"/>
      </w:tabs>
      <w:spacing w:line="480" w:lineRule="atLeast"/>
    </w:pPr>
    <w:rPr>
      <w:rFonts w:ascii="宋体" w:eastAsia="创艺简黑体"/>
      <w:szCs w:val="20"/>
    </w:rPr>
  </w:style>
  <w:style w:type="paragraph" w:customStyle="1" w:styleId="385">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textAlignment w:val="top"/>
    </w:pPr>
    <w:rPr>
      <w:kern w:val="0"/>
      <w:szCs w:val="21"/>
    </w:rPr>
  </w:style>
  <w:style w:type="paragraph" w:customStyle="1" w:styleId="38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87">
    <w:name w:val="Char Char Char Char Char Char1 Char"/>
    <w:basedOn w:val="1"/>
    <w:qFormat/>
    <w:uiPriority w:val="0"/>
    <w:pPr>
      <w:widowControl/>
      <w:spacing w:after="160" w:line="240" w:lineRule="exact"/>
      <w:jc w:val="left"/>
    </w:pPr>
  </w:style>
  <w:style w:type="paragraph" w:customStyle="1" w:styleId="388">
    <w:name w:val="页眉 New New"/>
    <w:basedOn w:val="377"/>
    <w:qFormat/>
    <w:uiPriority w:val="0"/>
    <w:pPr>
      <w:pBdr>
        <w:bottom w:val="single" w:color="auto" w:sz="6" w:space="1"/>
      </w:pBdr>
      <w:tabs>
        <w:tab w:val="center" w:pos="4153"/>
        <w:tab w:val="right" w:pos="8306"/>
      </w:tabs>
      <w:snapToGrid w:val="0"/>
      <w:jc w:val="center"/>
    </w:pPr>
    <w:rPr>
      <w:sz w:val="18"/>
      <w:szCs w:val="18"/>
    </w:rPr>
  </w:style>
  <w:style w:type="paragraph" w:customStyle="1" w:styleId="389">
    <w:name w:val="_Style 35"/>
    <w:basedOn w:val="17"/>
    <w:qFormat/>
    <w:uiPriority w:val="0"/>
    <w:pPr>
      <w:widowControl/>
      <w:ind w:firstLine="454"/>
      <w:jc w:val="left"/>
    </w:pPr>
  </w:style>
  <w:style w:type="paragraph" w:customStyle="1" w:styleId="390">
    <w:name w:val="样式 标题 2 + Times New Roman 四号 非加粗 段前: 5 磅 段后: 0 磅 行距: 固定值 20..."/>
    <w:basedOn w:val="4"/>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391">
    <w:name w:val="页眉 New New New New"/>
    <w:basedOn w:val="383"/>
    <w:qFormat/>
    <w:uiPriority w:val="0"/>
    <w:pPr>
      <w:pBdr>
        <w:bottom w:val="single" w:color="auto" w:sz="6" w:space="1"/>
      </w:pBdr>
      <w:tabs>
        <w:tab w:val="center" w:pos="4153"/>
        <w:tab w:val="right" w:pos="8306"/>
      </w:tabs>
      <w:snapToGrid w:val="0"/>
      <w:jc w:val="center"/>
    </w:pPr>
    <w:rPr>
      <w:sz w:val="18"/>
      <w:szCs w:val="18"/>
    </w:rPr>
  </w:style>
  <w:style w:type="paragraph" w:customStyle="1" w:styleId="392">
    <w:name w:val="一级条标题"/>
    <w:next w:val="1"/>
    <w:qFormat/>
    <w:uiPriority w:val="0"/>
    <w:pPr>
      <w:ind w:left="2310"/>
      <w:outlineLvl w:val="2"/>
    </w:pPr>
    <w:rPr>
      <w:rFonts w:ascii="Times New Roman" w:hAnsi="Times New Roman" w:eastAsia="黑体" w:cs="Times New Roman"/>
      <w:sz w:val="21"/>
      <w:lang w:val="en-US" w:eastAsia="zh-CN" w:bidi="ar-SA"/>
    </w:rPr>
  </w:style>
  <w:style w:type="paragraph" w:customStyle="1" w:styleId="393">
    <w:name w:val="pa-7"/>
    <w:basedOn w:val="1"/>
    <w:qFormat/>
    <w:uiPriority w:val="0"/>
    <w:pPr>
      <w:widowControl/>
      <w:spacing w:before="169" w:after="169"/>
      <w:jc w:val="left"/>
    </w:pPr>
    <w:rPr>
      <w:rFonts w:ascii="宋体" w:hAnsi="宋体" w:cs="宋体"/>
      <w:kern w:val="0"/>
      <w:sz w:val="24"/>
    </w:rPr>
  </w:style>
  <w:style w:type="paragraph" w:customStyle="1" w:styleId="394">
    <w:name w:val=" Char Char1 Char Char Char Char"/>
    <w:basedOn w:val="17"/>
    <w:qFormat/>
    <w:uiPriority w:val="0"/>
    <w:rPr>
      <w:rFonts w:ascii="Tahoma" w:hAnsi="Tahoma"/>
      <w:sz w:val="24"/>
    </w:rPr>
  </w:style>
  <w:style w:type="paragraph" w:customStyle="1" w:styleId="39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97">
    <w:name w:val="Char1"/>
    <w:basedOn w:val="1"/>
    <w:qFormat/>
    <w:uiPriority w:val="0"/>
    <w:rPr>
      <w:szCs w:val="21"/>
    </w:rPr>
  </w:style>
  <w:style w:type="paragraph" w:customStyle="1" w:styleId="39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99">
    <w:name w:val="页眉 New New New New New New New New"/>
    <w:basedOn w:val="400"/>
    <w:qFormat/>
    <w:uiPriority w:val="0"/>
    <w:pPr>
      <w:pBdr>
        <w:bottom w:val="single" w:color="auto" w:sz="6" w:space="1"/>
      </w:pBdr>
      <w:tabs>
        <w:tab w:val="center" w:pos="4153"/>
        <w:tab w:val="right" w:pos="8306"/>
      </w:tabs>
      <w:snapToGrid w:val="0"/>
      <w:jc w:val="center"/>
    </w:pPr>
    <w:rPr>
      <w:sz w:val="18"/>
      <w:szCs w:val="18"/>
    </w:rPr>
  </w:style>
  <w:style w:type="paragraph" w:customStyle="1" w:styleId="400">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1">
    <w:name w:val="pa-15"/>
    <w:basedOn w:val="1"/>
    <w:qFormat/>
    <w:uiPriority w:val="0"/>
    <w:pPr>
      <w:widowControl/>
      <w:spacing w:before="169" w:after="169"/>
      <w:jc w:val="left"/>
    </w:pPr>
    <w:rPr>
      <w:rFonts w:ascii="宋体" w:hAnsi="宋体" w:cs="宋体"/>
      <w:kern w:val="0"/>
      <w:sz w:val="24"/>
    </w:rPr>
  </w:style>
  <w:style w:type="paragraph" w:customStyle="1" w:styleId="402">
    <w:name w:val="bb"/>
    <w:basedOn w:val="1"/>
    <w:qFormat/>
    <w:uiPriority w:val="0"/>
    <w:pPr>
      <w:widowControl/>
      <w:spacing w:before="100" w:beforeAutospacing="1" w:after="100" w:afterAutospacing="1"/>
      <w:jc w:val="left"/>
    </w:pPr>
    <w:rPr>
      <w:rFonts w:ascii="宋体" w:hAnsi="宋体"/>
      <w:kern w:val="0"/>
      <w:sz w:val="24"/>
    </w:rPr>
  </w:style>
  <w:style w:type="paragraph" w:customStyle="1" w:styleId="403">
    <w:name w:val="Char2"/>
    <w:basedOn w:val="1"/>
    <w:qFormat/>
    <w:uiPriority w:val="0"/>
    <w:pPr>
      <w:widowControl/>
      <w:spacing w:after="160" w:afterLines="0" w:line="240" w:lineRule="exact"/>
      <w:jc w:val="left"/>
    </w:pPr>
    <w:rPr>
      <w:rFonts w:ascii="Verdana" w:hAnsi="Verdana"/>
      <w:kern w:val="0"/>
      <w:szCs w:val="20"/>
      <w:lang w:eastAsia="en-US"/>
    </w:rPr>
  </w:style>
  <w:style w:type="paragraph" w:customStyle="1" w:styleId="404">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40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06">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0"/>
      <w:szCs w:val="20"/>
    </w:rPr>
  </w:style>
  <w:style w:type="paragraph" w:customStyle="1" w:styleId="407">
    <w:name w:val="列出段落1"/>
    <w:qFormat/>
    <w:uiPriority w:val="99"/>
    <w:pPr>
      <w:ind w:firstLine="420" w:firstLineChars="200"/>
    </w:pPr>
    <w:rPr>
      <w:rFonts w:ascii="Times New Roman" w:hAnsi="Times New Roman" w:eastAsia="宋体" w:cs="Times New Roman"/>
      <w:szCs w:val="22"/>
      <w:lang w:val="en-US" w:eastAsia="zh-CN" w:bidi="ar-SA"/>
    </w:rPr>
  </w:style>
  <w:style w:type="paragraph" w:customStyle="1" w:styleId="408">
    <w:name w:val="样式1正文（首行缩进两字） Char +"/>
    <w:qFormat/>
    <w:uiPriority w:val="0"/>
    <w:pPr>
      <w:spacing w:line="276" w:lineRule="auto"/>
      <w:ind w:left="420"/>
    </w:pPr>
    <w:rPr>
      <w:rFonts w:ascii="Times New Roman" w:hAnsi="Times New Roman" w:eastAsia="宋体" w:cs="Times New Roman"/>
      <w:kern w:val="2"/>
      <w:sz w:val="24"/>
      <w:szCs w:val="24"/>
      <w:lang w:val="en-US" w:eastAsia="zh-CN" w:bidi="ar-SA"/>
    </w:rPr>
  </w:style>
  <w:style w:type="paragraph" w:customStyle="1" w:styleId="40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10">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411">
    <w:name w:val="_Style 33"/>
    <w:basedOn w:val="1"/>
    <w:qFormat/>
    <w:uiPriority w:val="0"/>
    <w:pPr>
      <w:widowControl/>
      <w:spacing w:after="160" w:line="240" w:lineRule="exact"/>
      <w:jc w:val="left"/>
    </w:pPr>
  </w:style>
  <w:style w:type="paragraph" w:customStyle="1" w:styleId="412">
    <w:name w:val="List Paragraph"/>
    <w:basedOn w:val="1"/>
    <w:qFormat/>
    <w:uiPriority w:val="0"/>
    <w:pPr>
      <w:ind w:firstLine="420" w:firstLineChars="200"/>
    </w:pPr>
    <w:rPr>
      <w:rFonts w:ascii="Calibri" w:hAnsi="Calibri"/>
      <w:szCs w:val="22"/>
    </w:rPr>
  </w:style>
  <w:style w:type="paragraph" w:customStyle="1" w:styleId="413">
    <w:name w:val="页脚 New New New New New New New New New"/>
    <w:basedOn w:val="414"/>
    <w:qFormat/>
    <w:uiPriority w:val="0"/>
    <w:pPr>
      <w:tabs>
        <w:tab w:val="center" w:pos="4153"/>
        <w:tab w:val="right" w:pos="8306"/>
      </w:tabs>
      <w:snapToGrid w:val="0"/>
      <w:jc w:val="left"/>
    </w:pPr>
    <w:rPr>
      <w:sz w:val="18"/>
      <w:szCs w:val="18"/>
    </w:rPr>
  </w:style>
  <w:style w:type="paragraph" w:customStyle="1" w:styleId="414">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5">
    <w:name w:val="项目5"/>
    <w:basedOn w:val="1"/>
    <w:qFormat/>
    <w:uiPriority w:val="0"/>
    <w:pPr>
      <w:tabs>
        <w:tab w:val="left" w:pos="360"/>
        <w:tab w:val="left" w:pos="874"/>
      </w:tabs>
      <w:spacing w:line="400" w:lineRule="exact"/>
      <w:jc w:val="left"/>
    </w:pPr>
    <w:rPr>
      <w:szCs w:val="20"/>
    </w:rPr>
  </w:style>
  <w:style w:type="paragraph" w:customStyle="1" w:styleId="416">
    <w:name w:val="无间隔1"/>
    <w:qFormat/>
    <w:uiPriority w:val="0"/>
    <w:rPr>
      <w:rFonts w:ascii="Times New Roman" w:hAnsi="Times New Roman" w:eastAsia="宋体" w:cs="Times New Roman"/>
      <w:sz w:val="22"/>
      <w:szCs w:val="22"/>
      <w:lang w:val="en-US" w:eastAsia="zh-CN" w:bidi="ar-SA"/>
    </w:rPr>
  </w:style>
  <w:style w:type="paragraph" w:customStyle="1" w:styleId="417">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418">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19">
    <w:name w:val="Default Paragraph Font Para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420">
    <w:name w:val="列出段落22"/>
    <w:basedOn w:val="1"/>
    <w:qFormat/>
    <w:uiPriority w:val="0"/>
    <w:pPr>
      <w:ind w:firstLine="420" w:firstLineChars="200"/>
    </w:pPr>
    <w:rPr>
      <w:sz w:val="24"/>
    </w:rPr>
  </w:style>
  <w:style w:type="paragraph" w:customStyle="1" w:styleId="421">
    <w:name w:val="Char Char Char Char"/>
    <w:basedOn w:val="17"/>
    <w:qFormat/>
    <w:uiPriority w:val="0"/>
    <w:pPr>
      <w:adjustRightInd w:val="0"/>
      <w:snapToGrid w:val="0"/>
      <w:spacing w:line="360" w:lineRule="auto"/>
    </w:pPr>
    <w:rPr>
      <w:rFonts w:ascii="Tahoma" w:hAnsi="Tahoma"/>
      <w:sz w:val="24"/>
    </w:rPr>
  </w:style>
  <w:style w:type="paragraph" w:customStyle="1" w:styleId="422">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23">
    <w:name w:val="招标标题1"/>
    <w:basedOn w:val="5"/>
    <w:qFormat/>
    <w:uiPriority w:val="0"/>
    <w:pPr>
      <w:numPr>
        <w:ilvl w:val="0"/>
        <w:numId w:val="3"/>
      </w:numPr>
      <w:tabs>
        <w:tab w:val="left" w:pos="950"/>
      </w:tabs>
      <w:adjustRightInd w:val="0"/>
      <w:spacing w:before="240" w:after="120" w:line="300" w:lineRule="auto"/>
      <w:jc w:val="left"/>
    </w:pPr>
    <w:rPr>
      <w:rFonts w:ascii="楷体_GB2312" w:eastAsia="楷体_GB2312"/>
      <w:bCs w:val="0"/>
      <w:kern w:val="2"/>
      <w:sz w:val="24"/>
      <w:szCs w:val="24"/>
      <w:lang w:val="en-US" w:eastAsia="zh-CN"/>
    </w:rPr>
  </w:style>
  <w:style w:type="paragraph" w:customStyle="1" w:styleId="424">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宋体" w:hAnsi="宋体" w:cs="宋体"/>
      <w:kern w:val="0"/>
      <w:sz w:val="20"/>
      <w:szCs w:val="20"/>
    </w:rPr>
  </w:style>
  <w:style w:type="paragraph" w:customStyle="1" w:styleId="42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26">
    <w:name w:val="页脚 New New New New New New New New"/>
    <w:basedOn w:val="400"/>
    <w:qFormat/>
    <w:uiPriority w:val="0"/>
    <w:pPr>
      <w:tabs>
        <w:tab w:val="center" w:pos="4153"/>
        <w:tab w:val="right" w:pos="8306"/>
      </w:tabs>
      <w:snapToGrid w:val="0"/>
      <w:jc w:val="left"/>
    </w:pPr>
    <w:rPr>
      <w:sz w:val="18"/>
      <w:szCs w:val="18"/>
    </w:rPr>
  </w:style>
  <w:style w:type="paragraph" w:customStyle="1" w:styleId="427">
    <w:name w:val="样式 首行缩进:  2 字符"/>
    <w:basedOn w:val="1"/>
    <w:qFormat/>
    <w:uiPriority w:val="0"/>
    <w:pPr>
      <w:spacing w:line="400" w:lineRule="exact"/>
      <w:ind w:firstLine="200" w:firstLineChars="200"/>
    </w:pPr>
    <w:rPr>
      <w:rFonts w:cs="宋体"/>
      <w:sz w:val="24"/>
    </w:rPr>
  </w:style>
  <w:style w:type="paragraph" w:customStyle="1" w:styleId="428">
    <w:name w:val="标题1"/>
    <w:basedOn w:val="3"/>
    <w:qFormat/>
    <w:uiPriority w:val="0"/>
    <w:pPr>
      <w:keepLines w:val="0"/>
      <w:widowControl/>
      <w:pBdr>
        <w:bottom w:val="single" w:color="auto" w:sz="8" w:space="6"/>
      </w:pBdr>
      <w:tabs>
        <w:tab w:val="left" w:pos="0"/>
      </w:tabs>
      <w:spacing w:before="480" w:beforeLines="0" w:after="240" w:afterLines="0" w:line="360" w:lineRule="auto"/>
      <w:ind w:left="567" w:hanging="567"/>
      <w:jc w:val="left"/>
    </w:pPr>
    <w:rPr>
      <w:rFonts w:ascii="宋体" w:hAnsi="宋体"/>
      <w:smallCaps/>
      <w:color w:val="000000"/>
      <w:spacing w:val="10"/>
      <w:kern w:val="20"/>
      <w:sz w:val="21"/>
      <w:szCs w:val="21"/>
    </w:rPr>
  </w:style>
  <w:style w:type="paragraph" w:customStyle="1" w:styleId="429">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0"/>
      <w:szCs w:val="20"/>
    </w:rPr>
  </w:style>
  <w:style w:type="paragraph" w:customStyle="1" w:styleId="430">
    <w:name w:val="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43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32">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33">
    <w:name w:val="pa-11"/>
    <w:basedOn w:val="1"/>
    <w:qFormat/>
    <w:uiPriority w:val="0"/>
    <w:pPr>
      <w:widowControl/>
      <w:spacing w:before="169" w:after="169"/>
      <w:jc w:val="left"/>
    </w:pPr>
    <w:rPr>
      <w:rFonts w:ascii="宋体" w:hAnsi="宋体" w:cs="宋体"/>
      <w:kern w:val="0"/>
      <w:sz w:val="24"/>
    </w:rPr>
  </w:style>
  <w:style w:type="paragraph" w:customStyle="1" w:styleId="434">
    <w:name w:val="样式1 正文（首行缩进两字） Char + Times New Roman"/>
    <w:qFormat/>
    <w:uiPriority w:val="0"/>
    <w:pPr>
      <w:spacing w:line="360" w:lineRule="auto"/>
      <w:ind w:firstLine="420"/>
    </w:pPr>
    <w:rPr>
      <w:rFonts w:ascii="Arial" w:hAnsi="Arial" w:eastAsia="宋体" w:cs="Arial"/>
      <w:bCs/>
      <w:kern w:val="2"/>
      <w:sz w:val="24"/>
      <w:szCs w:val="24"/>
      <w:lang w:val="en-US" w:eastAsia="zh-CN" w:bidi="ar-SA"/>
    </w:rPr>
  </w:style>
  <w:style w:type="paragraph" w:customStyle="1" w:styleId="435">
    <w:name w:val="样式 标题 2 + (西文) 宋体 非加粗 居中"/>
    <w:basedOn w:val="4"/>
    <w:qFormat/>
    <w:uiPriority w:val="0"/>
    <w:pPr>
      <w:jc w:val="center"/>
    </w:pPr>
    <w:rPr>
      <w:rFonts w:ascii="宋体" w:hAnsi="宋体" w:cs="宋体"/>
      <w:b w:val="0"/>
      <w:bCs w:val="0"/>
      <w:spacing w:val="2"/>
      <w:sz w:val="28"/>
      <w:szCs w:val="20"/>
    </w:rPr>
  </w:style>
  <w:style w:type="paragraph" w:customStyle="1" w:styleId="436">
    <w:name w:val="Normal"/>
    <w:basedOn w:val="1"/>
    <w:qFormat/>
    <w:uiPriority w:val="0"/>
    <w:rPr>
      <w:rFonts w:eastAsia="Times New Roman" w:cs="宋体"/>
      <w:kern w:val="0"/>
      <w:szCs w:val="20"/>
      <w:lang w:eastAsia="en-US"/>
    </w:rPr>
  </w:style>
  <w:style w:type="paragraph" w:customStyle="1" w:styleId="437">
    <w:name w:val="Bullets"/>
    <w:basedOn w:val="1"/>
    <w:qFormat/>
    <w:uiPriority w:val="0"/>
    <w:pPr>
      <w:widowControl/>
      <w:adjustRightInd w:val="0"/>
      <w:snapToGrid w:val="0"/>
      <w:spacing w:before="60" w:after="60"/>
    </w:pPr>
    <w:rPr>
      <w:kern w:val="0"/>
      <w:sz w:val="24"/>
      <w:lang w:val="en-GB"/>
    </w:rPr>
  </w:style>
  <w:style w:type="paragraph" w:customStyle="1" w:styleId="438">
    <w:name w:val=" Char"/>
    <w:basedOn w:val="17"/>
    <w:qFormat/>
    <w:uiPriority w:val="0"/>
    <w:pPr>
      <w:widowControl/>
      <w:ind w:firstLine="454"/>
      <w:jc w:val="left"/>
    </w:pPr>
    <w:rPr>
      <w:rFonts w:ascii="Tahoma" w:hAnsi="Tahoma" w:cs="宋体"/>
      <w:kern w:val="0"/>
      <w:sz w:val="24"/>
      <w:szCs w:val="20"/>
    </w:rPr>
  </w:style>
  <w:style w:type="paragraph" w:customStyle="1" w:styleId="439">
    <w:name w:val=" Char2"/>
    <w:basedOn w:val="1"/>
    <w:qFormat/>
    <w:uiPriority w:val="0"/>
    <w:rPr>
      <w:szCs w:val="20"/>
    </w:rPr>
  </w:style>
  <w:style w:type="paragraph" w:customStyle="1" w:styleId="440">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4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2">
    <w:name w:val="文章总标题"/>
    <w:basedOn w:val="1"/>
    <w:next w:val="364"/>
    <w:qFormat/>
    <w:uiPriority w:val="0"/>
    <w:pPr>
      <w:widowControl/>
      <w:spacing w:before="566" w:beforeLines="0" w:after="544" w:afterLines="0" w:line="566" w:lineRule="atLeast"/>
      <w:jc w:val="center"/>
      <w:textAlignment w:val="baseline"/>
    </w:pPr>
    <w:rPr>
      <w:rFonts w:ascii="Arial" w:eastAsia="黑体"/>
      <w:color w:val="000000"/>
      <w:kern w:val="0"/>
      <w:sz w:val="54"/>
      <w:szCs w:val="20"/>
    </w:rPr>
  </w:style>
  <w:style w:type="paragraph" w:customStyle="1" w:styleId="443">
    <w:name w:val="附录表标题"/>
    <w:next w:val="1"/>
    <w:qFormat/>
    <w:uiPriority w:val="0"/>
    <w:pPr>
      <w:jc w:val="center"/>
    </w:pPr>
    <w:rPr>
      <w:rFonts w:ascii="黑体" w:hAnsi="Times New Roman" w:eastAsia="黑体" w:cs="Times New Roman"/>
      <w:kern w:val="21"/>
      <w:sz w:val="21"/>
      <w:lang w:val="en-US" w:eastAsia="zh-CN" w:bidi="ar-SA"/>
    </w:rPr>
  </w:style>
  <w:style w:type="paragraph" w:customStyle="1" w:styleId="444">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33333"/>
      <w:kern w:val="0"/>
      <w:sz w:val="20"/>
      <w:szCs w:val="20"/>
    </w:rPr>
  </w:style>
  <w:style w:type="paragraph" w:customStyle="1" w:styleId="445">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446">
    <w:name w:val="Header Odd"/>
    <w:basedOn w:val="37"/>
    <w:qFormat/>
    <w:uiPriority w:val="0"/>
    <w:pPr>
      <w:keepLines/>
      <w:widowControl/>
      <w:pBdr>
        <w:bottom w:val="none" w:color="auto" w:sz="0" w:space="0"/>
      </w:pBdr>
      <w:tabs>
        <w:tab w:val="right" w:pos="0"/>
        <w:tab w:val="center" w:pos="4320"/>
        <w:tab w:val="right" w:pos="8640"/>
        <w:tab w:val="clear" w:pos="4153"/>
        <w:tab w:val="clear" w:pos="8306"/>
      </w:tabs>
      <w:snapToGrid/>
      <w:jc w:val="right"/>
    </w:pPr>
    <w:rPr>
      <w:kern w:val="0"/>
      <w:sz w:val="20"/>
      <w:szCs w:val="10"/>
      <w:lang w:eastAsia="en-US"/>
    </w:rPr>
  </w:style>
  <w:style w:type="paragraph" w:customStyle="1" w:styleId="447">
    <w:name w:val="pa-10"/>
    <w:basedOn w:val="1"/>
    <w:qFormat/>
    <w:uiPriority w:val="0"/>
    <w:pPr>
      <w:widowControl/>
      <w:spacing w:before="169" w:after="169"/>
      <w:jc w:val="left"/>
    </w:pPr>
    <w:rPr>
      <w:rFonts w:ascii="宋体" w:hAnsi="宋体" w:cs="宋体"/>
      <w:kern w:val="0"/>
      <w:sz w:val="24"/>
    </w:rPr>
  </w:style>
  <w:style w:type="paragraph" w:customStyle="1" w:styleId="448">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4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0">
    <w:name w:val="页眉 New New New New New New New New New"/>
    <w:basedOn w:val="414"/>
    <w:qFormat/>
    <w:uiPriority w:val="0"/>
    <w:pPr>
      <w:pBdr>
        <w:bottom w:val="single" w:color="auto" w:sz="6" w:space="1"/>
      </w:pBdr>
      <w:tabs>
        <w:tab w:val="center" w:pos="4153"/>
        <w:tab w:val="right" w:pos="8306"/>
      </w:tabs>
      <w:snapToGrid w:val="0"/>
      <w:jc w:val="center"/>
    </w:pPr>
    <w:rPr>
      <w:sz w:val="18"/>
      <w:szCs w:val="18"/>
    </w:rPr>
  </w:style>
  <w:style w:type="paragraph" w:customStyle="1" w:styleId="451">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452">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53">
    <w:name w:val=" Char Char Char Char Char Char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454">
    <w:name w:val="Char Char1"/>
    <w:basedOn w:val="1"/>
    <w:qFormat/>
    <w:uiPriority w:val="0"/>
    <w:pPr>
      <w:widowControl/>
      <w:spacing w:after="160" w:afterLines="0" w:line="240" w:lineRule="exact"/>
      <w:jc w:val="left"/>
    </w:pPr>
    <w:rPr>
      <w:rFonts w:ascii="Verdana" w:hAnsi="Verdana" w:eastAsia="楷体_GB2312" w:cs="宋体"/>
      <w:b/>
      <w:i/>
      <w:iCs/>
      <w:color w:val="000000"/>
      <w:kern w:val="0"/>
      <w:sz w:val="20"/>
      <w:lang w:eastAsia="en-US"/>
    </w:rPr>
  </w:style>
  <w:style w:type="paragraph" w:customStyle="1" w:styleId="455">
    <w:name w:val="Char1 Char Char Char Char Char Char"/>
    <w:basedOn w:val="1"/>
    <w:qFormat/>
    <w:uiPriority w:val="0"/>
    <w:rPr>
      <w:rFonts w:ascii="Tahoma" w:hAnsi="Tahoma"/>
      <w:sz w:val="24"/>
      <w:szCs w:val="20"/>
    </w:rPr>
  </w:style>
  <w:style w:type="paragraph" w:customStyle="1" w:styleId="456">
    <w:name w:val="纯文本1"/>
    <w:basedOn w:val="1"/>
    <w:qFormat/>
    <w:uiPriority w:val="0"/>
    <w:rPr>
      <w:rFonts w:ascii="宋体" w:hAnsi="Courier New"/>
      <w:szCs w:val="21"/>
    </w:rPr>
  </w:style>
  <w:style w:type="paragraph" w:customStyle="1" w:styleId="45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8">
    <w:name w:val="font8"/>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459">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0">
    <w:name w:val="表内文字"/>
    <w:basedOn w:val="1"/>
    <w:qFormat/>
    <w:uiPriority w:val="0"/>
    <w:pPr>
      <w:snapToGrid w:val="0"/>
      <w:spacing w:before="50" w:beforeLines="0" w:after="50" w:afterLines="0" w:line="360" w:lineRule="exact"/>
    </w:pPr>
    <w:rPr>
      <w:rFonts w:ascii="宋体" w:hAnsi="宋体"/>
      <w:b/>
      <w:color w:val="0000FF"/>
      <w:szCs w:val="21"/>
    </w:rPr>
  </w:style>
  <w:style w:type="paragraph" w:customStyle="1" w:styleId="461">
    <w:name w:val="Body"/>
    <w:basedOn w:val="1"/>
    <w:qFormat/>
    <w:uiPriority w:val="0"/>
    <w:pPr>
      <w:widowControl/>
      <w:tabs>
        <w:tab w:val="left" w:pos="1980"/>
      </w:tabs>
      <w:spacing w:before="80" w:beforeLines="0" w:after="80" w:afterLines="0" w:line="360" w:lineRule="auto"/>
      <w:jc w:val="center"/>
    </w:pPr>
    <w:rPr>
      <w:szCs w:val="21"/>
    </w:rPr>
  </w:style>
  <w:style w:type="paragraph" w:customStyle="1" w:styleId="46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63">
    <w:name w:val="样式 样式 样式 样式 正文首行缩进 + 首行缩进:  1 字符5 + Times New Roman + 首行缩进:  2 字..."/>
    <w:basedOn w:val="1"/>
    <w:qFormat/>
    <w:uiPriority w:val="0"/>
    <w:pPr>
      <w:snapToGrid w:val="0"/>
      <w:spacing w:line="360" w:lineRule="auto"/>
      <w:ind w:firstLine="420" w:firstLineChars="200"/>
    </w:pPr>
    <w:rPr>
      <w:color w:val="000000"/>
      <w:szCs w:val="20"/>
    </w:rPr>
  </w:style>
  <w:style w:type="paragraph" w:customStyle="1" w:styleId="464">
    <w:name w:val="pa-4"/>
    <w:basedOn w:val="1"/>
    <w:qFormat/>
    <w:uiPriority w:val="0"/>
    <w:pPr>
      <w:widowControl/>
      <w:spacing w:before="169" w:after="169"/>
      <w:jc w:val="left"/>
    </w:pPr>
    <w:rPr>
      <w:rFonts w:ascii="宋体" w:hAnsi="宋体" w:cs="宋体"/>
      <w:kern w:val="0"/>
      <w:sz w:val="24"/>
    </w:rPr>
  </w:style>
  <w:style w:type="paragraph" w:customStyle="1" w:styleId="465">
    <w:name w:val="页脚 New New New New New"/>
    <w:basedOn w:val="349"/>
    <w:qFormat/>
    <w:uiPriority w:val="0"/>
    <w:pPr>
      <w:tabs>
        <w:tab w:val="center" w:pos="4153"/>
        <w:tab w:val="right" w:pos="8306"/>
      </w:tabs>
      <w:snapToGrid w:val="0"/>
      <w:jc w:val="left"/>
    </w:pPr>
    <w:rPr>
      <w:sz w:val="18"/>
      <w:szCs w:val="18"/>
    </w:rPr>
  </w:style>
  <w:style w:type="paragraph" w:customStyle="1" w:styleId="466">
    <w:name w:val="2ji"/>
    <w:basedOn w:val="4"/>
    <w:qFormat/>
    <w:uiPriority w:val="0"/>
    <w:pPr>
      <w:adjustRightInd w:val="0"/>
      <w:spacing w:before="0" w:beforeLines="0" w:after="0" w:afterLines="0" w:line="360" w:lineRule="auto"/>
      <w:textAlignment w:val="baseline"/>
    </w:pPr>
    <w:rPr>
      <w:rFonts w:ascii="宋体" w:hAnsi="宋体" w:eastAsia="宋体"/>
      <w:sz w:val="21"/>
      <w:szCs w:val="21"/>
    </w:rPr>
  </w:style>
  <w:style w:type="paragraph" w:customStyle="1" w:styleId="467">
    <w:name w:val="页眉 New New New"/>
    <w:basedOn w:val="347"/>
    <w:qFormat/>
    <w:uiPriority w:val="0"/>
    <w:pPr>
      <w:pBdr>
        <w:bottom w:val="single" w:color="auto" w:sz="6" w:space="1"/>
      </w:pBdr>
      <w:tabs>
        <w:tab w:val="center" w:pos="4153"/>
        <w:tab w:val="right" w:pos="8306"/>
      </w:tabs>
      <w:snapToGrid w:val="0"/>
      <w:jc w:val="center"/>
    </w:pPr>
    <w:rPr>
      <w:sz w:val="18"/>
      <w:szCs w:val="18"/>
    </w:rPr>
  </w:style>
  <w:style w:type="paragraph" w:customStyle="1" w:styleId="468">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469">
    <w:name w:val="样式 正文文字 + 小四 段后: 0 磅 行距: 1.5 倍行距"/>
    <w:basedOn w:val="21"/>
    <w:qFormat/>
    <w:uiPriority w:val="0"/>
    <w:pPr>
      <w:spacing w:line="360" w:lineRule="auto"/>
      <w:ind w:firstLine="480" w:firstLineChars="200"/>
    </w:pPr>
    <w:rPr>
      <w:rFonts w:cs="宋体"/>
      <w:szCs w:val="20"/>
    </w:rPr>
  </w:style>
  <w:style w:type="paragraph" w:customStyle="1" w:styleId="470">
    <w:name w:val="Char Char Char1 Char Char Char1 Char Char Char Char Char Char"/>
    <w:basedOn w:val="1"/>
    <w:qFormat/>
    <w:uiPriority w:val="0"/>
    <w:pPr>
      <w:ind w:firstLine="200" w:firstLineChars="200"/>
    </w:pPr>
    <w:rPr>
      <w:rFonts w:ascii="Tahoma" w:hAnsi="Tahoma"/>
      <w:sz w:val="24"/>
      <w:szCs w:val="20"/>
    </w:rPr>
  </w:style>
  <w:style w:type="paragraph" w:customStyle="1" w:styleId="471">
    <w:name w:val="unnamed1"/>
    <w:basedOn w:val="1"/>
    <w:qFormat/>
    <w:uiPriority w:val="0"/>
    <w:pPr>
      <w:widowControl/>
      <w:spacing w:before="100" w:beforeAutospacing="1" w:after="100" w:afterAutospacing="1" w:line="288" w:lineRule="auto"/>
      <w:jc w:val="left"/>
    </w:pPr>
    <w:rPr>
      <w:rFonts w:ascii="宋体" w:hAnsi="宋体"/>
      <w:kern w:val="0"/>
      <w:szCs w:val="21"/>
    </w:rPr>
  </w:style>
  <w:style w:type="paragraph" w:customStyle="1" w:styleId="472">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3">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4">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75">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8">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79">
    <w:name w:val="表格"/>
    <w:basedOn w:val="1"/>
    <w:qFormat/>
    <w:uiPriority w:val="0"/>
    <w:pPr>
      <w:spacing w:line="400" w:lineRule="exact"/>
    </w:pPr>
    <w:rPr>
      <w:sz w:val="24"/>
    </w:rPr>
  </w:style>
  <w:style w:type="paragraph" w:customStyle="1" w:styleId="48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1">
    <w:name w:val="1"/>
    <w:basedOn w:val="1"/>
    <w:next w:val="30"/>
    <w:qFormat/>
    <w:uiPriority w:val="0"/>
    <w:rPr>
      <w:rFonts w:ascii="宋体" w:hAnsi="Courier New"/>
      <w:szCs w:val="20"/>
    </w:rPr>
  </w:style>
  <w:style w:type="paragraph" w:customStyle="1" w:styleId="482">
    <w:name w:val="标题3"/>
    <w:basedOn w:val="5"/>
    <w:qFormat/>
    <w:uiPriority w:val="0"/>
    <w:pPr>
      <w:keepLines w:val="0"/>
      <w:widowControl/>
      <w:tabs>
        <w:tab w:val="left" w:pos="1247"/>
      </w:tabs>
      <w:spacing w:before="240" w:beforeLines="0" w:after="120" w:afterLines="0" w:line="360" w:lineRule="auto"/>
      <w:ind w:left="1247" w:hanging="1247"/>
      <w:jc w:val="left"/>
    </w:pPr>
    <w:rPr>
      <w:rFonts w:ascii="Arial" w:hAnsi="Arial"/>
      <w:sz w:val="52"/>
      <w:szCs w:val="52"/>
      <w:lang w:val="en-US" w:eastAsia="zh-CN"/>
    </w:rPr>
  </w:style>
  <w:style w:type="paragraph" w:customStyle="1" w:styleId="483">
    <w:name w:val="默认段落字体 Para Char"/>
    <w:basedOn w:val="1"/>
    <w:qFormat/>
    <w:uiPriority w:val="0"/>
    <w:pPr>
      <w:adjustRightInd w:val="0"/>
      <w:spacing w:line="360" w:lineRule="auto"/>
    </w:pPr>
    <w:rPr>
      <w:szCs w:val="20"/>
    </w:rPr>
  </w:style>
  <w:style w:type="paragraph" w:customStyle="1" w:styleId="484">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85">
    <w:name w:val="正文首行缩进两字符"/>
    <w:basedOn w:val="1"/>
    <w:qFormat/>
    <w:uiPriority w:val="0"/>
    <w:pPr>
      <w:spacing w:line="360" w:lineRule="auto"/>
      <w:ind w:firstLine="200" w:firstLineChars="200"/>
    </w:pPr>
  </w:style>
  <w:style w:type="paragraph" w:customStyle="1" w:styleId="486">
    <w:name w:val="Char Char Char Char Char Char Char Char Char"/>
    <w:basedOn w:val="1"/>
    <w:qFormat/>
    <w:uiPriority w:val="0"/>
    <w:pPr>
      <w:widowControl/>
      <w:spacing w:after="160" w:afterLines="0" w:line="240" w:lineRule="exact"/>
      <w:jc w:val="left"/>
    </w:pPr>
    <w:rPr>
      <w:szCs w:val="20"/>
    </w:rPr>
  </w:style>
  <w:style w:type="paragraph" w:customStyle="1" w:styleId="487">
    <w:name w:val="2-2ji"/>
    <w:basedOn w:val="4"/>
    <w:qFormat/>
    <w:uiPriority w:val="0"/>
    <w:pPr>
      <w:adjustRightInd w:val="0"/>
      <w:spacing w:before="0" w:beforeLines="0" w:after="0" w:afterLines="0" w:line="360" w:lineRule="auto"/>
      <w:jc w:val="center"/>
      <w:textAlignment w:val="baseline"/>
    </w:pPr>
    <w:rPr>
      <w:rFonts w:ascii="宋体" w:hAnsi="宋体" w:eastAsia="宋体"/>
      <w:bCs w:val="0"/>
      <w:sz w:val="36"/>
    </w:rPr>
  </w:style>
  <w:style w:type="paragraph" w:customStyle="1" w:styleId="48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9">
    <w:name w:val=" 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490">
    <w:name w:val="Plain Text1"/>
    <w:basedOn w:val="1"/>
    <w:qFormat/>
    <w:uiPriority w:val="0"/>
    <w:pPr>
      <w:autoSpaceDE w:val="0"/>
      <w:autoSpaceDN w:val="0"/>
      <w:adjustRightInd w:val="0"/>
    </w:pPr>
    <w:rPr>
      <w:rFonts w:ascii="宋体" w:hAnsi="Tms Rmn"/>
      <w:kern w:val="0"/>
      <w:szCs w:val="20"/>
    </w:rPr>
  </w:style>
  <w:style w:type="paragraph" w:customStyle="1" w:styleId="49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92">
    <w:name w:val="样式 标题 1H1标题 1 Char Char Char Char Char Char Char Char + 四号 加粗"/>
    <w:basedOn w:val="1"/>
    <w:qFormat/>
    <w:uiPriority w:val="0"/>
    <w:pPr>
      <w:outlineLvl w:val="0"/>
    </w:pPr>
    <w:rPr>
      <w:rFonts w:ascii="仿宋_GB2312" w:hAnsi="宋体" w:eastAsia="仿宋_GB2312"/>
      <w:sz w:val="28"/>
      <w:szCs w:val="28"/>
    </w:rPr>
  </w:style>
  <w:style w:type="paragraph" w:customStyle="1" w:styleId="493">
    <w:name w:val="目录4"/>
    <w:basedOn w:val="1"/>
    <w:next w:val="1"/>
    <w:qFormat/>
    <w:uiPriority w:val="0"/>
    <w:pPr>
      <w:widowControl/>
      <w:tabs>
        <w:tab w:val="left" w:leader="dot" w:pos="8503"/>
      </w:tabs>
      <w:spacing w:line="317" w:lineRule="atLeast"/>
      <w:ind w:firstLine="629"/>
      <w:textAlignment w:val="baseline"/>
    </w:pPr>
    <w:rPr>
      <w:color w:val="000000"/>
      <w:kern w:val="0"/>
      <w:szCs w:val="20"/>
    </w:rPr>
  </w:style>
  <w:style w:type="paragraph" w:customStyle="1" w:styleId="494">
    <w:name w:val="xl1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49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96">
    <w:name w:val="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497">
    <w:name w:val="p0"/>
    <w:basedOn w:val="1"/>
    <w:qFormat/>
    <w:uiPriority w:val="0"/>
    <w:pPr>
      <w:widowControl/>
    </w:pPr>
    <w:rPr>
      <w:kern w:val="0"/>
      <w:szCs w:val="21"/>
    </w:rPr>
  </w:style>
  <w:style w:type="paragraph" w:customStyle="1" w:styleId="498">
    <w:name w:val="p15"/>
    <w:basedOn w:val="1"/>
    <w:link w:val="499"/>
    <w:qFormat/>
    <w:uiPriority w:val="99"/>
    <w:pPr>
      <w:widowControl/>
    </w:pPr>
    <w:rPr>
      <w:rFonts w:ascii="宋体" w:hAnsi="宋体"/>
      <w:kern w:val="0"/>
      <w:szCs w:val="21"/>
    </w:rPr>
  </w:style>
  <w:style w:type="character" w:customStyle="1" w:styleId="499">
    <w:name w:val="p15 Char"/>
    <w:link w:val="498"/>
    <w:qFormat/>
    <w:uiPriority w:val="99"/>
    <w:rPr>
      <w:rFonts w:ascii="宋体" w:hAnsi="宋体" w:cs="宋体"/>
      <w:sz w:val="21"/>
      <w:szCs w:val="21"/>
    </w:rPr>
  </w:style>
  <w:style w:type="paragraph" w:customStyle="1" w:styleId="500">
    <w:name w:val="F2"/>
    <w:basedOn w:val="1"/>
    <w:qFormat/>
    <w:uiPriority w:val="0"/>
    <w:pPr>
      <w:autoSpaceDE w:val="0"/>
      <w:autoSpaceDN w:val="0"/>
      <w:adjustRightInd w:val="0"/>
      <w:ind w:firstLine="601"/>
    </w:pPr>
    <w:rPr>
      <w:kern w:val="0"/>
      <w:sz w:val="24"/>
      <w:szCs w:val="20"/>
    </w:rPr>
  </w:style>
  <w:style w:type="paragraph" w:customStyle="1" w:styleId="501">
    <w:name w:val="页眉 New New New New New New New"/>
    <w:basedOn w:val="502"/>
    <w:qFormat/>
    <w:uiPriority w:val="0"/>
    <w:pPr>
      <w:pBdr>
        <w:bottom w:val="single" w:color="auto" w:sz="6" w:space="1"/>
      </w:pBdr>
      <w:tabs>
        <w:tab w:val="center" w:pos="4153"/>
        <w:tab w:val="right" w:pos="8306"/>
      </w:tabs>
      <w:snapToGrid w:val="0"/>
      <w:jc w:val="center"/>
    </w:pPr>
    <w:rPr>
      <w:sz w:val="18"/>
      <w:szCs w:val="18"/>
    </w:rPr>
  </w:style>
  <w:style w:type="paragraph" w:customStyle="1" w:styleId="502">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3">
    <w:name w:val="样式 标题 3标题1.1二级节名h33rd level3l3Level 3 HeadH3heading 3 +..."/>
    <w:basedOn w:val="5"/>
    <w:qFormat/>
    <w:uiPriority w:val="0"/>
    <w:pPr>
      <w:numPr>
        <w:ilvl w:val="2"/>
        <w:numId w:val="1"/>
      </w:numPr>
      <w:spacing w:before="0" w:after="0" w:line="360" w:lineRule="auto"/>
      <w:jc w:val="left"/>
    </w:pPr>
    <w:rPr>
      <w:sz w:val="28"/>
      <w:szCs w:val="20"/>
    </w:rPr>
  </w:style>
  <w:style w:type="paragraph" w:customStyle="1" w:styleId="504">
    <w:name w:val="Char Char Char1 Char Char Char Char Char Char Char Char Char Char Char Char Char Char Char"/>
    <w:basedOn w:val="1"/>
    <w:qFormat/>
    <w:uiPriority w:val="0"/>
    <w:pPr>
      <w:widowControl/>
      <w:adjustRightInd w:val="0"/>
      <w:spacing w:after="160" w:afterLines="0" w:line="240" w:lineRule="exact"/>
      <w:jc w:val="left"/>
    </w:pPr>
    <w:rPr>
      <w:rFonts w:ascii="Verdana" w:hAnsi="Verdana"/>
      <w:kern w:val="0"/>
      <w:sz w:val="20"/>
      <w:szCs w:val="20"/>
      <w:lang w:eastAsia="en-US"/>
    </w:rPr>
  </w:style>
  <w:style w:type="paragraph" w:customStyle="1" w:styleId="50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xl1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507">
    <w:name w:val="页脚 New New New New New New"/>
    <w:basedOn w:val="359"/>
    <w:qFormat/>
    <w:uiPriority w:val="0"/>
    <w:pPr>
      <w:tabs>
        <w:tab w:val="center" w:pos="4153"/>
        <w:tab w:val="right" w:pos="8306"/>
      </w:tabs>
      <w:snapToGrid w:val="0"/>
      <w:jc w:val="left"/>
    </w:pPr>
    <w:rPr>
      <w:sz w:val="18"/>
      <w:szCs w:val="18"/>
    </w:rPr>
  </w:style>
  <w:style w:type="paragraph" w:customStyle="1" w:styleId="508">
    <w:name w:val="表格文字"/>
    <w:basedOn w:val="1"/>
    <w:qFormat/>
    <w:uiPriority w:val="99"/>
    <w:pPr>
      <w:spacing w:before="25" w:after="25"/>
      <w:jc w:val="left"/>
    </w:pPr>
    <w:rPr>
      <w:bCs/>
      <w:spacing w:val="10"/>
      <w:kern w:val="0"/>
      <w:sz w:val="24"/>
    </w:rPr>
  </w:style>
  <w:style w:type="paragraph" w:customStyle="1" w:styleId="50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10">
    <w:name w:val="正文文本缩进 Char Char Char Char"/>
    <w:basedOn w:val="1"/>
    <w:qFormat/>
    <w:uiPriority w:val="0"/>
    <w:pPr>
      <w:ind w:firstLine="540"/>
    </w:pPr>
    <w:rPr>
      <w:rFonts w:hint="eastAsia" w:ascii="宋体" w:hAnsi="Courier New"/>
      <w:szCs w:val="20"/>
    </w:rPr>
  </w:style>
  <w:style w:type="paragraph" w:customStyle="1" w:styleId="511">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12">
    <w:name w:val="正文1"/>
    <w:qFormat/>
    <w:uiPriority w:val="0"/>
    <w:pPr>
      <w:jc w:val="both"/>
    </w:pPr>
    <w:rPr>
      <w:rFonts w:ascii="Times New Roman" w:hAnsi="Times New Roman" w:eastAsia="宋体" w:cs="Times New Roman"/>
      <w:lang w:val="en-US" w:eastAsia="zh-CN" w:bidi="ar-SA"/>
    </w:rPr>
  </w:style>
  <w:style w:type="paragraph" w:customStyle="1" w:styleId="513">
    <w:name w:val="页脚 New"/>
    <w:basedOn w:val="340"/>
    <w:qFormat/>
    <w:uiPriority w:val="0"/>
    <w:pPr>
      <w:tabs>
        <w:tab w:val="center" w:pos="4153"/>
        <w:tab w:val="right" w:pos="8306"/>
      </w:tabs>
      <w:snapToGrid w:val="0"/>
      <w:jc w:val="left"/>
    </w:pPr>
    <w:rPr>
      <w:sz w:val="18"/>
      <w:szCs w:val="18"/>
    </w:rPr>
  </w:style>
  <w:style w:type="paragraph" w:customStyle="1" w:styleId="514">
    <w:name w:val="xl14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1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6">
    <w:name w:val="xl1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517">
    <w:name w:val="样式1"/>
    <w:basedOn w:val="1"/>
    <w:qFormat/>
    <w:uiPriority w:val="0"/>
    <w:pPr>
      <w:spacing w:before="120" w:beforeLines="0" w:after="120" w:afterLines="0" w:line="300" w:lineRule="auto"/>
    </w:pPr>
    <w:rPr>
      <w:rFonts w:ascii="宋体" w:hAnsi="宋体"/>
      <w:b/>
      <w:sz w:val="24"/>
      <w:szCs w:val="20"/>
    </w:rPr>
  </w:style>
  <w:style w:type="paragraph" w:customStyle="1" w:styleId="518">
    <w:name w:val="_Style 517"/>
    <w:basedOn w:val="3"/>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2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21">
    <w:name w:val="444"/>
    <w:basedOn w:val="1"/>
    <w:qFormat/>
    <w:uiPriority w:val="0"/>
    <w:pPr>
      <w:adjustRightInd w:val="0"/>
      <w:spacing w:line="312" w:lineRule="atLeast"/>
      <w:jc w:val="center"/>
      <w:textAlignment w:val="baseline"/>
    </w:pPr>
    <w:rPr>
      <w:b/>
      <w:kern w:val="0"/>
      <w:sz w:val="36"/>
      <w:szCs w:val="36"/>
    </w:rPr>
  </w:style>
  <w:style w:type="paragraph" w:customStyle="1" w:styleId="522">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52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24">
    <w:name w:val="p16"/>
    <w:basedOn w:val="1"/>
    <w:qFormat/>
    <w:uiPriority w:val="0"/>
    <w:pPr>
      <w:widowControl/>
    </w:pPr>
    <w:rPr>
      <w:rFonts w:ascii="宋体" w:hAnsi="宋体" w:cs="宋体"/>
      <w:kern w:val="0"/>
      <w:szCs w:val="21"/>
    </w:rPr>
  </w:style>
  <w:style w:type="paragraph" w:customStyle="1" w:styleId="52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26">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527">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kern w:val="0"/>
      <w:szCs w:val="21"/>
    </w:rPr>
  </w:style>
  <w:style w:type="paragraph" w:customStyle="1" w:styleId="528">
    <w:name w:val="xl1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20"/>
      <w:szCs w:val="20"/>
    </w:rPr>
  </w:style>
  <w:style w:type="paragraph" w:customStyle="1" w:styleId="529">
    <w:name w:val="页脚 New New New New New New New"/>
    <w:basedOn w:val="502"/>
    <w:qFormat/>
    <w:uiPriority w:val="0"/>
    <w:pPr>
      <w:tabs>
        <w:tab w:val="center" w:pos="4153"/>
        <w:tab w:val="right" w:pos="8306"/>
      </w:tabs>
      <w:snapToGrid w:val="0"/>
      <w:jc w:val="left"/>
    </w:pPr>
    <w:rPr>
      <w:sz w:val="18"/>
      <w:szCs w:val="18"/>
    </w:rPr>
  </w:style>
  <w:style w:type="paragraph" w:customStyle="1" w:styleId="530">
    <w:name w:val="Normal0"/>
    <w:qFormat/>
    <w:uiPriority w:val="0"/>
    <w:rPr>
      <w:rFonts w:ascii="Times New Roman" w:hAnsi="Times New Roman" w:eastAsia="宋体" w:cs="Times New Roman"/>
      <w:lang w:val="en-US" w:eastAsia="en-US" w:bidi="ar-SA"/>
    </w:rPr>
  </w:style>
  <w:style w:type="paragraph" w:customStyle="1" w:styleId="531">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2">
    <w:name w:val="表格题注"/>
    <w:next w:val="1"/>
    <w:qFormat/>
    <w:uiPriority w:val="0"/>
    <w:pPr>
      <w:keepLines/>
      <w:spacing w:before="312" w:beforeLines="100"/>
      <w:ind w:left="1089" w:hanging="369"/>
      <w:jc w:val="center"/>
    </w:pPr>
    <w:rPr>
      <w:rFonts w:ascii="Arial" w:hAnsi="Arial" w:eastAsia="宋体" w:cs="Times New Roman"/>
      <w:sz w:val="18"/>
      <w:szCs w:val="18"/>
      <w:lang w:val="en-US" w:eastAsia="zh-CN" w:bidi="ar-SA"/>
    </w:rPr>
  </w:style>
  <w:style w:type="paragraph" w:customStyle="1" w:styleId="533">
    <w:name w:val="文档标题"/>
    <w:basedOn w:val="1"/>
    <w:qFormat/>
    <w:uiPriority w:val="0"/>
    <w:pPr>
      <w:widowControl/>
      <w:spacing w:line="360" w:lineRule="auto"/>
      <w:ind w:firstLine="1120" w:firstLineChars="200"/>
      <w:jc w:val="right"/>
    </w:pPr>
    <w:rPr>
      <w:rFonts w:eastAsia="黑体"/>
      <w:bCs/>
      <w:kern w:val="0"/>
      <w:sz w:val="56"/>
      <w:szCs w:val="56"/>
    </w:rPr>
  </w:style>
  <w:style w:type="paragraph" w:customStyle="1" w:styleId="534">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kern w:val="0"/>
      <w:sz w:val="20"/>
      <w:szCs w:val="20"/>
    </w:rPr>
  </w:style>
  <w:style w:type="paragraph" w:customStyle="1" w:styleId="535">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536">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37">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8">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33333"/>
      <w:kern w:val="0"/>
      <w:sz w:val="20"/>
      <w:szCs w:val="20"/>
    </w:rPr>
  </w:style>
  <w:style w:type="paragraph" w:customStyle="1" w:styleId="539">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540">
    <w:name w:val="_Style 15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1">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542">
    <w:name w:val="纯文本 New New"/>
    <w:basedOn w:val="502"/>
    <w:qFormat/>
    <w:uiPriority w:val="0"/>
    <w:rPr>
      <w:rFonts w:ascii="宋体" w:hAnsi="Courier New" w:cs="Courier New"/>
      <w:szCs w:val="21"/>
    </w:rPr>
  </w:style>
  <w:style w:type="paragraph" w:customStyle="1" w:styleId="54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4">
    <w:name w:val="Char Char24"/>
    <w:basedOn w:val="1"/>
    <w:qFormat/>
    <w:uiPriority w:val="0"/>
    <w:pPr>
      <w:widowControl/>
      <w:spacing w:after="160" w:line="240" w:lineRule="exact"/>
      <w:jc w:val="left"/>
    </w:pPr>
  </w:style>
  <w:style w:type="paragraph" w:customStyle="1" w:styleId="545">
    <w:name w:val="标题2"/>
    <w:basedOn w:val="4"/>
    <w:qFormat/>
    <w:uiPriority w:val="0"/>
    <w:pPr>
      <w:snapToGrid w:val="0"/>
      <w:spacing w:line="410" w:lineRule="auto"/>
    </w:pPr>
    <w:rPr>
      <w:rFonts w:eastAsia="宋体"/>
      <w:b w:val="0"/>
      <w:lang w:val="en-US" w:eastAsia="zh-CN"/>
    </w:rPr>
  </w:style>
  <w:style w:type="paragraph" w:customStyle="1" w:styleId="54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7">
    <w:name w:val="pa-0"/>
    <w:basedOn w:val="1"/>
    <w:qFormat/>
    <w:uiPriority w:val="0"/>
    <w:pPr>
      <w:widowControl/>
      <w:spacing w:before="100" w:beforeAutospacing="1" w:after="100" w:afterAutospacing="1"/>
      <w:jc w:val="left"/>
    </w:pPr>
    <w:rPr>
      <w:rFonts w:ascii="宋体" w:hAnsi="宋体" w:cs="宋体"/>
      <w:kern w:val="0"/>
      <w:sz w:val="24"/>
    </w:rPr>
  </w:style>
  <w:style w:type="paragraph" w:customStyle="1" w:styleId="548">
    <w:name w:val="目录标题"/>
    <w:basedOn w:val="1"/>
    <w:next w:val="1"/>
    <w:qFormat/>
    <w:uiPriority w:val="0"/>
    <w:pPr>
      <w:widowControl/>
      <w:spacing w:before="566" w:beforeLines="0" w:after="544" w:afterLines="0" w:line="566" w:lineRule="atLeast"/>
      <w:ind w:firstLine="419"/>
      <w:jc w:val="center"/>
      <w:textAlignment w:val="baseline"/>
    </w:pPr>
    <w:rPr>
      <w:rFonts w:ascii="Arial" w:eastAsia="黑体"/>
      <w:color w:val="000000"/>
      <w:spacing w:val="566"/>
      <w:kern w:val="0"/>
      <w:sz w:val="54"/>
      <w:szCs w:val="20"/>
    </w:rPr>
  </w:style>
  <w:style w:type="paragraph" w:customStyle="1" w:styleId="549">
    <w:name w:val="font6"/>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55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1">
    <w:name w:val="默认段落字体 Para Char Char Char Char Char Char Char Char Char1 Char Char Char Char"/>
    <w:basedOn w:val="1"/>
    <w:qFormat/>
    <w:uiPriority w:val="0"/>
    <w:rPr>
      <w:rFonts w:ascii="Tahoma" w:hAnsi="Tahoma"/>
      <w:sz w:val="24"/>
      <w:szCs w:val="20"/>
    </w:rPr>
  </w:style>
  <w:style w:type="paragraph" w:customStyle="1" w:styleId="552">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553">
    <w:name w:val="_Style 301"/>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54">
    <w:name w:val="Body Text Indent"/>
    <w:basedOn w:val="1"/>
    <w:qFormat/>
    <w:uiPriority w:val="0"/>
    <w:pPr>
      <w:ind w:firstLine="830" w:firstLineChars="352"/>
    </w:pPr>
    <w:rPr>
      <w:rFonts w:ascii="宋体" w:hAnsi="Courier New"/>
      <w:szCs w:val="20"/>
    </w:rPr>
  </w:style>
  <w:style w:type="paragraph" w:customStyle="1" w:styleId="55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556">
    <w:name w:val="xl1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57">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58">
    <w:name w:val="目录1"/>
    <w:basedOn w:val="1"/>
    <w:next w:val="1"/>
    <w:qFormat/>
    <w:uiPriority w:val="0"/>
    <w:pPr>
      <w:widowControl/>
      <w:tabs>
        <w:tab w:val="left" w:leader="dot" w:pos="8503"/>
      </w:tabs>
      <w:spacing w:after="136" w:afterLines="0" w:line="289" w:lineRule="atLeast"/>
      <w:jc w:val="left"/>
      <w:textAlignment w:val="baseline"/>
    </w:pPr>
    <w:rPr>
      <w:rFonts w:ascii="Arial" w:eastAsia="黑体"/>
      <w:color w:val="000000"/>
      <w:kern w:val="0"/>
      <w:sz w:val="28"/>
      <w:szCs w:val="20"/>
    </w:rPr>
  </w:style>
  <w:style w:type="paragraph" w:customStyle="1" w:styleId="559">
    <w:name w:val="样式 标题 3 + (中文) 黑体 小四 非加粗 段前: 7.8 磅 段后: 0 磅 行距: 固定值 20 磅"/>
    <w:basedOn w:val="5"/>
    <w:qFormat/>
    <w:uiPriority w:val="0"/>
    <w:pPr>
      <w:spacing w:before="0" w:beforeLines="0" w:after="0" w:afterLines="0" w:line="400" w:lineRule="exact"/>
    </w:pPr>
    <w:rPr>
      <w:rFonts w:eastAsia="黑体" w:cs="宋体"/>
      <w:b w:val="0"/>
      <w:bCs w:val="0"/>
      <w:sz w:val="24"/>
      <w:szCs w:val="20"/>
    </w:rPr>
  </w:style>
  <w:style w:type="paragraph" w:customStyle="1" w:styleId="560">
    <w:name w:val="pa-8"/>
    <w:basedOn w:val="1"/>
    <w:qFormat/>
    <w:uiPriority w:val="0"/>
    <w:pPr>
      <w:widowControl/>
      <w:spacing w:before="169" w:after="169"/>
      <w:jc w:val="left"/>
    </w:pPr>
    <w:rPr>
      <w:rFonts w:ascii="宋体" w:hAnsi="宋体" w:cs="宋体"/>
      <w:kern w:val="0"/>
      <w:sz w:val="24"/>
    </w:rPr>
  </w:style>
  <w:style w:type="paragraph" w:customStyle="1" w:styleId="561">
    <w:name w:val="纯文本 New"/>
    <w:basedOn w:val="1"/>
    <w:qFormat/>
    <w:uiPriority w:val="0"/>
    <w:rPr>
      <w:rFonts w:ascii="宋体" w:hAnsi="Courier New" w:cs="Courier New"/>
      <w:szCs w:val="21"/>
    </w:rPr>
  </w:style>
  <w:style w:type="paragraph" w:customStyle="1" w:styleId="562">
    <w:name w:val="pa-9"/>
    <w:basedOn w:val="1"/>
    <w:qFormat/>
    <w:uiPriority w:val="0"/>
    <w:pPr>
      <w:widowControl/>
      <w:spacing w:before="169" w:after="169"/>
      <w:jc w:val="left"/>
    </w:pPr>
    <w:rPr>
      <w:rFonts w:ascii="宋体" w:hAnsi="宋体" w:cs="宋体"/>
      <w:kern w:val="0"/>
      <w:sz w:val="24"/>
    </w:rPr>
  </w:style>
  <w:style w:type="paragraph" w:customStyle="1" w:styleId="563">
    <w:name w:val="pa-1"/>
    <w:basedOn w:val="1"/>
    <w:qFormat/>
    <w:uiPriority w:val="0"/>
    <w:pPr>
      <w:widowControl/>
      <w:spacing w:before="100" w:beforeAutospacing="1" w:after="100" w:afterAutospacing="1"/>
      <w:jc w:val="left"/>
    </w:pPr>
    <w:rPr>
      <w:rFonts w:ascii="宋体" w:hAnsi="宋体" w:cs="宋体"/>
      <w:kern w:val="0"/>
      <w:sz w:val="24"/>
    </w:rPr>
  </w:style>
  <w:style w:type="paragraph" w:customStyle="1" w:styleId="564">
    <w:name w:val="paragraph1"/>
    <w:basedOn w:val="1"/>
    <w:qFormat/>
    <w:uiPriority w:val="0"/>
    <w:pPr>
      <w:spacing w:line="300" w:lineRule="auto"/>
      <w:ind w:firstLine="200" w:firstLineChars="200"/>
    </w:pPr>
    <w:rPr>
      <w:sz w:val="24"/>
    </w:rPr>
  </w:style>
  <w:style w:type="paragraph" w:customStyle="1" w:styleId="565">
    <w:name w:val="xl1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0"/>
      <w:szCs w:val="20"/>
    </w:rPr>
  </w:style>
  <w:style w:type="character" w:customStyle="1" w:styleId="566">
    <w:name w:val="Char Char151"/>
    <w:qFormat/>
    <w:uiPriority w:val="0"/>
    <w:rPr>
      <w:sz w:val="18"/>
      <w:szCs w:val="18"/>
    </w:rPr>
  </w:style>
  <w:style w:type="character" w:customStyle="1" w:styleId="567">
    <w:name w:val="文档结构图 Char2"/>
    <w:semiHidden/>
    <w:qFormat/>
    <w:uiPriority w:val="0"/>
    <w:rPr>
      <w:rFonts w:ascii="宋体" w:hAnsi="Times New Roman"/>
      <w:kern w:val="2"/>
      <w:sz w:val="18"/>
      <w:szCs w:val="18"/>
    </w:rPr>
  </w:style>
  <w:style w:type="character" w:customStyle="1" w:styleId="568">
    <w:name w:val="Char Char231"/>
    <w:qFormat/>
    <w:uiPriority w:val="0"/>
    <w:rPr>
      <w:rFonts w:hint="default" w:ascii="Times New Roman" w:hAnsi="Times New Roman" w:eastAsia="宋体" w:cs="Times New Roman"/>
      <w:b/>
      <w:bCs/>
      <w:kern w:val="44"/>
      <w:sz w:val="44"/>
      <w:szCs w:val="44"/>
    </w:rPr>
  </w:style>
  <w:style w:type="character" w:customStyle="1" w:styleId="569">
    <w:name w:val="case31"/>
    <w:qFormat/>
    <w:uiPriority w:val="0"/>
    <w:rPr>
      <w:rFonts w:hint="default"/>
      <w:sz w:val="21"/>
      <w:szCs w:val="21"/>
    </w:rPr>
  </w:style>
  <w:style w:type="character" w:customStyle="1" w:styleId="570">
    <w:name w:val="Char Char Char Char Char1"/>
    <w:qFormat/>
    <w:uiPriority w:val="0"/>
    <w:rPr>
      <w:rFonts w:hint="eastAsia" w:ascii="宋体" w:hAnsi="宋体" w:eastAsia="宋体"/>
      <w:b/>
      <w:bCs/>
      <w:kern w:val="44"/>
      <w:sz w:val="44"/>
      <w:szCs w:val="44"/>
      <w:lang w:val="en-US" w:eastAsia="zh-CN" w:bidi="ar-SA"/>
    </w:rPr>
  </w:style>
  <w:style w:type="character" w:customStyle="1" w:styleId="571">
    <w:name w:val="NormalCharacter"/>
    <w:qFormat/>
    <w:uiPriority w:val="0"/>
  </w:style>
  <w:style w:type="paragraph" w:customStyle="1" w:styleId="572">
    <w:name w:val="修订1"/>
    <w:semiHidden/>
    <w:qFormat/>
    <w:uiPriority w:val="99"/>
    <w:rPr>
      <w:rFonts w:ascii="Times New Roman" w:hAnsi="Times New Roman" w:eastAsia="宋体" w:cs="Times New Roman"/>
      <w:kern w:val="2"/>
      <w:sz w:val="24"/>
      <w:szCs w:val="24"/>
      <w:lang w:val="en-US" w:eastAsia="zh-CN" w:bidi="ar-SA"/>
    </w:rPr>
  </w:style>
  <w:style w:type="paragraph" w:customStyle="1" w:styleId="573">
    <w:name w:val="_Style 572"/>
    <w:unhideWhenUsed/>
    <w:qFormat/>
    <w:uiPriority w:val="99"/>
    <w:rPr>
      <w:rFonts w:ascii="Times New Roman" w:hAnsi="Times New Roman" w:eastAsia="宋体" w:cs="Times New Roman"/>
      <w:kern w:val="2"/>
      <w:sz w:val="21"/>
      <w:szCs w:val="24"/>
      <w:lang w:val="en-US" w:eastAsia="zh-CN" w:bidi="ar-SA"/>
    </w:rPr>
  </w:style>
  <w:style w:type="paragraph" w:customStyle="1" w:styleId="574">
    <w:name w:val="列出段落3"/>
    <w:basedOn w:val="1"/>
    <w:qFormat/>
    <w:uiPriority w:val="34"/>
    <w:pPr>
      <w:ind w:firstLine="420" w:firstLineChars="200"/>
    </w:pPr>
    <w:rPr>
      <w:rFonts w:ascii="Calibri" w:hAnsi="Calibri"/>
      <w:szCs w:val="22"/>
    </w:rPr>
  </w:style>
  <w:style w:type="paragraph" w:customStyle="1" w:styleId="575">
    <w:name w:val="_Style 70"/>
    <w:unhideWhenUsed/>
    <w:qFormat/>
    <w:uiPriority w:val="99"/>
    <w:rPr>
      <w:rFonts w:ascii="Times New Roman" w:hAnsi="Times New Roman" w:eastAsia="宋体" w:cs="Times New Roman"/>
      <w:kern w:val="2"/>
      <w:sz w:val="21"/>
      <w:szCs w:val="24"/>
      <w:lang w:val="en-US" w:eastAsia="zh-CN" w:bidi="ar-SA"/>
    </w:rPr>
  </w:style>
  <w:style w:type="paragraph" w:customStyle="1" w:styleId="576">
    <w:name w:val="Char Char1 Char Char Char Char1"/>
    <w:basedOn w:val="17"/>
    <w:qFormat/>
    <w:uiPriority w:val="0"/>
    <w:rPr>
      <w:rFonts w:ascii="Tahoma" w:hAnsi="Tahoma"/>
      <w:sz w:val="24"/>
    </w:rPr>
  </w:style>
  <w:style w:type="paragraph" w:customStyle="1" w:styleId="577">
    <w:name w:val="Char21"/>
    <w:basedOn w:val="1"/>
    <w:qFormat/>
    <w:uiPriority w:val="0"/>
    <w:pPr>
      <w:widowControl/>
      <w:spacing w:line="240" w:lineRule="exact"/>
      <w:jc w:val="left"/>
    </w:pPr>
    <w:rPr>
      <w:rFonts w:ascii="Verdana" w:hAnsi="Verdana"/>
      <w:kern w:val="0"/>
      <w:szCs w:val="20"/>
      <w:lang w:eastAsia="en-US"/>
    </w:rPr>
  </w:style>
  <w:style w:type="paragraph" w:customStyle="1" w:styleId="578">
    <w:name w:val="列出段落4"/>
    <w:basedOn w:val="1"/>
    <w:qFormat/>
    <w:uiPriority w:val="99"/>
    <w:pPr>
      <w:ind w:firstLine="420" w:firstLineChars="200"/>
    </w:pPr>
    <w:rPr>
      <w:rFonts w:ascii="Calibri" w:hAnsi="Calibri"/>
      <w:szCs w:val="22"/>
    </w:rPr>
  </w:style>
  <w:style w:type="paragraph" w:customStyle="1" w:styleId="579">
    <w:name w:val="Char3"/>
    <w:basedOn w:val="17"/>
    <w:qFormat/>
    <w:uiPriority w:val="0"/>
    <w:pPr>
      <w:widowControl/>
      <w:ind w:firstLine="454"/>
      <w:jc w:val="left"/>
    </w:pPr>
    <w:rPr>
      <w:rFonts w:ascii="Tahoma" w:hAnsi="Tahoma" w:cs="宋体"/>
      <w:kern w:val="0"/>
      <w:sz w:val="24"/>
      <w:szCs w:val="20"/>
    </w:rPr>
  </w:style>
  <w:style w:type="paragraph" w:customStyle="1" w:styleId="580">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581">
    <w:name w:val="纯文本11"/>
    <w:basedOn w:val="1"/>
    <w:qFormat/>
    <w:uiPriority w:val="0"/>
    <w:rPr>
      <w:rFonts w:ascii="宋体" w:hAnsi="Courier New"/>
      <w:kern w:val="0"/>
      <w:sz w:val="20"/>
      <w:szCs w:val="20"/>
    </w:rPr>
  </w:style>
  <w:style w:type="paragraph" w:customStyle="1" w:styleId="582">
    <w:name w:val="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character" w:customStyle="1" w:styleId="583">
    <w:name w:val="Char Char152"/>
    <w:qFormat/>
    <w:uiPriority w:val="0"/>
    <w:rPr>
      <w:sz w:val="18"/>
      <w:szCs w:val="18"/>
    </w:rPr>
  </w:style>
  <w:style w:type="character" w:customStyle="1" w:styleId="584">
    <w:name w:val="Char Char Char Char Char2"/>
    <w:qFormat/>
    <w:uiPriority w:val="0"/>
    <w:rPr>
      <w:rFonts w:eastAsia="宋体"/>
      <w:b/>
      <w:bCs/>
      <w:kern w:val="44"/>
      <w:sz w:val="44"/>
      <w:szCs w:val="44"/>
      <w:lang w:val="en-US" w:eastAsia="zh-CN" w:bidi="ar-SA"/>
    </w:rPr>
  </w:style>
  <w:style w:type="character" w:customStyle="1" w:styleId="585">
    <w:name w:val="Char Char232"/>
    <w:qFormat/>
    <w:uiPriority w:val="0"/>
    <w:rPr>
      <w:rFonts w:ascii="Times New Roman" w:hAnsi="Times New Roman" w:eastAsia="宋体" w:cs="Times New Roman"/>
      <w:b/>
      <w:bCs/>
      <w:kern w:val="44"/>
      <w:sz w:val="44"/>
      <w:szCs w:val="44"/>
    </w:rPr>
  </w:style>
  <w:style w:type="paragraph" w:customStyle="1" w:styleId="586">
    <w:name w:val="Char Char1 Char Char Char Char2"/>
    <w:basedOn w:val="17"/>
    <w:qFormat/>
    <w:uiPriority w:val="0"/>
  </w:style>
  <w:style w:type="paragraph" w:customStyle="1" w:styleId="587">
    <w:name w:val="Char Char Char Char Char Char Char Char Char Char Char Char Char Char Char Char2"/>
    <w:basedOn w:val="1"/>
    <w:qFormat/>
    <w:uiPriority w:val="0"/>
    <w:pPr>
      <w:tabs>
        <w:tab w:val="left" w:pos="360"/>
      </w:tabs>
      <w:spacing w:line="360" w:lineRule="auto"/>
      <w:ind w:left="482" w:firstLine="200" w:firstLineChars="200"/>
    </w:pPr>
    <w:rPr>
      <w:rFonts w:ascii="宋体"/>
      <w:sz w:val="24"/>
    </w:rPr>
  </w:style>
  <w:style w:type="paragraph" w:customStyle="1" w:styleId="588">
    <w:name w:val="Char4"/>
    <w:basedOn w:val="17"/>
    <w:qFormat/>
    <w:uiPriority w:val="0"/>
    <w:pPr>
      <w:widowControl/>
      <w:ind w:firstLine="454"/>
      <w:jc w:val="left"/>
    </w:pPr>
    <w:rPr>
      <w:rFonts w:ascii="Tahoma" w:hAnsi="Tahoma" w:cs="宋体"/>
      <w:kern w:val="0"/>
      <w:sz w:val="24"/>
      <w:szCs w:val="20"/>
    </w:rPr>
  </w:style>
  <w:style w:type="paragraph" w:customStyle="1" w:styleId="589">
    <w:name w:val="Char Char Char Char Char Char 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590">
    <w:name w:val="Char22"/>
    <w:basedOn w:val="1"/>
    <w:qFormat/>
    <w:uiPriority w:val="0"/>
    <w:rPr>
      <w:szCs w:val="20"/>
    </w:rPr>
  </w:style>
  <w:style w:type="paragraph" w:customStyle="1" w:styleId="591">
    <w:name w:val="列表段落1"/>
    <w:basedOn w:val="1"/>
    <w:qFormat/>
    <w:uiPriority w:val="0"/>
    <w:pPr>
      <w:ind w:firstLine="420" w:firstLineChars="200"/>
    </w:pPr>
    <w:rPr>
      <w:rFonts w:ascii="Calibri" w:hAnsi="Calibri"/>
      <w:szCs w:val="22"/>
    </w:rPr>
  </w:style>
  <w:style w:type="paragraph" w:customStyle="1" w:styleId="592">
    <w:name w:val="纯文本2"/>
    <w:basedOn w:val="1"/>
    <w:qFormat/>
    <w:uiPriority w:val="0"/>
    <w:rPr>
      <w:rFonts w:ascii="宋体" w:hAnsi="Courier New"/>
      <w:szCs w:val="20"/>
    </w:rPr>
  </w:style>
  <w:style w:type="character" w:customStyle="1" w:styleId="593">
    <w:name w:val="访问过的超链接1"/>
    <w:qFormat/>
    <w:uiPriority w:val="99"/>
    <w:rPr>
      <w:color w:val="800080"/>
      <w:u w:val="single"/>
    </w:rPr>
  </w:style>
  <w:style w:type="character" w:customStyle="1" w:styleId="594">
    <w:name w:val="bookmark-item"/>
    <w:qFormat/>
    <w:uiPriority w:val="0"/>
  </w:style>
  <w:style w:type="character" w:customStyle="1" w:styleId="595">
    <w:name w:val="bookmark-item uuid-1595940643756 code-00004 addword single-line-text-input-box-cls"/>
    <w:qFormat/>
    <w:uiPriority w:val="0"/>
  </w:style>
  <w:style w:type="character" w:customStyle="1" w:styleId="596">
    <w:name w:val="bookmark-item uuid-1596015939851 code-00003 addword single-line-text-input-box-cls"/>
    <w:qFormat/>
    <w:uiPriority w:val="0"/>
  </w:style>
  <w:style w:type="character" w:customStyle="1" w:styleId="597">
    <w:name w:val="bookmark-item uuid-1595940673658 code-am01400034 addword numeric-input-box-cls"/>
    <w:qFormat/>
    <w:uiPriority w:val="0"/>
  </w:style>
  <w:style w:type="character" w:customStyle="1" w:styleId="598">
    <w:name w:val="bookmark-item uuid-1593432150293 code-am014biditemname editdisable single-line-text-input-box-cls"/>
    <w:qFormat/>
    <w:uiPriority w:val="0"/>
  </w:style>
  <w:style w:type="character" w:customStyle="1" w:styleId="599">
    <w:name w:val="bookmark-item uuid-1595941076685 code-am014biditemcount editdisable single-line-text-input-box-cls"/>
    <w:qFormat/>
    <w:uiPriority w:val="0"/>
  </w:style>
  <w:style w:type="character" w:customStyle="1" w:styleId="600">
    <w:name w:val="bookmark-item uuid-1593421137256 code-am014budgetprice editdisable single-line-text-input-box-cls"/>
    <w:qFormat/>
    <w:uiPriority w:val="0"/>
  </w:style>
  <w:style w:type="character" w:customStyle="1" w:styleId="601">
    <w:name w:val="bookmark-item uuid-1593421202487 code-am014briefspecificationdesc editdisable single-line-text-input-box-cls"/>
    <w:qFormat/>
    <w:uiPriority w:val="0"/>
  </w:style>
  <w:style w:type="character" w:customStyle="1" w:styleId="602">
    <w:name w:val="bookmark-item uuid-1593432166973 code-am014remarks editdisable single-line-text-input-box-cls"/>
    <w:qFormat/>
    <w:uiPriority w:val="0"/>
  </w:style>
  <w:style w:type="character" w:customStyle="1" w:styleId="603">
    <w:name w:val="bookmark-item uuid-1595940687802 code-23021 editdisable multi-line-text-input-box-cls readonly"/>
    <w:qFormat/>
    <w:uiPriority w:val="0"/>
  </w:style>
  <w:style w:type="character" w:customStyle="1" w:styleId="604">
    <w:name w:val="bookmark-item uuid-1596277470067 code-23002 editdisable multi-line-text-input-box-cls readonly"/>
    <w:qFormat/>
    <w:uiPriority w:val="0"/>
  </w:style>
  <w:style w:type="character" w:customStyle="1" w:styleId="605">
    <w:name w:val="bookmark-item uuid-1587980024345 code-23003 addword date-selection-cls"/>
    <w:qFormat/>
    <w:uiPriority w:val="0"/>
  </w:style>
  <w:style w:type="character" w:customStyle="1" w:styleId="606">
    <w:name w:val="bookmark-item uuid-1588129524349 code-23004 addword date-selection-cls readonly"/>
    <w:qFormat/>
    <w:uiPriority w:val="0"/>
  </w:style>
  <w:style w:type="character" w:customStyle="1" w:styleId="607">
    <w:name w:val="bookmark-item uuid-1594624027756 code-23005 addword morning-time-section-selection-cls"/>
    <w:qFormat/>
    <w:uiPriority w:val="0"/>
  </w:style>
  <w:style w:type="character" w:customStyle="1" w:styleId="608">
    <w:name w:val="bookmark-item uuid-1594624265677 code-23006 addword afternoon-time-section-selection-cls"/>
    <w:qFormat/>
    <w:uiPriority w:val="0"/>
  </w:style>
  <w:style w:type="character" w:customStyle="1" w:styleId="609">
    <w:name w:val="bookmark-item uuid-1588129635457 code-23007 addword single-line-text-input-box-cls readonly"/>
    <w:qFormat/>
    <w:uiPriority w:val="0"/>
  </w:style>
  <w:style w:type="character" w:customStyle="1" w:styleId="610">
    <w:name w:val="bookmark-item uuid-1595940713919 code-am01400046 editdisable single-line-text-input-box-cls readonly"/>
    <w:qFormat/>
    <w:uiPriority w:val="0"/>
  </w:style>
  <w:style w:type="character" w:customStyle="1" w:styleId="611">
    <w:name w:val="bookmark-item uuid-1595940727161 code-23008 addword numeric-input-box-cls"/>
    <w:qFormat/>
    <w:uiPriority w:val="0"/>
  </w:style>
  <w:style w:type="character" w:customStyle="1" w:styleId="612">
    <w:name w:val="bookmark-item uuid-1595940760210 code-23011 addword date-time-selection-cls"/>
    <w:qFormat/>
    <w:uiPriority w:val="0"/>
  </w:style>
  <w:style w:type="character" w:customStyle="1" w:styleId="613">
    <w:name w:val="bookmark-item uuid-1594624424199 code-23012 addword single-line-text-input-box-cls readonly"/>
    <w:qFormat/>
    <w:uiPriority w:val="0"/>
  </w:style>
  <w:style w:type="character" w:customStyle="1" w:styleId="614">
    <w:name w:val="bookmark-item uuid-1594624443488 code-23013 addword date-time-selection-cls readonly"/>
    <w:qFormat/>
    <w:uiPriority w:val="0"/>
  </w:style>
  <w:style w:type="character" w:customStyle="1" w:styleId="615">
    <w:name w:val="bookmark-item uuid-1588129973591 code-23015 addword single-line-text-input-box-cls readonly"/>
    <w:qFormat/>
    <w:uiPriority w:val="0"/>
  </w:style>
  <w:style w:type="character" w:customStyle="1" w:styleId="616">
    <w:name w:val="bookmark-item uuid-1589194982864 code-31006 addword multi-line-text-input-box-cls"/>
    <w:qFormat/>
    <w:uiPriority w:val="0"/>
  </w:style>
  <w:style w:type="character" w:customStyle="1" w:styleId="617">
    <w:name w:val="bookmark-item uuid-1596004663203 code-00014 editdisable interval-text-box-cls readonly"/>
    <w:qFormat/>
    <w:uiPriority w:val="0"/>
  </w:style>
  <w:style w:type="character" w:customStyle="1" w:styleId="618">
    <w:name w:val="bookmark-item uuid-1596004672274 code-00018 addword single-line-text-input-box-cls"/>
    <w:qFormat/>
    <w:uiPriority w:val="0"/>
  </w:style>
  <w:style w:type="character" w:customStyle="1" w:styleId="619">
    <w:name w:val="bookmark-item uuid-1596004688403 code-00015 editdisable single-line-text-input-box-cls readonly"/>
    <w:qFormat/>
    <w:uiPriority w:val="0"/>
  </w:style>
  <w:style w:type="character" w:customStyle="1" w:styleId="620">
    <w:name w:val="bookmark-item uuid-1596004695990 code-00016 editdisable single-line-text-input-box-cls readonly"/>
    <w:qFormat/>
    <w:uiPriority w:val="0"/>
  </w:style>
  <w:style w:type="character" w:customStyle="1" w:styleId="621">
    <w:name w:val="bookmark-item uuid-1596004721081 code-00009 addword interval-text-box-cls"/>
    <w:qFormat/>
    <w:uiPriority w:val="0"/>
  </w:style>
  <w:style w:type="character" w:customStyle="1" w:styleId="622">
    <w:name w:val="bookmark-item uuid-1596004728442 code-00013 editdisable single-line-text-input-box-cls readonly"/>
    <w:qFormat/>
    <w:uiPriority w:val="0"/>
  </w:style>
  <w:style w:type="character" w:customStyle="1" w:styleId="623">
    <w:name w:val="bookmark-item uuid-1596004745033 code-00010 editdisable single-line-text-input-box-cls readonly"/>
    <w:qFormat/>
    <w:uiPriority w:val="0"/>
  </w:style>
  <w:style w:type="character" w:customStyle="1" w:styleId="624">
    <w:name w:val="bookmark-item uuid-1596004753055 code-00011 addword single-line-text-input-box-cls"/>
    <w:qFormat/>
    <w:uiPriority w:val="0"/>
  </w:style>
  <w:style w:type="paragraph" w:customStyle="1" w:styleId="625">
    <w:name w:val="Table Paragraph"/>
    <w:basedOn w:val="1"/>
    <w:qFormat/>
    <w:uiPriority w:val="0"/>
    <w:rPr>
      <w:rFonts w:ascii="仿宋" w:hAnsi="仿宋" w:eastAsia="仿宋" w:cs="仿宋"/>
      <w:lang w:val="zh-CN" w:bidi="zh-CN"/>
    </w:rPr>
  </w:style>
  <w:style w:type="character" w:customStyle="1" w:styleId="626">
    <w:name w:val="bookmark-item uuid-1595987425520 code-23021 editdisable multi-line-text-input-box-cls readonly"/>
    <w:qFormat/>
    <w:uiPriority w:val="0"/>
  </w:style>
  <w:style w:type="paragraph" w:customStyle="1" w:styleId="627">
    <w:name w:val="正中"/>
    <w:basedOn w:val="1"/>
    <w:qFormat/>
    <w:uiPriority w:val="0"/>
    <w:pPr>
      <w:spacing w:line="360" w:lineRule="auto"/>
      <w:ind w:firstLine="200" w:firstLineChars="200"/>
    </w:pPr>
    <w:rPr>
      <w:rFonts w:ascii="楷体_GB2312" w:hAnsi="宋体" w:eastAsia="楷体_GB2312"/>
      <w:bCs/>
      <w:color w:val="000000"/>
      <w:sz w:val="24"/>
    </w:rPr>
  </w:style>
  <w:style w:type="paragraph" w:customStyle="1" w:styleId="628">
    <w:name w:val=" Char Char Char3"/>
    <w:basedOn w:val="1"/>
    <w:qFormat/>
    <w:uiPriority w:val="0"/>
  </w:style>
  <w:style w:type="paragraph" w:customStyle="1" w:styleId="629">
    <w:name w:val="179"/>
    <w:basedOn w:val="1"/>
    <w:qFormat/>
    <w:uiPriority w:val="0"/>
    <w:pPr>
      <w:ind w:firstLine="420" w:firstLineChars="200"/>
    </w:pPr>
    <w:rPr>
      <w:rFonts w:ascii="Calibri" w:hAnsi="Calibri"/>
      <w:szCs w:val="22"/>
    </w:rPr>
  </w:style>
  <w:style w:type="paragraph" w:customStyle="1" w:styleId="630">
    <w:name w:val="UserStyle_156"/>
    <w:basedOn w:val="1"/>
    <w:qFormat/>
    <w:uiPriority w:val="0"/>
    <w:pPr>
      <w:ind w:firstLine="420" w:firstLineChars="200"/>
    </w:pPr>
    <w:rPr>
      <w:rFonts w:ascii="Calibri" w:hAnsi="Calibri"/>
      <w:szCs w:val="22"/>
    </w:rPr>
  </w:style>
  <w:style w:type="character" w:customStyle="1" w:styleId="631">
    <w:name w:val="PageNumber"/>
    <w:qFormat/>
    <w:uiPriority w:val="0"/>
  </w:style>
  <w:style w:type="paragraph" w:customStyle="1" w:styleId="632">
    <w:name w:val="公文一级"/>
    <w:basedOn w:val="5"/>
    <w:qFormat/>
    <w:uiPriority w:val="0"/>
    <w:pPr>
      <w:jc w:val="center"/>
    </w:pPr>
    <w:rPr>
      <w:rFonts w:ascii="黑体" w:hAnsi="黑体" w:eastAsia="黑体"/>
      <w:b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68</Pages>
  <Words>10093</Words>
  <Characters>10840</Characters>
  <Lines>415</Lines>
  <Paragraphs>116</Paragraphs>
  <TotalTime>7</TotalTime>
  <ScaleCrop>false</ScaleCrop>
  <LinksUpToDate>false</LinksUpToDate>
  <CharactersWithSpaces>11206</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2021-07-01T17:07:00Z</dcterms:created>
  <dc:creator>聂泉源</dc:creator>
  <cp:lastModifiedBy>gxxc</cp:lastModifiedBy>
  <cp:lastPrinted>2021-04-10T18:22:00Z</cp:lastPrinted>
  <dcterms:modified xsi:type="dcterms:W3CDTF">2024-12-02T17:01:29Z</dcterms:modified>
  <dc:title>3</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0A533D2BB2774B329F48042A656ADA72_13</vt:lpwstr>
  </property>
</Properties>
</file>